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8927CB">
      <w:pPr>
        <w:ind w:left="0"/>
        <w:jc w:val="center"/>
        <w:rPr>
          <w:rFonts w:hint="eastAsia" w:ascii="微软雅黑" w:hAnsi="微软雅黑" w:eastAsia="微软雅黑" w:cs="微软雅黑"/>
          <w:b/>
          <w:bCs/>
          <w:sz w:val="28"/>
          <w:szCs w:val="28"/>
          <w:highlight w:val="none"/>
        </w:rPr>
      </w:pPr>
    </w:p>
    <w:p w14:paraId="2619993F">
      <w:pPr>
        <w:ind w:left="0"/>
        <w:jc w:val="center"/>
        <w:rPr>
          <w:rFonts w:hint="eastAsia" w:ascii="微软雅黑" w:hAnsi="微软雅黑" w:eastAsia="微软雅黑" w:cs="微软雅黑"/>
          <w:b/>
          <w:sz w:val="52"/>
          <w:szCs w:val="52"/>
          <w:highlight w:val="none"/>
          <w:lang w:val="zh-CN"/>
        </w:rPr>
      </w:pPr>
      <w:r>
        <w:rPr>
          <w:rFonts w:hint="eastAsia" w:ascii="微软雅黑" w:hAnsi="微软雅黑" w:eastAsia="微软雅黑" w:cs="微软雅黑"/>
          <w:b/>
          <w:sz w:val="52"/>
          <w:szCs w:val="52"/>
          <w:highlight w:val="none"/>
          <w:lang w:val="zh-CN"/>
        </w:rPr>
        <w:drawing>
          <wp:inline distT="0" distB="0" distL="114300" distR="114300">
            <wp:extent cx="1790700" cy="2386965"/>
            <wp:effectExtent l="0" t="0" r="0" b="13970"/>
            <wp:docPr id="5" name="图片 1" descr="盾牌logo白底红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盾牌logo白底红色"/>
                    <pic:cNvPicPr>
                      <a:picLocks noChangeAspect="1"/>
                    </pic:cNvPicPr>
                  </pic:nvPicPr>
                  <pic:blipFill>
                    <a:blip r:embed="rId5"/>
                    <a:stretch>
                      <a:fillRect/>
                    </a:stretch>
                  </pic:blipFill>
                  <pic:spPr>
                    <a:xfrm>
                      <a:off x="0" y="0"/>
                      <a:ext cx="1790700" cy="2386965"/>
                    </a:xfrm>
                    <a:prstGeom prst="rect">
                      <a:avLst/>
                    </a:prstGeom>
                    <a:noFill/>
                    <a:ln>
                      <a:noFill/>
                    </a:ln>
                  </pic:spPr>
                </pic:pic>
              </a:graphicData>
            </a:graphic>
          </wp:inline>
        </w:drawing>
      </w:r>
    </w:p>
    <w:p w14:paraId="7B8E43A4">
      <w:pPr>
        <w:pStyle w:val="56"/>
        <w:rPr>
          <w:rFonts w:hint="eastAsia" w:ascii="微软雅黑" w:hAnsi="微软雅黑" w:eastAsia="微软雅黑" w:cs="微软雅黑"/>
          <w:b/>
          <w:sz w:val="52"/>
          <w:szCs w:val="52"/>
          <w:highlight w:val="none"/>
          <w:lang w:val="zh-CN"/>
        </w:rPr>
      </w:pPr>
    </w:p>
    <w:p w14:paraId="3670FA86">
      <w:pPr>
        <w:pStyle w:val="56"/>
        <w:rPr>
          <w:rFonts w:hint="eastAsia" w:ascii="微软雅黑" w:hAnsi="微软雅黑" w:eastAsia="微软雅黑" w:cs="微软雅黑"/>
          <w:b/>
          <w:sz w:val="52"/>
          <w:szCs w:val="52"/>
          <w:highlight w:val="none"/>
          <w:lang w:val="zh-CN"/>
        </w:rPr>
      </w:pPr>
    </w:p>
    <w:p w14:paraId="6E0577C7">
      <w:pPr>
        <w:ind w:left="0"/>
        <w:jc w:val="center"/>
        <w:rPr>
          <w:rFonts w:hint="eastAsia" w:ascii="微软雅黑" w:hAnsi="微软雅黑" w:eastAsia="微软雅黑" w:cs="微软雅黑"/>
          <w:b/>
          <w:sz w:val="52"/>
          <w:szCs w:val="52"/>
          <w:highlight w:val="none"/>
          <w:lang w:val="zh-CN"/>
        </w:rPr>
      </w:pPr>
      <w:r>
        <w:rPr>
          <w:rFonts w:hint="eastAsia" w:ascii="微软雅黑" w:hAnsi="微软雅黑" w:eastAsia="微软雅黑" w:cs="微软雅黑"/>
          <w:b/>
          <w:sz w:val="52"/>
          <w:szCs w:val="52"/>
          <w:highlight w:val="none"/>
          <w:lang w:val="zh-CN"/>
        </w:rPr>
        <w:t>中山大学附属第七医院</w:t>
      </w:r>
    </w:p>
    <w:p w14:paraId="11D781C8">
      <w:pPr>
        <w:ind w:left="0"/>
        <w:jc w:val="center"/>
        <w:rPr>
          <w:rFonts w:hint="eastAsia" w:ascii="微软雅黑" w:hAnsi="微软雅黑" w:eastAsia="微软雅黑" w:cs="微软雅黑"/>
          <w:b/>
          <w:sz w:val="52"/>
          <w:szCs w:val="52"/>
          <w:highlight w:val="none"/>
          <w:lang w:val="zh-CN" w:eastAsia="zh-CN" w:bidi="ar-SA"/>
        </w:rPr>
      </w:pPr>
      <w:r>
        <w:rPr>
          <w:rFonts w:hint="eastAsia" w:ascii="微软雅黑" w:hAnsi="微软雅黑" w:eastAsia="微软雅黑" w:cs="微软雅黑"/>
          <w:b/>
          <w:sz w:val="52"/>
          <w:szCs w:val="52"/>
          <w:highlight w:val="none"/>
          <w:lang w:val="en-US" w:eastAsia="zh-CN" w:bidi="ar-SA"/>
        </w:rPr>
        <w:t>基于智慧医疗建设下的业务系统与结算系统集成项目评审需求书</w:t>
      </w:r>
    </w:p>
    <w:p w14:paraId="5A57C396">
      <w:pPr>
        <w:bidi w:val="0"/>
        <w:rPr>
          <w:rFonts w:hint="eastAsia"/>
        </w:rPr>
      </w:pPr>
      <w:bookmarkStart w:id="0" w:name="_Toc30078"/>
    </w:p>
    <w:p w14:paraId="12B9BCDD">
      <w:pPr>
        <w:bidi w:val="0"/>
        <w:rPr>
          <w:rFonts w:hint="eastAsia"/>
        </w:rPr>
      </w:pPr>
    </w:p>
    <w:p w14:paraId="1B8738F9">
      <w:pPr>
        <w:bidi w:val="0"/>
        <w:rPr>
          <w:rFonts w:hint="eastAsia"/>
        </w:rPr>
      </w:pPr>
    </w:p>
    <w:p w14:paraId="3F03D10A">
      <w:pPr>
        <w:bidi w:val="0"/>
        <w:rPr>
          <w:rFonts w:hint="eastAsia"/>
        </w:rPr>
      </w:pPr>
    </w:p>
    <w:p w14:paraId="61FA47AC">
      <w:pPr>
        <w:bidi w:val="0"/>
        <w:rPr>
          <w:rFonts w:hint="eastAsia"/>
        </w:rPr>
      </w:pPr>
    </w:p>
    <w:p w14:paraId="6122CB7B">
      <w:pPr>
        <w:bidi w:val="0"/>
        <w:rPr>
          <w:rFonts w:hint="eastAsia"/>
        </w:rPr>
      </w:pPr>
    </w:p>
    <w:p w14:paraId="2F5AA855">
      <w:pPr>
        <w:bidi w:val="0"/>
        <w:jc w:val="center"/>
        <w:rPr>
          <w:rFonts w:hint="default" w:ascii="Times New Roman" w:hAnsi="Times New Roman" w:eastAsia="微软雅黑" w:cs="Times New Roman"/>
          <w:b/>
          <w:bCs/>
          <w:sz w:val="36"/>
          <w:szCs w:val="36"/>
          <w:lang w:val="en-US" w:eastAsia="zh-CN"/>
        </w:rPr>
      </w:pPr>
      <w:r>
        <w:rPr>
          <w:rFonts w:hint="default" w:ascii="Times New Roman" w:hAnsi="Times New Roman" w:eastAsia="微软雅黑" w:cs="Times New Roman"/>
          <w:b/>
          <w:bCs/>
          <w:sz w:val="36"/>
          <w:szCs w:val="36"/>
          <w:lang w:val="en-US" w:eastAsia="zh-CN"/>
        </w:rPr>
        <w:t>2026年6月</w:t>
      </w:r>
    </w:p>
    <w:p w14:paraId="457E7A4C">
      <w:pPr>
        <w:bidi w:val="0"/>
        <w:rPr>
          <w:rFonts w:hint="eastAsia"/>
        </w:rPr>
      </w:pPr>
      <w:r>
        <w:rPr>
          <w:rFonts w:hint="eastAsia"/>
        </w:rPr>
        <w:br w:type="page"/>
      </w:r>
      <w:bookmarkEnd w:id="0"/>
    </w:p>
    <w:sdt>
      <w:sdtPr>
        <w:rPr>
          <w:rFonts w:ascii="宋体" w:hAnsi="宋体" w:eastAsia="宋体" w:cs="Times New Roman"/>
          <w:kern w:val="2"/>
          <w:sz w:val="21"/>
          <w:szCs w:val="24"/>
          <w:lang w:val="en-US" w:eastAsia="zh-CN" w:bidi="ar-SA"/>
        </w:rPr>
        <w:id w:val="147469628"/>
        <w15:color w:val="DBDBDB"/>
        <w:docPartObj>
          <w:docPartGallery w:val="Table of Contents"/>
          <w:docPartUnique/>
        </w:docPartObj>
      </w:sdtPr>
      <w:sdtEndPr>
        <w:rPr>
          <w:rFonts w:hint="eastAsia" w:ascii="宋体" w:hAnsi="宋体" w:eastAsia="宋体" w:cs="宋体"/>
          <w:bCs/>
          <w:spacing w:val="10"/>
          <w:kern w:val="0"/>
          <w:sz w:val="24"/>
          <w:szCs w:val="24"/>
          <w:lang w:val="en-US" w:eastAsia="zh-CN" w:bidi="ar-SA"/>
        </w:rPr>
      </w:sdtEndPr>
      <w:sdtContent>
        <w:p w14:paraId="78492550">
          <w:pPr>
            <w:spacing w:before="0" w:beforeLines="0" w:after="0" w:afterLines="0" w:line="240" w:lineRule="auto"/>
            <w:ind w:left="0" w:leftChars="0" w:right="0" w:rightChars="0" w:firstLine="0" w:firstLineChars="0"/>
            <w:jc w:val="center"/>
            <w:rPr>
              <w:rFonts w:hint="eastAsia" w:ascii="宋体" w:hAnsi="宋体" w:eastAsia="宋体" w:cs="宋体"/>
              <w:b/>
              <w:bCs/>
              <w:sz w:val="28"/>
              <w:szCs w:val="36"/>
            </w:rPr>
          </w:pPr>
          <w:r>
            <w:rPr>
              <w:rFonts w:hint="eastAsia" w:ascii="宋体" w:hAnsi="宋体" w:eastAsia="宋体" w:cs="宋体"/>
              <w:b/>
              <w:bCs/>
              <w:sz w:val="28"/>
              <w:szCs w:val="36"/>
            </w:rPr>
            <w:t>目录</w:t>
          </w:r>
        </w:p>
        <w:p w14:paraId="4FA3E9B0">
          <w:pPr>
            <w:pStyle w:val="30"/>
            <w:tabs>
              <w:tab w:val="right" w:leader="dot" w:pos="9548"/>
            </w:tabs>
            <w:rPr>
              <w:rFonts w:hint="default" w:ascii="Times New Roman" w:hAnsi="Times New Roman" w:cs="Times New Roman"/>
              <w:i w:val="0"/>
              <w:iCs w:val="0"/>
            </w:rPr>
          </w:pPr>
          <w:r>
            <w:rPr>
              <w:rFonts w:hint="eastAsia" w:ascii="宋体" w:hAnsi="宋体" w:eastAsia="宋体" w:cs="宋体"/>
            </w:rPr>
            <w:fldChar w:fldCharType="begin"/>
          </w:r>
          <w:r>
            <w:rPr>
              <w:rFonts w:hint="eastAsia" w:ascii="宋体" w:hAnsi="宋体" w:eastAsia="宋体" w:cs="宋体"/>
            </w:rPr>
            <w:instrText xml:space="preserve">TOC \o "1-3" \h \u </w:instrText>
          </w:r>
          <w:r>
            <w:rPr>
              <w:rFonts w:hint="eastAsia" w:ascii="宋体" w:hAnsi="宋体" w:eastAsia="宋体" w:cs="宋体"/>
            </w:rPr>
            <w:fldChar w:fldCharType="separate"/>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HYPERLINK \l _Toc29486 </w:instrText>
          </w:r>
          <w:r>
            <w:rPr>
              <w:rFonts w:hint="default" w:ascii="Times New Roman" w:hAnsi="Times New Roman" w:eastAsia="宋体" w:cs="Times New Roman"/>
              <w:i w:val="0"/>
              <w:iCs w:val="0"/>
            </w:rPr>
            <w:fldChar w:fldCharType="separate"/>
          </w:r>
          <w:r>
            <w:rPr>
              <w:rFonts w:hint="default" w:ascii="Times New Roman" w:hAnsi="Times New Roman" w:cs="Times New Roman"/>
              <w:i w:val="0"/>
              <w:iCs w:val="0"/>
            </w:rPr>
            <w:t xml:space="preserve">1 </w:t>
          </w:r>
          <w:r>
            <w:rPr>
              <w:rFonts w:hint="default" w:ascii="Times New Roman" w:hAnsi="Times New Roman" w:cs="Times New Roman"/>
              <w:i w:val="0"/>
              <w:iCs w:val="0"/>
              <w:lang w:val="en-US" w:eastAsia="zh-CN"/>
            </w:rPr>
            <w:t>中山七院二期系统建设</w:t>
          </w:r>
          <w:r>
            <w:rPr>
              <w:rFonts w:hint="default" w:ascii="Times New Roman" w:hAnsi="Times New Roman" w:cs="Times New Roman"/>
              <w:i w:val="0"/>
              <w:iCs w:val="0"/>
            </w:rPr>
            <w:t>需求</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_Toc29486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4</w:t>
          </w:r>
          <w:r>
            <w:rPr>
              <w:rFonts w:hint="default" w:ascii="Times New Roman" w:hAnsi="Times New Roman" w:cs="Times New Roman"/>
              <w:i w:val="0"/>
              <w:iCs w:val="0"/>
            </w:rPr>
            <w:fldChar w:fldCharType="end"/>
          </w:r>
          <w:r>
            <w:rPr>
              <w:rFonts w:hint="default" w:ascii="Times New Roman" w:hAnsi="Times New Roman" w:eastAsia="宋体" w:cs="Times New Roman"/>
              <w:i w:val="0"/>
              <w:iCs w:val="0"/>
            </w:rPr>
            <w:fldChar w:fldCharType="end"/>
          </w:r>
        </w:p>
        <w:p w14:paraId="26F13BE6">
          <w:pPr>
            <w:pStyle w:val="36"/>
            <w:tabs>
              <w:tab w:val="right" w:leader="dot" w:pos="9548"/>
              <w:tab w:val="clear" w:pos="8296"/>
            </w:tabs>
            <w:rPr>
              <w:rFonts w:hint="default" w:ascii="Times New Roman" w:hAnsi="Times New Roman" w:cs="Times New Roman"/>
              <w:i w:val="0"/>
              <w:iCs w:val="0"/>
            </w:rPr>
          </w:pP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HYPERLINK \l _Toc7489 </w:instrText>
          </w:r>
          <w:r>
            <w:rPr>
              <w:rFonts w:hint="default" w:ascii="Times New Roman" w:hAnsi="Times New Roman" w:eastAsia="宋体" w:cs="Times New Roman"/>
              <w:i w:val="0"/>
              <w:iCs w:val="0"/>
            </w:rPr>
            <w:fldChar w:fldCharType="separate"/>
          </w:r>
          <w:r>
            <w:rPr>
              <w:rFonts w:hint="default" w:ascii="Times New Roman" w:hAnsi="Times New Roman" w:cs="Times New Roman"/>
              <w:i w:val="0"/>
              <w:iCs w:val="0"/>
            </w:rPr>
            <w:t>1.1 以PB技术建设的系统更换需求</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_Toc7489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4</w:t>
          </w:r>
          <w:r>
            <w:rPr>
              <w:rFonts w:hint="default" w:ascii="Times New Roman" w:hAnsi="Times New Roman" w:cs="Times New Roman"/>
              <w:i w:val="0"/>
              <w:iCs w:val="0"/>
            </w:rPr>
            <w:fldChar w:fldCharType="end"/>
          </w:r>
          <w:r>
            <w:rPr>
              <w:rFonts w:hint="default" w:ascii="Times New Roman" w:hAnsi="Times New Roman" w:eastAsia="宋体" w:cs="Times New Roman"/>
              <w:i w:val="0"/>
              <w:iCs w:val="0"/>
            </w:rPr>
            <w:fldChar w:fldCharType="end"/>
          </w:r>
        </w:p>
        <w:p w14:paraId="715F21F8">
          <w:pPr>
            <w:pStyle w:val="22"/>
            <w:tabs>
              <w:tab w:val="right" w:leader="dot" w:pos="9548"/>
            </w:tabs>
            <w:rPr>
              <w:rFonts w:hint="default" w:ascii="Times New Roman" w:hAnsi="Times New Roman" w:cs="Times New Roman"/>
              <w:i w:val="0"/>
              <w:iCs w:val="0"/>
            </w:rPr>
          </w:pP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HYPERLINK \l _Toc27458 </w:instrText>
          </w:r>
          <w:r>
            <w:rPr>
              <w:rFonts w:hint="default" w:ascii="Times New Roman" w:hAnsi="Times New Roman" w:eastAsia="宋体" w:cs="Times New Roman"/>
              <w:i w:val="0"/>
              <w:iCs w:val="0"/>
            </w:rPr>
            <w:fldChar w:fldCharType="separate"/>
          </w:r>
          <w:r>
            <w:rPr>
              <w:rFonts w:hint="default" w:ascii="Times New Roman" w:hAnsi="Times New Roman" w:cs="Times New Roman"/>
              <w:i w:val="0"/>
              <w:iCs w:val="0"/>
            </w:rPr>
            <w:t>1.1.1 门诊医生站</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_Toc27458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4</w:t>
          </w:r>
          <w:r>
            <w:rPr>
              <w:rFonts w:hint="default" w:ascii="Times New Roman" w:hAnsi="Times New Roman" w:cs="Times New Roman"/>
              <w:i w:val="0"/>
              <w:iCs w:val="0"/>
            </w:rPr>
            <w:fldChar w:fldCharType="end"/>
          </w:r>
          <w:r>
            <w:rPr>
              <w:rFonts w:hint="default" w:ascii="Times New Roman" w:hAnsi="Times New Roman" w:eastAsia="宋体" w:cs="Times New Roman"/>
              <w:i w:val="0"/>
              <w:iCs w:val="0"/>
            </w:rPr>
            <w:fldChar w:fldCharType="end"/>
          </w:r>
        </w:p>
        <w:p w14:paraId="10383F90">
          <w:pPr>
            <w:pStyle w:val="22"/>
            <w:tabs>
              <w:tab w:val="right" w:leader="dot" w:pos="9548"/>
            </w:tabs>
            <w:rPr>
              <w:rFonts w:hint="default" w:ascii="Times New Roman" w:hAnsi="Times New Roman" w:cs="Times New Roman"/>
              <w:i w:val="0"/>
              <w:iCs w:val="0"/>
            </w:rPr>
          </w:pP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HYPERLINK \l _Toc25919 </w:instrText>
          </w:r>
          <w:r>
            <w:rPr>
              <w:rFonts w:hint="default" w:ascii="Times New Roman" w:hAnsi="Times New Roman" w:eastAsia="宋体" w:cs="Times New Roman"/>
              <w:i w:val="0"/>
              <w:iCs w:val="0"/>
            </w:rPr>
            <w:fldChar w:fldCharType="separate"/>
          </w:r>
          <w:r>
            <w:rPr>
              <w:rFonts w:hint="default" w:ascii="Times New Roman" w:hAnsi="Times New Roman" w:cs="Times New Roman"/>
              <w:i w:val="0"/>
              <w:iCs w:val="0"/>
            </w:rPr>
            <w:t xml:space="preserve">1.1.2 </w:t>
          </w:r>
          <w:r>
            <w:rPr>
              <w:rFonts w:hint="default" w:ascii="Times New Roman" w:hAnsi="Times New Roman" w:eastAsia="宋体" w:cs="Times New Roman"/>
              <w:i w:val="0"/>
              <w:iCs w:val="0"/>
              <w:kern w:val="2"/>
              <w:szCs w:val="24"/>
              <w:highlight w:val="none"/>
            </w:rPr>
            <w:t>门诊电子病历</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_Toc25919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14</w:t>
          </w:r>
          <w:r>
            <w:rPr>
              <w:rFonts w:hint="default" w:ascii="Times New Roman" w:hAnsi="Times New Roman" w:cs="Times New Roman"/>
              <w:i w:val="0"/>
              <w:iCs w:val="0"/>
            </w:rPr>
            <w:fldChar w:fldCharType="end"/>
          </w:r>
          <w:r>
            <w:rPr>
              <w:rFonts w:hint="default" w:ascii="Times New Roman" w:hAnsi="Times New Roman" w:eastAsia="宋体" w:cs="Times New Roman"/>
              <w:i w:val="0"/>
              <w:iCs w:val="0"/>
            </w:rPr>
            <w:fldChar w:fldCharType="end"/>
          </w:r>
        </w:p>
        <w:p w14:paraId="71F50B47">
          <w:pPr>
            <w:pStyle w:val="22"/>
            <w:tabs>
              <w:tab w:val="right" w:leader="dot" w:pos="9548"/>
            </w:tabs>
            <w:rPr>
              <w:rFonts w:hint="default" w:ascii="Times New Roman" w:hAnsi="Times New Roman" w:cs="Times New Roman"/>
              <w:i w:val="0"/>
              <w:iCs w:val="0"/>
            </w:rPr>
          </w:pP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HYPERLINK \l _Toc12598 </w:instrText>
          </w:r>
          <w:r>
            <w:rPr>
              <w:rFonts w:hint="default" w:ascii="Times New Roman" w:hAnsi="Times New Roman" w:eastAsia="宋体" w:cs="Times New Roman"/>
              <w:i w:val="0"/>
              <w:iCs w:val="0"/>
            </w:rPr>
            <w:fldChar w:fldCharType="separate"/>
          </w:r>
          <w:r>
            <w:rPr>
              <w:rFonts w:hint="default" w:ascii="Times New Roman" w:hAnsi="Times New Roman" w:cs="Times New Roman"/>
              <w:i w:val="0"/>
              <w:iCs w:val="0"/>
            </w:rPr>
            <w:t xml:space="preserve">1.1.3 </w:t>
          </w:r>
          <w:r>
            <w:rPr>
              <w:rFonts w:hint="default" w:ascii="Times New Roman" w:hAnsi="Times New Roman" w:eastAsia="宋体" w:cs="Times New Roman"/>
              <w:i w:val="0"/>
              <w:iCs w:val="0"/>
              <w:kern w:val="2"/>
              <w:szCs w:val="24"/>
              <w:highlight w:val="none"/>
            </w:rPr>
            <w:t>住院医生站</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_Toc12598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18</w:t>
          </w:r>
          <w:r>
            <w:rPr>
              <w:rFonts w:hint="default" w:ascii="Times New Roman" w:hAnsi="Times New Roman" w:cs="Times New Roman"/>
              <w:i w:val="0"/>
              <w:iCs w:val="0"/>
            </w:rPr>
            <w:fldChar w:fldCharType="end"/>
          </w:r>
          <w:r>
            <w:rPr>
              <w:rFonts w:hint="default" w:ascii="Times New Roman" w:hAnsi="Times New Roman" w:eastAsia="宋体" w:cs="Times New Roman"/>
              <w:i w:val="0"/>
              <w:iCs w:val="0"/>
            </w:rPr>
            <w:fldChar w:fldCharType="end"/>
          </w:r>
        </w:p>
        <w:p w14:paraId="60A2D3C8">
          <w:pPr>
            <w:pStyle w:val="22"/>
            <w:tabs>
              <w:tab w:val="right" w:leader="dot" w:pos="9548"/>
            </w:tabs>
            <w:rPr>
              <w:rFonts w:hint="default" w:ascii="Times New Roman" w:hAnsi="Times New Roman" w:cs="Times New Roman"/>
              <w:i w:val="0"/>
              <w:iCs w:val="0"/>
            </w:rPr>
          </w:pP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HYPERLINK \l _Toc11705 </w:instrText>
          </w:r>
          <w:r>
            <w:rPr>
              <w:rFonts w:hint="default" w:ascii="Times New Roman" w:hAnsi="Times New Roman" w:eastAsia="宋体" w:cs="Times New Roman"/>
              <w:i w:val="0"/>
              <w:iCs w:val="0"/>
            </w:rPr>
            <w:fldChar w:fldCharType="separate"/>
          </w:r>
          <w:r>
            <w:rPr>
              <w:rFonts w:hint="default" w:ascii="Times New Roman" w:hAnsi="Times New Roman" w:cs="Times New Roman"/>
              <w:i w:val="0"/>
              <w:iCs w:val="0"/>
            </w:rPr>
            <w:t>1.1.4 护士工作站</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_Toc11705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26</w:t>
          </w:r>
          <w:r>
            <w:rPr>
              <w:rFonts w:hint="default" w:ascii="Times New Roman" w:hAnsi="Times New Roman" w:cs="Times New Roman"/>
              <w:i w:val="0"/>
              <w:iCs w:val="0"/>
            </w:rPr>
            <w:fldChar w:fldCharType="end"/>
          </w:r>
          <w:r>
            <w:rPr>
              <w:rFonts w:hint="default" w:ascii="Times New Roman" w:hAnsi="Times New Roman" w:eastAsia="宋体" w:cs="Times New Roman"/>
              <w:i w:val="0"/>
              <w:iCs w:val="0"/>
            </w:rPr>
            <w:fldChar w:fldCharType="end"/>
          </w:r>
        </w:p>
        <w:p w14:paraId="640C40A1">
          <w:pPr>
            <w:pStyle w:val="22"/>
            <w:tabs>
              <w:tab w:val="right" w:leader="dot" w:pos="9548"/>
            </w:tabs>
            <w:rPr>
              <w:rFonts w:hint="default" w:ascii="Times New Roman" w:hAnsi="Times New Roman" w:cs="Times New Roman"/>
              <w:i w:val="0"/>
              <w:iCs w:val="0"/>
            </w:rPr>
          </w:pP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HYPERLINK \l _Toc11371 </w:instrText>
          </w:r>
          <w:r>
            <w:rPr>
              <w:rFonts w:hint="default" w:ascii="Times New Roman" w:hAnsi="Times New Roman" w:eastAsia="宋体" w:cs="Times New Roman"/>
              <w:i w:val="0"/>
              <w:iCs w:val="0"/>
            </w:rPr>
            <w:fldChar w:fldCharType="separate"/>
          </w:r>
          <w:r>
            <w:rPr>
              <w:rFonts w:hint="default" w:ascii="Times New Roman" w:hAnsi="Times New Roman" w:cs="Times New Roman"/>
              <w:i w:val="0"/>
              <w:iCs w:val="0"/>
            </w:rPr>
            <w:t xml:space="preserve">1.1.5 </w:t>
          </w:r>
          <w:r>
            <w:rPr>
              <w:rFonts w:hint="default" w:ascii="Times New Roman" w:hAnsi="Times New Roman" w:eastAsia="宋体" w:cs="Times New Roman"/>
              <w:i w:val="0"/>
              <w:iCs w:val="0"/>
              <w:kern w:val="2"/>
              <w:szCs w:val="24"/>
              <w:highlight w:val="none"/>
            </w:rPr>
            <w:t>药库系统</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_Toc11371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36</w:t>
          </w:r>
          <w:r>
            <w:rPr>
              <w:rFonts w:hint="default" w:ascii="Times New Roman" w:hAnsi="Times New Roman" w:cs="Times New Roman"/>
              <w:i w:val="0"/>
              <w:iCs w:val="0"/>
            </w:rPr>
            <w:fldChar w:fldCharType="end"/>
          </w:r>
          <w:r>
            <w:rPr>
              <w:rFonts w:hint="default" w:ascii="Times New Roman" w:hAnsi="Times New Roman" w:eastAsia="宋体" w:cs="Times New Roman"/>
              <w:i w:val="0"/>
              <w:iCs w:val="0"/>
            </w:rPr>
            <w:fldChar w:fldCharType="end"/>
          </w:r>
        </w:p>
        <w:p w14:paraId="602860C1">
          <w:pPr>
            <w:pStyle w:val="22"/>
            <w:tabs>
              <w:tab w:val="right" w:leader="dot" w:pos="9548"/>
            </w:tabs>
            <w:rPr>
              <w:rFonts w:hint="default" w:ascii="Times New Roman" w:hAnsi="Times New Roman" w:cs="Times New Roman"/>
              <w:i w:val="0"/>
              <w:iCs w:val="0"/>
            </w:rPr>
          </w:pP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HYPERLINK \l _Toc21331 </w:instrText>
          </w:r>
          <w:r>
            <w:rPr>
              <w:rFonts w:hint="default" w:ascii="Times New Roman" w:hAnsi="Times New Roman" w:eastAsia="宋体" w:cs="Times New Roman"/>
              <w:i w:val="0"/>
              <w:iCs w:val="0"/>
            </w:rPr>
            <w:fldChar w:fldCharType="separate"/>
          </w:r>
          <w:r>
            <w:rPr>
              <w:rFonts w:hint="default" w:ascii="Times New Roman" w:hAnsi="Times New Roman" w:cs="Times New Roman"/>
              <w:i w:val="0"/>
              <w:iCs w:val="0"/>
            </w:rPr>
            <w:t xml:space="preserve">1.1.6 </w:t>
          </w:r>
          <w:r>
            <w:rPr>
              <w:rFonts w:hint="default" w:ascii="Times New Roman" w:hAnsi="Times New Roman" w:eastAsia="宋体" w:cs="Times New Roman"/>
              <w:i w:val="0"/>
              <w:iCs w:val="0"/>
              <w:kern w:val="2"/>
              <w:szCs w:val="24"/>
              <w:highlight w:val="none"/>
            </w:rPr>
            <w:t>门诊药房系统</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_Toc21331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43</w:t>
          </w:r>
          <w:r>
            <w:rPr>
              <w:rFonts w:hint="default" w:ascii="Times New Roman" w:hAnsi="Times New Roman" w:cs="Times New Roman"/>
              <w:i w:val="0"/>
              <w:iCs w:val="0"/>
            </w:rPr>
            <w:fldChar w:fldCharType="end"/>
          </w:r>
          <w:r>
            <w:rPr>
              <w:rFonts w:hint="default" w:ascii="Times New Roman" w:hAnsi="Times New Roman" w:eastAsia="宋体" w:cs="Times New Roman"/>
              <w:i w:val="0"/>
              <w:iCs w:val="0"/>
            </w:rPr>
            <w:fldChar w:fldCharType="end"/>
          </w:r>
        </w:p>
        <w:p w14:paraId="53A50650">
          <w:pPr>
            <w:pStyle w:val="22"/>
            <w:tabs>
              <w:tab w:val="right" w:leader="dot" w:pos="9548"/>
            </w:tabs>
            <w:rPr>
              <w:rFonts w:hint="default" w:ascii="Times New Roman" w:hAnsi="Times New Roman" w:cs="Times New Roman"/>
              <w:i w:val="0"/>
              <w:iCs w:val="0"/>
            </w:rPr>
          </w:pP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HYPERLINK \l _Toc13976 </w:instrText>
          </w:r>
          <w:r>
            <w:rPr>
              <w:rFonts w:hint="default" w:ascii="Times New Roman" w:hAnsi="Times New Roman" w:eastAsia="宋体" w:cs="Times New Roman"/>
              <w:i w:val="0"/>
              <w:iCs w:val="0"/>
            </w:rPr>
            <w:fldChar w:fldCharType="separate"/>
          </w:r>
          <w:r>
            <w:rPr>
              <w:rFonts w:hint="default" w:ascii="Times New Roman" w:hAnsi="Times New Roman" w:cs="Times New Roman"/>
              <w:i w:val="0"/>
              <w:iCs w:val="0"/>
            </w:rPr>
            <w:t xml:space="preserve">1.1.7 </w:t>
          </w:r>
          <w:r>
            <w:rPr>
              <w:rFonts w:hint="default" w:ascii="Times New Roman" w:hAnsi="Times New Roman" w:eastAsia="宋体" w:cs="Times New Roman"/>
              <w:i w:val="0"/>
              <w:iCs w:val="0"/>
              <w:kern w:val="2"/>
              <w:szCs w:val="24"/>
              <w:highlight w:val="none"/>
            </w:rPr>
            <w:t>住院药房系统</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_Toc13976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55</w:t>
          </w:r>
          <w:r>
            <w:rPr>
              <w:rFonts w:hint="default" w:ascii="Times New Roman" w:hAnsi="Times New Roman" w:cs="Times New Roman"/>
              <w:i w:val="0"/>
              <w:iCs w:val="0"/>
            </w:rPr>
            <w:fldChar w:fldCharType="end"/>
          </w:r>
          <w:r>
            <w:rPr>
              <w:rFonts w:hint="default" w:ascii="Times New Roman" w:hAnsi="Times New Roman" w:eastAsia="宋体" w:cs="Times New Roman"/>
              <w:i w:val="0"/>
              <w:iCs w:val="0"/>
            </w:rPr>
            <w:fldChar w:fldCharType="end"/>
          </w:r>
        </w:p>
        <w:p w14:paraId="612063FB">
          <w:pPr>
            <w:pStyle w:val="22"/>
            <w:tabs>
              <w:tab w:val="right" w:leader="dot" w:pos="9548"/>
            </w:tabs>
            <w:rPr>
              <w:rFonts w:hint="default" w:ascii="Times New Roman" w:hAnsi="Times New Roman" w:cs="Times New Roman"/>
              <w:i w:val="0"/>
              <w:iCs w:val="0"/>
            </w:rPr>
          </w:pP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HYPERLINK \l _Toc510 </w:instrText>
          </w:r>
          <w:r>
            <w:rPr>
              <w:rFonts w:hint="default" w:ascii="Times New Roman" w:hAnsi="Times New Roman" w:eastAsia="宋体" w:cs="Times New Roman"/>
              <w:i w:val="0"/>
              <w:iCs w:val="0"/>
            </w:rPr>
            <w:fldChar w:fldCharType="separate"/>
          </w:r>
          <w:r>
            <w:rPr>
              <w:rFonts w:hint="default" w:ascii="Times New Roman" w:hAnsi="Times New Roman" w:cs="Times New Roman"/>
              <w:i w:val="0"/>
              <w:iCs w:val="0"/>
            </w:rPr>
            <w:t xml:space="preserve">1.1.8 </w:t>
          </w:r>
          <w:r>
            <w:rPr>
              <w:rFonts w:hint="default" w:ascii="Times New Roman" w:hAnsi="Times New Roman" w:eastAsia="宋体" w:cs="Times New Roman"/>
              <w:i w:val="0"/>
              <w:iCs w:val="0"/>
              <w:kern w:val="2"/>
              <w:szCs w:val="24"/>
              <w:highlight w:val="none"/>
            </w:rPr>
            <w:t>预存扣款系统</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_Toc510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62</w:t>
          </w:r>
          <w:r>
            <w:rPr>
              <w:rFonts w:hint="default" w:ascii="Times New Roman" w:hAnsi="Times New Roman" w:cs="Times New Roman"/>
              <w:i w:val="0"/>
              <w:iCs w:val="0"/>
            </w:rPr>
            <w:fldChar w:fldCharType="end"/>
          </w:r>
          <w:r>
            <w:rPr>
              <w:rFonts w:hint="default" w:ascii="Times New Roman" w:hAnsi="Times New Roman" w:eastAsia="宋体" w:cs="Times New Roman"/>
              <w:i w:val="0"/>
              <w:iCs w:val="0"/>
            </w:rPr>
            <w:fldChar w:fldCharType="end"/>
          </w:r>
        </w:p>
        <w:p w14:paraId="3D0AF2CD">
          <w:pPr>
            <w:pStyle w:val="22"/>
            <w:tabs>
              <w:tab w:val="right" w:leader="dot" w:pos="9548"/>
            </w:tabs>
            <w:rPr>
              <w:rFonts w:hint="default" w:ascii="Times New Roman" w:hAnsi="Times New Roman" w:cs="Times New Roman"/>
              <w:i w:val="0"/>
              <w:iCs w:val="0"/>
            </w:rPr>
          </w:pP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HYPERLINK \l _Toc2198 </w:instrText>
          </w:r>
          <w:r>
            <w:rPr>
              <w:rFonts w:hint="default" w:ascii="Times New Roman" w:hAnsi="Times New Roman" w:eastAsia="宋体" w:cs="Times New Roman"/>
              <w:i w:val="0"/>
              <w:iCs w:val="0"/>
            </w:rPr>
            <w:fldChar w:fldCharType="separate"/>
          </w:r>
          <w:r>
            <w:rPr>
              <w:rFonts w:hint="default" w:ascii="Times New Roman" w:hAnsi="Times New Roman" w:cs="Times New Roman"/>
              <w:i w:val="0"/>
              <w:iCs w:val="0"/>
            </w:rPr>
            <w:t xml:space="preserve">1.1.9 </w:t>
          </w:r>
          <w:r>
            <w:rPr>
              <w:rFonts w:hint="default" w:ascii="Times New Roman" w:hAnsi="Times New Roman" w:eastAsia="宋体" w:cs="Times New Roman"/>
              <w:i w:val="0"/>
              <w:iCs w:val="0"/>
              <w:kern w:val="2"/>
              <w:szCs w:val="24"/>
              <w:highlight w:val="none"/>
            </w:rPr>
            <w:t>门诊收费系统</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_Toc2198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64</w:t>
          </w:r>
          <w:r>
            <w:rPr>
              <w:rFonts w:hint="default" w:ascii="Times New Roman" w:hAnsi="Times New Roman" w:cs="Times New Roman"/>
              <w:i w:val="0"/>
              <w:iCs w:val="0"/>
            </w:rPr>
            <w:fldChar w:fldCharType="end"/>
          </w:r>
          <w:r>
            <w:rPr>
              <w:rFonts w:hint="default" w:ascii="Times New Roman" w:hAnsi="Times New Roman" w:eastAsia="宋体" w:cs="Times New Roman"/>
              <w:i w:val="0"/>
              <w:iCs w:val="0"/>
            </w:rPr>
            <w:fldChar w:fldCharType="end"/>
          </w:r>
        </w:p>
        <w:p w14:paraId="6D184374">
          <w:pPr>
            <w:pStyle w:val="22"/>
            <w:tabs>
              <w:tab w:val="right" w:leader="dot" w:pos="9548"/>
            </w:tabs>
            <w:rPr>
              <w:rFonts w:hint="default" w:ascii="Times New Roman" w:hAnsi="Times New Roman" w:cs="Times New Roman"/>
              <w:i w:val="0"/>
              <w:iCs w:val="0"/>
            </w:rPr>
          </w:pP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HYPERLINK \l _Toc8480 </w:instrText>
          </w:r>
          <w:r>
            <w:rPr>
              <w:rFonts w:hint="default" w:ascii="Times New Roman" w:hAnsi="Times New Roman" w:eastAsia="宋体" w:cs="Times New Roman"/>
              <w:i w:val="0"/>
              <w:iCs w:val="0"/>
            </w:rPr>
            <w:fldChar w:fldCharType="separate"/>
          </w:r>
          <w:r>
            <w:rPr>
              <w:rFonts w:hint="default" w:ascii="Times New Roman" w:hAnsi="Times New Roman" w:cs="Times New Roman"/>
              <w:i w:val="0"/>
              <w:iCs w:val="0"/>
            </w:rPr>
            <w:t xml:space="preserve">1.1.10 </w:t>
          </w:r>
          <w:r>
            <w:rPr>
              <w:rFonts w:hint="default" w:ascii="Times New Roman" w:hAnsi="Times New Roman" w:eastAsia="宋体" w:cs="Times New Roman"/>
              <w:i w:val="0"/>
              <w:iCs w:val="0"/>
              <w:kern w:val="2"/>
              <w:szCs w:val="24"/>
              <w:highlight w:val="none"/>
            </w:rPr>
            <w:t>住院收费系统</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_Toc8480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67</w:t>
          </w:r>
          <w:r>
            <w:rPr>
              <w:rFonts w:hint="default" w:ascii="Times New Roman" w:hAnsi="Times New Roman" w:cs="Times New Roman"/>
              <w:i w:val="0"/>
              <w:iCs w:val="0"/>
            </w:rPr>
            <w:fldChar w:fldCharType="end"/>
          </w:r>
          <w:r>
            <w:rPr>
              <w:rFonts w:hint="default" w:ascii="Times New Roman" w:hAnsi="Times New Roman" w:eastAsia="宋体" w:cs="Times New Roman"/>
              <w:i w:val="0"/>
              <w:iCs w:val="0"/>
            </w:rPr>
            <w:fldChar w:fldCharType="end"/>
          </w:r>
        </w:p>
        <w:p w14:paraId="1BB34399">
          <w:pPr>
            <w:pStyle w:val="22"/>
            <w:tabs>
              <w:tab w:val="right" w:leader="dot" w:pos="9548"/>
            </w:tabs>
            <w:rPr>
              <w:rFonts w:hint="default" w:ascii="Times New Roman" w:hAnsi="Times New Roman" w:cs="Times New Roman"/>
              <w:i w:val="0"/>
              <w:iCs w:val="0"/>
            </w:rPr>
          </w:pP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HYPERLINK \l _Toc24188 </w:instrText>
          </w:r>
          <w:r>
            <w:rPr>
              <w:rFonts w:hint="default" w:ascii="Times New Roman" w:hAnsi="Times New Roman" w:eastAsia="宋体" w:cs="Times New Roman"/>
              <w:i w:val="0"/>
              <w:iCs w:val="0"/>
            </w:rPr>
            <w:fldChar w:fldCharType="separate"/>
          </w:r>
          <w:r>
            <w:rPr>
              <w:rFonts w:hint="default" w:ascii="Times New Roman" w:hAnsi="Times New Roman" w:cs="Times New Roman"/>
              <w:i w:val="0"/>
              <w:iCs w:val="0"/>
            </w:rPr>
            <w:t xml:space="preserve">1.1.11 </w:t>
          </w:r>
          <w:r>
            <w:rPr>
              <w:rFonts w:hint="default" w:ascii="Times New Roman" w:hAnsi="Times New Roman" w:eastAsia="宋体" w:cs="Times New Roman"/>
              <w:i w:val="0"/>
              <w:iCs w:val="0"/>
              <w:kern w:val="2"/>
              <w:szCs w:val="24"/>
              <w:highlight w:val="none"/>
            </w:rPr>
            <w:t>社保审批系统</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_Toc24188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71</w:t>
          </w:r>
          <w:r>
            <w:rPr>
              <w:rFonts w:hint="default" w:ascii="Times New Roman" w:hAnsi="Times New Roman" w:cs="Times New Roman"/>
              <w:i w:val="0"/>
              <w:iCs w:val="0"/>
            </w:rPr>
            <w:fldChar w:fldCharType="end"/>
          </w:r>
          <w:r>
            <w:rPr>
              <w:rFonts w:hint="default" w:ascii="Times New Roman" w:hAnsi="Times New Roman" w:eastAsia="宋体" w:cs="Times New Roman"/>
              <w:i w:val="0"/>
              <w:iCs w:val="0"/>
            </w:rPr>
            <w:fldChar w:fldCharType="end"/>
          </w:r>
        </w:p>
        <w:p w14:paraId="77B43D30">
          <w:pPr>
            <w:pStyle w:val="22"/>
            <w:tabs>
              <w:tab w:val="right" w:leader="dot" w:pos="9548"/>
            </w:tabs>
            <w:rPr>
              <w:rFonts w:hint="default" w:ascii="Times New Roman" w:hAnsi="Times New Roman" w:cs="Times New Roman"/>
              <w:i w:val="0"/>
              <w:iCs w:val="0"/>
            </w:rPr>
          </w:pP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HYPERLINK \l _Toc11694 </w:instrText>
          </w:r>
          <w:r>
            <w:rPr>
              <w:rFonts w:hint="default" w:ascii="Times New Roman" w:hAnsi="Times New Roman" w:eastAsia="宋体" w:cs="Times New Roman"/>
              <w:i w:val="0"/>
              <w:iCs w:val="0"/>
            </w:rPr>
            <w:fldChar w:fldCharType="separate"/>
          </w:r>
          <w:r>
            <w:rPr>
              <w:rFonts w:hint="default" w:ascii="Times New Roman" w:hAnsi="Times New Roman" w:cs="Times New Roman"/>
              <w:i w:val="0"/>
              <w:iCs w:val="0"/>
            </w:rPr>
            <w:t xml:space="preserve">1.1.12 </w:t>
          </w:r>
          <w:r>
            <w:rPr>
              <w:rFonts w:hint="default" w:ascii="Times New Roman" w:hAnsi="Times New Roman" w:eastAsia="宋体" w:cs="Times New Roman"/>
              <w:i w:val="0"/>
              <w:iCs w:val="0"/>
              <w:kern w:val="2"/>
              <w:szCs w:val="24"/>
              <w:highlight w:val="none"/>
            </w:rPr>
            <w:t>器械供应系统</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_Toc11694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72</w:t>
          </w:r>
          <w:r>
            <w:rPr>
              <w:rFonts w:hint="default" w:ascii="Times New Roman" w:hAnsi="Times New Roman" w:cs="Times New Roman"/>
              <w:i w:val="0"/>
              <w:iCs w:val="0"/>
            </w:rPr>
            <w:fldChar w:fldCharType="end"/>
          </w:r>
          <w:r>
            <w:rPr>
              <w:rFonts w:hint="default" w:ascii="Times New Roman" w:hAnsi="Times New Roman" w:eastAsia="宋体" w:cs="Times New Roman"/>
              <w:i w:val="0"/>
              <w:iCs w:val="0"/>
            </w:rPr>
            <w:fldChar w:fldCharType="end"/>
          </w:r>
        </w:p>
        <w:p w14:paraId="42A69311">
          <w:pPr>
            <w:pStyle w:val="22"/>
            <w:tabs>
              <w:tab w:val="right" w:leader="dot" w:pos="9548"/>
            </w:tabs>
            <w:rPr>
              <w:rFonts w:hint="default" w:ascii="Times New Roman" w:hAnsi="Times New Roman" w:cs="Times New Roman"/>
              <w:i w:val="0"/>
              <w:iCs w:val="0"/>
            </w:rPr>
          </w:pP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HYPERLINK \l _Toc5564 </w:instrText>
          </w:r>
          <w:r>
            <w:rPr>
              <w:rFonts w:hint="default" w:ascii="Times New Roman" w:hAnsi="Times New Roman" w:eastAsia="宋体" w:cs="Times New Roman"/>
              <w:i w:val="0"/>
              <w:iCs w:val="0"/>
            </w:rPr>
            <w:fldChar w:fldCharType="separate"/>
          </w:r>
          <w:r>
            <w:rPr>
              <w:rFonts w:hint="default" w:ascii="Times New Roman" w:hAnsi="Times New Roman" w:cs="Times New Roman"/>
              <w:i w:val="0"/>
              <w:iCs w:val="0"/>
            </w:rPr>
            <w:t xml:space="preserve">1.1.13 </w:t>
          </w:r>
          <w:r>
            <w:rPr>
              <w:rFonts w:hint="default" w:ascii="Times New Roman" w:hAnsi="Times New Roman" w:eastAsia="宋体" w:cs="Times New Roman"/>
              <w:i w:val="0"/>
              <w:iCs w:val="0"/>
              <w:szCs w:val="24"/>
              <w:highlight w:val="none"/>
            </w:rPr>
            <w:t>感染管理系统</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_Toc5564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78</w:t>
          </w:r>
          <w:r>
            <w:rPr>
              <w:rFonts w:hint="default" w:ascii="Times New Roman" w:hAnsi="Times New Roman" w:cs="Times New Roman"/>
              <w:i w:val="0"/>
              <w:iCs w:val="0"/>
            </w:rPr>
            <w:fldChar w:fldCharType="end"/>
          </w:r>
          <w:r>
            <w:rPr>
              <w:rFonts w:hint="default" w:ascii="Times New Roman" w:hAnsi="Times New Roman" w:eastAsia="宋体" w:cs="Times New Roman"/>
              <w:i w:val="0"/>
              <w:iCs w:val="0"/>
            </w:rPr>
            <w:fldChar w:fldCharType="end"/>
          </w:r>
        </w:p>
        <w:p w14:paraId="043AE51F">
          <w:pPr>
            <w:pStyle w:val="22"/>
            <w:tabs>
              <w:tab w:val="right" w:leader="dot" w:pos="9548"/>
            </w:tabs>
            <w:rPr>
              <w:rFonts w:hint="default" w:ascii="Times New Roman" w:hAnsi="Times New Roman" w:cs="Times New Roman"/>
              <w:i w:val="0"/>
              <w:iCs w:val="0"/>
            </w:rPr>
          </w:pP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HYPERLINK \l _Toc23126 </w:instrText>
          </w:r>
          <w:r>
            <w:rPr>
              <w:rFonts w:hint="default" w:ascii="Times New Roman" w:hAnsi="Times New Roman" w:eastAsia="宋体" w:cs="Times New Roman"/>
              <w:i w:val="0"/>
              <w:iCs w:val="0"/>
            </w:rPr>
            <w:fldChar w:fldCharType="separate"/>
          </w:r>
          <w:r>
            <w:rPr>
              <w:rFonts w:hint="default" w:ascii="Times New Roman" w:hAnsi="Times New Roman" w:cs="Times New Roman"/>
              <w:i w:val="0"/>
              <w:iCs w:val="0"/>
            </w:rPr>
            <w:t xml:space="preserve">1.1.14 </w:t>
          </w:r>
          <w:r>
            <w:rPr>
              <w:rFonts w:hint="default" w:ascii="Times New Roman" w:hAnsi="Times New Roman" w:eastAsia="宋体" w:cs="Times New Roman"/>
              <w:i w:val="0"/>
              <w:iCs w:val="0"/>
              <w:kern w:val="2"/>
              <w:szCs w:val="24"/>
              <w:highlight w:val="none"/>
            </w:rPr>
            <w:t>基础信息维护系统</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_Toc23126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92</w:t>
          </w:r>
          <w:r>
            <w:rPr>
              <w:rFonts w:hint="default" w:ascii="Times New Roman" w:hAnsi="Times New Roman" w:cs="Times New Roman"/>
              <w:i w:val="0"/>
              <w:iCs w:val="0"/>
            </w:rPr>
            <w:fldChar w:fldCharType="end"/>
          </w:r>
          <w:r>
            <w:rPr>
              <w:rFonts w:hint="default" w:ascii="Times New Roman" w:hAnsi="Times New Roman" w:eastAsia="宋体" w:cs="Times New Roman"/>
              <w:i w:val="0"/>
              <w:iCs w:val="0"/>
            </w:rPr>
            <w:fldChar w:fldCharType="end"/>
          </w:r>
        </w:p>
        <w:p w14:paraId="7B95E329">
          <w:pPr>
            <w:pStyle w:val="22"/>
            <w:tabs>
              <w:tab w:val="right" w:leader="dot" w:pos="9548"/>
            </w:tabs>
            <w:rPr>
              <w:rFonts w:hint="default" w:ascii="Times New Roman" w:hAnsi="Times New Roman" w:cs="Times New Roman"/>
              <w:i w:val="0"/>
              <w:iCs w:val="0"/>
            </w:rPr>
          </w:pP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HYPERLINK \l _Toc23847 </w:instrText>
          </w:r>
          <w:r>
            <w:rPr>
              <w:rFonts w:hint="default" w:ascii="Times New Roman" w:hAnsi="Times New Roman" w:eastAsia="宋体" w:cs="Times New Roman"/>
              <w:i w:val="0"/>
              <w:iCs w:val="0"/>
            </w:rPr>
            <w:fldChar w:fldCharType="separate"/>
          </w:r>
          <w:r>
            <w:rPr>
              <w:rFonts w:hint="default" w:ascii="Times New Roman" w:hAnsi="Times New Roman" w:cs="Times New Roman"/>
              <w:i w:val="0"/>
              <w:iCs w:val="0"/>
            </w:rPr>
            <w:t>1.1.15 门诊流程单机版应急系统</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_Toc23847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97</w:t>
          </w:r>
          <w:r>
            <w:rPr>
              <w:rFonts w:hint="default" w:ascii="Times New Roman" w:hAnsi="Times New Roman" w:cs="Times New Roman"/>
              <w:i w:val="0"/>
              <w:iCs w:val="0"/>
            </w:rPr>
            <w:fldChar w:fldCharType="end"/>
          </w:r>
          <w:r>
            <w:rPr>
              <w:rFonts w:hint="default" w:ascii="Times New Roman" w:hAnsi="Times New Roman" w:eastAsia="宋体" w:cs="Times New Roman"/>
              <w:i w:val="0"/>
              <w:iCs w:val="0"/>
            </w:rPr>
            <w:fldChar w:fldCharType="end"/>
          </w:r>
        </w:p>
        <w:p w14:paraId="2AB751C1">
          <w:pPr>
            <w:pStyle w:val="36"/>
            <w:tabs>
              <w:tab w:val="right" w:leader="dot" w:pos="9548"/>
              <w:tab w:val="clear" w:pos="8296"/>
            </w:tabs>
            <w:rPr>
              <w:rFonts w:hint="default" w:ascii="Times New Roman" w:hAnsi="Times New Roman" w:cs="Times New Roman"/>
              <w:i w:val="0"/>
              <w:iCs w:val="0"/>
            </w:rPr>
          </w:pP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HYPERLINK \l _Toc19970 </w:instrText>
          </w:r>
          <w:r>
            <w:rPr>
              <w:rFonts w:hint="default" w:ascii="Times New Roman" w:hAnsi="Times New Roman" w:eastAsia="宋体" w:cs="Times New Roman"/>
              <w:i w:val="0"/>
              <w:iCs w:val="0"/>
            </w:rPr>
            <w:fldChar w:fldCharType="separate"/>
          </w:r>
          <w:r>
            <w:rPr>
              <w:rFonts w:hint="default" w:ascii="Times New Roman" w:hAnsi="Times New Roman" w:cs="Times New Roman"/>
              <w:i w:val="0"/>
              <w:iCs w:val="0"/>
              <w:szCs w:val="24"/>
            </w:rPr>
            <w:t xml:space="preserve">1.2 </w:t>
          </w:r>
          <w:r>
            <w:rPr>
              <w:rFonts w:hint="default" w:ascii="Times New Roman" w:hAnsi="Times New Roman" w:cs="Times New Roman"/>
              <w:i w:val="0"/>
              <w:iCs w:val="0"/>
            </w:rPr>
            <w:t>二期系统建设需求</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_Toc19970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98</w:t>
          </w:r>
          <w:r>
            <w:rPr>
              <w:rFonts w:hint="default" w:ascii="Times New Roman" w:hAnsi="Times New Roman" w:cs="Times New Roman"/>
              <w:i w:val="0"/>
              <w:iCs w:val="0"/>
            </w:rPr>
            <w:fldChar w:fldCharType="end"/>
          </w:r>
          <w:r>
            <w:rPr>
              <w:rFonts w:hint="default" w:ascii="Times New Roman" w:hAnsi="Times New Roman" w:eastAsia="宋体" w:cs="Times New Roman"/>
              <w:i w:val="0"/>
              <w:iCs w:val="0"/>
            </w:rPr>
            <w:fldChar w:fldCharType="end"/>
          </w:r>
        </w:p>
        <w:p w14:paraId="2C970A13">
          <w:pPr>
            <w:pStyle w:val="22"/>
            <w:tabs>
              <w:tab w:val="right" w:leader="dot" w:pos="9548"/>
            </w:tabs>
            <w:rPr>
              <w:rFonts w:hint="default" w:ascii="Times New Roman" w:hAnsi="Times New Roman" w:cs="Times New Roman"/>
              <w:i w:val="0"/>
              <w:iCs w:val="0"/>
            </w:rPr>
          </w:pP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HYPERLINK \l _Toc3580 </w:instrText>
          </w:r>
          <w:r>
            <w:rPr>
              <w:rFonts w:hint="default" w:ascii="Times New Roman" w:hAnsi="Times New Roman" w:eastAsia="宋体" w:cs="Times New Roman"/>
              <w:i w:val="0"/>
              <w:iCs w:val="0"/>
            </w:rPr>
            <w:fldChar w:fldCharType="separate"/>
          </w:r>
          <w:r>
            <w:rPr>
              <w:rFonts w:hint="default" w:ascii="Times New Roman" w:hAnsi="Times New Roman" w:cs="Times New Roman"/>
              <w:i w:val="0"/>
              <w:iCs w:val="0"/>
            </w:rPr>
            <w:t>1.2.1 输血管理系统</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_Toc3580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98</w:t>
          </w:r>
          <w:r>
            <w:rPr>
              <w:rFonts w:hint="default" w:ascii="Times New Roman" w:hAnsi="Times New Roman" w:cs="Times New Roman"/>
              <w:i w:val="0"/>
              <w:iCs w:val="0"/>
            </w:rPr>
            <w:fldChar w:fldCharType="end"/>
          </w:r>
          <w:r>
            <w:rPr>
              <w:rFonts w:hint="default" w:ascii="Times New Roman" w:hAnsi="Times New Roman" w:eastAsia="宋体" w:cs="Times New Roman"/>
              <w:i w:val="0"/>
              <w:iCs w:val="0"/>
            </w:rPr>
            <w:fldChar w:fldCharType="end"/>
          </w:r>
        </w:p>
        <w:p w14:paraId="5B1B2483">
          <w:pPr>
            <w:pStyle w:val="22"/>
            <w:tabs>
              <w:tab w:val="right" w:leader="dot" w:pos="9548"/>
            </w:tabs>
            <w:rPr>
              <w:rFonts w:hint="default" w:ascii="Times New Roman" w:hAnsi="Times New Roman" w:cs="Times New Roman"/>
              <w:i w:val="0"/>
              <w:iCs w:val="0"/>
            </w:rPr>
          </w:pP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HYPERLINK \l _Toc23329 </w:instrText>
          </w:r>
          <w:r>
            <w:rPr>
              <w:rFonts w:hint="default" w:ascii="Times New Roman" w:hAnsi="Times New Roman" w:eastAsia="宋体" w:cs="Times New Roman"/>
              <w:i w:val="0"/>
              <w:iCs w:val="0"/>
            </w:rPr>
            <w:fldChar w:fldCharType="separate"/>
          </w:r>
          <w:r>
            <w:rPr>
              <w:rFonts w:hint="default" w:ascii="Times New Roman" w:hAnsi="Times New Roman" w:cs="Times New Roman"/>
              <w:i w:val="0"/>
              <w:iCs w:val="0"/>
            </w:rPr>
            <w:t>1.2.2 合理用药系统</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_Toc23329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108</w:t>
          </w:r>
          <w:r>
            <w:rPr>
              <w:rFonts w:hint="default" w:ascii="Times New Roman" w:hAnsi="Times New Roman" w:cs="Times New Roman"/>
              <w:i w:val="0"/>
              <w:iCs w:val="0"/>
            </w:rPr>
            <w:fldChar w:fldCharType="end"/>
          </w:r>
          <w:r>
            <w:rPr>
              <w:rFonts w:hint="default" w:ascii="Times New Roman" w:hAnsi="Times New Roman" w:eastAsia="宋体" w:cs="Times New Roman"/>
              <w:i w:val="0"/>
              <w:iCs w:val="0"/>
            </w:rPr>
            <w:fldChar w:fldCharType="end"/>
          </w:r>
        </w:p>
        <w:p w14:paraId="487216BF">
          <w:pPr>
            <w:pStyle w:val="22"/>
            <w:tabs>
              <w:tab w:val="right" w:leader="dot" w:pos="9548"/>
            </w:tabs>
            <w:rPr>
              <w:rFonts w:hint="default" w:ascii="Times New Roman" w:hAnsi="Times New Roman" w:cs="Times New Roman"/>
              <w:i w:val="0"/>
              <w:iCs w:val="0"/>
            </w:rPr>
          </w:pP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HYPERLINK \l _Toc15975 </w:instrText>
          </w:r>
          <w:r>
            <w:rPr>
              <w:rFonts w:hint="default" w:ascii="Times New Roman" w:hAnsi="Times New Roman" w:eastAsia="宋体" w:cs="Times New Roman"/>
              <w:i w:val="0"/>
              <w:iCs w:val="0"/>
            </w:rPr>
            <w:fldChar w:fldCharType="separate"/>
          </w:r>
          <w:r>
            <w:rPr>
              <w:rFonts w:hint="default" w:ascii="Times New Roman" w:hAnsi="Times New Roman" w:cs="Times New Roman"/>
              <w:bCs/>
              <w:i w:val="0"/>
              <w:iCs w:val="0"/>
              <w:kern w:val="0"/>
              <w:szCs w:val="21"/>
            </w:rPr>
            <w:t xml:space="preserve">1.2.3 </w:t>
          </w:r>
          <w:r>
            <w:rPr>
              <w:rFonts w:hint="default" w:ascii="Times New Roman" w:hAnsi="Times New Roman" w:cs="Times New Roman"/>
              <w:i w:val="0"/>
              <w:iCs w:val="0"/>
            </w:rPr>
            <w:t>全院影像一体化系统</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_Toc15975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131</w:t>
          </w:r>
          <w:r>
            <w:rPr>
              <w:rFonts w:hint="default" w:ascii="Times New Roman" w:hAnsi="Times New Roman" w:cs="Times New Roman"/>
              <w:i w:val="0"/>
              <w:iCs w:val="0"/>
            </w:rPr>
            <w:fldChar w:fldCharType="end"/>
          </w:r>
          <w:r>
            <w:rPr>
              <w:rFonts w:hint="default" w:ascii="Times New Roman" w:hAnsi="Times New Roman" w:eastAsia="宋体" w:cs="Times New Roman"/>
              <w:i w:val="0"/>
              <w:iCs w:val="0"/>
            </w:rPr>
            <w:fldChar w:fldCharType="end"/>
          </w:r>
        </w:p>
        <w:p w14:paraId="3AE67EC0">
          <w:pPr>
            <w:pStyle w:val="22"/>
            <w:tabs>
              <w:tab w:val="right" w:leader="dot" w:pos="9548"/>
            </w:tabs>
            <w:rPr>
              <w:rFonts w:hint="default" w:ascii="Times New Roman" w:hAnsi="Times New Roman" w:cs="Times New Roman"/>
              <w:i w:val="0"/>
              <w:iCs w:val="0"/>
            </w:rPr>
          </w:pP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HYPERLINK \l _Toc7845 </w:instrText>
          </w:r>
          <w:r>
            <w:rPr>
              <w:rFonts w:hint="default" w:ascii="Times New Roman" w:hAnsi="Times New Roman" w:eastAsia="宋体" w:cs="Times New Roman"/>
              <w:i w:val="0"/>
              <w:iCs w:val="0"/>
            </w:rPr>
            <w:fldChar w:fldCharType="separate"/>
          </w:r>
          <w:r>
            <w:rPr>
              <w:rFonts w:hint="default" w:ascii="Times New Roman" w:hAnsi="Times New Roman" w:cs="Times New Roman"/>
              <w:i w:val="0"/>
              <w:iCs w:val="0"/>
              <w:lang w:val="en-US" w:eastAsia="zh-CN"/>
            </w:rPr>
            <w:t>1.2.4 认知康复训练与评估软件（脑健康与认知障碍测评系统)</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_Toc7845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144</w:t>
          </w:r>
          <w:r>
            <w:rPr>
              <w:rFonts w:hint="default" w:ascii="Times New Roman" w:hAnsi="Times New Roman" w:cs="Times New Roman"/>
              <w:i w:val="0"/>
              <w:iCs w:val="0"/>
            </w:rPr>
            <w:fldChar w:fldCharType="end"/>
          </w:r>
          <w:r>
            <w:rPr>
              <w:rFonts w:hint="default" w:ascii="Times New Roman" w:hAnsi="Times New Roman" w:eastAsia="宋体" w:cs="Times New Roman"/>
              <w:i w:val="0"/>
              <w:iCs w:val="0"/>
            </w:rPr>
            <w:fldChar w:fldCharType="end"/>
          </w:r>
        </w:p>
        <w:p w14:paraId="342EF6ED">
          <w:pPr>
            <w:pStyle w:val="22"/>
            <w:tabs>
              <w:tab w:val="right" w:leader="dot" w:pos="9548"/>
            </w:tabs>
            <w:rPr>
              <w:rFonts w:hint="default" w:ascii="Times New Roman" w:hAnsi="Times New Roman" w:cs="Times New Roman"/>
              <w:i w:val="0"/>
              <w:iCs w:val="0"/>
            </w:rPr>
          </w:pP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HYPERLINK \l _Toc24872 </w:instrText>
          </w:r>
          <w:r>
            <w:rPr>
              <w:rFonts w:hint="default" w:ascii="Times New Roman" w:hAnsi="Times New Roman" w:eastAsia="宋体" w:cs="Times New Roman"/>
              <w:i w:val="0"/>
              <w:iCs w:val="0"/>
            </w:rPr>
            <w:fldChar w:fldCharType="separate"/>
          </w:r>
          <w:r>
            <w:rPr>
              <w:rFonts w:hint="default" w:ascii="Times New Roman" w:hAnsi="Times New Roman" w:cs="Times New Roman"/>
              <w:i w:val="0"/>
              <w:iCs w:val="0"/>
            </w:rPr>
            <w:t>1.2.5 医院银医直联系统</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_Toc24872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147</w:t>
          </w:r>
          <w:r>
            <w:rPr>
              <w:rFonts w:hint="default" w:ascii="Times New Roman" w:hAnsi="Times New Roman" w:cs="Times New Roman"/>
              <w:i w:val="0"/>
              <w:iCs w:val="0"/>
            </w:rPr>
            <w:fldChar w:fldCharType="end"/>
          </w:r>
          <w:r>
            <w:rPr>
              <w:rFonts w:hint="default" w:ascii="Times New Roman" w:hAnsi="Times New Roman" w:eastAsia="宋体" w:cs="Times New Roman"/>
              <w:i w:val="0"/>
              <w:iCs w:val="0"/>
            </w:rPr>
            <w:fldChar w:fldCharType="end"/>
          </w:r>
        </w:p>
        <w:p w14:paraId="5CA4AA87">
          <w:pPr>
            <w:pStyle w:val="22"/>
            <w:tabs>
              <w:tab w:val="right" w:leader="dot" w:pos="9548"/>
            </w:tabs>
            <w:rPr>
              <w:rFonts w:hint="default" w:ascii="Times New Roman" w:hAnsi="Times New Roman" w:cs="Times New Roman"/>
              <w:i w:val="0"/>
              <w:iCs w:val="0"/>
            </w:rPr>
          </w:pP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HYPERLINK \l _Toc11165 </w:instrText>
          </w:r>
          <w:r>
            <w:rPr>
              <w:rFonts w:hint="default" w:ascii="Times New Roman" w:hAnsi="Times New Roman" w:eastAsia="宋体" w:cs="Times New Roman"/>
              <w:i w:val="0"/>
              <w:iCs w:val="0"/>
            </w:rPr>
            <w:fldChar w:fldCharType="separate"/>
          </w:r>
          <w:r>
            <w:rPr>
              <w:rFonts w:hint="default" w:ascii="Times New Roman" w:hAnsi="Times New Roman" w:cs="Times New Roman"/>
              <w:i w:val="0"/>
              <w:iCs w:val="0"/>
            </w:rPr>
            <w:t xml:space="preserve">1.2.6 </w:t>
          </w:r>
          <w:r>
            <w:rPr>
              <w:rFonts w:hint="default" w:ascii="Times New Roman" w:hAnsi="Times New Roman" w:cs="Times New Roman"/>
              <w:i w:val="0"/>
              <w:iCs w:val="0"/>
              <w:lang w:val="en-US" w:eastAsia="zh-CN"/>
            </w:rPr>
            <w:t>预问诊与诊前管理</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_Toc11165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150</w:t>
          </w:r>
          <w:r>
            <w:rPr>
              <w:rFonts w:hint="default" w:ascii="Times New Roman" w:hAnsi="Times New Roman" w:cs="Times New Roman"/>
              <w:i w:val="0"/>
              <w:iCs w:val="0"/>
            </w:rPr>
            <w:fldChar w:fldCharType="end"/>
          </w:r>
          <w:r>
            <w:rPr>
              <w:rFonts w:hint="default" w:ascii="Times New Roman" w:hAnsi="Times New Roman" w:eastAsia="宋体" w:cs="Times New Roman"/>
              <w:i w:val="0"/>
              <w:iCs w:val="0"/>
            </w:rPr>
            <w:fldChar w:fldCharType="end"/>
          </w:r>
        </w:p>
        <w:p w14:paraId="5EC5DE33">
          <w:pPr>
            <w:pStyle w:val="22"/>
            <w:tabs>
              <w:tab w:val="right" w:leader="dot" w:pos="9548"/>
            </w:tabs>
            <w:rPr>
              <w:rFonts w:hint="default" w:ascii="Times New Roman" w:hAnsi="Times New Roman" w:cs="Times New Roman"/>
              <w:i w:val="0"/>
              <w:iCs w:val="0"/>
            </w:rPr>
          </w:pP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HYPERLINK \l _Toc9010 </w:instrText>
          </w:r>
          <w:r>
            <w:rPr>
              <w:rFonts w:hint="default" w:ascii="Times New Roman" w:hAnsi="Times New Roman" w:eastAsia="宋体" w:cs="Times New Roman"/>
              <w:i w:val="0"/>
              <w:iCs w:val="0"/>
            </w:rPr>
            <w:fldChar w:fldCharType="separate"/>
          </w:r>
          <w:r>
            <w:rPr>
              <w:rFonts w:hint="default" w:ascii="Times New Roman" w:hAnsi="Times New Roman" w:cs="Times New Roman"/>
              <w:i w:val="0"/>
              <w:iCs w:val="0"/>
            </w:rPr>
            <w:t>1.2.7 医技与治疗预约系统</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_Toc9010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153</w:t>
          </w:r>
          <w:r>
            <w:rPr>
              <w:rFonts w:hint="default" w:ascii="Times New Roman" w:hAnsi="Times New Roman" w:cs="Times New Roman"/>
              <w:i w:val="0"/>
              <w:iCs w:val="0"/>
            </w:rPr>
            <w:fldChar w:fldCharType="end"/>
          </w:r>
          <w:r>
            <w:rPr>
              <w:rFonts w:hint="default" w:ascii="Times New Roman" w:hAnsi="Times New Roman" w:eastAsia="宋体" w:cs="Times New Roman"/>
              <w:i w:val="0"/>
              <w:iCs w:val="0"/>
            </w:rPr>
            <w:fldChar w:fldCharType="end"/>
          </w:r>
        </w:p>
        <w:p w14:paraId="0E0A0A6F">
          <w:pPr>
            <w:pStyle w:val="30"/>
            <w:tabs>
              <w:tab w:val="right" w:leader="dot" w:pos="9548"/>
            </w:tabs>
            <w:rPr>
              <w:rFonts w:hint="default" w:ascii="Times New Roman" w:hAnsi="Times New Roman" w:cs="Times New Roman"/>
              <w:i w:val="0"/>
              <w:iCs w:val="0"/>
            </w:rPr>
          </w:pP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HYPERLINK \l _Toc20678 </w:instrText>
          </w:r>
          <w:r>
            <w:rPr>
              <w:rFonts w:hint="default" w:ascii="Times New Roman" w:hAnsi="Times New Roman" w:eastAsia="宋体" w:cs="Times New Roman"/>
              <w:i w:val="0"/>
              <w:iCs w:val="0"/>
            </w:rPr>
            <w:fldChar w:fldCharType="separate"/>
          </w:r>
          <w:r>
            <w:rPr>
              <w:rFonts w:hint="default" w:ascii="Times New Roman" w:hAnsi="Times New Roman" w:cs="Times New Roman"/>
              <w:bCs/>
              <w:i w:val="0"/>
              <w:iCs w:val="0"/>
              <w:szCs w:val="30"/>
            </w:rPr>
            <w:t xml:space="preserve">2 </w:t>
          </w:r>
          <w:r>
            <w:rPr>
              <w:rFonts w:hint="default" w:ascii="Times New Roman" w:hAnsi="Times New Roman" w:cs="Times New Roman"/>
              <w:i w:val="0"/>
              <w:iCs w:val="0"/>
              <w:lang w:val="en-US" w:eastAsia="zh-CN"/>
            </w:rPr>
            <w:t>中山七院二期系统升级</w:t>
          </w:r>
          <w:r>
            <w:rPr>
              <w:rFonts w:hint="default" w:ascii="Times New Roman" w:hAnsi="Times New Roman" w:cs="Times New Roman"/>
              <w:i w:val="0"/>
              <w:iCs w:val="0"/>
            </w:rPr>
            <w:t>需求</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_Toc20678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159</w:t>
          </w:r>
          <w:r>
            <w:rPr>
              <w:rFonts w:hint="default" w:ascii="Times New Roman" w:hAnsi="Times New Roman" w:cs="Times New Roman"/>
              <w:i w:val="0"/>
              <w:iCs w:val="0"/>
            </w:rPr>
            <w:fldChar w:fldCharType="end"/>
          </w:r>
          <w:r>
            <w:rPr>
              <w:rFonts w:hint="default" w:ascii="Times New Roman" w:hAnsi="Times New Roman" w:eastAsia="宋体" w:cs="Times New Roman"/>
              <w:i w:val="0"/>
              <w:iCs w:val="0"/>
            </w:rPr>
            <w:fldChar w:fldCharType="end"/>
          </w:r>
        </w:p>
        <w:p w14:paraId="306A9483">
          <w:pPr>
            <w:pStyle w:val="36"/>
            <w:tabs>
              <w:tab w:val="right" w:leader="dot" w:pos="9548"/>
              <w:tab w:val="clear" w:pos="8296"/>
            </w:tabs>
            <w:rPr>
              <w:rFonts w:hint="default" w:ascii="Times New Roman" w:hAnsi="Times New Roman" w:cs="Times New Roman"/>
              <w:i w:val="0"/>
              <w:iCs w:val="0"/>
            </w:rPr>
          </w:pP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HYPERLINK \l _Toc32643 </w:instrText>
          </w:r>
          <w:r>
            <w:rPr>
              <w:rFonts w:hint="default" w:ascii="Times New Roman" w:hAnsi="Times New Roman" w:eastAsia="宋体" w:cs="Times New Roman"/>
              <w:i w:val="0"/>
              <w:iCs w:val="0"/>
            </w:rPr>
            <w:fldChar w:fldCharType="separate"/>
          </w:r>
          <w:r>
            <w:rPr>
              <w:rFonts w:hint="default" w:ascii="Times New Roman" w:hAnsi="Times New Roman" w:cs="Times New Roman"/>
              <w:i w:val="0"/>
              <w:iCs w:val="0"/>
            </w:rPr>
            <w:t xml:space="preserve">2.1 </w:t>
          </w:r>
          <w:r>
            <w:rPr>
              <w:rFonts w:hint="default" w:ascii="Times New Roman" w:hAnsi="Times New Roman" w:cs="Times New Roman"/>
              <w:i w:val="0"/>
              <w:iCs w:val="0"/>
              <w:lang w:val="en-US" w:eastAsia="zh-CN"/>
            </w:rPr>
            <w:t>集成平台</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_Toc32643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159</w:t>
          </w:r>
          <w:r>
            <w:rPr>
              <w:rFonts w:hint="default" w:ascii="Times New Roman" w:hAnsi="Times New Roman" w:cs="Times New Roman"/>
              <w:i w:val="0"/>
              <w:iCs w:val="0"/>
            </w:rPr>
            <w:fldChar w:fldCharType="end"/>
          </w:r>
          <w:r>
            <w:rPr>
              <w:rFonts w:hint="default" w:ascii="Times New Roman" w:hAnsi="Times New Roman" w:eastAsia="宋体" w:cs="Times New Roman"/>
              <w:i w:val="0"/>
              <w:iCs w:val="0"/>
            </w:rPr>
            <w:fldChar w:fldCharType="end"/>
          </w:r>
        </w:p>
        <w:p w14:paraId="5B6259DD">
          <w:pPr>
            <w:pStyle w:val="36"/>
            <w:tabs>
              <w:tab w:val="right" w:leader="dot" w:pos="9548"/>
              <w:tab w:val="clear" w:pos="8296"/>
            </w:tabs>
            <w:rPr>
              <w:rFonts w:hint="default" w:ascii="Times New Roman" w:hAnsi="Times New Roman" w:cs="Times New Roman"/>
              <w:i w:val="0"/>
              <w:iCs w:val="0"/>
            </w:rPr>
          </w:pP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HYPERLINK \l _Toc12176 </w:instrText>
          </w:r>
          <w:r>
            <w:rPr>
              <w:rFonts w:hint="default" w:ascii="Times New Roman" w:hAnsi="Times New Roman" w:eastAsia="宋体" w:cs="Times New Roman"/>
              <w:i w:val="0"/>
              <w:iCs w:val="0"/>
            </w:rPr>
            <w:fldChar w:fldCharType="separate"/>
          </w:r>
          <w:r>
            <w:rPr>
              <w:rFonts w:hint="default" w:ascii="Times New Roman" w:hAnsi="Times New Roman" w:cs="Times New Roman"/>
              <w:i w:val="0"/>
              <w:iCs w:val="0"/>
            </w:rPr>
            <w:t xml:space="preserve">2.2 </w:t>
          </w:r>
          <w:r>
            <w:rPr>
              <w:rFonts w:hint="default" w:ascii="Times New Roman" w:hAnsi="Times New Roman" w:cs="Times New Roman"/>
              <w:i w:val="0"/>
              <w:iCs w:val="0"/>
              <w:lang w:val="en-US" w:eastAsia="zh-CN"/>
            </w:rPr>
            <w:t>病理送检</w:t>
          </w:r>
          <w:r>
            <w:rPr>
              <w:rFonts w:hint="default" w:ascii="Times New Roman" w:hAnsi="Times New Roman" w:cs="Times New Roman"/>
              <w:i w:val="0"/>
              <w:iCs w:val="0"/>
            </w:rPr>
            <w:t>系统</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_Toc12176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176</w:t>
          </w:r>
          <w:r>
            <w:rPr>
              <w:rFonts w:hint="default" w:ascii="Times New Roman" w:hAnsi="Times New Roman" w:cs="Times New Roman"/>
              <w:i w:val="0"/>
              <w:iCs w:val="0"/>
            </w:rPr>
            <w:fldChar w:fldCharType="end"/>
          </w:r>
          <w:r>
            <w:rPr>
              <w:rFonts w:hint="default" w:ascii="Times New Roman" w:hAnsi="Times New Roman" w:eastAsia="宋体" w:cs="Times New Roman"/>
              <w:i w:val="0"/>
              <w:iCs w:val="0"/>
            </w:rPr>
            <w:fldChar w:fldCharType="end"/>
          </w:r>
        </w:p>
        <w:p w14:paraId="52CB8B93">
          <w:pPr>
            <w:pStyle w:val="36"/>
            <w:tabs>
              <w:tab w:val="right" w:leader="dot" w:pos="9548"/>
              <w:tab w:val="clear" w:pos="8296"/>
            </w:tabs>
            <w:rPr>
              <w:rFonts w:hint="default" w:ascii="Times New Roman" w:hAnsi="Times New Roman" w:cs="Times New Roman"/>
              <w:i w:val="0"/>
              <w:iCs w:val="0"/>
            </w:rPr>
          </w:pP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HYPERLINK \l _Toc650 </w:instrText>
          </w:r>
          <w:r>
            <w:rPr>
              <w:rFonts w:hint="default" w:ascii="Times New Roman" w:hAnsi="Times New Roman" w:eastAsia="宋体" w:cs="Times New Roman"/>
              <w:i w:val="0"/>
              <w:iCs w:val="0"/>
            </w:rPr>
            <w:fldChar w:fldCharType="separate"/>
          </w:r>
          <w:r>
            <w:rPr>
              <w:rFonts w:hint="default" w:ascii="Times New Roman" w:hAnsi="Times New Roman" w:cs="Times New Roman"/>
              <w:i w:val="0"/>
              <w:iCs w:val="0"/>
              <w:lang w:val="en-US" w:eastAsia="zh-CN"/>
            </w:rPr>
            <w:t>2.3 随访管理系统</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_Toc650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180</w:t>
          </w:r>
          <w:r>
            <w:rPr>
              <w:rFonts w:hint="default" w:ascii="Times New Roman" w:hAnsi="Times New Roman" w:cs="Times New Roman"/>
              <w:i w:val="0"/>
              <w:iCs w:val="0"/>
            </w:rPr>
            <w:fldChar w:fldCharType="end"/>
          </w:r>
          <w:r>
            <w:rPr>
              <w:rFonts w:hint="default" w:ascii="Times New Roman" w:hAnsi="Times New Roman" w:eastAsia="宋体" w:cs="Times New Roman"/>
              <w:i w:val="0"/>
              <w:iCs w:val="0"/>
            </w:rPr>
            <w:fldChar w:fldCharType="end"/>
          </w:r>
        </w:p>
        <w:p w14:paraId="3AD7669F">
          <w:pPr>
            <w:pStyle w:val="36"/>
            <w:tabs>
              <w:tab w:val="right" w:leader="dot" w:pos="9548"/>
              <w:tab w:val="clear" w:pos="8296"/>
            </w:tabs>
            <w:rPr>
              <w:rFonts w:hint="default" w:ascii="Times New Roman" w:hAnsi="Times New Roman" w:cs="Times New Roman"/>
              <w:i w:val="0"/>
              <w:iCs w:val="0"/>
            </w:rPr>
          </w:pP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HYPERLINK \l _Toc22636 </w:instrText>
          </w:r>
          <w:r>
            <w:rPr>
              <w:rFonts w:hint="default" w:ascii="Times New Roman" w:hAnsi="Times New Roman" w:eastAsia="宋体" w:cs="Times New Roman"/>
              <w:i w:val="0"/>
              <w:iCs w:val="0"/>
            </w:rPr>
            <w:fldChar w:fldCharType="separate"/>
          </w:r>
          <w:r>
            <w:rPr>
              <w:rFonts w:hint="default" w:ascii="Times New Roman" w:hAnsi="Times New Roman" w:cs="Times New Roman"/>
              <w:i w:val="0"/>
              <w:iCs w:val="0"/>
            </w:rPr>
            <w:t xml:space="preserve">2.4 </w:t>
          </w:r>
          <w:r>
            <w:rPr>
              <w:rFonts w:hint="default" w:ascii="Times New Roman" w:hAnsi="Times New Roman" w:cs="Times New Roman"/>
              <w:i w:val="0"/>
              <w:iCs w:val="0"/>
              <w:lang w:val="en-US" w:eastAsia="zh-CN"/>
            </w:rPr>
            <w:t>检中与智能导检模块系统</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_Toc22636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191</w:t>
          </w:r>
          <w:r>
            <w:rPr>
              <w:rFonts w:hint="default" w:ascii="Times New Roman" w:hAnsi="Times New Roman" w:cs="Times New Roman"/>
              <w:i w:val="0"/>
              <w:iCs w:val="0"/>
            </w:rPr>
            <w:fldChar w:fldCharType="end"/>
          </w:r>
          <w:r>
            <w:rPr>
              <w:rFonts w:hint="default" w:ascii="Times New Roman" w:hAnsi="Times New Roman" w:eastAsia="宋体" w:cs="Times New Roman"/>
              <w:i w:val="0"/>
              <w:iCs w:val="0"/>
            </w:rPr>
            <w:fldChar w:fldCharType="end"/>
          </w:r>
        </w:p>
        <w:p w14:paraId="47639B89">
          <w:pPr>
            <w:pStyle w:val="36"/>
            <w:tabs>
              <w:tab w:val="right" w:leader="dot" w:pos="9548"/>
              <w:tab w:val="clear" w:pos="8296"/>
            </w:tabs>
            <w:rPr>
              <w:rFonts w:hint="default" w:ascii="Times New Roman" w:hAnsi="Times New Roman" w:cs="Times New Roman"/>
              <w:i w:val="0"/>
              <w:iCs w:val="0"/>
            </w:rPr>
          </w:pP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HYPERLINK \l _Toc16841 </w:instrText>
          </w:r>
          <w:r>
            <w:rPr>
              <w:rFonts w:hint="default" w:ascii="Times New Roman" w:hAnsi="Times New Roman" w:eastAsia="宋体" w:cs="Times New Roman"/>
              <w:i w:val="0"/>
              <w:iCs w:val="0"/>
            </w:rPr>
            <w:fldChar w:fldCharType="separate"/>
          </w:r>
          <w:r>
            <w:rPr>
              <w:rFonts w:hint="default" w:ascii="Times New Roman" w:hAnsi="Times New Roman" w:cs="Times New Roman"/>
              <w:i w:val="0"/>
              <w:iCs w:val="0"/>
              <w:lang w:val="en-US" w:eastAsia="zh-CN"/>
            </w:rPr>
            <w:t>2.5 临床辅助决策系统（CDSS）</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_Toc16841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193</w:t>
          </w:r>
          <w:r>
            <w:rPr>
              <w:rFonts w:hint="default" w:ascii="Times New Roman" w:hAnsi="Times New Roman" w:cs="Times New Roman"/>
              <w:i w:val="0"/>
              <w:iCs w:val="0"/>
            </w:rPr>
            <w:fldChar w:fldCharType="end"/>
          </w:r>
          <w:r>
            <w:rPr>
              <w:rFonts w:hint="default" w:ascii="Times New Roman" w:hAnsi="Times New Roman" w:eastAsia="宋体" w:cs="Times New Roman"/>
              <w:i w:val="0"/>
              <w:iCs w:val="0"/>
            </w:rPr>
            <w:fldChar w:fldCharType="end"/>
          </w:r>
        </w:p>
        <w:p w14:paraId="4626E784">
          <w:pPr>
            <w:pStyle w:val="36"/>
            <w:tabs>
              <w:tab w:val="right" w:leader="dot" w:pos="9548"/>
              <w:tab w:val="clear" w:pos="8296"/>
            </w:tabs>
            <w:rPr>
              <w:rFonts w:hint="default" w:ascii="Times New Roman" w:hAnsi="Times New Roman" w:cs="Times New Roman"/>
              <w:i w:val="0"/>
              <w:iCs w:val="0"/>
            </w:rPr>
          </w:pP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HYPERLINK \l _Toc32344 </w:instrText>
          </w:r>
          <w:r>
            <w:rPr>
              <w:rFonts w:hint="default" w:ascii="Times New Roman" w:hAnsi="Times New Roman" w:eastAsia="宋体" w:cs="Times New Roman"/>
              <w:i w:val="0"/>
              <w:iCs w:val="0"/>
            </w:rPr>
            <w:fldChar w:fldCharType="separate"/>
          </w:r>
          <w:r>
            <w:rPr>
              <w:rFonts w:hint="default" w:ascii="Times New Roman" w:hAnsi="Times New Roman" w:cs="Times New Roman"/>
              <w:i w:val="0"/>
              <w:iCs w:val="0"/>
            </w:rPr>
            <w:t xml:space="preserve">2.6 </w:t>
          </w:r>
          <w:r>
            <w:rPr>
              <w:rFonts w:hint="default" w:ascii="Times New Roman" w:hAnsi="Times New Roman" w:cs="Times New Roman"/>
              <w:i w:val="0"/>
              <w:iCs w:val="0"/>
              <w:lang w:val="en-US" w:eastAsia="zh-CN"/>
            </w:rPr>
            <w:t>一卡通系统</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_Toc32344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194</w:t>
          </w:r>
          <w:r>
            <w:rPr>
              <w:rFonts w:hint="default" w:ascii="Times New Roman" w:hAnsi="Times New Roman" w:cs="Times New Roman"/>
              <w:i w:val="0"/>
              <w:iCs w:val="0"/>
            </w:rPr>
            <w:fldChar w:fldCharType="end"/>
          </w:r>
          <w:r>
            <w:rPr>
              <w:rFonts w:hint="default" w:ascii="Times New Roman" w:hAnsi="Times New Roman" w:eastAsia="宋体" w:cs="Times New Roman"/>
              <w:i w:val="0"/>
              <w:iCs w:val="0"/>
            </w:rPr>
            <w:fldChar w:fldCharType="end"/>
          </w:r>
        </w:p>
        <w:p w14:paraId="2731D1A6">
          <w:pPr>
            <w:pStyle w:val="36"/>
            <w:tabs>
              <w:tab w:val="right" w:leader="dot" w:pos="9548"/>
              <w:tab w:val="clear" w:pos="8296"/>
            </w:tabs>
            <w:rPr>
              <w:rFonts w:hint="default" w:ascii="Times New Roman" w:hAnsi="Times New Roman" w:cs="Times New Roman"/>
              <w:i w:val="0"/>
              <w:iCs w:val="0"/>
            </w:rPr>
          </w:pP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HYPERLINK \l _Toc29091 </w:instrText>
          </w:r>
          <w:r>
            <w:rPr>
              <w:rFonts w:hint="default" w:ascii="Times New Roman" w:hAnsi="Times New Roman" w:eastAsia="宋体" w:cs="Times New Roman"/>
              <w:i w:val="0"/>
              <w:iCs w:val="0"/>
            </w:rPr>
            <w:fldChar w:fldCharType="separate"/>
          </w:r>
          <w:r>
            <w:rPr>
              <w:rFonts w:hint="default" w:ascii="Times New Roman" w:hAnsi="Times New Roman" w:cs="Times New Roman"/>
              <w:i w:val="0"/>
              <w:iCs w:val="0"/>
            </w:rPr>
            <w:t xml:space="preserve">2.7 </w:t>
          </w:r>
          <w:r>
            <w:rPr>
              <w:rFonts w:hint="default" w:ascii="Times New Roman" w:hAnsi="Times New Roman" w:cs="Times New Roman"/>
              <w:i w:val="0"/>
              <w:iCs w:val="0"/>
              <w:lang w:val="en-US" w:eastAsia="zh-CN"/>
            </w:rPr>
            <w:t>智慧超声</w:t>
          </w:r>
          <w:r>
            <w:rPr>
              <w:rFonts w:hint="default" w:ascii="Times New Roman" w:hAnsi="Times New Roman" w:cs="Times New Roman"/>
              <w:i w:val="0"/>
              <w:iCs w:val="0"/>
            </w:rPr>
            <w:t>系统</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_Toc29091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196</w:t>
          </w:r>
          <w:r>
            <w:rPr>
              <w:rFonts w:hint="default" w:ascii="Times New Roman" w:hAnsi="Times New Roman" w:cs="Times New Roman"/>
              <w:i w:val="0"/>
              <w:iCs w:val="0"/>
            </w:rPr>
            <w:fldChar w:fldCharType="end"/>
          </w:r>
          <w:r>
            <w:rPr>
              <w:rFonts w:hint="default" w:ascii="Times New Roman" w:hAnsi="Times New Roman" w:eastAsia="宋体" w:cs="Times New Roman"/>
              <w:i w:val="0"/>
              <w:iCs w:val="0"/>
            </w:rPr>
            <w:fldChar w:fldCharType="end"/>
          </w:r>
        </w:p>
        <w:p w14:paraId="4A0A4A5D">
          <w:pPr>
            <w:pStyle w:val="36"/>
            <w:tabs>
              <w:tab w:val="right" w:leader="dot" w:pos="9548"/>
              <w:tab w:val="clear" w:pos="8296"/>
            </w:tabs>
            <w:rPr>
              <w:rFonts w:hint="default" w:ascii="Times New Roman" w:hAnsi="Times New Roman" w:cs="Times New Roman"/>
              <w:i w:val="0"/>
              <w:iCs w:val="0"/>
            </w:rPr>
          </w:pP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HYPERLINK \l _Toc4720 </w:instrText>
          </w:r>
          <w:r>
            <w:rPr>
              <w:rFonts w:hint="default" w:ascii="Times New Roman" w:hAnsi="Times New Roman" w:eastAsia="宋体" w:cs="Times New Roman"/>
              <w:i w:val="0"/>
              <w:iCs w:val="0"/>
            </w:rPr>
            <w:fldChar w:fldCharType="separate"/>
          </w:r>
          <w:r>
            <w:rPr>
              <w:rFonts w:hint="default" w:ascii="Times New Roman" w:hAnsi="Times New Roman" w:cs="Times New Roman"/>
              <w:bCs/>
              <w:i w:val="0"/>
              <w:iCs w:val="0"/>
              <w:kern w:val="0"/>
              <w:szCs w:val="21"/>
            </w:rPr>
            <w:t xml:space="preserve">2.8 </w:t>
          </w:r>
          <w:r>
            <w:rPr>
              <w:rFonts w:hint="default" w:ascii="Times New Roman" w:hAnsi="Times New Roman" w:cs="Times New Roman"/>
              <w:i w:val="0"/>
              <w:iCs w:val="0"/>
            </w:rPr>
            <w:t>心电血压信息系统</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_Toc4720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215</w:t>
          </w:r>
          <w:r>
            <w:rPr>
              <w:rFonts w:hint="default" w:ascii="Times New Roman" w:hAnsi="Times New Roman" w:cs="Times New Roman"/>
              <w:i w:val="0"/>
              <w:iCs w:val="0"/>
            </w:rPr>
            <w:fldChar w:fldCharType="end"/>
          </w:r>
          <w:r>
            <w:rPr>
              <w:rFonts w:hint="default" w:ascii="Times New Roman" w:hAnsi="Times New Roman" w:eastAsia="宋体" w:cs="Times New Roman"/>
              <w:i w:val="0"/>
              <w:iCs w:val="0"/>
            </w:rPr>
            <w:fldChar w:fldCharType="end"/>
          </w:r>
        </w:p>
        <w:p w14:paraId="5A6D7817">
          <w:pPr>
            <w:pStyle w:val="36"/>
            <w:tabs>
              <w:tab w:val="right" w:leader="dot" w:pos="9548"/>
              <w:tab w:val="clear" w:pos="8296"/>
            </w:tabs>
            <w:rPr>
              <w:rFonts w:hint="default" w:ascii="Times New Roman" w:hAnsi="Times New Roman" w:cs="Times New Roman"/>
              <w:i w:val="0"/>
              <w:iCs w:val="0"/>
            </w:rPr>
          </w:pP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HYPERLINK \l _Toc30498 </w:instrText>
          </w:r>
          <w:r>
            <w:rPr>
              <w:rFonts w:hint="default" w:ascii="Times New Roman" w:hAnsi="Times New Roman" w:eastAsia="宋体" w:cs="Times New Roman"/>
              <w:i w:val="0"/>
              <w:iCs w:val="0"/>
            </w:rPr>
            <w:fldChar w:fldCharType="separate"/>
          </w:r>
          <w:r>
            <w:rPr>
              <w:rFonts w:hint="default" w:ascii="Times New Roman" w:hAnsi="Times New Roman" w:cs="Times New Roman"/>
              <w:bCs/>
              <w:i w:val="0"/>
              <w:iCs w:val="0"/>
              <w:kern w:val="0"/>
              <w:szCs w:val="28"/>
            </w:rPr>
            <w:t xml:space="preserve">2.9 </w:t>
          </w:r>
          <w:r>
            <w:rPr>
              <w:rFonts w:hint="default" w:ascii="Times New Roman" w:hAnsi="Times New Roman" w:cs="Times New Roman"/>
              <w:i w:val="0"/>
              <w:iCs w:val="0"/>
              <w:lang w:val="en-US" w:eastAsia="zh-CN"/>
            </w:rPr>
            <w:t>手术室行为管理系统</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_Toc30498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216</w:t>
          </w:r>
          <w:r>
            <w:rPr>
              <w:rFonts w:hint="default" w:ascii="Times New Roman" w:hAnsi="Times New Roman" w:cs="Times New Roman"/>
              <w:i w:val="0"/>
              <w:iCs w:val="0"/>
            </w:rPr>
            <w:fldChar w:fldCharType="end"/>
          </w:r>
          <w:r>
            <w:rPr>
              <w:rFonts w:hint="default" w:ascii="Times New Roman" w:hAnsi="Times New Roman" w:eastAsia="宋体" w:cs="Times New Roman"/>
              <w:i w:val="0"/>
              <w:iCs w:val="0"/>
            </w:rPr>
            <w:fldChar w:fldCharType="end"/>
          </w:r>
        </w:p>
        <w:p w14:paraId="2DBD0E01">
          <w:pPr>
            <w:pStyle w:val="36"/>
            <w:tabs>
              <w:tab w:val="right" w:leader="dot" w:pos="9548"/>
              <w:tab w:val="clear" w:pos="8296"/>
            </w:tabs>
            <w:rPr>
              <w:rFonts w:hint="default" w:ascii="Times New Roman" w:hAnsi="Times New Roman" w:cs="Times New Roman"/>
              <w:i w:val="0"/>
              <w:iCs w:val="0"/>
            </w:rPr>
          </w:pP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HYPERLINK \l _Toc14152 </w:instrText>
          </w:r>
          <w:r>
            <w:rPr>
              <w:rFonts w:hint="default" w:ascii="Times New Roman" w:hAnsi="Times New Roman" w:eastAsia="宋体" w:cs="Times New Roman"/>
              <w:i w:val="0"/>
              <w:iCs w:val="0"/>
            </w:rPr>
            <w:fldChar w:fldCharType="separate"/>
          </w:r>
          <w:r>
            <w:rPr>
              <w:rFonts w:hint="default" w:ascii="Times New Roman" w:hAnsi="Times New Roman" w:cs="Times New Roman"/>
              <w:i w:val="0"/>
              <w:iCs w:val="0"/>
              <w:lang w:val="en-US" w:eastAsia="zh-CN"/>
            </w:rPr>
            <w:t>2.10 CA系统</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_Toc14152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221</w:t>
          </w:r>
          <w:r>
            <w:rPr>
              <w:rFonts w:hint="default" w:ascii="Times New Roman" w:hAnsi="Times New Roman" w:cs="Times New Roman"/>
              <w:i w:val="0"/>
              <w:iCs w:val="0"/>
            </w:rPr>
            <w:fldChar w:fldCharType="end"/>
          </w:r>
          <w:r>
            <w:rPr>
              <w:rFonts w:hint="default" w:ascii="Times New Roman" w:hAnsi="Times New Roman" w:eastAsia="宋体" w:cs="Times New Roman"/>
              <w:i w:val="0"/>
              <w:iCs w:val="0"/>
            </w:rPr>
            <w:fldChar w:fldCharType="end"/>
          </w:r>
        </w:p>
        <w:p w14:paraId="5FE51943">
          <w:pPr>
            <w:pStyle w:val="36"/>
            <w:tabs>
              <w:tab w:val="right" w:leader="dot" w:pos="9548"/>
              <w:tab w:val="clear" w:pos="8296"/>
            </w:tabs>
            <w:rPr>
              <w:rFonts w:hint="default" w:ascii="Times New Roman" w:hAnsi="Times New Roman" w:cs="Times New Roman"/>
              <w:i w:val="0"/>
              <w:iCs w:val="0"/>
            </w:rPr>
          </w:pP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HYPERLINK \l _Toc29267 </w:instrText>
          </w:r>
          <w:r>
            <w:rPr>
              <w:rFonts w:hint="default" w:ascii="Times New Roman" w:hAnsi="Times New Roman" w:eastAsia="宋体" w:cs="Times New Roman"/>
              <w:i w:val="0"/>
              <w:iCs w:val="0"/>
            </w:rPr>
            <w:fldChar w:fldCharType="separate"/>
          </w:r>
          <w:r>
            <w:rPr>
              <w:rFonts w:hint="default" w:ascii="Times New Roman" w:hAnsi="Times New Roman" w:cs="Times New Roman"/>
              <w:i w:val="0"/>
              <w:iCs w:val="0"/>
            </w:rPr>
            <w:t>2.11 电子票据管理及预交金系统</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_Toc29267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223</w:t>
          </w:r>
          <w:r>
            <w:rPr>
              <w:rFonts w:hint="default" w:ascii="Times New Roman" w:hAnsi="Times New Roman" w:cs="Times New Roman"/>
              <w:i w:val="0"/>
              <w:iCs w:val="0"/>
            </w:rPr>
            <w:fldChar w:fldCharType="end"/>
          </w:r>
          <w:r>
            <w:rPr>
              <w:rFonts w:hint="default" w:ascii="Times New Roman" w:hAnsi="Times New Roman" w:eastAsia="宋体" w:cs="Times New Roman"/>
              <w:i w:val="0"/>
              <w:iCs w:val="0"/>
            </w:rPr>
            <w:fldChar w:fldCharType="end"/>
          </w:r>
        </w:p>
        <w:p w14:paraId="73140081">
          <w:pPr>
            <w:pStyle w:val="36"/>
            <w:tabs>
              <w:tab w:val="right" w:leader="dot" w:pos="9548"/>
              <w:tab w:val="clear" w:pos="8296"/>
            </w:tabs>
            <w:rPr>
              <w:rFonts w:hint="default" w:ascii="Times New Roman" w:hAnsi="Times New Roman" w:cs="Times New Roman"/>
              <w:i w:val="0"/>
              <w:iCs w:val="0"/>
            </w:rPr>
          </w:pP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HYPERLINK \l _Toc15406 </w:instrText>
          </w:r>
          <w:r>
            <w:rPr>
              <w:rFonts w:hint="default" w:ascii="Times New Roman" w:hAnsi="Times New Roman" w:eastAsia="宋体" w:cs="Times New Roman"/>
              <w:i w:val="0"/>
              <w:iCs w:val="0"/>
            </w:rPr>
            <w:fldChar w:fldCharType="separate"/>
          </w:r>
          <w:r>
            <w:rPr>
              <w:rFonts w:hint="default" w:ascii="Times New Roman" w:hAnsi="Times New Roman" w:cs="Times New Roman"/>
              <w:i w:val="0"/>
              <w:iCs w:val="0"/>
            </w:rPr>
            <w:t>2.12 医保控费系统</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_Toc15406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224</w:t>
          </w:r>
          <w:r>
            <w:rPr>
              <w:rFonts w:hint="default" w:ascii="Times New Roman" w:hAnsi="Times New Roman" w:cs="Times New Roman"/>
              <w:i w:val="0"/>
              <w:iCs w:val="0"/>
            </w:rPr>
            <w:fldChar w:fldCharType="end"/>
          </w:r>
          <w:r>
            <w:rPr>
              <w:rFonts w:hint="default" w:ascii="Times New Roman" w:hAnsi="Times New Roman" w:eastAsia="宋体" w:cs="Times New Roman"/>
              <w:i w:val="0"/>
              <w:iCs w:val="0"/>
            </w:rPr>
            <w:fldChar w:fldCharType="end"/>
          </w:r>
        </w:p>
        <w:p w14:paraId="16276F0D">
          <w:pPr>
            <w:pStyle w:val="30"/>
            <w:tabs>
              <w:tab w:val="right" w:leader="dot" w:pos="9548"/>
            </w:tabs>
            <w:rPr>
              <w:rFonts w:hint="default" w:ascii="Times New Roman" w:hAnsi="Times New Roman" w:cs="Times New Roman"/>
              <w:i w:val="0"/>
              <w:iCs w:val="0"/>
            </w:rPr>
          </w:pP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HYPERLINK \l _Toc25949 </w:instrText>
          </w:r>
          <w:r>
            <w:rPr>
              <w:rFonts w:hint="default" w:ascii="Times New Roman" w:hAnsi="Times New Roman" w:eastAsia="宋体" w:cs="Times New Roman"/>
              <w:i w:val="0"/>
              <w:iCs w:val="0"/>
            </w:rPr>
            <w:fldChar w:fldCharType="separate"/>
          </w:r>
          <w:r>
            <w:rPr>
              <w:rFonts w:hint="default" w:ascii="Times New Roman" w:hAnsi="Times New Roman" w:cs="Times New Roman"/>
              <w:i w:val="0"/>
              <w:iCs w:val="0"/>
              <w:lang w:val="en-US" w:eastAsia="zh-CN"/>
            </w:rPr>
            <w:t>3 其他技术</w:t>
          </w:r>
          <w:r>
            <w:rPr>
              <w:rFonts w:hint="default" w:ascii="Times New Roman" w:hAnsi="Times New Roman" w:cs="Times New Roman"/>
              <w:i w:val="0"/>
              <w:iCs w:val="0"/>
            </w:rPr>
            <w:t>需求</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_Toc25949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226</w:t>
          </w:r>
          <w:r>
            <w:rPr>
              <w:rFonts w:hint="default" w:ascii="Times New Roman" w:hAnsi="Times New Roman" w:cs="Times New Roman"/>
              <w:i w:val="0"/>
              <w:iCs w:val="0"/>
            </w:rPr>
            <w:fldChar w:fldCharType="end"/>
          </w:r>
          <w:r>
            <w:rPr>
              <w:rFonts w:hint="default" w:ascii="Times New Roman" w:hAnsi="Times New Roman" w:eastAsia="宋体" w:cs="Times New Roman"/>
              <w:i w:val="0"/>
              <w:iCs w:val="0"/>
            </w:rPr>
            <w:fldChar w:fldCharType="end"/>
          </w:r>
        </w:p>
        <w:p w14:paraId="0AC50D37">
          <w:pPr>
            <w:pStyle w:val="36"/>
            <w:tabs>
              <w:tab w:val="right" w:leader="dot" w:pos="9548"/>
              <w:tab w:val="clear" w:pos="8296"/>
            </w:tabs>
            <w:rPr>
              <w:rFonts w:hint="default" w:ascii="Times New Roman" w:hAnsi="Times New Roman" w:cs="Times New Roman"/>
              <w:i w:val="0"/>
              <w:iCs w:val="0"/>
            </w:rPr>
          </w:pP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HYPERLINK \l _Toc11899 </w:instrText>
          </w:r>
          <w:r>
            <w:rPr>
              <w:rFonts w:hint="default" w:ascii="Times New Roman" w:hAnsi="Times New Roman" w:eastAsia="宋体" w:cs="Times New Roman"/>
              <w:i w:val="0"/>
              <w:iCs w:val="0"/>
            </w:rPr>
            <w:fldChar w:fldCharType="separate"/>
          </w:r>
          <w:r>
            <w:rPr>
              <w:rFonts w:hint="default" w:ascii="Times New Roman" w:hAnsi="Times New Roman" w:cs="Times New Roman"/>
              <w:i w:val="0"/>
              <w:iCs w:val="0"/>
              <w:lang w:val="en-US" w:eastAsia="zh-CN"/>
            </w:rPr>
            <w:t>3.1 住院电子病历系统</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_Toc11899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226</w:t>
          </w:r>
          <w:r>
            <w:rPr>
              <w:rFonts w:hint="default" w:ascii="Times New Roman" w:hAnsi="Times New Roman" w:cs="Times New Roman"/>
              <w:i w:val="0"/>
              <w:iCs w:val="0"/>
            </w:rPr>
            <w:fldChar w:fldCharType="end"/>
          </w:r>
          <w:r>
            <w:rPr>
              <w:rFonts w:hint="default" w:ascii="Times New Roman" w:hAnsi="Times New Roman" w:eastAsia="宋体" w:cs="Times New Roman"/>
              <w:i w:val="0"/>
              <w:iCs w:val="0"/>
            </w:rPr>
            <w:fldChar w:fldCharType="end"/>
          </w:r>
        </w:p>
        <w:p w14:paraId="43743BD8">
          <w:pPr>
            <w:pStyle w:val="36"/>
            <w:tabs>
              <w:tab w:val="right" w:leader="dot" w:pos="9548"/>
              <w:tab w:val="clear" w:pos="8296"/>
            </w:tabs>
            <w:rPr>
              <w:rFonts w:hint="default" w:ascii="Times New Roman" w:hAnsi="Times New Roman" w:cs="Times New Roman"/>
              <w:i w:val="0"/>
              <w:iCs w:val="0"/>
            </w:rPr>
          </w:pP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HYPERLINK \l _Toc14927 </w:instrText>
          </w:r>
          <w:r>
            <w:rPr>
              <w:rFonts w:hint="default" w:ascii="Times New Roman" w:hAnsi="Times New Roman" w:eastAsia="宋体" w:cs="Times New Roman"/>
              <w:i w:val="0"/>
              <w:iCs w:val="0"/>
            </w:rPr>
            <w:fldChar w:fldCharType="separate"/>
          </w:r>
          <w:r>
            <w:rPr>
              <w:rFonts w:hint="default" w:ascii="Times New Roman" w:hAnsi="Times New Roman" w:cs="Times New Roman"/>
              <w:i w:val="0"/>
              <w:iCs w:val="0"/>
            </w:rPr>
            <w:t>3.2 护理文书系统</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_Toc14927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230</w:t>
          </w:r>
          <w:r>
            <w:rPr>
              <w:rFonts w:hint="default" w:ascii="Times New Roman" w:hAnsi="Times New Roman" w:cs="Times New Roman"/>
              <w:i w:val="0"/>
              <w:iCs w:val="0"/>
            </w:rPr>
            <w:fldChar w:fldCharType="end"/>
          </w:r>
          <w:r>
            <w:rPr>
              <w:rFonts w:hint="default" w:ascii="Times New Roman" w:hAnsi="Times New Roman" w:eastAsia="宋体" w:cs="Times New Roman"/>
              <w:i w:val="0"/>
              <w:iCs w:val="0"/>
            </w:rPr>
            <w:fldChar w:fldCharType="end"/>
          </w:r>
        </w:p>
        <w:p w14:paraId="6DF57C84">
          <w:pPr>
            <w:pStyle w:val="36"/>
            <w:tabs>
              <w:tab w:val="right" w:leader="dot" w:pos="9548"/>
              <w:tab w:val="clear" w:pos="8296"/>
            </w:tabs>
            <w:rPr>
              <w:rFonts w:hint="default" w:ascii="Times New Roman" w:hAnsi="Times New Roman" w:cs="Times New Roman"/>
              <w:i w:val="0"/>
              <w:iCs w:val="0"/>
            </w:rPr>
          </w:pP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HYPERLINK \l _Toc443 </w:instrText>
          </w:r>
          <w:r>
            <w:rPr>
              <w:rFonts w:hint="default" w:ascii="Times New Roman" w:hAnsi="Times New Roman" w:eastAsia="宋体" w:cs="Times New Roman"/>
              <w:i w:val="0"/>
              <w:iCs w:val="0"/>
            </w:rPr>
            <w:fldChar w:fldCharType="separate"/>
          </w:r>
          <w:r>
            <w:rPr>
              <w:rFonts w:hint="default" w:ascii="Times New Roman" w:hAnsi="Times New Roman" w:cs="Times New Roman"/>
              <w:i w:val="0"/>
              <w:iCs w:val="0"/>
            </w:rPr>
            <w:t>3.3 门诊预约分诊系统</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_Toc443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232</w:t>
          </w:r>
          <w:r>
            <w:rPr>
              <w:rFonts w:hint="default" w:ascii="Times New Roman" w:hAnsi="Times New Roman" w:cs="Times New Roman"/>
              <w:i w:val="0"/>
              <w:iCs w:val="0"/>
            </w:rPr>
            <w:fldChar w:fldCharType="end"/>
          </w:r>
          <w:r>
            <w:rPr>
              <w:rFonts w:hint="default" w:ascii="Times New Roman" w:hAnsi="Times New Roman" w:eastAsia="宋体" w:cs="Times New Roman"/>
              <w:i w:val="0"/>
              <w:iCs w:val="0"/>
            </w:rPr>
            <w:fldChar w:fldCharType="end"/>
          </w:r>
        </w:p>
        <w:p w14:paraId="733B3CCE">
          <w:pPr>
            <w:pStyle w:val="36"/>
            <w:tabs>
              <w:tab w:val="right" w:leader="dot" w:pos="9548"/>
              <w:tab w:val="clear" w:pos="8296"/>
            </w:tabs>
            <w:rPr>
              <w:rFonts w:hint="default" w:ascii="Times New Roman" w:hAnsi="Times New Roman" w:cs="Times New Roman"/>
              <w:i w:val="0"/>
              <w:iCs w:val="0"/>
            </w:rPr>
          </w:pP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HYPERLINK \l _Toc18799 </w:instrText>
          </w:r>
          <w:r>
            <w:rPr>
              <w:rFonts w:hint="default" w:ascii="Times New Roman" w:hAnsi="Times New Roman" w:eastAsia="宋体" w:cs="Times New Roman"/>
              <w:i w:val="0"/>
              <w:iCs w:val="0"/>
            </w:rPr>
            <w:fldChar w:fldCharType="separate"/>
          </w:r>
          <w:r>
            <w:rPr>
              <w:rFonts w:hint="default" w:ascii="Times New Roman" w:hAnsi="Times New Roman" w:cs="Times New Roman"/>
              <w:i w:val="0"/>
              <w:iCs w:val="0"/>
            </w:rPr>
            <w:t>3.4 平台科室知情同意书系统</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_Toc18799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234</w:t>
          </w:r>
          <w:r>
            <w:rPr>
              <w:rFonts w:hint="default" w:ascii="Times New Roman" w:hAnsi="Times New Roman" w:cs="Times New Roman"/>
              <w:i w:val="0"/>
              <w:iCs w:val="0"/>
            </w:rPr>
            <w:fldChar w:fldCharType="end"/>
          </w:r>
          <w:r>
            <w:rPr>
              <w:rFonts w:hint="default" w:ascii="Times New Roman" w:hAnsi="Times New Roman" w:eastAsia="宋体" w:cs="Times New Roman"/>
              <w:i w:val="0"/>
              <w:iCs w:val="0"/>
            </w:rPr>
            <w:fldChar w:fldCharType="end"/>
          </w:r>
        </w:p>
        <w:p w14:paraId="0F4A907F">
          <w:pPr>
            <w:pStyle w:val="36"/>
            <w:tabs>
              <w:tab w:val="right" w:leader="dot" w:pos="9548"/>
              <w:tab w:val="clear" w:pos="8296"/>
            </w:tabs>
            <w:rPr>
              <w:rFonts w:hint="default" w:ascii="Times New Roman" w:hAnsi="Times New Roman" w:cs="Times New Roman"/>
              <w:i w:val="0"/>
              <w:iCs w:val="0"/>
            </w:rPr>
          </w:pP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HYPERLINK \l _Toc15452 </w:instrText>
          </w:r>
          <w:r>
            <w:rPr>
              <w:rFonts w:hint="default" w:ascii="Times New Roman" w:hAnsi="Times New Roman" w:eastAsia="宋体" w:cs="Times New Roman"/>
              <w:i w:val="0"/>
              <w:iCs w:val="0"/>
            </w:rPr>
            <w:fldChar w:fldCharType="separate"/>
          </w:r>
          <w:r>
            <w:rPr>
              <w:rFonts w:hint="default" w:ascii="Times New Roman" w:hAnsi="Times New Roman" w:cs="Times New Roman"/>
              <w:i w:val="0"/>
              <w:iCs w:val="0"/>
            </w:rPr>
            <w:t>3.5 治疗工作站</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_Toc15452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236</w:t>
          </w:r>
          <w:r>
            <w:rPr>
              <w:rFonts w:hint="default" w:ascii="Times New Roman" w:hAnsi="Times New Roman" w:cs="Times New Roman"/>
              <w:i w:val="0"/>
              <w:iCs w:val="0"/>
            </w:rPr>
            <w:fldChar w:fldCharType="end"/>
          </w:r>
          <w:r>
            <w:rPr>
              <w:rFonts w:hint="default" w:ascii="Times New Roman" w:hAnsi="Times New Roman" w:eastAsia="宋体" w:cs="Times New Roman"/>
              <w:i w:val="0"/>
              <w:iCs w:val="0"/>
            </w:rPr>
            <w:fldChar w:fldCharType="end"/>
          </w:r>
        </w:p>
        <w:p w14:paraId="73F94CC1">
          <w:pPr>
            <w:pStyle w:val="36"/>
            <w:tabs>
              <w:tab w:val="right" w:leader="dot" w:pos="9548"/>
              <w:tab w:val="clear" w:pos="8296"/>
            </w:tabs>
            <w:rPr>
              <w:rFonts w:hint="default" w:ascii="Times New Roman" w:hAnsi="Times New Roman" w:cs="Times New Roman"/>
              <w:i w:val="0"/>
              <w:iCs w:val="0"/>
            </w:rPr>
          </w:pP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HYPERLINK \l _Toc22958 </w:instrText>
          </w:r>
          <w:r>
            <w:rPr>
              <w:rFonts w:hint="default" w:ascii="Times New Roman" w:hAnsi="Times New Roman" w:eastAsia="宋体" w:cs="Times New Roman"/>
              <w:i w:val="0"/>
              <w:iCs w:val="0"/>
            </w:rPr>
            <w:fldChar w:fldCharType="separate"/>
          </w:r>
          <w:r>
            <w:rPr>
              <w:rFonts w:hint="default" w:ascii="Times New Roman" w:hAnsi="Times New Roman" w:cs="Times New Roman"/>
              <w:i w:val="0"/>
              <w:iCs w:val="0"/>
            </w:rPr>
            <w:t>3.6 医生电子交接班系统</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_Toc22958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238</w:t>
          </w:r>
          <w:r>
            <w:rPr>
              <w:rFonts w:hint="default" w:ascii="Times New Roman" w:hAnsi="Times New Roman" w:cs="Times New Roman"/>
              <w:i w:val="0"/>
              <w:iCs w:val="0"/>
            </w:rPr>
            <w:fldChar w:fldCharType="end"/>
          </w:r>
          <w:r>
            <w:rPr>
              <w:rFonts w:hint="default" w:ascii="Times New Roman" w:hAnsi="Times New Roman" w:eastAsia="宋体" w:cs="Times New Roman"/>
              <w:i w:val="0"/>
              <w:iCs w:val="0"/>
            </w:rPr>
            <w:fldChar w:fldCharType="end"/>
          </w:r>
        </w:p>
        <w:p w14:paraId="6C7769BD">
          <w:pPr>
            <w:pStyle w:val="36"/>
            <w:tabs>
              <w:tab w:val="right" w:leader="dot" w:pos="9548"/>
              <w:tab w:val="clear" w:pos="8296"/>
            </w:tabs>
            <w:rPr>
              <w:rFonts w:hint="default" w:ascii="Times New Roman" w:hAnsi="Times New Roman" w:cs="Times New Roman"/>
              <w:i w:val="0"/>
              <w:iCs w:val="0"/>
            </w:rPr>
          </w:pP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HYPERLINK \l _Toc25304 </w:instrText>
          </w:r>
          <w:r>
            <w:rPr>
              <w:rFonts w:hint="default" w:ascii="Times New Roman" w:hAnsi="Times New Roman" w:eastAsia="宋体" w:cs="Times New Roman"/>
              <w:i w:val="0"/>
              <w:iCs w:val="0"/>
            </w:rPr>
            <w:fldChar w:fldCharType="separate"/>
          </w:r>
          <w:r>
            <w:rPr>
              <w:rFonts w:hint="default" w:ascii="Times New Roman" w:hAnsi="Times New Roman" w:cs="Times New Roman"/>
              <w:i w:val="0"/>
              <w:iCs w:val="0"/>
            </w:rPr>
            <w:t xml:space="preserve">3.7 </w:t>
          </w:r>
          <w:r>
            <w:rPr>
              <w:rFonts w:hint="default" w:ascii="Times New Roman" w:hAnsi="Times New Roman" w:cs="Times New Roman"/>
              <w:i w:val="0"/>
              <w:iCs w:val="0"/>
              <w:lang w:val="en-US" w:eastAsia="zh-CN"/>
            </w:rPr>
            <w:t>床位动态管理系统</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_Toc25304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240</w:t>
          </w:r>
          <w:r>
            <w:rPr>
              <w:rFonts w:hint="default" w:ascii="Times New Roman" w:hAnsi="Times New Roman" w:cs="Times New Roman"/>
              <w:i w:val="0"/>
              <w:iCs w:val="0"/>
            </w:rPr>
            <w:fldChar w:fldCharType="end"/>
          </w:r>
          <w:r>
            <w:rPr>
              <w:rFonts w:hint="default" w:ascii="Times New Roman" w:hAnsi="Times New Roman" w:eastAsia="宋体" w:cs="Times New Roman"/>
              <w:i w:val="0"/>
              <w:iCs w:val="0"/>
            </w:rPr>
            <w:fldChar w:fldCharType="end"/>
          </w:r>
        </w:p>
        <w:p w14:paraId="0A1A3199">
          <w:pPr>
            <w:pStyle w:val="36"/>
            <w:tabs>
              <w:tab w:val="right" w:leader="dot" w:pos="9548"/>
              <w:tab w:val="clear" w:pos="8296"/>
            </w:tabs>
            <w:rPr>
              <w:rFonts w:hint="default" w:ascii="Times New Roman" w:hAnsi="Times New Roman" w:cs="Times New Roman"/>
              <w:i w:val="0"/>
              <w:iCs w:val="0"/>
            </w:rPr>
          </w:pP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HYPERLINK \l _Toc6566 </w:instrText>
          </w:r>
          <w:r>
            <w:rPr>
              <w:rFonts w:hint="default" w:ascii="Times New Roman" w:hAnsi="Times New Roman" w:eastAsia="宋体" w:cs="Times New Roman"/>
              <w:i w:val="0"/>
              <w:iCs w:val="0"/>
            </w:rPr>
            <w:fldChar w:fldCharType="separate"/>
          </w:r>
          <w:r>
            <w:rPr>
              <w:rFonts w:hint="default" w:ascii="Times New Roman" w:hAnsi="Times New Roman" w:cs="Times New Roman"/>
              <w:i w:val="0"/>
              <w:iCs w:val="0"/>
            </w:rPr>
            <w:t>3.8 门诊挂号系统</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_Toc6566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246</w:t>
          </w:r>
          <w:r>
            <w:rPr>
              <w:rFonts w:hint="default" w:ascii="Times New Roman" w:hAnsi="Times New Roman" w:cs="Times New Roman"/>
              <w:i w:val="0"/>
              <w:iCs w:val="0"/>
            </w:rPr>
            <w:fldChar w:fldCharType="end"/>
          </w:r>
          <w:r>
            <w:rPr>
              <w:rFonts w:hint="default" w:ascii="Times New Roman" w:hAnsi="Times New Roman" w:eastAsia="宋体" w:cs="Times New Roman"/>
              <w:i w:val="0"/>
              <w:iCs w:val="0"/>
            </w:rPr>
            <w:fldChar w:fldCharType="end"/>
          </w:r>
        </w:p>
        <w:p w14:paraId="1F0F4DB5">
          <w:pPr>
            <w:pStyle w:val="36"/>
            <w:tabs>
              <w:tab w:val="right" w:leader="dot" w:pos="9548"/>
              <w:tab w:val="clear" w:pos="8296"/>
            </w:tabs>
            <w:rPr>
              <w:rFonts w:hint="default" w:ascii="Times New Roman" w:hAnsi="Times New Roman" w:cs="Times New Roman"/>
              <w:i w:val="0"/>
              <w:iCs w:val="0"/>
            </w:rPr>
          </w:pP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HYPERLINK \l _Toc23884 </w:instrText>
          </w:r>
          <w:r>
            <w:rPr>
              <w:rFonts w:hint="default" w:ascii="Times New Roman" w:hAnsi="Times New Roman" w:eastAsia="宋体" w:cs="Times New Roman"/>
              <w:i w:val="0"/>
              <w:iCs w:val="0"/>
            </w:rPr>
            <w:fldChar w:fldCharType="separate"/>
          </w:r>
          <w:r>
            <w:rPr>
              <w:rFonts w:hint="default" w:ascii="Times New Roman" w:hAnsi="Times New Roman" w:cs="Times New Roman"/>
              <w:i w:val="0"/>
              <w:iCs w:val="0"/>
              <w:lang w:val="en-US" w:eastAsia="zh-CN"/>
            </w:rPr>
            <w:t>3.9 公众号</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_Toc23884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247</w:t>
          </w:r>
          <w:r>
            <w:rPr>
              <w:rFonts w:hint="default" w:ascii="Times New Roman" w:hAnsi="Times New Roman" w:cs="Times New Roman"/>
              <w:i w:val="0"/>
              <w:iCs w:val="0"/>
            </w:rPr>
            <w:fldChar w:fldCharType="end"/>
          </w:r>
          <w:r>
            <w:rPr>
              <w:rFonts w:hint="default" w:ascii="Times New Roman" w:hAnsi="Times New Roman" w:eastAsia="宋体" w:cs="Times New Roman"/>
              <w:i w:val="0"/>
              <w:iCs w:val="0"/>
            </w:rPr>
            <w:fldChar w:fldCharType="end"/>
          </w:r>
        </w:p>
        <w:p w14:paraId="7C52B3FE">
          <w:pPr>
            <w:pStyle w:val="36"/>
            <w:tabs>
              <w:tab w:val="right" w:leader="dot" w:pos="9548"/>
              <w:tab w:val="clear" w:pos="8296"/>
            </w:tabs>
            <w:rPr>
              <w:rFonts w:hint="default" w:ascii="Times New Roman" w:hAnsi="Times New Roman" w:cs="Times New Roman"/>
              <w:i w:val="0"/>
              <w:iCs w:val="0"/>
            </w:rPr>
          </w:pP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HYPERLINK \l _Toc32093 </w:instrText>
          </w:r>
          <w:r>
            <w:rPr>
              <w:rFonts w:hint="default" w:ascii="Times New Roman" w:hAnsi="Times New Roman" w:eastAsia="宋体" w:cs="Times New Roman"/>
              <w:i w:val="0"/>
              <w:iCs w:val="0"/>
            </w:rPr>
            <w:fldChar w:fldCharType="separate"/>
          </w:r>
          <w:r>
            <w:rPr>
              <w:rFonts w:hint="default" w:ascii="Times New Roman" w:hAnsi="Times New Roman" w:cs="Times New Roman"/>
              <w:i w:val="0"/>
              <w:iCs w:val="0"/>
            </w:rPr>
            <w:t>3.10 worker</w:t>
          </w:r>
          <w:r>
            <w:rPr>
              <w:rFonts w:hint="default" w:ascii="Times New Roman" w:hAnsi="Times New Roman" w:cs="Times New Roman"/>
              <w:i w:val="0"/>
              <w:iCs w:val="0"/>
              <w:lang w:val="en-US" w:eastAsia="zh-CN"/>
            </w:rPr>
            <w:t>服务</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_Toc32093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249</w:t>
          </w:r>
          <w:r>
            <w:rPr>
              <w:rFonts w:hint="default" w:ascii="Times New Roman" w:hAnsi="Times New Roman" w:cs="Times New Roman"/>
              <w:i w:val="0"/>
              <w:iCs w:val="0"/>
            </w:rPr>
            <w:fldChar w:fldCharType="end"/>
          </w:r>
          <w:r>
            <w:rPr>
              <w:rFonts w:hint="default" w:ascii="Times New Roman" w:hAnsi="Times New Roman" w:eastAsia="宋体" w:cs="Times New Roman"/>
              <w:i w:val="0"/>
              <w:iCs w:val="0"/>
            </w:rPr>
            <w:fldChar w:fldCharType="end"/>
          </w:r>
        </w:p>
        <w:p w14:paraId="72ED636A">
          <w:pPr>
            <w:pStyle w:val="36"/>
            <w:tabs>
              <w:tab w:val="right" w:leader="dot" w:pos="9548"/>
              <w:tab w:val="clear" w:pos="8296"/>
            </w:tabs>
            <w:rPr>
              <w:rFonts w:hint="default" w:ascii="Times New Roman" w:hAnsi="Times New Roman" w:cs="Times New Roman"/>
              <w:i w:val="0"/>
              <w:iCs w:val="0"/>
            </w:rPr>
          </w:pP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HYPERLINK \l _Toc12944 </w:instrText>
          </w:r>
          <w:r>
            <w:rPr>
              <w:rFonts w:hint="default" w:ascii="Times New Roman" w:hAnsi="Times New Roman" w:eastAsia="宋体" w:cs="Times New Roman"/>
              <w:i w:val="0"/>
              <w:iCs w:val="0"/>
            </w:rPr>
            <w:fldChar w:fldCharType="separate"/>
          </w:r>
          <w:r>
            <w:rPr>
              <w:rFonts w:hint="default" w:ascii="Times New Roman" w:hAnsi="Times New Roman" w:cs="Times New Roman"/>
              <w:i w:val="0"/>
              <w:iCs w:val="0"/>
              <w:lang w:val="en-US" w:eastAsia="zh-CN"/>
            </w:rPr>
            <w:t>3.11 需定制开发产品</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_Toc12944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251</w:t>
          </w:r>
          <w:r>
            <w:rPr>
              <w:rFonts w:hint="default" w:ascii="Times New Roman" w:hAnsi="Times New Roman" w:cs="Times New Roman"/>
              <w:i w:val="0"/>
              <w:iCs w:val="0"/>
            </w:rPr>
            <w:fldChar w:fldCharType="end"/>
          </w:r>
          <w:r>
            <w:rPr>
              <w:rFonts w:hint="default" w:ascii="Times New Roman" w:hAnsi="Times New Roman" w:eastAsia="宋体" w:cs="Times New Roman"/>
              <w:i w:val="0"/>
              <w:iCs w:val="0"/>
            </w:rPr>
            <w:fldChar w:fldCharType="end"/>
          </w:r>
        </w:p>
        <w:p w14:paraId="20C9ED46">
          <w:pPr>
            <w:pStyle w:val="30"/>
            <w:tabs>
              <w:tab w:val="right" w:leader="dot" w:pos="9548"/>
            </w:tabs>
            <w:rPr>
              <w:rFonts w:hint="default" w:ascii="Times New Roman" w:hAnsi="Times New Roman" w:cs="Times New Roman"/>
              <w:i w:val="0"/>
              <w:iCs w:val="0"/>
            </w:rPr>
          </w:pP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HYPERLINK \l _Toc3953 </w:instrText>
          </w:r>
          <w:r>
            <w:rPr>
              <w:rFonts w:hint="default" w:ascii="Times New Roman" w:hAnsi="Times New Roman" w:eastAsia="宋体" w:cs="Times New Roman"/>
              <w:i w:val="0"/>
              <w:iCs w:val="0"/>
            </w:rPr>
            <w:fldChar w:fldCharType="separate"/>
          </w:r>
          <w:r>
            <w:rPr>
              <w:rFonts w:hint="default" w:ascii="Times New Roman" w:hAnsi="Times New Roman" w:cs="Times New Roman"/>
              <w:bCs/>
              <w:i w:val="0"/>
              <w:iCs w:val="0"/>
              <w:szCs w:val="30"/>
            </w:rPr>
            <w:t xml:space="preserve">4 </w:t>
          </w:r>
          <w:r>
            <w:rPr>
              <w:rFonts w:hint="default" w:ascii="Times New Roman" w:hAnsi="Times New Roman" w:eastAsia="宋体" w:cs="Times New Roman"/>
              <w:bCs/>
              <w:i w:val="0"/>
              <w:iCs w:val="0"/>
              <w:kern w:val="2"/>
              <w:szCs w:val="30"/>
              <w:highlight w:val="none"/>
            </w:rPr>
            <w:t>HIS系统对接需求</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_Toc3953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253</w:t>
          </w:r>
          <w:r>
            <w:rPr>
              <w:rFonts w:hint="default" w:ascii="Times New Roman" w:hAnsi="Times New Roman" w:cs="Times New Roman"/>
              <w:i w:val="0"/>
              <w:iCs w:val="0"/>
            </w:rPr>
            <w:fldChar w:fldCharType="end"/>
          </w:r>
          <w:r>
            <w:rPr>
              <w:rFonts w:hint="default" w:ascii="Times New Roman" w:hAnsi="Times New Roman" w:eastAsia="宋体" w:cs="Times New Roman"/>
              <w:i w:val="0"/>
              <w:iCs w:val="0"/>
            </w:rPr>
            <w:fldChar w:fldCharType="end"/>
          </w:r>
        </w:p>
        <w:p w14:paraId="7D99AB7E">
          <w:pPr>
            <w:pStyle w:val="30"/>
            <w:tabs>
              <w:tab w:val="right" w:leader="dot" w:pos="9548"/>
            </w:tabs>
          </w:pP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HYPERLINK \l _Toc3409 </w:instrText>
          </w:r>
          <w:r>
            <w:rPr>
              <w:rFonts w:hint="default" w:ascii="Times New Roman" w:hAnsi="Times New Roman" w:eastAsia="宋体" w:cs="Times New Roman"/>
              <w:i w:val="0"/>
              <w:iCs w:val="0"/>
            </w:rPr>
            <w:fldChar w:fldCharType="separate"/>
          </w:r>
          <w:r>
            <w:rPr>
              <w:rFonts w:hint="default" w:ascii="Times New Roman" w:hAnsi="Times New Roman" w:cs="Times New Roman"/>
              <w:i w:val="0"/>
              <w:iCs w:val="0"/>
              <w:lang w:val="en-US" w:eastAsia="zh-CN"/>
            </w:rPr>
            <w:t>5 商务需求</w:t>
          </w:r>
          <w:r>
            <w:rPr>
              <w:rFonts w:hint="default" w:ascii="Times New Roman" w:hAnsi="Times New Roman" w:cs="Times New Roman"/>
              <w:i w:val="0"/>
              <w:iCs w:val="0"/>
            </w:rPr>
            <w:tab/>
          </w:r>
          <w:r>
            <w:rPr>
              <w:rFonts w:hint="default" w:ascii="Times New Roman" w:hAnsi="Times New Roman" w:cs="Times New Roman"/>
              <w:i w:val="0"/>
              <w:iCs w:val="0"/>
            </w:rPr>
            <w:fldChar w:fldCharType="begin"/>
          </w:r>
          <w:r>
            <w:rPr>
              <w:rFonts w:hint="default" w:ascii="Times New Roman" w:hAnsi="Times New Roman" w:cs="Times New Roman"/>
              <w:i w:val="0"/>
              <w:iCs w:val="0"/>
            </w:rPr>
            <w:instrText xml:space="preserve"> PAGEREF _Toc3409 \h </w:instrText>
          </w:r>
          <w:r>
            <w:rPr>
              <w:rFonts w:hint="default" w:ascii="Times New Roman" w:hAnsi="Times New Roman" w:cs="Times New Roman"/>
              <w:i w:val="0"/>
              <w:iCs w:val="0"/>
            </w:rPr>
            <w:fldChar w:fldCharType="separate"/>
          </w:r>
          <w:r>
            <w:rPr>
              <w:rFonts w:hint="default" w:ascii="Times New Roman" w:hAnsi="Times New Roman" w:cs="Times New Roman"/>
              <w:i w:val="0"/>
              <w:iCs w:val="0"/>
            </w:rPr>
            <w:t>327</w:t>
          </w:r>
          <w:r>
            <w:rPr>
              <w:rFonts w:hint="default" w:ascii="Times New Roman" w:hAnsi="Times New Roman" w:cs="Times New Roman"/>
              <w:i w:val="0"/>
              <w:iCs w:val="0"/>
            </w:rPr>
            <w:fldChar w:fldCharType="end"/>
          </w:r>
          <w:r>
            <w:rPr>
              <w:rFonts w:hint="default" w:ascii="Times New Roman" w:hAnsi="Times New Roman" w:eastAsia="宋体" w:cs="Times New Roman"/>
              <w:i w:val="0"/>
              <w:iCs w:val="0"/>
            </w:rPr>
            <w:fldChar w:fldCharType="end"/>
          </w:r>
        </w:p>
        <w:p w14:paraId="269CCFC5">
          <w:pPr>
            <w:pStyle w:val="56"/>
            <w:rPr>
              <w:rFonts w:hint="eastAsia" w:ascii="宋体" w:hAnsi="宋体" w:eastAsia="宋体" w:cs="宋体"/>
              <w:bCs/>
              <w:spacing w:val="10"/>
              <w:kern w:val="0"/>
              <w:sz w:val="24"/>
              <w:szCs w:val="24"/>
              <w:lang w:val="en-US" w:eastAsia="zh-CN" w:bidi="ar-SA"/>
            </w:rPr>
          </w:pPr>
          <w:r>
            <w:rPr>
              <w:rFonts w:hint="eastAsia" w:ascii="宋体" w:hAnsi="宋体" w:eastAsia="宋体" w:cs="宋体"/>
            </w:rPr>
            <w:fldChar w:fldCharType="end"/>
          </w:r>
        </w:p>
      </w:sdtContent>
    </w:sdt>
    <w:p w14:paraId="61AA5F55">
      <w:pPr>
        <w:rPr>
          <w:rFonts w:hint="eastAsia" w:ascii="宋体" w:hAnsi="宋体" w:eastAsia="宋体" w:cs="宋体"/>
          <w:bCs/>
          <w:spacing w:val="10"/>
          <w:kern w:val="0"/>
          <w:sz w:val="24"/>
          <w:szCs w:val="24"/>
          <w:lang w:val="en-US" w:eastAsia="zh-CN" w:bidi="ar-SA"/>
        </w:rPr>
      </w:pPr>
      <w:r>
        <w:rPr>
          <w:rFonts w:hint="eastAsia" w:ascii="宋体" w:hAnsi="宋体" w:eastAsia="宋体" w:cs="宋体"/>
          <w:bCs/>
          <w:spacing w:val="10"/>
          <w:kern w:val="0"/>
          <w:sz w:val="24"/>
          <w:szCs w:val="24"/>
          <w:lang w:val="en-US" w:eastAsia="zh-CN" w:bidi="ar-SA"/>
        </w:rPr>
        <w:br w:type="page"/>
      </w:r>
    </w:p>
    <w:p w14:paraId="4D4BFE8E">
      <w:pPr>
        <w:pStyle w:val="2"/>
        <w:bidi w:val="0"/>
      </w:pPr>
      <w:bookmarkStart w:id="1" w:name="_Toc19802"/>
      <w:bookmarkStart w:id="2" w:name="_Toc30599"/>
      <w:bookmarkStart w:id="3" w:name="_Toc29486"/>
      <w:bookmarkStart w:id="4" w:name="_Toc17260"/>
      <w:bookmarkStart w:id="5" w:name="_Toc3972"/>
      <w:r>
        <w:rPr>
          <w:rFonts w:hint="eastAsia"/>
          <w:lang w:val="en-US" w:eastAsia="zh-CN"/>
        </w:rPr>
        <w:t>中山七院二期系统建设</w:t>
      </w:r>
      <w:r>
        <w:rPr>
          <w:rFonts w:hint="eastAsia"/>
        </w:rPr>
        <w:t>需求</w:t>
      </w:r>
      <w:bookmarkEnd w:id="1"/>
      <w:bookmarkEnd w:id="2"/>
      <w:bookmarkEnd w:id="3"/>
      <w:bookmarkEnd w:id="4"/>
      <w:bookmarkEnd w:id="5"/>
    </w:p>
    <w:p w14:paraId="27E2F6FE">
      <w:pPr>
        <w:pStyle w:val="3"/>
        <w:bidi w:val="0"/>
      </w:pPr>
      <w:bookmarkStart w:id="6" w:name="_Toc15896"/>
      <w:bookmarkStart w:id="7" w:name="_Toc4326"/>
      <w:bookmarkStart w:id="8" w:name="_Toc7562"/>
      <w:bookmarkStart w:id="9" w:name="_Toc13648"/>
      <w:bookmarkStart w:id="10" w:name="_Toc7489"/>
      <w:r>
        <w:rPr>
          <w:rFonts w:hint="eastAsia"/>
        </w:rPr>
        <w:t>以PB技术建设的系统更换需求</w:t>
      </w:r>
      <w:bookmarkEnd w:id="6"/>
      <w:bookmarkEnd w:id="7"/>
      <w:bookmarkEnd w:id="8"/>
      <w:bookmarkEnd w:id="9"/>
      <w:bookmarkEnd w:id="10"/>
    </w:p>
    <w:p w14:paraId="492A2725">
      <w:pPr>
        <w:pStyle w:val="4"/>
        <w:bidi w:val="0"/>
      </w:pPr>
      <w:bookmarkStart w:id="11" w:name="_Toc24092"/>
      <w:bookmarkStart w:id="12" w:name="_Toc27458"/>
      <w:bookmarkStart w:id="13" w:name="_Toc4502"/>
      <w:bookmarkStart w:id="14" w:name="_Toc15464"/>
      <w:bookmarkStart w:id="15" w:name="_Toc11785"/>
      <w:r>
        <w:rPr>
          <w:rFonts w:hint="eastAsia"/>
        </w:rPr>
        <w:t>门诊医生站</w:t>
      </w:r>
      <w:bookmarkEnd w:id="11"/>
      <w:bookmarkEnd w:id="12"/>
      <w:bookmarkEnd w:id="13"/>
      <w:bookmarkEnd w:id="14"/>
      <w:bookmarkEnd w:id="15"/>
    </w:p>
    <w:tbl>
      <w:tblPr>
        <w:tblStyle w:val="46"/>
        <w:tblW w:w="99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21"/>
        <w:gridCol w:w="1175"/>
        <w:gridCol w:w="7922"/>
      </w:tblGrid>
      <w:tr w14:paraId="448D8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821" w:type="dxa"/>
            <w:shd w:val="clear" w:color="auto" w:fill="auto"/>
            <w:vAlign w:val="center"/>
          </w:tcPr>
          <w:p w14:paraId="712C8B1C">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需求名称</w:t>
            </w:r>
          </w:p>
        </w:tc>
        <w:tc>
          <w:tcPr>
            <w:tcW w:w="1175" w:type="dxa"/>
            <w:shd w:val="clear" w:color="auto" w:fill="auto"/>
            <w:vAlign w:val="center"/>
          </w:tcPr>
          <w:p w14:paraId="54E194C0">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序号</w:t>
            </w:r>
          </w:p>
        </w:tc>
        <w:tc>
          <w:tcPr>
            <w:tcW w:w="7922" w:type="dxa"/>
            <w:shd w:val="clear" w:color="auto" w:fill="auto"/>
            <w:vAlign w:val="center"/>
          </w:tcPr>
          <w:p w14:paraId="6D147306">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需求描述</w:t>
            </w:r>
          </w:p>
        </w:tc>
      </w:tr>
      <w:tr w14:paraId="1DD8A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821" w:type="dxa"/>
            <w:vMerge w:val="restart"/>
            <w:shd w:val="clear" w:color="auto" w:fill="auto"/>
            <w:vAlign w:val="center"/>
          </w:tcPr>
          <w:p w14:paraId="05AF6EEA">
            <w:pPr>
              <w:keepNext w:val="0"/>
              <w:keepLines w:val="0"/>
              <w:pageBreakBefore w:val="0"/>
              <w:numPr>
                <w:ilvl w:val="0"/>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Cs w:val="21"/>
                <w:highlight w:val="none"/>
              </w:rPr>
            </w:pPr>
            <w:r>
              <w:rPr>
                <w:rFonts w:hint="eastAsia" w:ascii="宋体" w:hAnsi="宋体" w:cs="宋体"/>
                <w:color w:val="auto"/>
                <w:szCs w:val="21"/>
                <w:highlight w:val="none"/>
              </w:rPr>
              <w:t>门诊医生站</w:t>
            </w:r>
          </w:p>
        </w:tc>
        <w:tc>
          <w:tcPr>
            <w:tcW w:w="9097" w:type="dxa"/>
            <w:gridSpan w:val="2"/>
            <w:shd w:val="clear" w:color="auto" w:fill="auto"/>
            <w:vAlign w:val="center"/>
          </w:tcPr>
          <w:p w14:paraId="363EAF52">
            <w:pPr>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Cs w:val="21"/>
                <w:highlight w:val="none"/>
              </w:rPr>
            </w:pPr>
            <w:r>
              <w:rPr>
                <w:rFonts w:ascii="宋体" w:hAnsi="宋体" w:cs="宋体"/>
                <w:color w:val="auto"/>
                <w:kern w:val="0"/>
                <w:szCs w:val="21"/>
                <w:highlight w:val="none"/>
              </w:rPr>
              <w:t>患者接诊管理</w:t>
            </w:r>
          </w:p>
        </w:tc>
      </w:tr>
      <w:tr w14:paraId="28C3B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821" w:type="dxa"/>
            <w:vMerge w:val="continue"/>
            <w:shd w:val="clear" w:color="auto" w:fill="auto"/>
            <w:vAlign w:val="center"/>
          </w:tcPr>
          <w:p w14:paraId="1C7B6419">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p>
        </w:tc>
        <w:tc>
          <w:tcPr>
            <w:tcW w:w="1175" w:type="dxa"/>
            <w:shd w:val="clear" w:color="auto" w:fill="auto"/>
            <w:vAlign w:val="center"/>
          </w:tcPr>
          <w:p w14:paraId="44BBDF22">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Cs w:val="21"/>
                <w:highlight w:val="none"/>
              </w:rPr>
            </w:pPr>
            <w:r>
              <w:rPr>
                <w:rFonts w:hint="eastAsia" w:ascii="宋体" w:hAnsi="宋体"/>
                <w:color w:val="auto"/>
                <w:szCs w:val="21"/>
                <w:highlight w:val="none"/>
              </w:rPr>
              <w:t>患者诊前</w:t>
            </w:r>
            <w:r>
              <w:rPr>
                <w:rFonts w:hint="eastAsia" w:ascii="宋体" w:hAnsi="宋体" w:cs="宋体"/>
                <w:color w:val="auto"/>
                <w:kern w:val="0"/>
                <w:szCs w:val="21"/>
                <w:highlight w:val="none"/>
              </w:rPr>
              <w:t>管理</w:t>
            </w:r>
          </w:p>
        </w:tc>
        <w:tc>
          <w:tcPr>
            <w:tcW w:w="7922" w:type="dxa"/>
            <w:shd w:val="clear" w:color="auto" w:fill="auto"/>
            <w:vAlign w:val="center"/>
          </w:tcPr>
          <w:p w14:paraId="585A054E">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院方协调预问诊系统厂商提供接口，在相关厂商配合下，对接</w:t>
            </w:r>
            <w:r>
              <w:rPr>
                <w:rFonts w:ascii="宋体" w:hAnsi="宋体" w:cs="宋体"/>
                <w:bCs/>
                <w:color w:val="auto"/>
                <w:szCs w:val="21"/>
                <w:highlight w:val="none"/>
              </w:rPr>
              <w:t>预问诊功能</w:t>
            </w:r>
            <w:r>
              <w:rPr>
                <w:rFonts w:hint="eastAsia" w:ascii="宋体" w:hAnsi="宋体" w:cs="宋体"/>
                <w:bCs/>
                <w:color w:val="auto"/>
                <w:szCs w:val="21"/>
                <w:highlight w:val="none"/>
              </w:rPr>
              <w:t>的主诉数据和患者信息</w:t>
            </w:r>
            <w:r>
              <w:rPr>
                <w:rFonts w:ascii="宋体" w:hAnsi="宋体" w:cs="宋体"/>
                <w:bCs/>
                <w:color w:val="auto"/>
                <w:szCs w:val="21"/>
                <w:highlight w:val="none"/>
              </w:rPr>
              <w:t>；</w:t>
            </w:r>
          </w:p>
          <w:p w14:paraId="01B30F73">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hint="eastAsia" w:ascii="宋体" w:hAnsi="宋体" w:cs="宋体"/>
                <w:bCs/>
                <w:color w:val="auto"/>
                <w:szCs w:val="21"/>
                <w:highlight w:val="none"/>
              </w:rPr>
            </w:pPr>
            <w:r>
              <w:rPr>
                <w:rFonts w:hint="eastAsia" w:ascii="宋体" w:hAnsi="宋体" w:cs="宋体"/>
                <w:bCs/>
                <w:color w:val="auto"/>
                <w:szCs w:val="21"/>
                <w:highlight w:val="none"/>
              </w:rPr>
              <w:t>院方协调全资源预约系统厂商提供接口，在相关厂商配合下，对接</w:t>
            </w:r>
            <w:r>
              <w:rPr>
                <w:rFonts w:ascii="宋体" w:hAnsi="宋体" w:cs="宋体"/>
                <w:bCs/>
                <w:color w:val="auto"/>
                <w:szCs w:val="21"/>
                <w:highlight w:val="none"/>
              </w:rPr>
              <w:t>在线预约挂号，诊间预约挂号、预约检验检查、预约床位</w:t>
            </w:r>
            <w:r>
              <w:rPr>
                <w:rFonts w:hint="eastAsia" w:ascii="宋体" w:hAnsi="宋体" w:cs="宋体"/>
                <w:bCs/>
                <w:color w:val="auto"/>
                <w:szCs w:val="21"/>
                <w:highlight w:val="none"/>
              </w:rPr>
              <w:t>等数据</w:t>
            </w:r>
          </w:p>
          <w:p w14:paraId="518E8954">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将首诊患者血压测量设为强提醒。在医生诊疗界面增加首诊未测血压提醒功能，对年度首诊35岁及以上人员系统内未有测压记录的，弹框提醒医生指引患者至前台完成血压测量并补录（提醒：该患者为35岁及以上年度首诊，请提醒至护士站完成血压测量）</w:t>
            </w:r>
          </w:p>
        </w:tc>
      </w:tr>
      <w:tr w14:paraId="3227F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821" w:type="dxa"/>
            <w:vMerge w:val="continue"/>
            <w:shd w:val="clear" w:color="auto" w:fill="auto"/>
            <w:vAlign w:val="center"/>
          </w:tcPr>
          <w:p w14:paraId="7B18C3C4">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p>
        </w:tc>
        <w:tc>
          <w:tcPr>
            <w:tcW w:w="1175" w:type="dxa"/>
            <w:shd w:val="clear" w:color="auto" w:fill="auto"/>
            <w:vAlign w:val="center"/>
          </w:tcPr>
          <w:p w14:paraId="001B2507">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接诊操作</w:t>
            </w:r>
          </w:p>
        </w:tc>
        <w:tc>
          <w:tcPr>
            <w:tcW w:w="7922" w:type="dxa"/>
            <w:shd w:val="clear" w:color="auto" w:fill="auto"/>
            <w:vAlign w:val="center"/>
          </w:tcPr>
          <w:p w14:paraId="2C682388">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r>
              <w:rPr>
                <w:rFonts w:hint="eastAsia" w:ascii="宋体" w:hAnsi="宋体" w:cs="宋体"/>
                <w:bCs/>
                <w:color w:val="auto"/>
                <w:szCs w:val="21"/>
                <w:highlight w:val="none"/>
              </w:rPr>
              <w:t>系统提供各种接诊模式，包括刷就诊卡、医保卡、身份证以及其他电子凭证，或输入病历号调入接诊患者，或从待诊、诊中、诊毕、本科室患者病人列表中选择患者调入接诊，并支持对接排队叫号系统功能管理患者接诊顺序。在接诊病人管理中，支持多病人接诊操作，可在同一页面同时调入多个病人</w:t>
            </w:r>
          </w:p>
          <w:p w14:paraId="2F2791E5">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r>
              <w:rPr>
                <w:rFonts w:hint="eastAsia" w:ascii="宋体" w:hAnsi="宋体" w:cs="宋体"/>
                <w:bCs/>
                <w:color w:val="auto"/>
                <w:szCs w:val="21"/>
                <w:highlight w:val="none"/>
              </w:rPr>
              <w:t>支持同一医生同时开展多个亚专科门诊时的统一叫号管理。对于同一医生、同一出诊时段、同一诊室下未叫号患者，系统可将不同亚专科号源的患者合并进入同一叫号队列，按签到时间或挂号顺序统一叫号；已叫号、诊中、诊毕、过号患者仍按原状态管理。</w:t>
            </w:r>
          </w:p>
        </w:tc>
      </w:tr>
      <w:tr w14:paraId="0A7C1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821" w:type="dxa"/>
            <w:vMerge w:val="continue"/>
            <w:shd w:val="clear" w:color="auto" w:fill="auto"/>
            <w:vAlign w:val="center"/>
          </w:tcPr>
          <w:p w14:paraId="420C54DE">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p>
        </w:tc>
        <w:tc>
          <w:tcPr>
            <w:tcW w:w="1175" w:type="dxa"/>
            <w:shd w:val="clear" w:color="auto" w:fill="auto"/>
            <w:vAlign w:val="center"/>
          </w:tcPr>
          <w:p w14:paraId="6E209B5E">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患者诊后管理</w:t>
            </w:r>
          </w:p>
        </w:tc>
        <w:tc>
          <w:tcPr>
            <w:tcW w:w="7922" w:type="dxa"/>
            <w:shd w:val="clear" w:color="auto" w:fill="auto"/>
            <w:vAlign w:val="center"/>
          </w:tcPr>
          <w:p w14:paraId="73F5535D">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提供患者诊后离院、转科、转留观、转院等多种去向管，接诊时门慢以及门特患者会做预提示。</w:t>
            </w:r>
          </w:p>
          <w:p w14:paraId="1BD35C03">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hint="eastAsia" w:ascii="宋体" w:hAnsi="宋体" w:cs="宋体"/>
                <w:bCs/>
                <w:color w:val="auto"/>
                <w:szCs w:val="21"/>
                <w:highlight w:val="none"/>
              </w:rPr>
            </w:pPr>
            <w:r>
              <w:rPr>
                <w:rFonts w:hint="eastAsia" w:ascii="宋体" w:hAnsi="宋体" w:cs="宋体"/>
                <w:bCs/>
                <w:color w:val="auto"/>
                <w:szCs w:val="21"/>
                <w:highlight w:val="none"/>
              </w:rPr>
              <w:t>支持统一查看患者本次就诊处方、费用信息。</w:t>
            </w:r>
          </w:p>
          <w:p w14:paraId="3310955E">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r>
              <w:rPr>
                <w:rFonts w:hint="eastAsia" w:ascii="宋体" w:hAnsi="宋体" w:cs="宋体"/>
                <w:bCs/>
                <w:color w:val="auto"/>
                <w:szCs w:val="21"/>
                <w:highlight w:val="none"/>
              </w:rPr>
              <w:t>提供“复诊预约”可单纯勾选复诊日期的功能，并在复诊日期前一个星期及前一日有消息提醒（短信、公众号推送等），同时提供消息提醒时间和内容维护管理功能。</w:t>
            </w:r>
          </w:p>
        </w:tc>
      </w:tr>
      <w:tr w14:paraId="39B27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821" w:type="dxa"/>
            <w:vMerge w:val="continue"/>
            <w:shd w:val="clear" w:color="auto" w:fill="auto"/>
            <w:vAlign w:val="center"/>
          </w:tcPr>
          <w:p w14:paraId="4366A052">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p>
        </w:tc>
        <w:tc>
          <w:tcPr>
            <w:tcW w:w="1175" w:type="dxa"/>
            <w:shd w:val="clear" w:color="auto" w:fill="auto"/>
            <w:vAlign w:val="center"/>
          </w:tcPr>
          <w:p w14:paraId="02A8A7EC">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hint="eastAsia" w:ascii="宋体" w:hAnsi="宋体" w:cs="宋体"/>
                <w:color w:val="auto"/>
                <w:kern w:val="0"/>
                <w:szCs w:val="21"/>
                <w:highlight w:val="none"/>
              </w:rPr>
            </w:pPr>
            <w:r>
              <w:rPr>
                <w:rFonts w:hint="eastAsia" w:ascii="宋体" w:hAnsi="宋体" w:cs="宋体"/>
                <w:kern w:val="0"/>
                <w:szCs w:val="21"/>
                <w:lang w:val="en-US" w:eastAsia="zh-CN"/>
              </w:rPr>
              <w:t>患者导诊单打印</w:t>
            </w:r>
          </w:p>
        </w:tc>
        <w:tc>
          <w:tcPr>
            <w:tcW w:w="7922" w:type="dxa"/>
            <w:shd w:val="clear" w:color="auto" w:fill="auto"/>
            <w:vAlign w:val="center"/>
          </w:tcPr>
          <w:p w14:paraId="369CFE50">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hint="eastAsia" w:ascii="宋体" w:hAnsi="宋体" w:cs="宋体"/>
                <w:bCs/>
                <w:color w:val="auto"/>
                <w:szCs w:val="21"/>
                <w:highlight w:val="none"/>
              </w:rPr>
            </w:pPr>
            <w:r>
              <w:rPr>
                <w:rFonts w:hint="eastAsia" w:ascii="宋体" w:hAnsi="宋体" w:cs="宋体"/>
                <w:bCs/>
                <w:color w:val="auto"/>
                <w:szCs w:val="21"/>
                <w:highlight w:val="none"/>
              </w:rPr>
              <w:t>系统提供患者导诊单打印功能，导诊单需要包含患者个人基本信息（姓名、性别、年龄、就诊卡号、就诊科室、联系方式）、患者二维码（二维码可用于收费、报道、发药、检验、检查等窗口读取患者信息，类似现有的医保卡、健康卡、医保电子凭证、健康码的功能）、医师开具的项目及导诊指引：包括缴费、取药、检验检查，指引需要显示具体地点。</w:t>
            </w:r>
          </w:p>
        </w:tc>
      </w:tr>
      <w:tr w14:paraId="13212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821" w:type="dxa"/>
            <w:vMerge w:val="continue"/>
            <w:shd w:val="clear" w:color="auto" w:fill="auto"/>
            <w:vAlign w:val="center"/>
          </w:tcPr>
          <w:p w14:paraId="6E60BB9E">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p>
        </w:tc>
        <w:tc>
          <w:tcPr>
            <w:tcW w:w="9097" w:type="dxa"/>
            <w:gridSpan w:val="2"/>
            <w:shd w:val="clear" w:color="auto" w:fill="auto"/>
            <w:vAlign w:val="center"/>
          </w:tcPr>
          <w:p w14:paraId="2C78033E">
            <w:pPr>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Cs w:val="21"/>
                <w:highlight w:val="none"/>
              </w:rPr>
            </w:pPr>
            <w:r>
              <w:rPr>
                <w:rFonts w:ascii="宋体" w:hAnsi="宋体" w:cs="宋体"/>
                <w:color w:val="auto"/>
                <w:kern w:val="0"/>
                <w:szCs w:val="21"/>
                <w:highlight w:val="none"/>
              </w:rPr>
              <w:t>门诊诊断管理</w:t>
            </w:r>
          </w:p>
        </w:tc>
      </w:tr>
      <w:tr w14:paraId="137F2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821" w:type="dxa"/>
            <w:vMerge w:val="continue"/>
            <w:shd w:val="clear" w:color="auto" w:fill="auto"/>
            <w:vAlign w:val="center"/>
          </w:tcPr>
          <w:p w14:paraId="7A3A6F9F">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p>
        </w:tc>
        <w:tc>
          <w:tcPr>
            <w:tcW w:w="1175" w:type="dxa"/>
            <w:shd w:val="clear" w:color="auto" w:fill="auto"/>
            <w:vAlign w:val="center"/>
          </w:tcPr>
          <w:p w14:paraId="2ED9223F">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Cs w:val="21"/>
                <w:highlight w:val="none"/>
              </w:rPr>
            </w:pPr>
            <w:r>
              <w:rPr>
                <w:rFonts w:ascii="宋体" w:hAnsi="宋体" w:cs="宋体"/>
                <w:color w:val="auto"/>
                <w:kern w:val="0"/>
                <w:szCs w:val="21"/>
                <w:highlight w:val="none"/>
              </w:rPr>
              <w:t>门诊诊断管理</w:t>
            </w:r>
          </w:p>
        </w:tc>
        <w:tc>
          <w:tcPr>
            <w:tcW w:w="7922" w:type="dxa"/>
            <w:shd w:val="clear" w:color="auto" w:fill="auto"/>
            <w:vAlign w:val="center"/>
          </w:tcPr>
          <w:p w14:paraId="5B038B8C">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支持门诊诊断规范化管理，对标ICD-10标准编码及自定义临床诊断名称描述。自定义临床诊断需在ICD关键字段前后增加，不可删除ICD关键字段。</w:t>
            </w:r>
          </w:p>
          <w:p w14:paraId="320D70B2">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支持门诊诊断栏缩放功能，并在展开式诊断管理中，提供患者诊断助手功能，包括患者历史诊断、常用诊断、高频诊断等内容，方便医生录入。既往住院、门诊诊断导入功能</w:t>
            </w:r>
          </w:p>
          <w:p w14:paraId="48A939A6">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支持疾病报卡并与诊断关联，实现诊断下达的同时实现疾病登记接口</w:t>
            </w:r>
            <w:r>
              <w:rPr>
                <w:rFonts w:hint="eastAsia" w:ascii="宋体" w:hAnsi="宋体" w:cs="宋体"/>
                <w:bCs/>
                <w:color w:val="auto"/>
                <w:szCs w:val="21"/>
                <w:highlight w:val="none"/>
                <w:lang w:eastAsia="zh-CN"/>
              </w:rPr>
              <w:t>，包括但不限于罕见病</w:t>
            </w:r>
            <w:r>
              <w:rPr>
                <w:rFonts w:hint="eastAsia" w:ascii="宋体" w:hAnsi="宋体" w:cs="宋体"/>
                <w:bCs/>
                <w:color w:val="auto"/>
                <w:szCs w:val="21"/>
                <w:highlight w:val="none"/>
              </w:rPr>
              <w:t>。</w:t>
            </w:r>
          </w:p>
          <w:p w14:paraId="1F157F1B">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支持诊断与病历信息对接，实现诊断录入完成后病历诊断数据自动导入。</w:t>
            </w:r>
          </w:p>
          <w:p w14:paraId="16B9F492">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门诊诊断证明管理，在门诊中提供患者门诊诊断证明开立功能，可定制打印格式（由院方门诊办提供明确具体格式并签字确认后由乙方配置实现）；提供门诊请假证明开立功能，可为患者开立请假证明书并打印。诊断证明开立流程支持审核、无须审核两种模式。（审核流向管理部门，不审核的科室主任审核。</w:t>
            </w:r>
            <w:r>
              <w:rPr>
                <w:rFonts w:ascii="宋体" w:hAnsi="宋体" w:cs="宋体"/>
                <w:bCs/>
                <w:color w:val="auto"/>
                <w:szCs w:val="21"/>
                <w:highlight w:val="none"/>
              </w:rPr>
              <w:t>）</w:t>
            </w:r>
          </w:p>
          <w:p w14:paraId="28C9FD92">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ascii="宋体" w:hAnsi="宋体" w:cs="宋体"/>
                <w:bCs/>
                <w:color w:val="auto"/>
                <w:szCs w:val="21"/>
                <w:highlight w:val="none"/>
              </w:rPr>
              <w:t>医生开具完成的疾病诊断证明以及请假证明流转医务管理系统医疗证明审核模块，经过门诊办审批后加认证电子签章。患者可以前往综合服务台打印证明。已审批证明可以多次打印，补打时候需要填写补打理由以及记录打印时间</w:t>
            </w:r>
            <w:r>
              <w:rPr>
                <w:rFonts w:hint="eastAsia" w:ascii="宋体" w:hAnsi="宋体" w:cs="宋体"/>
                <w:bCs/>
                <w:color w:val="auto"/>
                <w:szCs w:val="21"/>
                <w:highlight w:val="none"/>
              </w:rPr>
              <w:t>(备注，H</w:t>
            </w:r>
            <w:r>
              <w:rPr>
                <w:rFonts w:ascii="宋体" w:hAnsi="宋体" w:cs="宋体"/>
                <w:bCs/>
                <w:color w:val="auto"/>
                <w:szCs w:val="21"/>
                <w:highlight w:val="none"/>
              </w:rPr>
              <w:t>IS</w:t>
            </w:r>
            <w:r>
              <w:rPr>
                <w:rFonts w:hint="eastAsia" w:ascii="宋体" w:hAnsi="宋体" w:cs="宋体"/>
                <w:bCs/>
                <w:color w:val="auto"/>
                <w:szCs w:val="21"/>
                <w:highlight w:val="none"/>
              </w:rPr>
              <w:t>提供诊断证明与请假证明接口给医务系统接口，在医务管理系统审核)</w:t>
            </w:r>
          </w:p>
          <w:p w14:paraId="466B0A83">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color w:val="auto"/>
                <w:highlight w:val="none"/>
              </w:rPr>
            </w:pPr>
            <w:r>
              <w:rPr>
                <w:rFonts w:ascii="宋体" w:hAnsi="宋体" w:cs="宋体"/>
                <w:color w:val="auto"/>
                <w:highlight w:val="none"/>
                <w:shd w:val="clear" w:color="auto"/>
              </w:rPr>
              <w:t>门诊医生工作站可以查询到急诊患者病历</w:t>
            </w:r>
            <w:r>
              <w:rPr>
                <w:rFonts w:hint="eastAsia" w:ascii="宋体" w:hAnsi="宋体" w:cs="宋体"/>
                <w:color w:val="auto"/>
                <w:highlight w:val="none"/>
                <w:shd w:val="clear" w:color="auto"/>
              </w:rPr>
              <w:t>（如急诊病历采用H</w:t>
            </w:r>
            <w:r>
              <w:rPr>
                <w:rFonts w:ascii="宋体" w:hAnsi="宋体" w:cs="宋体"/>
                <w:color w:val="auto"/>
                <w:highlight w:val="none"/>
                <w:shd w:val="clear" w:color="auto"/>
              </w:rPr>
              <w:t>IS</w:t>
            </w:r>
            <w:r>
              <w:rPr>
                <w:rFonts w:hint="eastAsia" w:ascii="宋体" w:hAnsi="宋体" w:cs="宋体"/>
                <w:color w:val="auto"/>
                <w:highlight w:val="none"/>
                <w:shd w:val="clear" w:color="auto"/>
              </w:rPr>
              <w:t>系统病历，则可以直接查询，如急诊病历采用三方病历，则需要院方协调三方厂商提供病历查询接口）</w:t>
            </w:r>
          </w:p>
          <w:p w14:paraId="18F9C770">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color w:val="auto"/>
                <w:highlight w:val="none"/>
              </w:rPr>
            </w:pPr>
            <w:r>
              <w:rPr>
                <w:rFonts w:hint="eastAsia"/>
                <w:color w:val="auto"/>
                <w:highlight w:val="none"/>
                <w:lang w:eastAsia="zh-CN"/>
              </w:rPr>
              <w:t>历史住院患者在门诊就诊时可以</w:t>
            </w:r>
            <w:r>
              <w:rPr>
                <w:rFonts w:hint="eastAsia"/>
                <w:color w:val="auto"/>
                <w:highlight w:val="none"/>
              </w:rPr>
              <w:t>提取可选择的具体某次住院的出院诊断（每个诊断均可供选择）</w:t>
            </w:r>
            <w:r>
              <w:rPr>
                <w:rFonts w:hint="eastAsia"/>
                <w:color w:val="auto"/>
                <w:highlight w:val="none"/>
                <w:lang w:eastAsia="zh-CN"/>
              </w:rPr>
              <w:t>，</w:t>
            </w:r>
            <w:r>
              <w:rPr>
                <w:rFonts w:hint="eastAsia"/>
                <w:color w:val="auto"/>
                <w:highlight w:val="none"/>
              </w:rPr>
              <w:t>提取可选择的具体某次住院的出院带药（每种药物均可供选择）。</w:t>
            </w:r>
          </w:p>
        </w:tc>
      </w:tr>
      <w:tr w14:paraId="7AD5E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821" w:type="dxa"/>
            <w:vMerge w:val="continue"/>
            <w:shd w:val="clear" w:color="auto" w:fill="auto"/>
            <w:vAlign w:val="center"/>
          </w:tcPr>
          <w:p w14:paraId="0F119134">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p>
        </w:tc>
        <w:tc>
          <w:tcPr>
            <w:tcW w:w="9097" w:type="dxa"/>
            <w:gridSpan w:val="2"/>
            <w:shd w:val="clear" w:color="auto" w:fill="auto"/>
            <w:vAlign w:val="center"/>
          </w:tcPr>
          <w:p w14:paraId="2FFC3DA6">
            <w:pPr>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Cs w:val="21"/>
                <w:highlight w:val="none"/>
              </w:rPr>
            </w:pPr>
            <w:r>
              <w:rPr>
                <w:rFonts w:ascii="宋体" w:hAnsi="宋体" w:cs="宋体"/>
                <w:color w:val="auto"/>
                <w:kern w:val="0"/>
                <w:szCs w:val="21"/>
                <w:highlight w:val="none"/>
              </w:rPr>
              <w:t>门诊医嘱管理</w:t>
            </w:r>
          </w:p>
        </w:tc>
      </w:tr>
      <w:tr w14:paraId="1C0C7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821" w:type="dxa"/>
            <w:vMerge w:val="continue"/>
            <w:shd w:val="clear" w:color="auto" w:fill="auto"/>
            <w:vAlign w:val="center"/>
          </w:tcPr>
          <w:p w14:paraId="7B15ECFF">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p>
        </w:tc>
        <w:tc>
          <w:tcPr>
            <w:tcW w:w="1175" w:type="dxa"/>
            <w:shd w:val="clear" w:color="auto" w:fill="auto"/>
            <w:vAlign w:val="center"/>
          </w:tcPr>
          <w:p w14:paraId="1331F5FD">
            <w:pPr>
              <w:keepNext w:val="0"/>
              <w:keepLines w:val="0"/>
              <w:pageBreakBefore w:val="0"/>
              <w:numPr>
                <w:ilvl w:val="-1"/>
                <w:numId w:val="0"/>
              </w:numPr>
              <w:tabs>
                <w:tab w:val="left" w:pos="525"/>
                <w:tab w:val="left" w:pos="630"/>
              </w:tabs>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门诊医嘱录入模式</w:t>
            </w:r>
          </w:p>
        </w:tc>
        <w:tc>
          <w:tcPr>
            <w:tcW w:w="7922" w:type="dxa"/>
            <w:shd w:val="clear" w:color="auto" w:fill="auto"/>
            <w:vAlign w:val="center"/>
          </w:tcPr>
          <w:p w14:paraId="7EB6AE6B">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持门诊医嘱录入端口统一模式，对各种类型的门诊医嘱统一录入端口，包括西成药、草药、检查、检验、手术、护理、嘱托等医嘱类型，通过分类前缀实现自动分类快速输入；</w:t>
            </w:r>
          </w:p>
          <w:p w14:paraId="414E31F6">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能获取病人全生命周期的信息资料，并能够进行集中 展示，包括机构内外的医疗信息、健康记录、体征检测、随访信息、病人自采健康信息（如健康记录、可 穿戴设备数据）等；打破医嘱和申请单分离录入模式，提供以临床为核心的专业医疗单开嘱模式，提供单一西成药医疗单、成组西成药医疗单、草药医疗单、检验医疗单、检查医疗单、治疗医疗单、手术医疗单等各种医疗单模式，并支持其它特定医嘱场景的专科医疗单定制；</w:t>
            </w:r>
          </w:p>
          <w:p w14:paraId="6FDF8434">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支持检查与医技用药开立在同个医嘱中，下游医技科室同时确认、执行，医技用药支持走科室备药、三级小药房等模式；</w:t>
            </w:r>
          </w:p>
          <w:p w14:paraId="6CDFB6EC">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支持根据患者过敏信息、皮试记录、药品皮试规则智能开立皮试医嘱；</w:t>
            </w:r>
          </w:p>
          <w:p w14:paraId="5D797BA3">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针对需院内执行的医嘱，引入业务执行、临床执行的概念，是业务流转更清晰。开嘱时可根据配置自动带入，例如开立输液医嘱自动带入发药药房、输液执行科室；</w:t>
            </w:r>
          </w:p>
          <w:p w14:paraId="1888F874">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针对药品医嘱提供外送功能。</w:t>
            </w:r>
          </w:p>
          <w:p w14:paraId="18F78189">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 xml:space="preserve">书写处方时可跟踪既往处方执行情况 </w:t>
            </w:r>
          </w:p>
          <w:p w14:paraId="5A45505E">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 xml:space="preserve">处方数据能够自动作为门诊病历内容 </w:t>
            </w:r>
          </w:p>
          <w:p w14:paraId="3029005D">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 xml:space="preserve">能够接收到开方医师自己处方的点评结果 </w:t>
            </w:r>
          </w:p>
          <w:p w14:paraId="2FFFBDF0">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 xml:space="preserve">能够对比历史检验结果和其他医疗机构的检验结果 </w:t>
            </w:r>
          </w:p>
          <w:p w14:paraId="012664FA">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 xml:space="preserve">对于危急值通知具有按时效管控、按接收人员分 级通知、处理记录反馈功能； </w:t>
            </w:r>
          </w:p>
          <w:p w14:paraId="38FC748E">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 xml:space="preserve">委托外部机构完成的检验委托外部机构完成的检验结果，可直接浏览报告 </w:t>
            </w:r>
          </w:p>
          <w:p w14:paraId="48104C18">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 xml:space="preserve">结果，并与检验申请关联 </w:t>
            </w:r>
          </w:p>
          <w:p w14:paraId="34441839">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 xml:space="preserve">门诊检查申请后可随时跟踪检查进展情况 </w:t>
            </w:r>
          </w:p>
          <w:p w14:paraId="336224F0">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 xml:space="preserve">检查申请可利用全院统一的检查安排表自动预约 </w:t>
            </w:r>
          </w:p>
          <w:p w14:paraId="6F9A5FE0">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下达申请时，能够针对病人性别、诊断、以往检 查结果等对申请合理性进行自动检查并提示</w:t>
            </w:r>
          </w:p>
          <w:p w14:paraId="78A359D9">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门诊退药申请线上申请，患者公众号选择以及开具药品目录，提交申请，医生在门诊医生工作进行审批，流程流转至门诊医务管理系统门诊办公室进行审核，然后流转医院药房进行确认</w:t>
            </w:r>
          </w:p>
          <w:p w14:paraId="6AC82A52">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医师在药品医嘱开具界面，可通过双击药品立即查看药品说明书，若为中药药品，可立即查看中药药典。</w:t>
            </w:r>
          </w:p>
          <w:p w14:paraId="662A4104">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支持门特、血透等特殊病种患者在医生开立医嘱或检查治疗项目时选择对应医保结算通道</w:t>
            </w:r>
          </w:p>
          <w:p w14:paraId="7DEB79B8">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r>
              <w:rPr>
                <w:rFonts w:ascii="宋体" w:hAnsi="宋体" w:eastAsia="宋体" w:cs="宋体"/>
                <w:sz w:val="21"/>
                <w:szCs w:val="21"/>
              </w:rPr>
              <w:t>围绕医院双通道/自费外购药业务流程建设，配合完成相关系统接口开发、对接及页面改造工作。</w:t>
            </w:r>
          </w:p>
        </w:tc>
      </w:tr>
      <w:tr w14:paraId="761A8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821" w:type="dxa"/>
            <w:vMerge w:val="continue"/>
            <w:shd w:val="clear" w:color="auto" w:fill="auto"/>
            <w:vAlign w:val="center"/>
          </w:tcPr>
          <w:p w14:paraId="2569A35E">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p>
        </w:tc>
        <w:tc>
          <w:tcPr>
            <w:tcW w:w="1175" w:type="dxa"/>
            <w:shd w:val="clear" w:color="auto" w:fill="auto"/>
            <w:vAlign w:val="center"/>
          </w:tcPr>
          <w:p w14:paraId="60AD2004">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门诊医嘱规范管理</w:t>
            </w:r>
          </w:p>
        </w:tc>
        <w:tc>
          <w:tcPr>
            <w:tcW w:w="7922" w:type="dxa"/>
            <w:shd w:val="clear" w:color="auto" w:fill="auto"/>
            <w:vAlign w:val="center"/>
          </w:tcPr>
          <w:p w14:paraId="6CB2359B">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规范化门诊医嘱状态管理，提供已开医嘱的集中展示功能，可按全部、药品、检验、检查、诊疗分类管理；并实现医嘱自动分方与打印功能，按处方拆分规则进行处方拆分，医生开嘱时无需顾虑处方是否符合规范。分方规则以处方管理办法为依据，提供基于用法类型、保险计划、门特门慢病种</w:t>
            </w:r>
          </w:p>
          <w:p w14:paraId="0BBF7AB1">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特殊药品类型、发药药房等设置分方规则。医生开嘱后，自动根据分方规则生成处方。</w:t>
            </w:r>
          </w:p>
          <w:p w14:paraId="73857D09">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ind w:left="0"/>
              <w:jc w:val="left"/>
              <w:textAlignment w:val="auto"/>
              <w:rPr>
                <w:rFonts w:ascii="宋体" w:hAnsi="宋体" w:cs="宋体"/>
                <w:bCs/>
                <w:color w:val="auto"/>
                <w:szCs w:val="21"/>
                <w:highlight w:val="none"/>
              </w:rPr>
            </w:pPr>
            <w:r>
              <w:rPr>
                <w:rFonts w:hint="eastAsia" w:ascii="宋体" w:hAnsi="宋体" w:cs="宋体"/>
                <w:bCs/>
                <w:color w:val="auto"/>
                <w:szCs w:val="21"/>
                <w:highlight w:val="none"/>
              </w:rPr>
              <w:t>增设门诊电子外带处方，设置处方电子编码，医生直接在线上开电子外带处方，加盖医生认证签章，经临床药师审核后，医生直接打印。后天管理：所有开具的电子处方按管理要求填写相关信息形成监管台账，授权门诊办以及药学部进行质控管理。（外带处方：指本院医生开出来的处方，经药师审方后，患者拿着处方去外面药房购药。这里需要将外带处方对接合理用药系统，实现药师线上审方）</w:t>
            </w:r>
          </w:p>
          <w:p w14:paraId="6612B0EE">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在用药安全性方面，系统内置临床知识库接口，根据就诊诊断、检查、检验结果智能推荐以及审查治疗方案，并支持与审方系统、处方点评系统对接，在诊中与诊后全流程闭环以确保医嘱安全质量。门诊医嘱中还引入抗菌药物、精神毒麻、高危药品等特殊药品医嘱的开立权限控制。以满足医疗质量安全监管。开立医嘱时提供医保适应症的提醒与选择。</w:t>
            </w:r>
          </w:p>
          <w:p w14:paraId="3AB64C58">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急诊处方药品使用天数不允许输入超过3天</w:t>
            </w:r>
          </w:p>
          <w:p w14:paraId="58AD05F3">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 门诊处方药品使用天数不允许输入超过12周</w:t>
            </w:r>
          </w:p>
          <w:p w14:paraId="03E79B06">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门诊药品医嘱开具界面增加“用药理由”填写功能，当使用天数超过7天，小于28天，用药理由必填，未填写不可提交医嘱</w:t>
            </w:r>
          </w:p>
          <w:p w14:paraId="61765A9F">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系统根据医师输入的药品用法用量、使用天数后应自动计算药品数量，计算得出的药品数量可以修改，但只能降低，不能增加。用药无法计算处方盒数时，可给医生输入盒数。（需药学部维护好药品字典基础信息）。</w:t>
            </w:r>
          </w:p>
          <w:p w14:paraId="7EA47C43">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药品单次用量可输入不同剂量，例如，每天两次，可输入早上1片，晚上2片（规则细化，维护功能）。</w:t>
            </w:r>
          </w:p>
          <w:p w14:paraId="115BEACE">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ascii="宋体" w:hAnsi="宋体" w:eastAsia="宋体" w:cs="宋体"/>
                <w:sz w:val="21"/>
                <w:szCs w:val="21"/>
              </w:rPr>
              <w:t>1、管控药品维护功能：支持根据</w:t>
            </w:r>
            <w:r>
              <w:rPr>
                <w:rFonts w:hint="eastAsia" w:ascii="宋体" w:hAnsi="宋体" w:eastAsia="宋体" w:cs="宋体"/>
                <w:sz w:val="21"/>
                <w:szCs w:val="21"/>
              </w:rPr>
              <w:t>患者就诊类型（如普通门诊、一类门特、二类门特、其它慢病）、</w:t>
            </w:r>
            <w:r>
              <w:rPr>
                <w:rFonts w:ascii="宋体" w:hAnsi="宋体" w:eastAsia="宋体" w:cs="宋体"/>
                <w:sz w:val="21"/>
                <w:szCs w:val="21"/>
              </w:rPr>
              <w:t>药品类型或具体药品维护管控的药品范围，支持设置管控时间（具体到日）。</w:t>
            </w:r>
            <w:r>
              <w:rPr>
                <w:rFonts w:ascii="宋体" w:hAnsi="宋体" w:eastAsia="宋体" w:cs="宋体"/>
                <w:sz w:val="21"/>
                <w:szCs w:val="21"/>
              </w:rPr>
              <w:br w:type="textWrapping"/>
            </w:r>
            <w:r>
              <w:rPr>
                <w:rFonts w:ascii="宋体" w:hAnsi="宋体" w:eastAsia="宋体" w:cs="宋体"/>
                <w:sz w:val="21"/>
                <w:szCs w:val="21"/>
              </w:rPr>
              <w:t>2、余药量计算功能：医师开具处方时，系统需自动计算患者同一种药品的余药量，余药量的计算公式由院方确定。余药量计算时剔除退药的情形。</w:t>
            </w:r>
            <w:r>
              <w:rPr>
                <w:rFonts w:ascii="宋体" w:hAnsi="宋体" w:eastAsia="宋体" w:cs="宋体"/>
                <w:sz w:val="21"/>
                <w:szCs w:val="21"/>
              </w:rPr>
              <w:br w:type="textWrapping"/>
            </w:r>
            <w:r>
              <w:rPr>
                <w:rFonts w:ascii="宋体" w:hAnsi="宋体" w:eastAsia="宋体" w:cs="宋体"/>
                <w:sz w:val="21"/>
                <w:szCs w:val="21"/>
              </w:rPr>
              <w:t>3、超7天余药量柔性提醒功能：当余药量大于7天时，弹框提醒，弹框内容需具体显示药品名称，剩余的用药天数，并支持医师选择继续开药的原因。医师选择的原因支持在病历进行引用。</w:t>
            </w:r>
            <w:r>
              <w:rPr>
                <w:rFonts w:ascii="宋体" w:hAnsi="宋体" w:eastAsia="宋体" w:cs="宋体"/>
                <w:sz w:val="21"/>
                <w:szCs w:val="21"/>
              </w:rPr>
              <w:br w:type="textWrapping"/>
            </w:r>
            <w:r>
              <w:rPr>
                <w:rFonts w:ascii="宋体" w:hAnsi="宋体" w:eastAsia="宋体" w:cs="宋体"/>
                <w:sz w:val="21"/>
                <w:szCs w:val="21"/>
              </w:rPr>
              <w:t>4、刚性拦截功能：支持根据余药量天数、医生职称、药品目录类型设置刚性拦截功能，符合刚性拦截规则，不允许医生提交处方。刚性拦截时，需显示具体拦截的药品名称，拦截的原因，当次允许的开药量。</w:t>
            </w:r>
            <w:r>
              <w:rPr>
                <w:rFonts w:ascii="宋体" w:hAnsi="宋体" w:eastAsia="宋体" w:cs="宋体"/>
                <w:sz w:val="21"/>
                <w:szCs w:val="21"/>
              </w:rPr>
              <w:br w:type="textWrapping"/>
            </w:r>
            <w:r>
              <w:rPr>
                <w:rFonts w:ascii="宋体" w:hAnsi="宋体" w:eastAsia="宋体" w:cs="宋体"/>
                <w:sz w:val="21"/>
                <w:szCs w:val="21"/>
              </w:rPr>
              <w:t>5、患者白名单维护功能：增加某一药品患者白名单维护功能，可按身份证号、门诊号、姓名查找，可设置白名单生效时间，设置患者为某个药品的白名单后，若处在生效时间内，不触发刚性拦截，生效时间以外，正常拦截。</w:t>
            </w:r>
          </w:p>
          <w:p w14:paraId="7B1B4F77">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hint="eastAsia" w:ascii="宋体" w:hAnsi="宋体" w:cs="宋体"/>
                <w:bCs/>
                <w:color w:val="auto"/>
                <w:szCs w:val="21"/>
                <w:highlight w:val="none"/>
              </w:rPr>
            </w:pPr>
            <w:r>
              <w:rPr>
                <w:rFonts w:hint="eastAsia" w:ascii="宋体" w:hAnsi="宋体" w:cs="宋体"/>
                <w:bCs/>
                <w:color w:val="auto"/>
                <w:szCs w:val="21"/>
                <w:highlight w:val="none"/>
                <w:lang w:eastAsia="zh-CN"/>
              </w:rPr>
              <w:t>（</w:t>
            </w:r>
            <w:r>
              <w:rPr>
                <w:rFonts w:hint="eastAsia" w:ascii="宋体" w:hAnsi="宋体" w:cs="宋体"/>
                <w:bCs/>
                <w:color w:val="auto"/>
                <w:szCs w:val="21"/>
                <w:highlight w:val="none"/>
                <w:lang w:val="en-US" w:eastAsia="zh-CN"/>
              </w:rPr>
              <w:t>本功能待系统建设时评估</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rPr>
              <w:t>大处方监测预警，当处方金额大于医院自定义的金额（如1000元）时，可提醒医生大处方。可自定义药品的大金额处方金额范围，可设置药品白名单，药师对大金额处方干预。支持</w:t>
            </w:r>
            <w:r>
              <w:rPr>
                <w:rFonts w:hint="eastAsia" w:ascii="宋体" w:hAnsi="宋体" w:cs="宋体"/>
                <w:bCs/>
                <w:color w:val="auto"/>
                <w:szCs w:val="21"/>
                <w:highlight w:val="none"/>
                <w:lang w:val="en-US" w:eastAsia="zh-CN"/>
              </w:rPr>
              <w:t>药师根据</w:t>
            </w:r>
            <w:r>
              <w:rPr>
                <w:rFonts w:hint="eastAsia" w:ascii="宋体" w:hAnsi="宋体" w:cs="宋体"/>
                <w:bCs/>
                <w:color w:val="auto"/>
                <w:szCs w:val="21"/>
                <w:highlight w:val="none"/>
              </w:rPr>
              <w:t>自定义时间段</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rPr>
              <w:t>科室、医生、药品维度、金额范围，统计大处方预警和开具情况。</w:t>
            </w:r>
          </w:p>
          <w:p w14:paraId="6EEFD305">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w:t>
            </w:r>
            <w:r>
              <w:rPr>
                <w:rFonts w:hint="eastAsia" w:ascii="宋体" w:hAnsi="宋体" w:cs="宋体"/>
                <w:bCs/>
                <w:color w:val="auto"/>
                <w:szCs w:val="21"/>
                <w:highlight w:val="none"/>
                <w:lang w:val="en-US" w:eastAsia="zh-CN"/>
              </w:rPr>
              <w:t>药师</w:t>
            </w:r>
            <w:r>
              <w:rPr>
                <w:rFonts w:hint="eastAsia" w:ascii="宋体" w:hAnsi="宋体" w:cs="宋体"/>
                <w:bCs/>
                <w:color w:val="auto"/>
                <w:szCs w:val="21"/>
                <w:highlight w:val="none"/>
              </w:rPr>
              <w:t>自主维护不同患者就诊类型（如普通门诊、一类门特、二类门特、其它慢病）、药品类型的限制天数</w:t>
            </w:r>
            <w:r>
              <w:rPr>
                <w:rFonts w:hint="eastAsia" w:ascii="宋体" w:hAnsi="宋体" w:cs="宋体"/>
                <w:bCs/>
                <w:color w:val="auto"/>
                <w:szCs w:val="21"/>
                <w:highlight w:val="none"/>
                <w:lang w:eastAsia="zh-CN"/>
              </w:rPr>
              <w:t>。</w:t>
            </w:r>
          </w:p>
        </w:tc>
      </w:tr>
      <w:tr w14:paraId="45787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821" w:type="dxa"/>
            <w:vMerge w:val="continue"/>
            <w:shd w:val="clear" w:color="auto" w:fill="auto"/>
            <w:vAlign w:val="center"/>
          </w:tcPr>
          <w:p w14:paraId="73509896">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p>
        </w:tc>
        <w:tc>
          <w:tcPr>
            <w:tcW w:w="1175" w:type="dxa"/>
            <w:shd w:val="clear" w:color="auto" w:fill="auto"/>
            <w:vAlign w:val="center"/>
          </w:tcPr>
          <w:p w14:paraId="75FAA14F">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门诊医嘱助手录入</w:t>
            </w:r>
          </w:p>
        </w:tc>
        <w:tc>
          <w:tcPr>
            <w:tcW w:w="7922" w:type="dxa"/>
            <w:shd w:val="clear" w:color="auto" w:fill="auto"/>
            <w:vAlign w:val="center"/>
          </w:tcPr>
          <w:p w14:paraId="2B0B466B">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提供门诊医嘱界面缩放功能，通过医嘱助手功能，实现临床医嘱的快速开立。在助手功能中，支持对医嘱模版大组套概念的引用；支持根据患者诊断与诊断分类、性别及年龄段，自动推荐医嘱模板；</w:t>
            </w:r>
          </w:p>
          <w:p w14:paraId="6A992DF1">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支持对患者历史数据的引用；支持对高频检查、高频药品、高频处置、常用个嘱的引用管理。并结合集中式开单模式，对检验、检查、病理类型医嘱集中式操作。提供复制当前患者已开立的医嘱。</w:t>
            </w:r>
          </w:p>
          <w:p w14:paraId="118463CD">
            <w:pPr>
              <w:keepNext w:val="0"/>
              <w:keepLines w:val="0"/>
              <w:pageBreakBefore w:val="0"/>
              <w:tabs>
                <w:tab w:val="left" w:pos="525"/>
                <w:tab w:val="left" w:pos="630"/>
              </w:tabs>
              <w:kinsoku/>
              <w:wordWrap/>
              <w:overflowPunct/>
              <w:topLinePunct w:val="0"/>
              <w:autoSpaceDE/>
              <w:autoSpaceDN/>
              <w:bidi w:val="0"/>
              <w:adjustRightInd w:val="0"/>
              <w:snapToGrid w:val="0"/>
              <w:spacing w:line="360" w:lineRule="auto"/>
              <w:ind w:left="440"/>
              <w:jc w:val="left"/>
              <w:textAlignment w:val="auto"/>
              <w:rPr>
                <w:rFonts w:ascii="宋体" w:hAnsi="宋体" w:cs="宋体"/>
                <w:bCs/>
                <w:color w:val="auto"/>
                <w:szCs w:val="21"/>
                <w:highlight w:val="none"/>
              </w:rPr>
            </w:pPr>
            <w:r>
              <w:rPr>
                <w:rFonts w:hint="eastAsia" w:ascii="宋体" w:hAnsi="宋体" w:cs="宋体"/>
                <w:bCs/>
                <w:color w:val="auto"/>
                <w:szCs w:val="21"/>
                <w:highlight w:val="none"/>
              </w:rPr>
              <w:t xml:space="preserve">（1）形成完整的检验闭环，检验申请、标本情况能够随时跟踪 </w:t>
            </w:r>
          </w:p>
          <w:p w14:paraId="1EF55C82">
            <w:pPr>
              <w:keepNext w:val="0"/>
              <w:keepLines w:val="0"/>
              <w:pageBreakBefore w:val="0"/>
              <w:tabs>
                <w:tab w:val="left" w:pos="525"/>
                <w:tab w:val="left" w:pos="630"/>
              </w:tabs>
              <w:kinsoku/>
              <w:wordWrap/>
              <w:overflowPunct/>
              <w:topLinePunct w:val="0"/>
              <w:autoSpaceDE/>
              <w:autoSpaceDN/>
              <w:bidi w:val="0"/>
              <w:adjustRightInd w:val="0"/>
              <w:snapToGrid w:val="0"/>
              <w:spacing w:line="360" w:lineRule="auto"/>
              <w:ind w:left="440"/>
              <w:jc w:val="left"/>
              <w:textAlignment w:val="auto"/>
              <w:rPr>
                <w:rFonts w:ascii="宋体" w:hAnsi="宋体" w:cs="宋体"/>
                <w:bCs/>
                <w:color w:val="auto"/>
                <w:szCs w:val="21"/>
                <w:highlight w:val="none"/>
              </w:rPr>
            </w:pPr>
            <w:r>
              <w:rPr>
                <w:rFonts w:hint="eastAsia" w:ascii="宋体" w:hAnsi="宋体" w:cs="宋体"/>
                <w:bCs/>
                <w:color w:val="auto"/>
                <w:szCs w:val="21"/>
                <w:highlight w:val="none"/>
              </w:rPr>
              <w:t>（2）能够针对病人性别、诊断、以往检验申请与结果等进行申请合理性自动审核并针对问题申请给出提示（院方协调C</w:t>
            </w:r>
            <w:r>
              <w:rPr>
                <w:rFonts w:ascii="宋体" w:hAnsi="宋体" w:cs="宋体"/>
                <w:bCs/>
                <w:color w:val="auto"/>
                <w:szCs w:val="21"/>
                <w:highlight w:val="none"/>
              </w:rPr>
              <w:t>DSS</w:t>
            </w:r>
            <w:r>
              <w:rPr>
                <w:rFonts w:hint="eastAsia" w:ascii="宋体" w:hAnsi="宋体" w:cs="宋体"/>
                <w:bCs/>
                <w:color w:val="auto"/>
                <w:szCs w:val="21"/>
                <w:highlight w:val="none"/>
              </w:rPr>
              <w:t>厂商与H</w:t>
            </w:r>
            <w:r>
              <w:rPr>
                <w:rFonts w:ascii="宋体" w:hAnsi="宋体" w:cs="宋体"/>
                <w:bCs/>
                <w:color w:val="auto"/>
                <w:szCs w:val="21"/>
                <w:highlight w:val="none"/>
              </w:rPr>
              <w:t>IS</w:t>
            </w:r>
            <w:r>
              <w:rPr>
                <w:rFonts w:hint="eastAsia" w:ascii="宋体" w:hAnsi="宋体" w:cs="宋体"/>
                <w:bCs/>
                <w:color w:val="auto"/>
                <w:szCs w:val="21"/>
                <w:highlight w:val="none"/>
              </w:rPr>
              <w:t>进行对接，由C</w:t>
            </w:r>
            <w:r>
              <w:rPr>
                <w:rFonts w:ascii="宋体" w:hAnsi="宋体" w:cs="宋体"/>
                <w:bCs/>
                <w:color w:val="auto"/>
                <w:szCs w:val="21"/>
                <w:highlight w:val="none"/>
              </w:rPr>
              <w:t>DSS</w:t>
            </w:r>
            <w:r>
              <w:rPr>
                <w:rFonts w:hint="eastAsia" w:ascii="宋体" w:hAnsi="宋体" w:cs="宋体"/>
                <w:bCs/>
                <w:color w:val="auto"/>
                <w:szCs w:val="21"/>
                <w:highlight w:val="none"/>
              </w:rPr>
              <w:t>规则库来支持该功能）</w:t>
            </w:r>
          </w:p>
          <w:p w14:paraId="55321212">
            <w:pPr>
              <w:keepNext w:val="0"/>
              <w:keepLines w:val="0"/>
              <w:pageBreakBefore w:val="0"/>
              <w:tabs>
                <w:tab w:val="left" w:pos="525"/>
                <w:tab w:val="left" w:pos="630"/>
              </w:tabs>
              <w:kinsoku/>
              <w:wordWrap/>
              <w:overflowPunct/>
              <w:topLinePunct w:val="0"/>
              <w:autoSpaceDE/>
              <w:autoSpaceDN/>
              <w:bidi w:val="0"/>
              <w:adjustRightInd w:val="0"/>
              <w:snapToGrid w:val="0"/>
              <w:spacing w:line="360" w:lineRule="auto"/>
              <w:ind w:left="440"/>
              <w:jc w:val="left"/>
              <w:textAlignment w:val="auto"/>
              <w:rPr>
                <w:rFonts w:ascii="宋体" w:hAnsi="宋体" w:cs="宋体"/>
                <w:bCs/>
                <w:color w:val="auto"/>
                <w:szCs w:val="21"/>
                <w:highlight w:val="none"/>
              </w:rPr>
            </w:pPr>
            <w:r>
              <w:rPr>
                <w:rFonts w:hint="eastAsia" w:ascii="宋体" w:hAnsi="宋体" w:cs="宋体"/>
                <w:bCs/>
                <w:color w:val="auto"/>
                <w:szCs w:val="21"/>
                <w:highlight w:val="none"/>
              </w:rPr>
              <w:t xml:space="preserve">（3）申请检验时，能够查询历史检验结果、其他医疗机构（已接入本区域互联互通平台的医疗机构）检验结果和报告 </w:t>
            </w:r>
          </w:p>
          <w:p w14:paraId="7CEC10E8">
            <w:pPr>
              <w:keepNext w:val="0"/>
              <w:keepLines w:val="0"/>
              <w:pageBreakBefore w:val="0"/>
              <w:tabs>
                <w:tab w:val="left" w:pos="525"/>
                <w:tab w:val="left" w:pos="630"/>
              </w:tabs>
              <w:kinsoku/>
              <w:wordWrap/>
              <w:overflowPunct/>
              <w:topLinePunct w:val="0"/>
              <w:autoSpaceDE/>
              <w:autoSpaceDN/>
              <w:bidi w:val="0"/>
              <w:adjustRightInd w:val="0"/>
              <w:snapToGrid w:val="0"/>
              <w:spacing w:line="360" w:lineRule="auto"/>
              <w:ind w:left="440"/>
              <w:jc w:val="left"/>
              <w:textAlignment w:val="auto"/>
              <w:rPr>
                <w:rFonts w:ascii="宋体" w:hAnsi="宋体" w:cs="宋体"/>
                <w:bCs/>
                <w:color w:val="auto"/>
                <w:szCs w:val="21"/>
                <w:highlight w:val="none"/>
              </w:rPr>
            </w:pPr>
            <w:r>
              <w:rPr>
                <w:rFonts w:hint="eastAsia" w:ascii="宋体" w:hAnsi="宋体" w:cs="宋体"/>
                <w:bCs/>
                <w:color w:val="auto"/>
                <w:szCs w:val="21"/>
                <w:highlight w:val="none"/>
              </w:rPr>
              <w:t>（4）具有适用于门诊的疾病诊断知识库提供诊断辅助 的检验方案区域协同有关检验申请记录与外部检验登记 数据记录相关项目的可对照性 （院方协调C</w:t>
            </w:r>
            <w:r>
              <w:rPr>
                <w:rFonts w:ascii="宋体" w:hAnsi="宋体" w:cs="宋体"/>
                <w:bCs/>
                <w:color w:val="auto"/>
                <w:szCs w:val="21"/>
                <w:highlight w:val="none"/>
              </w:rPr>
              <w:t>DSS</w:t>
            </w:r>
            <w:r>
              <w:rPr>
                <w:rFonts w:hint="eastAsia" w:ascii="宋体" w:hAnsi="宋体" w:cs="宋体"/>
                <w:bCs/>
                <w:color w:val="auto"/>
                <w:szCs w:val="21"/>
                <w:highlight w:val="none"/>
              </w:rPr>
              <w:t>厂商与H</w:t>
            </w:r>
            <w:r>
              <w:rPr>
                <w:rFonts w:ascii="宋体" w:hAnsi="宋体" w:cs="宋体"/>
                <w:bCs/>
                <w:color w:val="auto"/>
                <w:szCs w:val="21"/>
                <w:highlight w:val="none"/>
              </w:rPr>
              <w:t>IS</w:t>
            </w:r>
            <w:r>
              <w:rPr>
                <w:rFonts w:hint="eastAsia" w:ascii="宋体" w:hAnsi="宋体" w:cs="宋体"/>
                <w:bCs/>
                <w:color w:val="auto"/>
                <w:szCs w:val="21"/>
                <w:highlight w:val="none"/>
              </w:rPr>
              <w:t>系统进行对接，由C</w:t>
            </w:r>
            <w:r>
              <w:rPr>
                <w:rFonts w:ascii="宋体" w:hAnsi="宋体" w:cs="宋体"/>
                <w:bCs/>
                <w:color w:val="auto"/>
                <w:szCs w:val="21"/>
                <w:highlight w:val="none"/>
              </w:rPr>
              <w:t>DSS</w:t>
            </w:r>
            <w:r>
              <w:rPr>
                <w:rFonts w:hint="eastAsia" w:ascii="宋体" w:hAnsi="宋体" w:cs="宋体"/>
                <w:bCs/>
                <w:color w:val="auto"/>
                <w:szCs w:val="21"/>
                <w:highlight w:val="none"/>
              </w:rPr>
              <w:t>规则库来支持该功能）</w:t>
            </w:r>
          </w:p>
          <w:p w14:paraId="5D028A17">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p>
        </w:tc>
      </w:tr>
      <w:tr w14:paraId="3E070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821" w:type="dxa"/>
            <w:vMerge w:val="continue"/>
            <w:shd w:val="clear" w:color="auto" w:fill="auto"/>
            <w:vAlign w:val="center"/>
          </w:tcPr>
          <w:p w14:paraId="391C9AD8">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p>
        </w:tc>
        <w:tc>
          <w:tcPr>
            <w:tcW w:w="1175" w:type="dxa"/>
            <w:shd w:val="clear" w:color="auto" w:fill="auto"/>
            <w:vAlign w:val="center"/>
          </w:tcPr>
          <w:p w14:paraId="196D24D7">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门诊医嘱智能化记费</w:t>
            </w:r>
          </w:p>
        </w:tc>
        <w:tc>
          <w:tcPr>
            <w:tcW w:w="7922" w:type="dxa"/>
            <w:shd w:val="clear" w:color="auto" w:fill="auto"/>
            <w:vAlign w:val="center"/>
          </w:tcPr>
          <w:p w14:paraId="0B2B13D1">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医嘱附加收费项目自动关联，且允许人工补充修改。且支持医嘱费用处理智能化，检查项目按部位自动加收费用，检验项目按指标自动加收费用，会诊费用按会诊个数自动加收，草药处方按制法要求自动加收等等；</w:t>
            </w:r>
          </w:p>
          <w:p w14:paraId="0EA3E5E3">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检查项目支持按部位加收、按部位定价、按部位分段加收、按部位分段定价模式。</w:t>
            </w:r>
          </w:p>
          <w:p w14:paraId="40B6E857">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支持根据相关政策规定，提供记费提醒、记费控制等多种服务。</w:t>
            </w:r>
          </w:p>
          <w:p w14:paraId="43FC3842">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支持医嘱默认用法、默认频次、默认剂量自带入，减轻医嘱录入工作量。</w:t>
            </w:r>
          </w:p>
        </w:tc>
      </w:tr>
      <w:tr w14:paraId="2A64F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821" w:type="dxa"/>
            <w:vMerge w:val="continue"/>
            <w:shd w:val="clear" w:color="auto" w:fill="auto"/>
            <w:vAlign w:val="center"/>
          </w:tcPr>
          <w:p w14:paraId="00139E23">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p>
        </w:tc>
        <w:tc>
          <w:tcPr>
            <w:tcW w:w="1175" w:type="dxa"/>
            <w:shd w:val="clear" w:color="auto" w:fill="auto"/>
            <w:vAlign w:val="center"/>
          </w:tcPr>
          <w:p w14:paraId="7622915A">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长期处方功能（通过前端插件实现）</w:t>
            </w:r>
          </w:p>
        </w:tc>
        <w:tc>
          <w:tcPr>
            <w:tcW w:w="7922" w:type="dxa"/>
            <w:shd w:val="clear" w:color="auto" w:fill="auto"/>
            <w:vAlign w:val="center"/>
          </w:tcPr>
          <w:p w14:paraId="7773D689">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支持自主维护长期处方药品目录与病种</w:t>
            </w:r>
          </w:p>
          <w:p w14:paraId="15D50F4F">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支持自主维护医师长期处方权限</w:t>
            </w:r>
          </w:p>
          <w:p w14:paraId="3F02453B">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药品不在我院长期处方药品目录内，药品使用天数不允许输入超过规定的天数（如超过4周）</w:t>
            </w:r>
          </w:p>
          <w:p w14:paraId="6F7115A8">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若药品在我院长期处方目录内，但患者任一诊断不在我院长期处方病种目录内，药品的使用天数不允许输入超过规定的天数（如超过4周）</w:t>
            </w:r>
          </w:p>
          <w:p w14:paraId="626C09E8">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除外上述情况，即诊断、药品均在长期处方目录内，使用天数允许输入超过自定义的天数时(如输入超过4周)，保存处方时，弹出患者病情评估表评估通过后（评估通过的条件，支持自定义）、知情同意书，医师填写完毕后方可允许开具长期处方。</w:t>
            </w:r>
          </w:p>
        </w:tc>
      </w:tr>
      <w:tr w14:paraId="01802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821" w:type="dxa"/>
            <w:vMerge w:val="continue"/>
            <w:shd w:val="clear" w:color="auto" w:fill="auto"/>
            <w:vAlign w:val="center"/>
          </w:tcPr>
          <w:p w14:paraId="010EF1CB">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p>
        </w:tc>
        <w:tc>
          <w:tcPr>
            <w:tcW w:w="1175" w:type="dxa"/>
            <w:shd w:val="clear" w:color="auto" w:fill="auto"/>
            <w:vAlign w:val="center"/>
          </w:tcPr>
          <w:p w14:paraId="623A426C">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互联网腹透液处方功能</w:t>
            </w:r>
          </w:p>
        </w:tc>
        <w:tc>
          <w:tcPr>
            <w:tcW w:w="7922" w:type="dxa"/>
            <w:shd w:val="clear" w:color="auto" w:fill="auto"/>
            <w:vAlign w:val="center"/>
          </w:tcPr>
          <w:p w14:paraId="22A8A800">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对接云药房腹透液平台</w:t>
            </w:r>
          </w:p>
          <w:p w14:paraId="320C6ED3">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医师开具医嘱时，若选择腹膜透析液，有“腹透配送处方”选项供医师选择，若选择“平台配送”，处方缴费、药房确认发药后，HIS提供接口，将“平台配送”类型的腹透液处方推送至云药房腹透液平台（需厂家提供接口文档）。</w:t>
            </w:r>
          </w:p>
          <w:p w14:paraId="6CFBDBE8">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医院公众号增加腹透处方配送入口，用于患者填写快递地址提交订单</w:t>
            </w:r>
          </w:p>
          <w:p w14:paraId="6A33EBC9">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云药房腹透液提供接口，HIS获取处方配送状态。</w:t>
            </w:r>
          </w:p>
        </w:tc>
      </w:tr>
      <w:tr w14:paraId="5B5E8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821" w:type="dxa"/>
            <w:vMerge w:val="continue"/>
            <w:shd w:val="clear" w:color="auto" w:fill="auto"/>
            <w:vAlign w:val="center"/>
          </w:tcPr>
          <w:p w14:paraId="7CE14225">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p>
        </w:tc>
        <w:tc>
          <w:tcPr>
            <w:tcW w:w="9097" w:type="dxa"/>
            <w:gridSpan w:val="2"/>
            <w:shd w:val="clear" w:color="auto" w:fill="auto"/>
            <w:vAlign w:val="center"/>
          </w:tcPr>
          <w:p w14:paraId="06FAB781">
            <w:pPr>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bCs/>
                <w:color w:val="auto"/>
                <w:szCs w:val="21"/>
                <w:highlight w:val="none"/>
              </w:rPr>
            </w:pPr>
            <w:r>
              <w:rPr>
                <w:rFonts w:ascii="宋体" w:hAnsi="宋体" w:cs="宋体"/>
                <w:color w:val="auto"/>
                <w:kern w:val="0"/>
                <w:szCs w:val="21"/>
                <w:highlight w:val="none"/>
              </w:rPr>
              <w:t>门特门慢医嘱快捷开立</w:t>
            </w:r>
          </w:p>
        </w:tc>
      </w:tr>
      <w:tr w14:paraId="154AC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821" w:type="dxa"/>
            <w:vMerge w:val="continue"/>
            <w:shd w:val="clear" w:color="auto" w:fill="auto"/>
            <w:vAlign w:val="center"/>
          </w:tcPr>
          <w:p w14:paraId="5382968B">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p>
        </w:tc>
        <w:tc>
          <w:tcPr>
            <w:tcW w:w="1175" w:type="dxa"/>
            <w:shd w:val="clear" w:color="auto" w:fill="auto"/>
            <w:vAlign w:val="center"/>
          </w:tcPr>
          <w:p w14:paraId="53D640CA">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Cs w:val="21"/>
                <w:highlight w:val="none"/>
              </w:rPr>
            </w:pPr>
            <w:r>
              <w:rPr>
                <w:rFonts w:ascii="宋体" w:hAnsi="宋体" w:cs="宋体"/>
                <w:color w:val="auto"/>
                <w:kern w:val="0"/>
                <w:szCs w:val="21"/>
                <w:highlight w:val="none"/>
              </w:rPr>
              <w:t>门特门慢医嘱快捷开立</w:t>
            </w:r>
          </w:p>
        </w:tc>
        <w:tc>
          <w:tcPr>
            <w:tcW w:w="7922" w:type="dxa"/>
            <w:shd w:val="clear" w:color="auto" w:fill="auto"/>
            <w:vAlign w:val="center"/>
          </w:tcPr>
          <w:p w14:paraId="5D806D9B">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支持适配不同地区医保的门特门慢政策；</w:t>
            </w:r>
          </w:p>
          <w:p w14:paraId="22F9C68D">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支持快捷开立患者的门诊特慢诊断；</w:t>
            </w:r>
          </w:p>
          <w:p w14:paraId="6342D0A2">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针对符合政策的患者，可单独或批量开立门特门慢医嘱。</w:t>
            </w:r>
          </w:p>
        </w:tc>
      </w:tr>
      <w:tr w14:paraId="4EE7C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821" w:type="dxa"/>
            <w:vMerge w:val="continue"/>
            <w:shd w:val="clear" w:color="auto" w:fill="auto"/>
            <w:vAlign w:val="center"/>
          </w:tcPr>
          <w:p w14:paraId="70B38214">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p>
        </w:tc>
        <w:tc>
          <w:tcPr>
            <w:tcW w:w="9097" w:type="dxa"/>
            <w:gridSpan w:val="2"/>
            <w:shd w:val="clear" w:color="auto" w:fill="auto"/>
            <w:vAlign w:val="center"/>
          </w:tcPr>
          <w:p w14:paraId="319226D0">
            <w:pPr>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bCs/>
                <w:color w:val="auto"/>
                <w:szCs w:val="21"/>
                <w:highlight w:val="none"/>
              </w:rPr>
            </w:pPr>
            <w:r>
              <w:rPr>
                <w:rFonts w:ascii="宋体" w:hAnsi="宋体" w:cs="宋体"/>
                <w:color w:val="auto"/>
                <w:kern w:val="0"/>
                <w:szCs w:val="21"/>
                <w:highlight w:val="none"/>
              </w:rPr>
              <w:t>门诊报告查询</w:t>
            </w:r>
          </w:p>
        </w:tc>
      </w:tr>
      <w:tr w14:paraId="4D49E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821" w:type="dxa"/>
            <w:vMerge w:val="continue"/>
            <w:shd w:val="clear" w:color="auto" w:fill="auto"/>
            <w:vAlign w:val="center"/>
          </w:tcPr>
          <w:p w14:paraId="2C22050F">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p>
        </w:tc>
        <w:tc>
          <w:tcPr>
            <w:tcW w:w="1175" w:type="dxa"/>
            <w:shd w:val="clear" w:color="auto" w:fill="auto"/>
            <w:vAlign w:val="center"/>
          </w:tcPr>
          <w:p w14:paraId="3028EC3D">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Cs w:val="21"/>
                <w:highlight w:val="none"/>
              </w:rPr>
            </w:pPr>
            <w:r>
              <w:rPr>
                <w:rFonts w:ascii="宋体" w:hAnsi="宋体"/>
                <w:color w:val="auto"/>
                <w:highlight w:val="none"/>
              </w:rPr>
              <w:t>门诊报告查询</w:t>
            </w:r>
          </w:p>
        </w:tc>
        <w:tc>
          <w:tcPr>
            <w:tcW w:w="7922" w:type="dxa"/>
            <w:shd w:val="clear" w:color="auto" w:fill="auto"/>
            <w:vAlign w:val="center"/>
          </w:tcPr>
          <w:p w14:paraId="2CFBA732">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基于电子病历评价标准，实现门诊、急诊、住院患者就诊信息互通，在门诊医生站中有且不限于检验、检查、病理、电子病历数据报告查询，也支持历史某段时间内就诊报告的查询。支持图文报告查看以及内嵌式影像浏览器接口查看。支持医联体、医疗集团模式可跨机构、跨院区查看患者所有检验检查结果报告。在检验结果中支持检验定量指标的趋势图分析，分单指标趋势图和多指标趋势图。</w:t>
            </w:r>
          </w:p>
        </w:tc>
      </w:tr>
      <w:tr w14:paraId="61F9F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821" w:type="dxa"/>
            <w:vMerge w:val="continue"/>
            <w:shd w:val="clear" w:color="auto" w:fill="auto"/>
            <w:vAlign w:val="center"/>
          </w:tcPr>
          <w:p w14:paraId="26C1C452">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p>
        </w:tc>
        <w:tc>
          <w:tcPr>
            <w:tcW w:w="9097" w:type="dxa"/>
            <w:gridSpan w:val="2"/>
            <w:shd w:val="clear" w:color="auto" w:fill="auto"/>
            <w:vAlign w:val="center"/>
          </w:tcPr>
          <w:p w14:paraId="72953AB4">
            <w:pPr>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bCs/>
                <w:color w:val="auto"/>
                <w:szCs w:val="21"/>
                <w:highlight w:val="none"/>
              </w:rPr>
            </w:pPr>
            <w:r>
              <w:rPr>
                <w:rFonts w:ascii="宋体" w:hAnsi="宋体"/>
                <w:color w:val="auto"/>
                <w:highlight w:val="none"/>
              </w:rPr>
              <w:t>门诊危急值处理</w:t>
            </w:r>
          </w:p>
        </w:tc>
      </w:tr>
      <w:tr w14:paraId="39CD3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821" w:type="dxa"/>
            <w:vMerge w:val="continue"/>
            <w:shd w:val="clear" w:color="auto" w:fill="auto"/>
            <w:vAlign w:val="center"/>
          </w:tcPr>
          <w:p w14:paraId="4EBB8D7D">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p>
        </w:tc>
        <w:tc>
          <w:tcPr>
            <w:tcW w:w="1175" w:type="dxa"/>
            <w:shd w:val="clear" w:color="auto" w:fill="auto"/>
            <w:vAlign w:val="center"/>
          </w:tcPr>
          <w:p w14:paraId="0C2FCB7B">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Cs w:val="21"/>
                <w:highlight w:val="none"/>
              </w:rPr>
            </w:pPr>
            <w:r>
              <w:rPr>
                <w:rFonts w:ascii="宋体" w:hAnsi="宋体"/>
                <w:color w:val="auto"/>
                <w:highlight w:val="none"/>
              </w:rPr>
              <w:t>门诊危急值处理</w:t>
            </w:r>
          </w:p>
        </w:tc>
        <w:tc>
          <w:tcPr>
            <w:tcW w:w="7922" w:type="dxa"/>
            <w:shd w:val="clear" w:color="auto" w:fill="auto"/>
            <w:vAlign w:val="center"/>
          </w:tcPr>
          <w:p w14:paraId="209DE3B6">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基于十八项医务核心制度管理，门诊提供检查、检验危急值处理消息提醒</w:t>
            </w:r>
          </w:p>
          <w:p w14:paraId="64356F2B">
            <w:pPr>
              <w:keepNext w:val="0"/>
              <w:keepLines w:val="0"/>
              <w:pageBreakBefore w:val="0"/>
              <w:numPr>
                <w:ilvl w:val="0"/>
                <w:numId w:val="12"/>
              </w:numPr>
              <w:kinsoku/>
              <w:wordWrap/>
              <w:overflowPunct/>
              <w:topLinePunct w:val="0"/>
              <w:autoSpaceDE/>
              <w:autoSpaceDN/>
              <w:bidi w:val="0"/>
              <w:adjustRightInd w:val="0"/>
              <w:snapToGrid w:val="0"/>
              <w:spacing w:line="360" w:lineRule="auto"/>
              <w:jc w:val="left"/>
              <w:textAlignment w:val="auto"/>
              <w:rPr>
                <w:color w:val="auto"/>
                <w:highlight w:val="none"/>
              </w:rPr>
            </w:pPr>
            <w:r>
              <w:rPr>
                <w:rFonts w:ascii="宋体" w:hAnsi="宋体" w:cs="宋体"/>
                <w:color w:val="auto"/>
                <w:highlight w:val="none"/>
              </w:rPr>
              <w:t>默认登录医生站时自动弹窗处理。并支持与移动端对接，满足医生通过移动端处理患者危机值需求。</w:t>
            </w:r>
            <w:r>
              <w:rPr>
                <w:rFonts w:hint="eastAsia" w:ascii="宋体" w:hAnsi="宋体" w:cs="宋体"/>
                <w:color w:val="auto"/>
                <w:highlight w:val="none"/>
              </w:rPr>
              <w:t>（检验检查系统将危急值推送给院方统一消息推送系统，由统一消息推送系统推送给H</w:t>
            </w:r>
            <w:r>
              <w:rPr>
                <w:rFonts w:ascii="宋体" w:hAnsi="宋体" w:cs="宋体"/>
                <w:color w:val="auto"/>
                <w:highlight w:val="none"/>
              </w:rPr>
              <w:t>IS</w:t>
            </w:r>
            <w:r>
              <w:rPr>
                <w:rFonts w:hint="eastAsia" w:ascii="宋体" w:hAnsi="宋体" w:cs="宋体"/>
                <w:color w:val="auto"/>
                <w:highlight w:val="none"/>
              </w:rPr>
              <w:t>医生站和企业微信，医生处理后统一消息推送系统将处理结果回写给H</w:t>
            </w:r>
            <w:r>
              <w:rPr>
                <w:rFonts w:ascii="宋体" w:hAnsi="宋体" w:cs="宋体"/>
                <w:color w:val="auto"/>
                <w:highlight w:val="none"/>
              </w:rPr>
              <w:t>IS</w:t>
            </w:r>
            <w:r>
              <w:rPr>
                <w:rFonts w:hint="eastAsia" w:ascii="宋体" w:hAnsi="宋体" w:cs="宋体"/>
                <w:color w:val="auto"/>
                <w:highlight w:val="none"/>
              </w:rPr>
              <w:t>系统）</w:t>
            </w:r>
          </w:p>
          <w:p w14:paraId="70F6AB58">
            <w:pPr>
              <w:keepNext w:val="0"/>
              <w:keepLines w:val="0"/>
              <w:pageBreakBefore w:val="0"/>
              <w:numPr>
                <w:ilvl w:val="0"/>
                <w:numId w:val="12"/>
              </w:numPr>
              <w:kinsoku/>
              <w:wordWrap/>
              <w:overflowPunct/>
              <w:topLinePunct w:val="0"/>
              <w:autoSpaceDE/>
              <w:autoSpaceDN/>
              <w:bidi w:val="0"/>
              <w:adjustRightInd w:val="0"/>
              <w:snapToGrid w:val="0"/>
              <w:spacing w:line="360" w:lineRule="auto"/>
              <w:jc w:val="left"/>
              <w:textAlignment w:val="auto"/>
              <w:rPr>
                <w:color w:val="auto"/>
                <w:highlight w:val="none"/>
              </w:rPr>
            </w:pPr>
            <w:r>
              <w:rPr>
                <w:rFonts w:ascii="宋体" w:hAnsi="宋体" w:cs="宋体"/>
                <w:color w:val="auto"/>
                <w:highlight w:val="none"/>
              </w:rPr>
              <w:t>对于危急值通知具有按时效管控、分级通知、反馈功能</w:t>
            </w:r>
            <w:r>
              <w:rPr>
                <w:rFonts w:ascii="'宋体'" w:hAnsi="'宋体'" w:cs="'宋体'"/>
                <w:color w:val="auto"/>
                <w:sz w:val="18"/>
                <w:highlight w:val="none"/>
              </w:rPr>
              <w:t xml:space="preserve"> </w:t>
            </w:r>
            <w:r>
              <w:rPr>
                <w:rFonts w:hint="eastAsia" w:ascii="'宋体'" w:hAnsi="'宋体'" w:cs="'宋体'"/>
                <w:color w:val="auto"/>
                <w:sz w:val="18"/>
                <w:highlight w:val="none"/>
              </w:rPr>
              <w:t>（对接院方统一消息系统，由统一消息系统推送危急值通知）</w:t>
            </w:r>
          </w:p>
        </w:tc>
      </w:tr>
      <w:tr w14:paraId="638CE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821" w:type="dxa"/>
            <w:vMerge w:val="continue"/>
            <w:shd w:val="clear" w:color="auto" w:fill="auto"/>
            <w:vAlign w:val="center"/>
          </w:tcPr>
          <w:p w14:paraId="11582686">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p>
        </w:tc>
        <w:tc>
          <w:tcPr>
            <w:tcW w:w="9097" w:type="dxa"/>
            <w:gridSpan w:val="2"/>
            <w:shd w:val="clear" w:color="auto" w:fill="auto"/>
            <w:vAlign w:val="center"/>
          </w:tcPr>
          <w:p w14:paraId="7DCAAE47">
            <w:pPr>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bCs/>
                <w:color w:val="auto"/>
                <w:szCs w:val="21"/>
                <w:highlight w:val="none"/>
              </w:rPr>
            </w:pPr>
            <w:r>
              <w:rPr>
                <w:rFonts w:ascii="宋体" w:hAnsi="宋体"/>
                <w:color w:val="auto"/>
                <w:highlight w:val="none"/>
              </w:rPr>
              <w:t>门诊打印管理</w:t>
            </w:r>
          </w:p>
        </w:tc>
      </w:tr>
      <w:tr w14:paraId="417DE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821" w:type="dxa"/>
            <w:vMerge w:val="continue"/>
            <w:shd w:val="clear" w:color="auto" w:fill="auto"/>
            <w:vAlign w:val="center"/>
          </w:tcPr>
          <w:p w14:paraId="2F292B13">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p>
        </w:tc>
        <w:tc>
          <w:tcPr>
            <w:tcW w:w="1175" w:type="dxa"/>
            <w:shd w:val="clear" w:color="auto" w:fill="auto"/>
            <w:vAlign w:val="center"/>
          </w:tcPr>
          <w:p w14:paraId="59664BAC">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Cs w:val="21"/>
                <w:highlight w:val="none"/>
              </w:rPr>
            </w:pPr>
            <w:r>
              <w:rPr>
                <w:rFonts w:ascii="宋体" w:hAnsi="宋体"/>
                <w:color w:val="auto"/>
                <w:highlight w:val="none"/>
              </w:rPr>
              <w:t>门诊打印管理</w:t>
            </w:r>
          </w:p>
        </w:tc>
        <w:tc>
          <w:tcPr>
            <w:tcW w:w="7922" w:type="dxa"/>
            <w:shd w:val="clear" w:color="auto" w:fill="auto"/>
            <w:vAlign w:val="center"/>
          </w:tcPr>
          <w:p w14:paraId="4471E22C">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olor w:val="auto"/>
                <w:sz w:val="24"/>
                <w:highlight w:val="none"/>
              </w:rPr>
            </w:pPr>
            <w:r>
              <w:rPr>
                <w:rFonts w:hint="eastAsia" w:ascii="宋体" w:hAnsi="宋体" w:cs="宋体"/>
                <w:bCs/>
                <w:color w:val="auto"/>
                <w:szCs w:val="21"/>
                <w:highlight w:val="none"/>
              </w:rPr>
              <w:t>支持门诊单据集中打印功能，可选择麻醉处方、精一处方、精二处方、西药处方、草药处方、检查指引单、或检验指引单进行打印，也可一键快速打印全部。</w:t>
            </w:r>
          </w:p>
          <w:p w14:paraId="5FFE7FE8">
            <w:pPr>
              <w:keepNext w:val="0"/>
              <w:keepLines w:val="0"/>
              <w:pageBreakBefore w:val="0"/>
              <w:numPr>
                <w:ilvl w:val="0"/>
                <w:numId w:val="12"/>
              </w:numPr>
              <w:kinsoku/>
              <w:wordWrap/>
              <w:overflowPunct/>
              <w:topLinePunct w:val="0"/>
              <w:autoSpaceDE/>
              <w:autoSpaceDN/>
              <w:bidi w:val="0"/>
              <w:adjustRightInd w:val="0"/>
              <w:snapToGrid w:val="0"/>
              <w:spacing w:line="360" w:lineRule="auto"/>
              <w:jc w:val="left"/>
              <w:textAlignment w:val="auto"/>
              <w:rPr>
                <w:color w:val="auto"/>
                <w:highlight w:val="none"/>
              </w:rPr>
            </w:pPr>
            <w:r>
              <w:rPr>
                <w:rFonts w:ascii="宋体" w:hAnsi="宋体" w:cs="宋体"/>
                <w:color w:val="auto"/>
                <w:highlight w:val="none"/>
              </w:rPr>
              <w:t>（新增电子版外带处方仅限外地患者使用，须临床药师审核，医务确认后方可在一楼圆台打印同时生成管理台账）。</w:t>
            </w:r>
            <w:r>
              <w:rPr>
                <w:rFonts w:hint="eastAsia" w:ascii="宋体" w:hAnsi="宋体" w:cs="宋体"/>
                <w:color w:val="auto"/>
                <w:highlight w:val="none"/>
              </w:rPr>
              <w:t>（外带处方：指本院医生开出来的处方，经药师审方后，患者拿着处方去外面药房购药。这里需要将外带处方对接合理用药系统，实现药师线上审方）</w:t>
            </w:r>
          </w:p>
        </w:tc>
      </w:tr>
      <w:tr w14:paraId="77609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821" w:type="dxa"/>
            <w:vMerge w:val="continue"/>
            <w:shd w:val="clear" w:color="auto" w:fill="auto"/>
            <w:vAlign w:val="center"/>
          </w:tcPr>
          <w:p w14:paraId="159C57EE">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p>
        </w:tc>
        <w:tc>
          <w:tcPr>
            <w:tcW w:w="9097" w:type="dxa"/>
            <w:gridSpan w:val="2"/>
            <w:shd w:val="clear" w:color="auto" w:fill="auto"/>
            <w:vAlign w:val="center"/>
          </w:tcPr>
          <w:p w14:paraId="29E5FE7C">
            <w:pPr>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olor w:val="auto"/>
                <w:szCs w:val="20"/>
                <w:highlight w:val="none"/>
              </w:rPr>
            </w:pPr>
            <w:r>
              <w:rPr>
                <w:rFonts w:ascii="宋体" w:hAnsi="宋体"/>
                <w:color w:val="auto"/>
                <w:highlight w:val="none"/>
              </w:rPr>
              <w:t>门诊诊间业务管理</w:t>
            </w:r>
          </w:p>
        </w:tc>
      </w:tr>
      <w:tr w14:paraId="09096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821" w:type="dxa"/>
            <w:vMerge w:val="continue"/>
            <w:shd w:val="clear" w:color="auto" w:fill="auto"/>
            <w:vAlign w:val="center"/>
          </w:tcPr>
          <w:p w14:paraId="4F98CD38">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p>
        </w:tc>
        <w:tc>
          <w:tcPr>
            <w:tcW w:w="1175" w:type="dxa"/>
            <w:shd w:val="clear" w:color="auto" w:fill="auto"/>
            <w:vAlign w:val="center"/>
          </w:tcPr>
          <w:p w14:paraId="3405C75E">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诊间预约</w:t>
            </w:r>
          </w:p>
        </w:tc>
        <w:tc>
          <w:tcPr>
            <w:tcW w:w="7922" w:type="dxa"/>
            <w:shd w:val="clear" w:color="auto" w:fill="auto"/>
            <w:vAlign w:val="center"/>
          </w:tcPr>
          <w:p w14:paraId="5CBE3BCF">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通过全院统一资源池管理，在诊间为患者提供复诊预约功能，可为患者预约当前医生、本科室、本机构、所有机构号源；且对标电子病历评级要求提供诊间医技检查预约、诊间住院床位预约、诊间门诊手术预约功能。并提供便捷的医生诊间加号功能，可加普通号源、锁定患者号源。</w:t>
            </w:r>
          </w:p>
        </w:tc>
      </w:tr>
      <w:tr w14:paraId="55A99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821" w:type="dxa"/>
            <w:vMerge w:val="continue"/>
            <w:shd w:val="clear" w:color="auto" w:fill="auto"/>
            <w:vAlign w:val="center"/>
          </w:tcPr>
          <w:p w14:paraId="49873351">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p>
        </w:tc>
        <w:tc>
          <w:tcPr>
            <w:tcW w:w="1175" w:type="dxa"/>
            <w:shd w:val="clear" w:color="auto" w:fill="auto"/>
            <w:vAlign w:val="center"/>
          </w:tcPr>
          <w:p w14:paraId="62C87CC5">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诊间记账、结算、退费管理</w:t>
            </w:r>
          </w:p>
        </w:tc>
        <w:tc>
          <w:tcPr>
            <w:tcW w:w="7922" w:type="dxa"/>
            <w:shd w:val="clear" w:color="auto" w:fill="auto"/>
            <w:vAlign w:val="center"/>
          </w:tcPr>
          <w:p w14:paraId="4067834F">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提供诊间记账功能，业务场景如日间手术、急诊留观、急诊无身份人员，使用医院账户的储值金余额先进行授信记账；</w:t>
            </w:r>
          </w:p>
          <w:p w14:paraId="5E253D32">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提供诊间结算功能，医生医嘱开立后可立即完成结算，结算方式支持医院账户、医保账户、银联卡、支付宝、微信等，也可多种方式混合支付。一次开立多种结算通道医嘱能显示一次缴费功能。</w:t>
            </w:r>
          </w:p>
        </w:tc>
      </w:tr>
      <w:tr w14:paraId="711C6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821" w:type="dxa"/>
            <w:vMerge w:val="continue"/>
            <w:shd w:val="clear" w:color="auto" w:fill="auto"/>
            <w:vAlign w:val="center"/>
          </w:tcPr>
          <w:p w14:paraId="66EB8550">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p>
        </w:tc>
        <w:tc>
          <w:tcPr>
            <w:tcW w:w="1175" w:type="dxa"/>
            <w:shd w:val="clear" w:color="auto" w:fill="auto"/>
            <w:vAlign w:val="center"/>
          </w:tcPr>
          <w:p w14:paraId="74663550">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诊间住院证开立</w:t>
            </w:r>
          </w:p>
        </w:tc>
        <w:tc>
          <w:tcPr>
            <w:tcW w:w="7922" w:type="dxa"/>
            <w:shd w:val="clear" w:color="auto" w:fill="auto"/>
            <w:vAlign w:val="center"/>
          </w:tcPr>
          <w:p w14:paraId="10182372">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提供门急诊医生下达住院证功能，并支持检查、检验</w:t>
            </w:r>
            <w:r>
              <w:rPr>
                <w:rFonts w:hint="eastAsia" w:ascii="宋体" w:hAnsi="宋体" w:cs="宋体"/>
                <w:bCs/>
                <w:color w:val="auto"/>
                <w:szCs w:val="21"/>
                <w:highlight w:val="none"/>
                <w:lang w:eastAsia="zh-CN"/>
              </w:rPr>
              <w:t>、治疗、药品</w:t>
            </w:r>
            <w:r>
              <w:rPr>
                <w:rFonts w:hint="eastAsia" w:ascii="宋体" w:hAnsi="宋体" w:cs="宋体"/>
                <w:bCs/>
                <w:color w:val="auto"/>
                <w:szCs w:val="21"/>
                <w:highlight w:val="none"/>
              </w:rPr>
              <w:t>医嘱预开立功能；</w:t>
            </w:r>
          </w:p>
          <w:p w14:paraId="091476C1">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支持住院证保存完毕时自动打印住院证。</w:t>
            </w:r>
          </w:p>
        </w:tc>
      </w:tr>
      <w:tr w14:paraId="11C73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821" w:type="dxa"/>
            <w:vMerge w:val="continue"/>
            <w:shd w:val="clear" w:color="auto" w:fill="auto"/>
            <w:vAlign w:val="center"/>
          </w:tcPr>
          <w:p w14:paraId="6AE5D43A">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p>
        </w:tc>
        <w:tc>
          <w:tcPr>
            <w:tcW w:w="1175" w:type="dxa"/>
            <w:shd w:val="clear" w:color="auto" w:fill="auto"/>
            <w:vAlign w:val="center"/>
          </w:tcPr>
          <w:p w14:paraId="0E0BA265">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患者就诊历史查看</w:t>
            </w:r>
          </w:p>
        </w:tc>
        <w:tc>
          <w:tcPr>
            <w:tcW w:w="7922" w:type="dxa"/>
            <w:shd w:val="clear" w:color="auto" w:fill="auto"/>
            <w:vAlign w:val="center"/>
          </w:tcPr>
          <w:p w14:paraId="6F61B0C4">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支持查看患者历次门诊、住院的诊断、病历、医嘱记录，并且历史医嘱的快捷引用。</w:t>
            </w:r>
          </w:p>
          <w:p w14:paraId="06E01239">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可查看患者历次随访量表内容结果及小结</w:t>
            </w:r>
          </w:p>
        </w:tc>
      </w:tr>
      <w:tr w14:paraId="1BBED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821" w:type="dxa"/>
            <w:vMerge w:val="continue"/>
            <w:shd w:val="clear" w:color="auto" w:fill="auto"/>
            <w:vAlign w:val="center"/>
          </w:tcPr>
          <w:p w14:paraId="4B374F4D">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p>
        </w:tc>
        <w:tc>
          <w:tcPr>
            <w:tcW w:w="1175" w:type="dxa"/>
            <w:shd w:val="clear" w:color="auto" w:fill="auto"/>
            <w:vAlign w:val="center"/>
          </w:tcPr>
          <w:p w14:paraId="269085CE">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诊间代办人登记</w:t>
            </w:r>
          </w:p>
        </w:tc>
        <w:tc>
          <w:tcPr>
            <w:tcW w:w="7922" w:type="dxa"/>
            <w:shd w:val="clear" w:color="auto" w:fill="auto"/>
            <w:vAlign w:val="center"/>
          </w:tcPr>
          <w:p w14:paraId="1169FD8A">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支持诊间登记处方代办人信息。支持门慢、门特患者身份提示</w:t>
            </w:r>
          </w:p>
          <w:p w14:paraId="2A305879">
            <w:pPr>
              <w:keepNext w:val="0"/>
              <w:keepLines w:val="0"/>
              <w:pageBreakBefore w:val="0"/>
              <w:numPr>
                <w:ilvl w:val="0"/>
                <w:numId w:val="12"/>
              </w:numPr>
              <w:kinsoku/>
              <w:wordWrap/>
              <w:overflowPunct/>
              <w:topLinePunct w:val="0"/>
              <w:autoSpaceDE/>
              <w:autoSpaceDN/>
              <w:bidi w:val="0"/>
              <w:adjustRightInd w:val="0"/>
              <w:snapToGrid w:val="0"/>
              <w:spacing w:line="360" w:lineRule="auto"/>
              <w:jc w:val="left"/>
              <w:textAlignment w:val="auto"/>
              <w:rPr>
                <w:color w:val="auto"/>
                <w:highlight w:val="none"/>
              </w:rPr>
            </w:pPr>
            <w:r>
              <w:rPr>
                <w:rFonts w:hint="eastAsia"/>
                <w:color w:val="auto"/>
                <w:highlight w:val="none"/>
              </w:rPr>
              <w:t>支持诊间登记麻方代办人（需可和高拍仪对接用于上传代办人身份证件图片）、长期处方代办人信息。</w:t>
            </w:r>
          </w:p>
        </w:tc>
      </w:tr>
      <w:tr w14:paraId="0C33E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821" w:type="dxa"/>
            <w:vMerge w:val="continue"/>
            <w:shd w:val="clear" w:color="auto" w:fill="auto"/>
            <w:vAlign w:val="center"/>
          </w:tcPr>
          <w:p w14:paraId="041AD323">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p>
        </w:tc>
        <w:tc>
          <w:tcPr>
            <w:tcW w:w="1175" w:type="dxa"/>
            <w:shd w:val="clear" w:color="auto" w:fill="auto"/>
            <w:vAlign w:val="center"/>
          </w:tcPr>
          <w:p w14:paraId="14228629">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患者档案管理</w:t>
            </w:r>
          </w:p>
        </w:tc>
        <w:tc>
          <w:tcPr>
            <w:tcW w:w="7922" w:type="dxa"/>
            <w:shd w:val="clear" w:color="auto" w:fill="auto"/>
            <w:vAlign w:val="center"/>
          </w:tcPr>
          <w:p w14:paraId="0B819F53">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提供患者档案查看，支持医生同步更新患者档案信息。</w:t>
            </w:r>
          </w:p>
          <w:p w14:paraId="06C9F11F">
            <w:pPr>
              <w:keepNext w:val="0"/>
              <w:keepLines w:val="0"/>
              <w:pageBreakBefore w:val="0"/>
              <w:numPr>
                <w:ilvl w:val="0"/>
                <w:numId w:val="12"/>
              </w:numPr>
              <w:kinsoku/>
              <w:wordWrap/>
              <w:overflowPunct/>
              <w:topLinePunct w:val="0"/>
              <w:autoSpaceDE/>
              <w:autoSpaceDN/>
              <w:bidi w:val="0"/>
              <w:adjustRightInd w:val="0"/>
              <w:snapToGrid w:val="0"/>
              <w:spacing w:line="360" w:lineRule="auto"/>
              <w:jc w:val="left"/>
              <w:textAlignment w:val="auto"/>
              <w:rPr>
                <w:color w:val="auto"/>
                <w:highlight w:val="none"/>
              </w:rPr>
            </w:pPr>
            <w:r>
              <w:rPr>
                <w:rFonts w:ascii="宋体" w:hAnsi="宋体" w:cs="宋体"/>
                <w:color w:val="auto"/>
                <w:highlight w:val="none"/>
              </w:rPr>
              <w:t>（每个患者根据身份证号码建立独立ID，根据ID可关联该患者自费账户、医保账户，含实体卡和电子码）</w:t>
            </w:r>
          </w:p>
        </w:tc>
      </w:tr>
      <w:tr w14:paraId="4DEB7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821" w:type="dxa"/>
            <w:vMerge w:val="continue"/>
            <w:shd w:val="clear" w:color="auto" w:fill="auto"/>
            <w:vAlign w:val="center"/>
          </w:tcPr>
          <w:p w14:paraId="3F4066FA">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p>
        </w:tc>
        <w:tc>
          <w:tcPr>
            <w:tcW w:w="1175" w:type="dxa"/>
            <w:shd w:val="clear" w:color="auto" w:fill="auto"/>
            <w:vAlign w:val="center"/>
          </w:tcPr>
          <w:p w14:paraId="24BB6122">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科室转介</w:t>
            </w:r>
          </w:p>
        </w:tc>
        <w:tc>
          <w:tcPr>
            <w:tcW w:w="7922" w:type="dxa"/>
            <w:shd w:val="clear" w:color="auto" w:fill="auto"/>
            <w:vAlign w:val="center"/>
          </w:tcPr>
          <w:p w14:paraId="25FF4AF6">
            <w:pPr>
              <w:keepNext w:val="0"/>
              <w:keepLines w:val="0"/>
              <w:pageBreakBefore w:val="0"/>
              <w:numPr>
                <w:ilvl w:val="0"/>
                <w:numId w:val="12"/>
              </w:numPr>
              <w:kinsoku/>
              <w:wordWrap/>
              <w:overflowPunct/>
              <w:topLinePunct w:val="0"/>
              <w:autoSpaceDE/>
              <w:autoSpaceDN/>
              <w:bidi w:val="0"/>
              <w:adjustRightInd w:val="0"/>
              <w:snapToGrid w:val="0"/>
              <w:spacing w:line="360" w:lineRule="auto"/>
              <w:jc w:val="left"/>
              <w:textAlignment w:val="auto"/>
              <w:rPr>
                <w:color w:val="auto"/>
                <w:highlight w:val="none"/>
              </w:rPr>
            </w:pPr>
            <w:r>
              <w:rPr>
                <w:rFonts w:hint="eastAsia" w:ascii="宋体" w:hAnsi="宋体" w:cs="宋体"/>
                <w:bCs/>
                <w:color w:val="auto"/>
                <w:szCs w:val="21"/>
                <w:highlight w:val="none"/>
              </w:rPr>
              <w:t>基于患者额外的医疗保健服务需求，可主动提供适宜的转介服务，不占用现有号源，不额外收取挂号费，接收医生灵活接诊，普通患者接收时需收取诊查费。</w:t>
            </w:r>
            <w:r>
              <w:rPr>
                <w:rFonts w:hint="eastAsia" w:ascii="宋体" w:hAnsi="宋体" w:cs="宋体"/>
                <w:color w:val="auto"/>
                <w:highlight w:val="none"/>
              </w:rPr>
              <w:t>（A医生开转介， B接收时收诊查费）</w:t>
            </w:r>
          </w:p>
        </w:tc>
      </w:tr>
      <w:tr w14:paraId="237A8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821" w:type="dxa"/>
            <w:vMerge w:val="continue"/>
            <w:shd w:val="clear" w:color="auto" w:fill="auto"/>
            <w:vAlign w:val="center"/>
          </w:tcPr>
          <w:p w14:paraId="5CBE58D9">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微软雅黑"/>
                <w:bCs/>
                <w:color w:val="auto"/>
                <w:szCs w:val="21"/>
                <w:highlight w:val="none"/>
              </w:rPr>
            </w:pPr>
          </w:p>
        </w:tc>
        <w:tc>
          <w:tcPr>
            <w:tcW w:w="1175" w:type="dxa"/>
            <w:shd w:val="clear" w:color="auto" w:fill="auto"/>
            <w:vAlign w:val="center"/>
          </w:tcPr>
          <w:p w14:paraId="0D635361">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诊间加号</w:t>
            </w:r>
          </w:p>
        </w:tc>
        <w:tc>
          <w:tcPr>
            <w:tcW w:w="7922" w:type="dxa"/>
            <w:shd w:val="clear" w:color="auto" w:fill="auto"/>
            <w:vAlign w:val="center"/>
          </w:tcPr>
          <w:p w14:paraId="30DFE5B1">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color w:val="auto"/>
                <w:highlight w:val="none"/>
              </w:rPr>
            </w:pPr>
            <w:r>
              <w:rPr>
                <w:rFonts w:hint="eastAsia" w:ascii="宋体" w:hAnsi="宋体" w:cs="宋体"/>
                <w:bCs/>
                <w:color w:val="auto"/>
                <w:szCs w:val="21"/>
                <w:highlight w:val="none"/>
              </w:rPr>
              <w:t>提供诊间实时加号服务，加号数量可控，医生可根据实际情况主动为患者提供加号服务。</w:t>
            </w:r>
          </w:p>
        </w:tc>
      </w:tr>
      <w:tr w14:paraId="1623A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821" w:type="dxa"/>
            <w:vMerge w:val="continue"/>
            <w:shd w:val="clear" w:color="auto" w:fill="auto"/>
            <w:vAlign w:val="center"/>
          </w:tcPr>
          <w:p w14:paraId="2E2840E3">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微软雅黑"/>
                <w:bCs/>
                <w:color w:val="auto"/>
                <w:szCs w:val="21"/>
                <w:highlight w:val="none"/>
              </w:rPr>
            </w:pPr>
          </w:p>
        </w:tc>
        <w:tc>
          <w:tcPr>
            <w:tcW w:w="1175" w:type="dxa"/>
            <w:shd w:val="clear" w:color="auto" w:fill="auto"/>
            <w:vAlign w:val="center"/>
          </w:tcPr>
          <w:p w14:paraId="594E025B">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绿通申请</w:t>
            </w:r>
          </w:p>
        </w:tc>
        <w:tc>
          <w:tcPr>
            <w:tcW w:w="7922" w:type="dxa"/>
            <w:shd w:val="clear" w:color="auto" w:fill="auto"/>
            <w:vAlign w:val="center"/>
          </w:tcPr>
          <w:p w14:paraId="20BD3840">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针对特殊患者（例如急诊留观、急诊无身份人员），医生可灵活为患者申请授信额度，在保证风险可控的情况下，结合诊间记账提供先诊疗后付费服务。</w:t>
            </w:r>
          </w:p>
        </w:tc>
      </w:tr>
      <w:tr w14:paraId="6C689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821" w:type="dxa"/>
            <w:vMerge w:val="continue"/>
            <w:shd w:val="clear" w:color="auto" w:fill="auto"/>
            <w:vAlign w:val="center"/>
          </w:tcPr>
          <w:p w14:paraId="7079E77D">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微软雅黑"/>
                <w:bCs/>
                <w:color w:val="auto"/>
                <w:szCs w:val="21"/>
                <w:highlight w:val="none"/>
              </w:rPr>
            </w:pPr>
          </w:p>
        </w:tc>
        <w:tc>
          <w:tcPr>
            <w:tcW w:w="1175" w:type="dxa"/>
            <w:shd w:val="clear" w:color="auto" w:fill="auto"/>
            <w:vAlign w:val="center"/>
          </w:tcPr>
          <w:p w14:paraId="0FB2A1BF">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犬伤登记</w:t>
            </w:r>
          </w:p>
        </w:tc>
        <w:tc>
          <w:tcPr>
            <w:tcW w:w="7922" w:type="dxa"/>
            <w:shd w:val="clear" w:color="auto" w:fill="auto"/>
            <w:vAlign w:val="center"/>
          </w:tcPr>
          <w:p w14:paraId="6E6323FD">
            <w:pPr>
              <w:keepNext w:val="0"/>
              <w:keepLines w:val="0"/>
              <w:pageBreakBefore w:val="0"/>
              <w:numPr>
                <w:ilvl w:val="0"/>
                <w:numId w:val="12"/>
              </w:numPr>
              <w:kinsoku/>
              <w:wordWrap/>
              <w:overflowPunct/>
              <w:topLinePunct w:val="0"/>
              <w:autoSpaceDE/>
              <w:autoSpaceDN/>
              <w:bidi w:val="0"/>
              <w:adjustRightInd w:val="0"/>
              <w:snapToGrid w:val="0"/>
              <w:spacing w:line="360" w:lineRule="auto"/>
              <w:jc w:val="left"/>
              <w:textAlignment w:val="auto"/>
              <w:rPr>
                <w:color w:val="auto"/>
                <w:highlight w:val="none"/>
              </w:rPr>
            </w:pPr>
            <w:r>
              <w:rPr>
                <w:rFonts w:hint="eastAsia" w:ascii="宋体" w:hAnsi="宋体" w:cs="宋体"/>
                <w:bCs/>
                <w:color w:val="auto"/>
                <w:szCs w:val="21"/>
                <w:highlight w:val="none"/>
              </w:rPr>
              <w:t>提供犬伤患者信息登记，管理患者疫苗接种情况。</w:t>
            </w:r>
          </w:p>
        </w:tc>
      </w:tr>
      <w:tr w14:paraId="4A230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821" w:type="dxa"/>
            <w:vMerge w:val="continue"/>
            <w:shd w:val="clear" w:color="auto" w:fill="auto"/>
            <w:vAlign w:val="center"/>
          </w:tcPr>
          <w:p w14:paraId="3F8E7087">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微软雅黑"/>
                <w:bCs/>
                <w:color w:val="auto"/>
                <w:szCs w:val="21"/>
                <w:highlight w:val="none"/>
              </w:rPr>
            </w:pPr>
          </w:p>
        </w:tc>
        <w:tc>
          <w:tcPr>
            <w:tcW w:w="1175" w:type="dxa"/>
            <w:shd w:val="clear" w:color="auto" w:fill="auto"/>
            <w:vAlign w:val="center"/>
          </w:tcPr>
          <w:p w14:paraId="5562C7AA">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门诊手术通知单预约功能</w:t>
            </w:r>
          </w:p>
        </w:tc>
        <w:tc>
          <w:tcPr>
            <w:tcW w:w="7922" w:type="dxa"/>
            <w:shd w:val="clear" w:color="auto" w:fill="auto"/>
            <w:vAlign w:val="center"/>
          </w:tcPr>
          <w:p w14:paraId="6FAC0F93">
            <w:pPr>
              <w:keepNext w:val="0"/>
              <w:keepLines w:val="0"/>
              <w:pageBreakBefore w:val="0"/>
              <w:numPr>
                <w:ilvl w:val="0"/>
                <w:numId w:val="12"/>
              </w:numPr>
              <w:kinsoku/>
              <w:wordWrap/>
              <w:overflowPunct/>
              <w:topLinePunct w:val="0"/>
              <w:autoSpaceDE/>
              <w:autoSpaceDN/>
              <w:bidi w:val="0"/>
              <w:adjustRightInd w:val="0"/>
              <w:snapToGrid w:val="0"/>
              <w:spacing w:line="360" w:lineRule="auto"/>
              <w:jc w:val="left"/>
              <w:textAlignment w:val="auto"/>
              <w:rPr>
                <w:rFonts w:hint="eastAsia" w:ascii="宋体" w:hAnsi="宋体" w:cs="宋体"/>
                <w:bCs/>
                <w:color w:val="auto"/>
                <w:szCs w:val="21"/>
                <w:highlight w:val="none"/>
              </w:rPr>
            </w:pPr>
            <w:r>
              <w:rPr>
                <w:rFonts w:hint="eastAsia" w:ascii="宋体" w:hAnsi="宋体" w:cs="宋体"/>
                <w:bCs/>
                <w:color w:val="auto"/>
                <w:szCs w:val="21"/>
                <w:highlight w:val="none"/>
              </w:rPr>
              <w:t>与手麻系统进行对接</w:t>
            </w:r>
            <w:r>
              <w:rPr>
                <w:rFonts w:hint="eastAsia" w:ascii="宋体" w:hAnsi="宋体" w:cs="宋体"/>
                <w:bCs/>
                <w:color w:val="auto"/>
                <w:szCs w:val="21"/>
                <w:highlight w:val="none"/>
                <w:lang w:val="en-US" w:eastAsia="zh-CN"/>
              </w:rPr>
              <w:t>,</w:t>
            </w:r>
            <w:r>
              <w:rPr>
                <w:rFonts w:hint="eastAsia" w:ascii="宋体" w:hAnsi="宋体" w:cs="宋体"/>
                <w:bCs/>
                <w:color w:val="auto"/>
                <w:szCs w:val="21"/>
                <w:highlight w:val="none"/>
              </w:rPr>
              <w:t>支持手术通知单实时传送到手麻系统门诊手术模块</w:t>
            </w:r>
          </w:p>
          <w:p w14:paraId="206B783E">
            <w:pPr>
              <w:keepNext w:val="0"/>
              <w:keepLines w:val="0"/>
              <w:pageBreakBefore w:val="0"/>
              <w:numPr>
                <w:ilvl w:val="0"/>
                <w:numId w:val="12"/>
              </w:numPr>
              <w:kinsoku/>
              <w:wordWrap/>
              <w:overflowPunct/>
              <w:topLinePunct w:val="0"/>
              <w:autoSpaceDE/>
              <w:autoSpaceDN/>
              <w:bidi w:val="0"/>
              <w:adjustRightInd w:val="0"/>
              <w:snapToGrid w:val="0"/>
              <w:spacing w:line="360" w:lineRule="auto"/>
              <w:jc w:val="left"/>
              <w:textAlignment w:val="auto"/>
              <w:rPr>
                <w:rFonts w:hint="eastAsia" w:ascii="宋体" w:hAnsi="宋体" w:cs="宋体"/>
                <w:bCs/>
                <w:color w:val="auto"/>
                <w:szCs w:val="21"/>
                <w:highlight w:val="none"/>
              </w:rPr>
            </w:pPr>
            <w:r>
              <w:rPr>
                <w:rFonts w:hint="eastAsia" w:ascii="宋体" w:hAnsi="宋体" w:cs="宋体"/>
                <w:bCs/>
                <w:color w:val="auto"/>
                <w:szCs w:val="21"/>
                <w:highlight w:val="none"/>
              </w:rPr>
              <w:t>医生接诊患者后，需要实施手术时，可以开具门诊手术通知单</w:t>
            </w:r>
            <w:r>
              <w:rPr>
                <w:rFonts w:hint="eastAsia" w:ascii="宋体" w:hAnsi="宋体" w:cs="宋体"/>
                <w:bCs/>
                <w:color w:val="auto"/>
                <w:szCs w:val="21"/>
                <w:highlight w:val="none"/>
                <w:lang w:val="en-US" w:eastAsia="zh-CN"/>
              </w:rPr>
              <w:t>,</w:t>
            </w:r>
            <w:r>
              <w:rPr>
                <w:rFonts w:hint="eastAsia" w:ascii="宋体" w:hAnsi="宋体" w:cs="宋体"/>
                <w:bCs/>
                <w:color w:val="auto"/>
                <w:szCs w:val="21"/>
                <w:highlight w:val="none"/>
              </w:rPr>
              <w:t>手术通知单上包括手术名称、手术时间、麻醉方式、手术医生、器械耗材需求、检查检验结果等内容</w:t>
            </w:r>
          </w:p>
          <w:p w14:paraId="72F176F4">
            <w:pPr>
              <w:keepNext w:val="0"/>
              <w:keepLines w:val="0"/>
              <w:pageBreakBefore w:val="0"/>
              <w:numPr>
                <w:ilvl w:val="0"/>
                <w:numId w:val="12"/>
              </w:numPr>
              <w:kinsoku/>
              <w:wordWrap/>
              <w:overflowPunct/>
              <w:topLinePunct w:val="0"/>
              <w:autoSpaceDE/>
              <w:autoSpaceDN/>
              <w:bidi w:val="0"/>
              <w:adjustRightInd w:val="0"/>
              <w:snapToGrid w:val="0"/>
              <w:spacing w:line="360" w:lineRule="auto"/>
              <w:jc w:val="left"/>
              <w:textAlignment w:val="auto"/>
              <w:rPr>
                <w:rFonts w:hint="eastAsia" w:ascii="宋体" w:hAnsi="宋体" w:cs="宋体"/>
                <w:bCs/>
                <w:color w:val="auto"/>
                <w:szCs w:val="21"/>
                <w:highlight w:val="none"/>
              </w:rPr>
            </w:pPr>
            <w:r>
              <w:rPr>
                <w:rFonts w:hint="eastAsia" w:ascii="宋体" w:hAnsi="宋体" w:cs="宋体"/>
                <w:bCs/>
                <w:color w:val="auto"/>
                <w:szCs w:val="21"/>
                <w:highlight w:val="none"/>
              </w:rPr>
              <w:t>手术预约成功后，支持手术日期的查询，统计。</w:t>
            </w:r>
          </w:p>
        </w:tc>
      </w:tr>
      <w:tr w14:paraId="238AF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821" w:type="dxa"/>
            <w:vMerge w:val="continue"/>
            <w:shd w:val="clear" w:color="auto" w:fill="auto"/>
            <w:vAlign w:val="center"/>
          </w:tcPr>
          <w:p w14:paraId="7E9EE9A5">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微软雅黑"/>
                <w:bCs/>
                <w:color w:val="auto"/>
                <w:szCs w:val="21"/>
                <w:highlight w:val="none"/>
              </w:rPr>
            </w:pPr>
          </w:p>
        </w:tc>
        <w:tc>
          <w:tcPr>
            <w:tcW w:w="1175" w:type="dxa"/>
            <w:shd w:val="clear" w:color="auto" w:fill="auto"/>
            <w:vAlign w:val="center"/>
          </w:tcPr>
          <w:p w14:paraId="478B5A6C">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健康教育处方功能</w:t>
            </w:r>
          </w:p>
        </w:tc>
        <w:tc>
          <w:tcPr>
            <w:tcW w:w="7922" w:type="dxa"/>
            <w:shd w:val="clear" w:color="auto" w:fill="auto"/>
            <w:vAlign w:val="center"/>
          </w:tcPr>
          <w:p w14:paraId="34536344">
            <w:pPr>
              <w:keepNext w:val="0"/>
              <w:keepLines w:val="0"/>
              <w:pageBreakBefore w:val="0"/>
              <w:numPr>
                <w:ilvl w:val="0"/>
                <w:numId w:val="12"/>
              </w:numPr>
              <w:kinsoku/>
              <w:wordWrap/>
              <w:overflowPunct/>
              <w:topLinePunct w:val="0"/>
              <w:autoSpaceDE/>
              <w:autoSpaceDN/>
              <w:bidi w:val="0"/>
              <w:adjustRightInd w:val="0"/>
              <w:snapToGrid w:val="0"/>
              <w:spacing w:line="360" w:lineRule="auto"/>
              <w:jc w:val="left"/>
              <w:textAlignment w:val="auto"/>
              <w:rPr>
                <w:rFonts w:hint="eastAsia" w:ascii="宋体" w:hAnsi="宋体" w:cs="宋体"/>
                <w:bCs/>
                <w:color w:val="auto"/>
                <w:szCs w:val="21"/>
                <w:highlight w:val="none"/>
              </w:rPr>
            </w:pPr>
            <w:r>
              <w:rPr>
                <w:rFonts w:hint="eastAsia" w:ascii="宋体" w:hAnsi="宋体" w:cs="宋体"/>
                <w:bCs/>
                <w:color w:val="auto"/>
                <w:szCs w:val="21"/>
                <w:highlight w:val="none"/>
              </w:rPr>
              <w:t>医生</w:t>
            </w:r>
            <w:r>
              <w:rPr>
                <w:rFonts w:hint="eastAsia" w:ascii="宋体" w:hAnsi="宋体" w:cs="宋体"/>
                <w:bCs/>
                <w:color w:val="auto"/>
                <w:szCs w:val="21"/>
                <w:highlight w:val="none"/>
                <w:lang w:eastAsia="zh-CN"/>
              </w:rPr>
              <w:t>在</w:t>
            </w:r>
            <w:r>
              <w:rPr>
                <w:rFonts w:hint="eastAsia" w:ascii="宋体" w:hAnsi="宋体" w:cs="宋体"/>
                <w:bCs/>
                <w:color w:val="auto"/>
                <w:szCs w:val="21"/>
                <w:highlight w:val="none"/>
              </w:rPr>
              <w:t>诊疗</w:t>
            </w:r>
            <w:r>
              <w:rPr>
                <w:rFonts w:hint="eastAsia" w:ascii="宋体" w:hAnsi="宋体" w:cs="宋体"/>
                <w:bCs/>
                <w:color w:val="auto"/>
                <w:szCs w:val="21"/>
                <w:highlight w:val="none"/>
                <w:lang w:eastAsia="zh-CN"/>
              </w:rPr>
              <w:t>时，</w:t>
            </w:r>
            <w:r>
              <w:rPr>
                <w:rFonts w:hint="eastAsia" w:ascii="宋体" w:hAnsi="宋体" w:cs="宋体"/>
                <w:bCs/>
                <w:color w:val="auto"/>
                <w:szCs w:val="21"/>
                <w:highlight w:val="none"/>
              </w:rPr>
              <w:t>点击诊疗，出现“保存病历前填写健康教育处方”字样的弹窗提醒</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rPr>
              <w:t>医生根据患者病种，选择对应的“健康教育处方模板名称”，浏览后可将模板直接导入病历（或医生依据病情修改内容后再导入）</w:t>
            </w:r>
          </w:p>
        </w:tc>
      </w:tr>
      <w:tr w14:paraId="4606E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821" w:type="dxa"/>
            <w:vMerge w:val="continue"/>
            <w:shd w:val="clear" w:color="auto" w:fill="auto"/>
            <w:vAlign w:val="center"/>
          </w:tcPr>
          <w:p w14:paraId="2CA09F75">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微软雅黑"/>
                <w:bCs/>
                <w:color w:val="auto"/>
                <w:szCs w:val="21"/>
                <w:highlight w:val="none"/>
              </w:rPr>
            </w:pPr>
          </w:p>
        </w:tc>
        <w:tc>
          <w:tcPr>
            <w:tcW w:w="9097" w:type="dxa"/>
            <w:gridSpan w:val="2"/>
            <w:shd w:val="clear" w:color="auto" w:fill="auto"/>
            <w:vAlign w:val="center"/>
          </w:tcPr>
          <w:p w14:paraId="5F1F121E">
            <w:pPr>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olor w:val="auto"/>
                <w:highlight w:val="none"/>
              </w:rPr>
            </w:pPr>
            <w:r>
              <w:rPr>
                <w:rFonts w:ascii="宋体" w:hAnsi="宋体"/>
                <w:color w:val="auto"/>
                <w:highlight w:val="none"/>
              </w:rPr>
              <w:t>门诊会诊管理</w:t>
            </w:r>
          </w:p>
        </w:tc>
      </w:tr>
      <w:tr w14:paraId="43B3F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821" w:type="dxa"/>
            <w:vMerge w:val="continue"/>
            <w:shd w:val="clear" w:color="auto" w:fill="auto"/>
            <w:vAlign w:val="center"/>
          </w:tcPr>
          <w:p w14:paraId="11439DB0">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微软雅黑"/>
                <w:bCs/>
                <w:color w:val="auto"/>
                <w:szCs w:val="21"/>
                <w:highlight w:val="none"/>
              </w:rPr>
            </w:pPr>
          </w:p>
        </w:tc>
        <w:tc>
          <w:tcPr>
            <w:tcW w:w="1175" w:type="dxa"/>
            <w:shd w:val="clear" w:color="auto" w:fill="auto"/>
            <w:vAlign w:val="center"/>
          </w:tcPr>
          <w:p w14:paraId="6A052DB8">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Cs w:val="21"/>
                <w:highlight w:val="none"/>
              </w:rPr>
            </w:pPr>
            <w:r>
              <w:rPr>
                <w:rFonts w:ascii="宋体" w:hAnsi="宋体"/>
                <w:color w:val="auto"/>
                <w:highlight w:val="none"/>
              </w:rPr>
              <w:t>门诊会诊管理</w:t>
            </w:r>
          </w:p>
        </w:tc>
        <w:tc>
          <w:tcPr>
            <w:tcW w:w="7922" w:type="dxa"/>
            <w:shd w:val="clear" w:color="auto" w:fill="auto"/>
            <w:vAlign w:val="center"/>
          </w:tcPr>
          <w:p w14:paraId="63B7E24E">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r>
              <w:rPr>
                <w:rFonts w:hint="eastAsia" w:ascii="宋体" w:hAnsi="宋体" w:cs="宋体"/>
                <w:bCs/>
                <w:color w:val="auto"/>
                <w:szCs w:val="21"/>
                <w:highlight w:val="none"/>
              </w:rPr>
              <w:t>支持门诊会诊信息化、系统化管理，提供电子会诊申请、会诊集中管理、会诊费用自动绑定功能。支持门诊会诊单与门诊电子病历关联，在会诊单填写完毕后，系统会自动生成相应会诊病历文书集成支病历夹中。</w:t>
            </w:r>
          </w:p>
          <w:p w14:paraId="2071AAD9">
            <w:pPr>
              <w:keepNext w:val="0"/>
              <w:keepLines w:val="0"/>
              <w:pageBreakBefore w:val="0"/>
              <w:numPr>
                <w:ilvl w:val="0"/>
                <w:numId w:val="12"/>
              </w:numPr>
              <w:kinsoku/>
              <w:wordWrap/>
              <w:overflowPunct/>
              <w:topLinePunct w:val="0"/>
              <w:autoSpaceDE/>
              <w:autoSpaceDN/>
              <w:bidi w:val="0"/>
              <w:adjustRightInd w:val="0"/>
              <w:snapToGrid w:val="0"/>
              <w:spacing w:line="360" w:lineRule="auto"/>
              <w:jc w:val="left"/>
              <w:textAlignment w:val="auto"/>
              <w:rPr>
                <w:color w:val="auto"/>
                <w:highlight w:val="none"/>
              </w:rPr>
            </w:pPr>
            <w:r>
              <w:rPr>
                <w:rFonts w:ascii="宋体" w:hAnsi="宋体" w:cs="宋体"/>
                <w:color w:val="auto"/>
                <w:highlight w:val="none"/>
                <w:shd w:val="clear" w:color="auto"/>
              </w:rPr>
              <w:t>门诊MDT对接MDT系统</w:t>
            </w:r>
            <w:r>
              <w:rPr>
                <w:rFonts w:hint="eastAsia" w:ascii="宋体" w:hAnsi="宋体" w:cs="宋体"/>
                <w:color w:val="auto"/>
                <w:highlight w:val="none"/>
                <w:shd w:val="clear" w:color="auto"/>
              </w:rPr>
              <w:t>（由院方协调第三方M</w:t>
            </w:r>
            <w:r>
              <w:rPr>
                <w:rFonts w:ascii="宋体" w:hAnsi="宋体" w:cs="宋体"/>
                <w:color w:val="auto"/>
                <w:highlight w:val="none"/>
                <w:shd w:val="clear" w:color="auto"/>
              </w:rPr>
              <w:t>DT</w:t>
            </w:r>
            <w:r>
              <w:rPr>
                <w:rFonts w:hint="eastAsia" w:ascii="宋体" w:hAnsi="宋体" w:cs="宋体"/>
                <w:color w:val="auto"/>
                <w:highlight w:val="none"/>
                <w:shd w:val="clear" w:color="auto"/>
              </w:rPr>
              <w:t>系统提供接口，实现门诊医生站与M</w:t>
            </w:r>
            <w:r>
              <w:rPr>
                <w:rFonts w:ascii="宋体" w:hAnsi="宋体" w:cs="宋体"/>
                <w:color w:val="auto"/>
                <w:highlight w:val="none"/>
                <w:shd w:val="clear" w:color="auto"/>
              </w:rPr>
              <w:t>DT</w:t>
            </w:r>
            <w:r>
              <w:rPr>
                <w:rFonts w:hint="eastAsia" w:ascii="宋体" w:hAnsi="宋体" w:cs="宋体"/>
                <w:color w:val="auto"/>
                <w:highlight w:val="none"/>
                <w:shd w:val="clear" w:color="auto"/>
              </w:rPr>
              <w:t>对接）</w:t>
            </w:r>
          </w:p>
        </w:tc>
      </w:tr>
      <w:tr w14:paraId="78345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821" w:type="dxa"/>
            <w:vMerge w:val="continue"/>
            <w:shd w:val="clear" w:color="auto" w:fill="auto"/>
            <w:vAlign w:val="center"/>
          </w:tcPr>
          <w:p w14:paraId="6A517D79">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微软雅黑"/>
                <w:bCs/>
                <w:color w:val="auto"/>
                <w:szCs w:val="21"/>
                <w:highlight w:val="none"/>
              </w:rPr>
            </w:pPr>
          </w:p>
        </w:tc>
        <w:tc>
          <w:tcPr>
            <w:tcW w:w="9097" w:type="dxa"/>
            <w:gridSpan w:val="2"/>
            <w:shd w:val="clear" w:color="auto" w:fill="auto"/>
            <w:vAlign w:val="center"/>
          </w:tcPr>
          <w:p w14:paraId="53477A86">
            <w:pPr>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Cs w:val="21"/>
                <w:highlight w:val="none"/>
              </w:rPr>
            </w:pPr>
            <w:r>
              <w:rPr>
                <w:rFonts w:ascii="宋体" w:hAnsi="宋体"/>
                <w:color w:val="auto"/>
                <w:highlight w:val="none"/>
              </w:rPr>
              <w:t>门诊模版收藏管理</w:t>
            </w:r>
          </w:p>
        </w:tc>
      </w:tr>
      <w:tr w14:paraId="25404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821" w:type="dxa"/>
            <w:vMerge w:val="continue"/>
            <w:shd w:val="clear" w:color="auto" w:fill="auto"/>
            <w:vAlign w:val="center"/>
          </w:tcPr>
          <w:p w14:paraId="0A454157">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微软雅黑"/>
                <w:bCs/>
                <w:color w:val="auto"/>
                <w:szCs w:val="21"/>
                <w:highlight w:val="none"/>
              </w:rPr>
            </w:pPr>
          </w:p>
        </w:tc>
        <w:tc>
          <w:tcPr>
            <w:tcW w:w="1175" w:type="dxa"/>
            <w:shd w:val="clear" w:color="auto" w:fill="auto"/>
            <w:vAlign w:val="center"/>
          </w:tcPr>
          <w:p w14:paraId="1DE86E77">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Cs w:val="21"/>
                <w:highlight w:val="none"/>
              </w:rPr>
            </w:pPr>
            <w:r>
              <w:rPr>
                <w:rFonts w:ascii="宋体" w:hAnsi="宋体"/>
                <w:color w:val="auto"/>
                <w:highlight w:val="none"/>
              </w:rPr>
              <w:t>门诊模版收藏管理</w:t>
            </w:r>
          </w:p>
        </w:tc>
        <w:tc>
          <w:tcPr>
            <w:tcW w:w="7922" w:type="dxa"/>
            <w:shd w:val="clear" w:color="auto" w:fill="auto"/>
            <w:vAlign w:val="center"/>
          </w:tcPr>
          <w:p w14:paraId="78E2861F">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r>
              <w:rPr>
                <w:rFonts w:hint="eastAsia" w:ascii="宋体" w:hAnsi="宋体" w:cs="宋体"/>
                <w:bCs/>
                <w:color w:val="auto"/>
                <w:szCs w:val="21"/>
                <w:highlight w:val="none"/>
              </w:rPr>
              <w:t>在门诊操作过程中，支持模版收藏功能管理，按照收藏类别可分为医嘱模版收藏、常用诊断收藏、就诊模版收藏、门诊病历常用短语收藏。</w:t>
            </w:r>
            <w:r>
              <w:rPr>
                <w:color w:val="auto"/>
                <w:highlight w:val="none"/>
              </w:rPr>
              <w:t>对于某一诊断，一键导入病历、诊断、检验、检查、药品、手术、治疗模板。注意是一键应用，而不是在多个页面分别点击模板。授权专病模板元素工作台权限给专科信息员做模板编辑，完成后提交医务管理系统经病案、医务以及法务审核。</w:t>
            </w:r>
          </w:p>
        </w:tc>
      </w:tr>
      <w:tr w14:paraId="19D24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821" w:type="dxa"/>
            <w:vMerge w:val="continue"/>
            <w:shd w:val="clear" w:color="auto" w:fill="auto"/>
            <w:vAlign w:val="center"/>
          </w:tcPr>
          <w:p w14:paraId="2E7B9D3D">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微软雅黑"/>
                <w:bCs/>
                <w:color w:val="auto"/>
                <w:szCs w:val="21"/>
                <w:highlight w:val="none"/>
              </w:rPr>
            </w:pPr>
          </w:p>
        </w:tc>
        <w:tc>
          <w:tcPr>
            <w:tcW w:w="9097" w:type="dxa"/>
            <w:gridSpan w:val="2"/>
            <w:shd w:val="clear" w:color="auto" w:fill="auto"/>
            <w:vAlign w:val="center"/>
          </w:tcPr>
          <w:p w14:paraId="574C0114">
            <w:pPr>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Cs w:val="21"/>
                <w:highlight w:val="none"/>
              </w:rPr>
            </w:pPr>
            <w:r>
              <w:rPr>
                <w:rFonts w:ascii="宋体" w:hAnsi="宋体"/>
                <w:color w:val="auto"/>
                <w:highlight w:val="none"/>
              </w:rPr>
              <w:t>门诊病历关联业务</w:t>
            </w:r>
          </w:p>
        </w:tc>
      </w:tr>
      <w:tr w14:paraId="446EA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821" w:type="dxa"/>
            <w:vMerge w:val="continue"/>
            <w:shd w:val="clear" w:color="auto" w:fill="auto"/>
            <w:vAlign w:val="center"/>
          </w:tcPr>
          <w:p w14:paraId="32F65E83">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微软雅黑"/>
                <w:bCs/>
                <w:color w:val="auto"/>
                <w:szCs w:val="21"/>
                <w:highlight w:val="none"/>
              </w:rPr>
            </w:pPr>
          </w:p>
        </w:tc>
        <w:tc>
          <w:tcPr>
            <w:tcW w:w="1175" w:type="dxa"/>
            <w:shd w:val="clear" w:color="auto" w:fill="auto"/>
            <w:vAlign w:val="center"/>
          </w:tcPr>
          <w:p w14:paraId="30949E95">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Cs w:val="21"/>
                <w:highlight w:val="none"/>
              </w:rPr>
            </w:pPr>
            <w:r>
              <w:rPr>
                <w:rFonts w:ascii="宋体" w:hAnsi="宋体"/>
                <w:color w:val="auto"/>
                <w:highlight w:val="none"/>
              </w:rPr>
              <w:t>门诊病历关联业务</w:t>
            </w:r>
          </w:p>
        </w:tc>
        <w:tc>
          <w:tcPr>
            <w:tcW w:w="7922" w:type="dxa"/>
            <w:shd w:val="clear" w:color="auto" w:fill="auto"/>
            <w:vAlign w:val="center"/>
          </w:tcPr>
          <w:p w14:paraId="50948F8C">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基于电子病历书写规范，支持与病历文书的强关联。</w:t>
            </w:r>
          </w:p>
          <w:p w14:paraId="6E53CA65">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支持诊毕患者时自动保存病历文书；</w:t>
            </w:r>
          </w:p>
          <w:p w14:paraId="1F886B0C">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支持诊断、医嘱录入自动同步到病历文书；</w:t>
            </w:r>
          </w:p>
          <w:p w14:paraId="4F7F63A1">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支持开立医技医嘱时自动引入病历文书章节；</w:t>
            </w:r>
          </w:p>
          <w:p w14:paraId="651E0123">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r>
              <w:rPr>
                <w:rFonts w:hint="eastAsia" w:ascii="宋体" w:hAnsi="宋体" w:cs="宋体"/>
                <w:bCs/>
                <w:color w:val="auto"/>
                <w:szCs w:val="21"/>
                <w:highlight w:val="none"/>
              </w:rPr>
              <w:t>支持开立医嘱后自动创建知情同意书。医生开立相应医嘱后，可自动创建相应知情同意书。同意书会收录患者病历夹，后续就诊流程均可查看。</w:t>
            </w:r>
          </w:p>
          <w:p w14:paraId="4B1E79E6">
            <w:pPr>
              <w:keepNext w:val="0"/>
              <w:keepLines w:val="0"/>
              <w:pageBreakBefore w:val="0"/>
              <w:numPr>
                <w:ilvl w:val="0"/>
                <w:numId w:val="12"/>
              </w:numPr>
              <w:kinsoku/>
              <w:wordWrap/>
              <w:overflowPunct/>
              <w:topLinePunct w:val="0"/>
              <w:autoSpaceDE/>
              <w:autoSpaceDN/>
              <w:bidi w:val="0"/>
              <w:adjustRightInd w:val="0"/>
              <w:snapToGrid w:val="0"/>
              <w:spacing w:line="360" w:lineRule="auto"/>
              <w:jc w:val="left"/>
              <w:textAlignment w:val="auto"/>
              <w:rPr>
                <w:color w:val="auto"/>
                <w:highlight w:val="none"/>
              </w:rPr>
            </w:pPr>
            <w:r>
              <w:rPr>
                <w:rFonts w:hint="eastAsia" w:ascii="宋体" w:hAnsi="宋体" w:cs="宋体"/>
                <w:color w:val="auto"/>
                <w:highlight w:val="none"/>
                <w:shd w:val="clear" w:color="auto"/>
              </w:rPr>
              <w:t>门诊医生站调阅内嵌无纸化知情同意书的模板。</w:t>
            </w:r>
          </w:p>
        </w:tc>
      </w:tr>
      <w:tr w14:paraId="10D8A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821" w:type="dxa"/>
            <w:vMerge w:val="continue"/>
            <w:shd w:val="clear" w:color="auto" w:fill="auto"/>
            <w:vAlign w:val="center"/>
          </w:tcPr>
          <w:p w14:paraId="64F0A335">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微软雅黑"/>
                <w:bCs/>
                <w:color w:val="auto"/>
                <w:szCs w:val="21"/>
                <w:highlight w:val="none"/>
              </w:rPr>
            </w:pPr>
          </w:p>
        </w:tc>
        <w:tc>
          <w:tcPr>
            <w:tcW w:w="9097" w:type="dxa"/>
            <w:gridSpan w:val="2"/>
            <w:shd w:val="clear" w:color="auto" w:fill="auto"/>
            <w:vAlign w:val="center"/>
          </w:tcPr>
          <w:p w14:paraId="7EB214E5">
            <w:pPr>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Cs w:val="21"/>
                <w:highlight w:val="none"/>
              </w:rPr>
            </w:pPr>
            <w:r>
              <w:rPr>
                <w:rFonts w:ascii="宋体" w:hAnsi="宋体"/>
                <w:color w:val="auto"/>
                <w:highlight w:val="none"/>
              </w:rPr>
              <w:t>门诊一体化集成</w:t>
            </w:r>
          </w:p>
        </w:tc>
      </w:tr>
      <w:tr w14:paraId="65916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821" w:type="dxa"/>
            <w:vMerge w:val="continue"/>
            <w:shd w:val="clear" w:color="auto" w:fill="auto"/>
            <w:vAlign w:val="center"/>
          </w:tcPr>
          <w:p w14:paraId="6215BC59">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微软雅黑"/>
                <w:bCs/>
                <w:color w:val="auto"/>
                <w:szCs w:val="21"/>
                <w:highlight w:val="none"/>
              </w:rPr>
            </w:pPr>
          </w:p>
        </w:tc>
        <w:tc>
          <w:tcPr>
            <w:tcW w:w="1175" w:type="dxa"/>
            <w:shd w:val="clear" w:color="auto" w:fill="auto"/>
            <w:vAlign w:val="center"/>
          </w:tcPr>
          <w:p w14:paraId="76E788D5">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Cs w:val="21"/>
                <w:highlight w:val="none"/>
              </w:rPr>
            </w:pPr>
            <w:r>
              <w:rPr>
                <w:rFonts w:ascii="宋体" w:hAnsi="宋体"/>
                <w:color w:val="auto"/>
                <w:highlight w:val="none"/>
              </w:rPr>
              <w:t>门诊一体化集成</w:t>
            </w:r>
          </w:p>
        </w:tc>
        <w:tc>
          <w:tcPr>
            <w:tcW w:w="7922" w:type="dxa"/>
            <w:shd w:val="clear" w:color="auto" w:fill="auto"/>
            <w:vAlign w:val="center"/>
          </w:tcPr>
          <w:p w14:paraId="2B793FCD">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olor w:val="auto"/>
                <w:sz w:val="24"/>
                <w:highlight w:val="none"/>
              </w:rPr>
            </w:pPr>
            <w:r>
              <w:rPr>
                <w:rFonts w:hint="eastAsia" w:ascii="宋体" w:hAnsi="宋体" w:cs="宋体"/>
                <w:bCs/>
                <w:color w:val="auto"/>
                <w:szCs w:val="21"/>
                <w:highlight w:val="none"/>
              </w:rPr>
              <w:t>提供一体化工作台：在同一个界面上集成医生写病历、下诊断、开医嘱的诊疗操作；集成所有诊间业务功能。门诊医生工作站要与急诊系统双向对接。</w:t>
            </w:r>
          </w:p>
          <w:p w14:paraId="1F17ADE8">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olor w:val="auto"/>
                <w:sz w:val="24"/>
                <w:highlight w:val="none"/>
              </w:rPr>
            </w:pPr>
            <w:r>
              <w:rPr>
                <w:rFonts w:ascii="Segoe UI" w:hAnsi="Segoe UI" w:cs="Segoe UI"/>
                <w:color w:val="0F1115"/>
                <w:shd w:val="clear" w:color="auto" w:fill="FFFFFF"/>
              </w:rPr>
              <w:t>提供标准化的医嘱模块接口，支持第三方系统快速对接与数据互通。</w:t>
            </w:r>
          </w:p>
          <w:p w14:paraId="2418C666">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olor w:val="auto"/>
                <w:sz w:val="24"/>
                <w:highlight w:val="none"/>
              </w:rPr>
            </w:pPr>
            <w:r>
              <w:rPr>
                <w:rFonts w:hint="eastAsia"/>
              </w:rPr>
              <w:t>根据医院的要求，建设标准化数据接口体系，实现与互联网医院诊疗数据的互联互通，提升线上线下一体化诊疗服务能力。</w:t>
            </w:r>
          </w:p>
        </w:tc>
      </w:tr>
      <w:tr w14:paraId="07C86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821" w:type="dxa"/>
            <w:shd w:val="clear" w:color="auto" w:fill="auto"/>
            <w:vAlign w:val="center"/>
          </w:tcPr>
          <w:p w14:paraId="3DA2C5A0">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微软雅黑"/>
                <w:bCs/>
                <w:color w:val="auto"/>
                <w:szCs w:val="21"/>
                <w:highlight w:val="none"/>
              </w:rPr>
            </w:pPr>
          </w:p>
        </w:tc>
        <w:tc>
          <w:tcPr>
            <w:tcW w:w="9097" w:type="dxa"/>
            <w:gridSpan w:val="2"/>
            <w:shd w:val="clear" w:color="auto" w:fill="auto"/>
            <w:vAlign w:val="center"/>
          </w:tcPr>
          <w:p w14:paraId="0B9A8F91">
            <w:pPr>
              <w:keepNext w:val="0"/>
              <w:keepLines w:val="0"/>
              <w:pageBreakBefore w:val="0"/>
              <w:numPr>
                <w:ilvl w:val="1"/>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rPr>
            </w:pPr>
            <w:r>
              <w:rPr>
                <w:rFonts w:hint="eastAsia" w:ascii="宋体" w:hAnsi="宋体"/>
                <w:color w:val="auto"/>
                <w:highlight w:val="none"/>
                <w:lang w:val="en-US" w:eastAsia="zh-CN"/>
              </w:rPr>
              <w:t>报告卡</w:t>
            </w:r>
          </w:p>
        </w:tc>
      </w:tr>
      <w:tr w14:paraId="07CCE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821" w:type="dxa"/>
            <w:shd w:val="clear" w:color="auto" w:fill="auto"/>
            <w:vAlign w:val="center"/>
          </w:tcPr>
          <w:p w14:paraId="5EADF254">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微软雅黑"/>
                <w:bCs/>
                <w:color w:val="auto"/>
                <w:szCs w:val="21"/>
                <w:highlight w:val="none"/>
              </w:rPr>
            </w:pPr>
          </w:p>
        </w:tc>
        <w:tc>
          <w:tcPr>
            <w:tcW w:w="1175" w:type="dxa"/>
            <w:shd w:val="clear" w:color="auto" w:fill="auto"/>
            <w:vAlign w:val="center"/>
          </w:tcPr>
          <w:p w14:paraId="1BB02109">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hint="eastAsia" w:ascii="宋体" w:hAnsi="宋体"/>
                <w:color w:val="auto"/>
                <w:highlight w:val="none"/>
                <w:lang w:val="en-US" w:eastAsia="zh-CN"/>
              </w:rPr>
            </w:pPr>
            <w:r>
              <w:rPr>
                <w:rFonts w:hint="eastAsia" w:ascii="宋体" w:hAnsi="宋体"/>
                <w:color w:val="auto"/>
                <w:highlight w:val="none"/>
                <w:lang w:val="en-US" w:eastAsia="zh-CN"/>
              </w:rPr>
              <w:t>可配置化报告卡管理功能</w:t>
            </w:r>
          </w:p>
        </w:tc>
        <w:tc>
          <w:tcPr>
            <w:tcW w:w="7922" w:type="dxa"/>
            <w:shd w:val="clear" w:color="auto" w:fill="auto"/>
            <w:vAlign w:val="center"/>
          </w:tcPr>
          <w:p w14:paraId="1F8A0602">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hint="eastAsia"/>
              </w:rPr>
            </w:pPr>
            <w:r>
              <w:rPr>
                <w:rFonts w:hint="eastAsia"/>
              </w:rPr>
              <w:t>支持对各类报告卡模板、字段、必填项、校验规则及触发诊断规则进行后台配置。系统可根据诊断名称、ICD编码、就诊类型、科室等条件自动判断是否需弹出对应报告卡，减少后续新增报卡类型时的重复开发。</w:t>
            </w:r>
          </w:p>
          <w:p w14:paraId="62273A31">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hint="eastAsia"/>
              </w:rPr>
            </w:pPr>
            <w:r>
              <w:rPr>
                <w:rFonts w:hint="eastAsia"/>
              </w:rPr>
              <w:t>报告卡通用字段如患者姓名、性别、年龄、证件号、联系电话、就诊科室、接诊医生、诊断名称、ICD编码、就诊时间等应支持自动带出；业务专用字段支持后台维护。</w:t>
            </w:r>
          </w:p>
        </w:tc>
      </w:tr>
      <w:tr w14:paraId="19D75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821" w:type="dxa"/>
            <w:shd w:val="clear" w:color="auto" w:fill="auto"/>
            <w:vAlign w:val="center"/>
          </w:tcPr>
          <w:p w14:paraId="169A613D">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微软雅黑"/>
                <w:bCs/>
                <w:color w:val="auto"/>
                <w:szCs w:val="21"/>
                <w:highlight w:val="none"/>
              </w:rPr>
            </w:pPr>
          </w:p>
        </w:tc>
        <w:tc>
          <w:tcPr>
            <w:tcW w:w="1175" w:type="dxa"/>
            <w:shd w:val="clear" w:color="auto" w:fill="auto"/>
            <w:vAlign w:val="center"/>
          </w:tcPr>
          <w:p w14:paraId="2E20EAF8">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hint="eastAsia" w:ascii="宋体" w:hAnsi="宋体"/>
                <w:color w:val="auto"/>
                <w:highlight w:val="none"/>
                <w:lang w:val="en-US" w:eastAsia="zh-CN"/>
              </w:rPr>
            </w:pPr>
            <w:r>
              <w:rPr>
                <w:rFonts w:hint="eastAsia" w:ascii="宋体" w:hAnsi="宋体"/>
                <w:color w:val="auto"/>
                <w:highlight w:val="none"/>
                <w:lang w:val="en-US" w:eastAsia="zh-CN"/>
              </w:rPr>
              <w:t>报告卡</w:t>
            </w:r>
          </w:p>
        </w:tc>
        <w:tc>
          <w:tcPr>
            <w:tcW w:w="7922" w:type="dxa"/>
            <w:shd w:val="clear" w:color="auto" w:fill="auto"/>
            <w:vAlign w:val="center"/>
          </w:tcPr>
          <w:p w14:paraId="5204113B">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hint="eastAsia" w:ascii="宋体" w:hAnsi="宋体" w:cs="宋体"/>
                <w:bCs/>
                <w:color w:val="auto"/>
                <w:szCs w:val="21"/>
                <w:highlight w:val="none"/>
              </w:rPr>
            </w:pPr>
            <w:r>
              <w:rPr>
                <w:rFonts w:hint="eastAsia" w:ascii="宋体" w:hAnsi="宋体" w:cs="宋体"/>
                <w:bCs/>
                <w:color w:val="auto"/>
                <w:szCs w:val="21"/>
                <w:highlight w:val="none"/>
              </w:rPr>
              <w:t>支持疾病报卡与诊断关联，包括但不限于罕见病、传染病、严重精神障碍等。系统可根据诊断名称或ICD编码自动识别需报卡病例，并触发相应报告卡填写。</w:t>
            </w:r>
          </w:p>
          <w:p w14:paraId="7ABCA76B">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hint="eastAsia" w:ascii="宋体" w:hAnsi="宋体" w:cs="宋体"/>
                <w:bCs/>
                <w:color w:val="auto"/>
                <w:szCs w:val="21"/>
                <w:highlight w:val="none"/>
              </w:rPr>
            </w:pPr>
            <w:r>
              <w:rPr>
                <w:rFonts w:hint="eastAsia" w:ascii="宋体" w:hAnsi="宋体" w:cs="宋体"/>
                <w:bCs/>
                <w:color w:val="auto"/>
                <w:szCs w:val="21"/>
                <w:highlight w:val="none"/>
              </w:rPr>
              <w:t>支持严重精神障碍患者报告卡及高风险报告卡管理。系统根据诊断ICD编码自动识别符合条件的患者，弹出报告卡供医生填写；患者基本信息、就诊信息、诊断信息等通用字段自动带出，减少重复录入。</w:t>
            </w:r>
          </w:p>
          <w:p w14:paraId="2EB44ABE">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hint="eastAsia" w:ascii="宋体" w:hAnsi="宋体" w:cs="宋体"/>
                <w:bCs/>
                <w:color w:val="auto"/>
                <w:szCs w:val="21"/>
                <w:highlight w:val="none"/>
              </w:rPr>
            </w:pPr>
            <w:r>
              <w:rPr>
                <w:rFonts w:hint="eastAsia" w:ascii="宋体" w:hAnsi="宋体" w:cs="宋体"/>
                <w:bCs/>
                <w:color w:val="auto"/>
                <w:szCs w:val="21"/>
                <w:highlight w:val="none"/>
              </w:rPr>
              <w:t>报告卡应支持字段、必填项、缺项提醒、诊断触发规则等后台配置；支持自动弹卡和手动新增。对既往已完成有效报卡的患者，系统应支持去重判断，避免重复弹卡。</w:t>
            </w:r>
          </w:p>
          <w:p w14:paraId="1B42E00E">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hint="eastAsia" w:ascii="宋体" w:hAnsi="宋体" w:cs="宋体"/>
                <w:bCs/>
                <w:color w:val="auto"/>
                <w:szCs w:val="21"/>
                <w:highlight w:val="none"/>
              </w:rPr>
            </w:pPr>
            <w:r>
              <w:rPr>
                <w:rFonts w:hint="eastAsia" w:ascii="宋体" w:hAnsi="宋体" w:cs="宋体"/>
                <w:bCs/>
                <w:color w:val="auto"/>
                <w:szCs w:val="21"/>
                <w:highlight w:val="none"/>
              </w:rPr>
              <w:t>当危险度评估为3级及以上时，系统提示填写严重精神障碍患者高风险报告卡，并与基础报告卡关联保存，两类卡片均纳入档案管理。</w:t>
            </w:r>
          </w:p>
          <w:p w14:paraId="1E1D0227">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hint="eastAsia" w:ascii="宋体" w:hAnsi="宋体" w:cs="宋体"/>
                <w:bCs/>
                <w:color w:val="auto"/>
                <w:szCs w:val="21"/>
                <w:highlight w:val="none"/>
              </w:rPr>
            </w:pPr>
            <w:r>
              <w:rPr>
                <w:rFonts w:hint="eastAsia" w:ascii="宋体" w:hAnsi="宋体" w:cs="宋体"/>
                <w:bCs/>
                <w:color w:val="auto"/>
                <w:szCs w:val="21"/>
                <w:highlight w:val="none"/>
              </w:rPr>
              <w:t>支持公共卫生管理科对临床提交的报告卡进行查询、审核、修改、导出及打印。当前暂不直接对接市精卫系统，先支持院内审核后人工上报；后续根据接口条件扩展对接。</w:t>
            </w:r>
          </w:p>
          <w:p w14:paraId="4AF3A57A">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color w:val="auto"/>
                <w:highlight w:val="none"/>
              </w:rPr>
            </w:pPr>
            <w:r>
              <w:rPr>
                <w:rFonts w:hint="eastAsia" w:ascii="宋体" w:hAnsi="宋体" w:cs="宋体"/>
                <w:bCs/>
                <w:color w:val="auto"/>
                <w:szCs w:val="21"/>
                <w:highlight w:val="none"/>
              </w:rPr>
              <w:t>报告卡模板及关联ICD编码范围以院方确认附件为准。</w:t>
            </w:r>
          </w:p>
          <w:p w14:paraId="4F5F23CB">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hint="eastAsia"/>
              </w:rPr>
            </w:pPr>
            <w:r>
              <w:rPr>
                <w:rFonts w:hint="eastAsia"/>
                <w:color w:val="auto"/>
                <w:highlight w:val="none"/>
              </w:rPr>
              <w:t>支持门诊肺结核及疑似病例报卡与转诊单联动功能。门诊诊断保存后，系统根据诊断名称或ICD编码自动识别肺结核及疑似病例，并触发传染病报告卡填写；报告卡完成后，系统自动生成肺结核转诊单，转诊单基础信息自动带出，减少医生重复录入。转诊单完成后，支持患者在服务台刷卡打印，或通过微信公众号推送电子版供患者手机端查看。</w:t>
            </w:r>
          </w:p>
        </w:tc>
      </w:tr>
      <w:tr w14:paraId="025F6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821" w:type="dxa"/>
            <w:shd w:val="clear" w:color="auto" w:fill="auto"/>
            <w:vAlign w:val="center"/>
          </w:tcPr>
          <w:p w14:paraId="4E247454">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微软雅黑"/>
                <w:bCs/>
                <w:color w:val="auto"/>
                <w:szCs w:val="21"/>
                <w:highlight w:val="none"/>
              </w:rPr>
            </w:pPr>
          </w:p>
        </w:tc>
        <w:tc>
          <w:tcPr>
            <w:tcW w:w="1175" w:type="dxa"/>
            <w:shd w:val="clear" w:color="auto" w:fill="auto"/>
            <w:vAlign w:val="center"/>
          </w:tcPr>
          <w:p w14:paraId="782DFC69">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hint="eastAsia" w:ascii="宋体" w:hAnsi="宋体"/>
                <w:color w:val="auto"/>
                <w:highlight w:val="none"/>
                <w:lang w:val="en-US" w:eastAsia="zh-CN"/>
              </w:rPr>
            </w:pPr>
            <w:r>
              <w:rPr>
                <w:rFonts w:hint="eastAsia" w:ascii="宋体" w:hAnsi="宋体"/>
                <w:color w:val="auto"/>
                <w:highlight w:val="none"/>
                <w:lang w:val="en-US" w:eastAsia="zh-CN"/>
              </w:rPr>
              <w:t>填卡要求</w:t>
            </w:r>
          </w:p>
        </w:tc>
        <w:tc>
          <w:tcPr>
            <w:tcW w:w="7922" w:type="dxa"/>
            <w:shd w:val="clear" w:color="auto" w:fill="auto"/>
            <w:vAlign w:val="center"/>
          </w:tcPr>
          <w:p w14:paraId="4A0CB7EA">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hint="eastAsia"/>
              </w:rPr>
            </w:pPr>
            <w:r>
              <w:rPr>
                <w:rFonts w:hint="eastAsia"/>
              </w:rPr>
              <w:t>满足《中华人民共和国传染病报告卡》填卡说明要求，包括以下具体要求：（1）证件号必填，且仅限数字和字母；若为“居民身份证号”，须18位且符合逻辑校验，否则保存时高亮提醒；证件号旁提示：“暂未办理身份证儿童请填家长身份证号”。（2）通行证逻辑：选择“港澳/台湾居民来往内地通行证”时，下方弹出“患者来源地”（必选：香港/澳门/台湾），该字段仅医生端可见，不推送前置系统。上述任一填写不规范，保存时高亮提醒。（3）家长姓名：根据出生日期判定患者≤14岁（未满15岁）时，为必填项，未填则保存时高亮提醒。工作单位（学校）：职业为幼托儿童、学生、民工、教师、医务人员、工人、干部职员时，为必填项，未填则保存时高亮提醒。</w:t>
            </w:r>
          </w:p>
          <w:p w14:paraId="64A17412">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hint="eastAsia"/>
              </w:rPr>
            </w:pPr>
            <w:r>
              <w:rPr>
                <w:rFonts w:hint="eastAsia"/>
              </w:rPr>
              <w:t>传染病报卡弹框提醒：（1）填报“手足口病”卡时，若“重症患者”选“是”，弹框提示“是否上报手足口病重症？”（“重症”加粗标红），选项“是/否”；（2）填报“新型冠状病毒感染”卡时，若“临床严重程度”选“重型”或“危重型”，弹框提示“是否上报新型冠状病毒感染重症？”（“重症”加粗标红），选项“是/否”。</w:t>
            </w:r>
          </w:p>
        </w:tc>
      </w:tr>
      <w:tr w14:paraId="49D75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821" w:type="dxa"/>
            <w:shd w:val="clear" w:color="auto" w:fill="auto"/>
            <w:vAlign w:val="center"/>
          </w:tcPr>
          <w:p w14:paraId="7BA188DA">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微软雅黑"/>
                <w:bCs/>
                <w:color w:val="auto"/>
                <w:szCs w:val="21"/>
                <w:highlight w:val="none"/>
              </w:rPr>
            </w:pPr>
          </w:p>
        </w:tc>
        <w:tc>
          <w:tcPr>
            <w:tcW w:w="1175" w:type="dxa"/>
            <w:shd w:val="clear" w:color="auto" w:fill="auto"/>
            <w:vAlign w:val="center"/>
          </w:tcPr>
          <w:p w14:paraId="74611E09">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hint="eastAsia" w:ascii="宋体" w:hAnsi="宋体"/>
                <w:color w:val="auto"/>
                <w:highlight w:val="none"/>
                <w:lang w:val="en-US" w:eastAsia="zh-CN"/>
              </w:rPr>
            </w:pPr>
            <w:r>
              <w:rPr>
                <w:rFonts w:hint="eastAsia" w:ascii="宋体" w:hAnsi="宋体"/>
                <w:color w:val="auto"/>
                <w:highlight w:val="none"/>
                <w:lang w:val="en-US" w:eastAsia="zh-CN"/>
              </w:rPr>
              <w:t>体检报卡</w:t>
            </w:r>
          </w:p>
        </w:tc>
        <w:tc>
          <w:tcPr>
            <w:tcW w:w="7922" w:type="dxa"/>
            <w:shd w:val="clear" w:color="auto" w:fill="auto"/>
            <w:vAlign w:val="center"/>
          </w:tcPr>
          <w:p w14:paraId="2C4BE1B8">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hint="eastAsia"/>
              </w:rPr>
            </w:pPr>
            <w:r>
              <w:rPr>
                <w:rFonts w:hint="eastAsia"/>
              </w:rPr>
              <w:t>疾病报卡对接一体检系统，支持体检中心医生完成体检患者的传染病上报。</w:t>
            </w:r>
          </w:p>
        </w:tc>
      </w:tr>
      <w:tr w14:paraId="604A0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821" w:type="dxa"/>
            <w:shd w:val="clear" w:color="auto" w:fill="auto"/>
            <w:vAlign w:val="center"/>
          </w:tcPr>
          <w:p w14:paraId="32923F07">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微软雅黑"/>
                <w:bCs/>
                <w:color w:val="auto"/>
                <w:szCs w:val="21"/>
                <w:highlight w:val="none"/>
              </w:rPr>
            </w:pPr>
          </w:p>
        </w:tc>
        <w:tc>
          <w:tcPr>
            <w:tcW w:w="9097" w:type="dxa"/>
            <w:gridSpan w:val="2"/>
            <w:shd w:val="clear" w:color="auto" w:fill="auto"/>
            <w:vAlign w:val="center"/>
          </w:tcPr>
          <w:p w14:paraId="317F2F8C">
            <w:pPr>
              <w:keepNext w:val="0"/>
              <w:keepLines w:val="0"/>
              <w:pageBreakBefore w:val="0"/>
              <w:numPr>
                <w:ilvl w:val="-1"/>
                <w:numId w:val="0"/>
              </w:numPr>
              <w:tabs>
                <w:tab w:val="left" w:pos="525"/>
                <w:tab w:val="left" w:pos="630"/>
              </w:tabs>
              <w:kinsoku/>
              <w:wordWrap/>
              <w:overflowPunct/>
              <w:topLinePunct w:val="0"/>
              <w:autoSpaceDE/>
              <w:autoSpaceDN/>
              <w:bidi w:val="0"/>
              <w:adjustRightInd w:val="0"/>
              <w:snapToGrid w:val="0"/>
              <w:spacing w:line="360" w:lineRule="auto"/>
              <w:ind w:left="0" w:firstLine="0"/>
              <w:jc w:val="left"/>
              <w:textAlignment w:val="auto"/>
              <w:rPr>
                <w:rFonts w:hint="default" w:eastAsia="宋体"/>
                <w:lang w:val="en-US" w:eastAsia="zh-CN"/>
              </w:rPr>
            </w:pPr>
            <w:r>
              <w:rPr>
                <w:rFonts w:hint="eastAsia" w:ascii="宋体" w:hAnsi="宋体"/>
                <w:color w:val="auto"/>
                <w:highlight w:val="none"/>
                <w:lang w:val="en-US" w:eastAsia="zh-CN"/>
              </w:rPr>
              <w:t>门诊报表</w:t>
            </w:r>
          </w:p>
        </w:tc>
      </w:tr>
      <w:tr w14:paraId="31B05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821" w:type="dxa"/>
            <w:shd w:val="clear" w:color="auto" w:fill="auto"/>
            <w:vAlign w:val="center"/>
          </w:tcPr>
          <w:p w14:paraId="37139B85">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微软雅黑"/>
                <w:bCs/>
                <w:color w:val="auto"/>
                <w:szCs w:val="21"/>
                <w:highlight w:val="none"/>
              </w:rPr>
            </w:pPr>
          </w:p>
        </w:tc>
        <w:tc>
          <w:tcPr>
            <w:tcW w:w="1175" w:type="dxa"/>
            <w:shd w:val="clear" w:color="auto" w:fill="auto"/>
            <w:vAlign w:val="center"/>
          </w:tcPr>
          <w:p w14:paraId="168112E7">
            <w:pPr>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jc w:val="left"/>
              <w:textAlignment w:val="auto"/>
              <w:rPr>
                <w:rFonts w:hint="default" w:ascii="宋体" w:hAnsi="宋体" w:eastAsia="宋体"/>
                <w:color w:val="auto"/>
                <w:highlight w:val="none"/>
                <w:lang w:val="en-US" w:eastAsia="zh-CN"/>
              </w:rPr>
            </w:pPr>
            <w:r>
              <w:rPr>
                <w:rFonts w:hint="eastAsia" w:ascii="宋体" w:hAnsi="宋体"/>
                <w:color w:val="auto"/>
                <w:highlight w:val="none"/>
                <w:lang w:val="en-US" w:eastAsia="zh-CN"/>
              </w:rPr>
              <w:t>门诊报表</w:t>
            </w:r>
          </w:p>
        </w:tc>
        <w:tc>
          <w:tcPr>
            <w:tcW w:w="7922" w:type="dxa"/>
            <w:shd w:val="clear" w:color="auto" w:fill="auto"/>
            <w:vAlign w:val="center"/>
          </w:tcPr>
          <w:p w14:paraId="126474B6">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hint="eastAsia"/>
              </w:rPr>
            </w:pPr>
            <w:r>
              <w:rPr>
                <w:rFonts w:hint="eastAsia"/>
                <w:lang w:val="en-US" w:eastAsia="zh-CN"/>
              </w:rPr>
              <w:t>生成医生出诊、接诊情况常规报表</w:t>
            </w:r>
          </w:p>
        </w:tc>
      </w:tr>
    </w:tbl>
    <w:p w14:paraId="26043918">
      <w:pPr>
        <w:rPr>
          <w:rFonts w:ascii="宋体" w:hAnsi="宋体"/>
          <w:color w:val="auto"/>
          <w:highlight w:val="none"/>
        </w:rPr>
      </w:pPr>
    </w:p>
    <w:tbl>
      <w:tblPr>
        <w:tblStyle w:val="46"/>
        <w:tblW w:w="978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29"/>
        <w:gridCol w:w="2130"/>
        <w:gridCol w:w="4618"/>
        <w:gridCol w:w="2211"/>
      </w:tblGrid>
      <w:tr w14:paraId="732832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662" w:hRule="atLeast"/>
          <w:jc w:val="center"/>
        </w:trPr>
        <w:tc>
          <w:tcPr>
            <w:tcW w:w="9788" w:type="dxa"/>
            <w:gridSpan w:val="4"/>
            <w:tcBorders>
              <w:top w:val="nil"/>
              <w:left w:val="nil"/>
              <w:bottom w:val="nil"/>
              <w:right w:val="nil"/>
            </w:tcBorders>
            <w:shd w:val="clear" w:color="auto" w:fill="auto"/>
            <w:noWrap/>
            <w:vAlign w:val="center"/>
          </w:tcPr>
          <w:p w14:paraId="2ABBEAE9">
            <w:pPr>
              <w:keepNext w:val="0"/>
              <w:keepLines w:val="0"/>
              <w:widowControl/>
              <w:suppressLineNumbers w:val="0"/>
              <w:jc w:val="center"/>
              <w:textAlignment w:val="center"/>
              <w:rPr>
                <w:rFonts w:hint="eastAsia" w:ascii="宋体" w:hAnsi="宋体" w:eastAsia="宋体" w:cs="宋体"/>
                <w:b/>
                <w:bCs/>
                <w:i w:val="0"/>
                <w:iCs w:val="0"/>
                <w:color w:val="000000"/>
                <w:sz w:val="28"/>
                <w:szCs w:val="28"/>
                <w:u w:val="none"/>
              </w:rPr>
            </w:pPr>
            <w:r>
              <w:rPr>
                <w:rFonts w:hint="eastAsia" w:ascii="宋体" w:hAnsi="宋体" w:eastAsia="宋体" w:cs="宋体"/>
                <w:b/>
                <w:bCs/>
                <w:i w:val="0"/>
                <w:iCs w:val="0"/>
                <w:color w:val="000000"/>
                <w:kern w:val="0"/>
                <w:sz w:val="28"/>
                <w:szCs w:val="28"/>
                <w:u w:val="none"/>
                <w:lang w:val="en-US" w:eastAsia="zh-CN" w:bidi="ar"/>
              </w:rPr>
              <w:t>预住院模块（含日间诊疗）</w:t>
            </w:r>
          </w:p>
        </w:tc>
      </w:tr>
      <w:tr w14:paraId="461E68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9788" w:type="dxa"/>
            <w:gridSpan w:val="4"/>
            <w:tcBorders>
              <w:top w:val="nil"/>
              <w:left w:val="nil"/>
              <w:bottom w:val="nil"/>
              <w:right w:val="nil"/>
            </w:tcBorders>
            <w:shd w:val="clear" w:color="auto" w:fill="auto"/>
            <w:noWrap/>
            <w:vAlign w:val="center"/>
          </w:tcPr>
          <w:p w14:paraId="4544386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一、业务流程架构</w:t>
            </w:r>
          </w:p>
        </w:tc>
      </w:tr>
      <w:tr w14:paraId="6DACCC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1" w:hRule="atLeast"/>
          <w:jc w:val="center"/>
        </w:trPr>
        <w:tc>
          <w:tcPr>
            <w:tcW w:w="9788" w:type="dxa"/>
            <w:gridSpan w:val="4"/>
            <w:vMerge w:val="restart"/>
            <w:tcBorders>
              <w:top w:val="nil"/>
              <w:left w:val="nil"/>
              <w:bottom w:val="nil"/>
              <w:right w:val="nil"/>
            </w:tcBorders>
            <w:shd w:val="clear" w:color="auto" w:fill="auto"/>
            <w:noWrap/>
            <w:vAlign w:val="center"/>
          </w:tcPr>
          <w:p w14:paraId="4E66FA9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drawing>
                <wp:anchor distT="0" distB="0" distL="114300" distR="114300" simplePos="0" relativeHeight="251659264" behindDoc="0" locked="0" layoutInCell="1" allowOverlap="1">
                  <wp:simplePos x="0" y="0"/>
                  <wp:positionH relativeFrom="column">
                    <wp:posOffset>247650</wp:posOffset>
                  </wp:positionH>
                  <wp:positionV relativeFrom="paragraph">
                    <wp:posOffset>132080</wp:posOffset>
                  </wp:positionV>
                  <wp:extent cx="5808345" cy="925830"/>
                  <wp:effectExtent l="0" t="0" r="1905" b="7620"/>
                  <wp:wrapNone/>
                  <wp:docPr id="2" name="1"/>
                  <wp:cNvGraphicFramePr/>
                  <a:graphic xmlns:a="http://schemas.openxmlformats.org/drawingml/2006/main">
                    <a:graphicData uri="http://schemas.openxmlformats.org/drawingml/2006/picture">
                      <pic:pic xmlns:pic="http://schemas.openxmlformats.org/drawingml/2006/picture">
                        <pic:nvPicPr>
                          <pic:cNvPr id="2" name="1"/>
                          <pic:cNvPicPr/>
                        </pic:nvPicPr>
                        <pic:blipFill>
                          <a:blip r:embed="rId6"/>
                          <a:stretch>
                            <a:fillRect/>
                          </a:stretch>
                        </pic:blipFill>
                        <pic:spPr>
                          <a:xfrm>
                            <a:off x="0" y="0"/>
                            <a:ext cx="5808345" cy="925830"/>
                          </a:xfrm>
                          <a:prstGeom prst="rect">
                            <a:avLst/>
                          </a:prstGeom>
                          <a:noFill/>
                          <a:ln>
                            <a:noFill/>
                          </a:ln>
                        </pic:spPr>
                      </pic:pic>
                    </a:graphicData>
                  </a:graphic>
                </wp:anchor>
              </w:drawing>
            </w:r>
          </w:p>
        </w:tc>
      </w:tr>
      <w:tr w14:paraId="44A8FB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1" w:hRule="atLeast"/>
          <w:jc w:val="center"/>
        </w:trPr>
        <w:tc>
          <w:tcPr>
            <w:tcW w:w="9788" w:type="dxa"/>
            <w:gridSpan w:val="4"/>
            <w:vMerge w:val="continue"/>
            <w:tcBorders>
              <w:top w:val="nil"/>
              <w:left w:val="nil"/>
              <w:bottom w:val="nil"/>
              <w:right w:val="nil"/>
            </w:tcBorders>
            <w:shd w:val="clear" w:color="auto" w:fill="auto"/>
            <w:noWrap/>
            <w:vAlign w:val="center"/>
          </w:tcPr>
          <w:p w14:paraId="102CA41C">
            <w:pPr>
              <w:rPr>
                <w:rFonts w:hint="eastAsia" w:ascii="宋体" w:hAnsi="宋体" w:eastAsia="宋体" w:cs="宋体"/>
                <w:i w:val="0"/>
                <w:iCs w:val="0"/>
                <w:color w:val="000000"/>
                <w:sz w:val="21"/>
                <w:szCs w:val="21"/>
                <w:u w:val="none"/>
              </w:rPr>
            </w:pPr>
          </w:p>
        </w:tc>
      </w:tr>
      <w:tr w14:paraId="67F26C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1" w:hRule="atLeast"/>
          <w:jc w:val="center"/>
        </w:trPr>
        <w:tc>
          <w:tcPr>
            <w:tcW w:w="9788" w:type="dxa"/>
            <w:gridSpan w:val="4"/>
            <w:vMerge w:val="continue"/>
            <w:tcBorders>
              <w:top w:val="nil"/>
              <w:left w:val="nil"/>
              <w:bottom w:val="nil"/>
              <w:right w:val="nil"/>
            </w:tcBorders>
            <w:shd w:val="clear" w:color="auto" w:fill="auto"/>
            <w:noWrap/>
            <w:vAlign w:val="center"/>
          </w:tcPr>
          <w:p w14:paraId="02D3A025">
            <w:pPr>
              <w:rPr>
                <w:rFonts w:hint="eastAsia" w:ascii="宋体" w:hAnsi="宋体" w:eastAsia="宋体" w:cs="宋体"/>
                <w:i w:val="0"/>
                <w:iCs w:val="0"/>
                <w:color w:val="000000"/>
                <w:sz w:val="21"/>
                <w:szCs w:val="21"/>
                <w:u w:val="none"/>
              </w:rPr>
            </w:pPr>
          </w:p>
        </w:tc>
      </w:tr>
      <w:tr w14:paraId="7A71C9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1" w:hRule="atLeast"/>
          <w:jc w:val="center"/>
        </w:trPr>
        <w:tc>
          <w:tcPr>
            <w:tcW w:w="9788" w:type="dxa"/>
            <w:gridSpan w:val="4"/>
            <w:vMerge w:val="continue"/>
            <w:tcBorders>
              <w:top w:val="nil"/>
              <w:left w:val="nil"/>
              <w:bottom w:val="nil"/>
              <w:right w:val="nil"/>
            </w:tcBorders>
            <w:shd w:val="clear" w:color="auto" w:fill="auto"/>
            <w:noWrap/>
            <w:vAlign w:val="center"/>
          </w:tcPr>
          <w:p w14:paraId="4E10C311">
            <w:pPr>
              <w:rPr>
                <w:rFonts w:hint="eastAsia" w:ascii="宋体" w:hAnsi="宋体" w:eastAsia="宋体" w:cs="宋体"/>
                <w:i w:val="0"/>
                <w:iCs w:val="0"/>
                <w:color w:val="000000"/>
                <w:sz w:val="21"/>
                <w:szCs w:val="21"/>
                <w:u w:val="none"/>
              </w:rPr>
            </w:pPr>
          </w:p>
        </w:tc>
      </w:tr>
      <w:tr w14:paraId="693A9B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1" w:hRule="atLeast"/>
          <w:jc w:val="center"/>
        </w:trPr>
        <w:tc>
          <w:tcPr>
            <w:tcW w:w="9788" w:type="dxa"/>
            <w:gridSpan w:val="4"/>
            <w:vMerge w:val="continue"/>
            <w:tcBorders>
              <w:top w:val="nil"/>
              <w:left w:val="nil"/>
              <w:bottom w:val="nil"/>
              <w:right w:val="nil"/>
            </w:tcBorders>
            <w:shd w:val="clear" w:color="auto" w:fill="auto"/>
            <w:noWrap/>
            <w:vAlign w:val="center"/>
          </w:tcPr>
          <w:p w14:paraId="2B74C248">
            <w:pPr>
              <w:rPr>
                <w:rFonts w:hint="eastAsia" w:ascii="宋体" w:hAnsi="宋体" w:eastAsia="宋体" w:cs="宋体"/>
                <w:i w:val="0"/>
                <w:iCs w:val="0"/>
                <w:color w:val="000000"/>
                <w:sz w:val="21"/>
                <w:szCs w:val="21"/>
                <w:u w:val="none"/>
              </w:rPr>
            </w:pPr>
          </w:p>
        </w:tc>
      </w:tr>
      <w:tr w14:paraId="18CECA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1" w:hRule="atLeast"/>
          <w:jc w:val="center"/>
        </w:trPr>
        <w:tc>
          <w:tcPr>
            <w:tcW w:w="9788" w:type="dxa"/>
            <w:gridSpan w:val="4"/>
            <w:tcBorders>
              <w:top w:val="nil"/>
              <w:left w:val="nil"/>
              <w:bottom w:val="nil"/>
              <w:right w:val="nil"/>
            </w:tcBorders>
            <w:shd w:val="clear" w:color="auto" w:fill="auto"/>
            <w:noWrap/>
            <w:vAlign w:val="center"/>
          </w:tcPr>
          <w:p w14:paraId="21A5189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二、各阶段需求明细</w:t>
            </w:r>
          </w:p>
        </w:tc>
      </w:tr>
      <w:tr w14:paraId="7768A5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1" w:hRule="atLeast"/>
          <w:jc w:val="center"/>
        </w:trPr>
        <w:tc>
          <w:tcPr>
            <w:tcW w:w="9788" w:type="dxa"/>
            <w:gridSpan w:val="4"/>
            <w:tcBorders>
              <w:top w:val="nil"/>
              <w:left w:val="nil"/>
              <w:bottom w:val="nil"/>
              <w:right w:val="nil"/>
            </w:tcBorders>
            <w:shd w:val="clear" w:color="auto" w:fill="auto"/>
            <w:noWrap/>
            <w:vAlign w:val="center"/>
          </w:tcPr>
          <w:p w14:paraId="787A6A5E">
            <w:pPr>
              <w:keepNext w:val="0"/>
              <w:keepLines w:val="0"/>
              <w:widowControl/>
              <w:suppressLineNumbers w:val="0"/>
              <w:adjustRightInd w:val="0"/>
              <w:snapToGrid w:val="0"/>
              <w:jc w:val="left"/>
              <w:textAlignment w:val="center"/>
              <w:rPr>
                <w:rFonts w:hint="eastAsia" w:ascii="宋体" w:hAnsi="宋体" w:eastAsia="宋体" w:cs="宋体"/>
                <w:i w:val="0"/>
                <w:iCs w:val="0"/>
                <w:color w:val="000000"/>
                <w:sz w:val="21"/>
                <w:szCs w:val="21"/>
                <w:u w:val="none"/>
              </w:rPr>
            </w:pPr>
            <w:r>
              <w:rPr>
                <w:rStyle w:val="82"/>
                <w:rFonts w:hint="eastAsia" w:ascii="宋体" w:hAnsi="宋体" w:eastAsia="宋体" w:cs="宋体"/>
                <w:sz w:val="21"/>
                <w:szCs w:val="21"/>
                <w:lang w:val="en-US" w:eastAsia="zh-CN" w:bidi="ar"/>
              </w:rPr>
              <w:t>1.</w:t>
            </w:r>
            <w:r>
              <w:rPr>
                <w:rStyle w:val="338"/>
                <w:rFonts w:hint="eastAsia" w:ascii="宋体" w:eastAsia="宋体" w:cs="宋体"/>
                <w:sz w:val="21"/>
                <w:szCs w:val="21"/>
                <w:lang w:val="en-US" w:eastAsia="zh-CN" w:bidi="ar"/>
              </w:rPr>
              <w:t>门诊申请阶段</w:t>
            </w:r>
            <w:r>
              <w:rPr>
                <w:rStyle w:val="82"/>
                <w:rFonts w:hint="eastAsia" w:ascii="宋体" w:hAnsi="宋体" w:eastAsia="宋体" w:cs="宋体"/>
                <w:snapToGrid w:val="0"/>
                <w:spacing w:val="0"/>
                <w:kern w:val="0"/>
                <w:sz w:val="21"/>
                <w:szCs w:val="21"/>
                <w:lang w:val="en-US" w:eastAsia="zh-CN" w:bidi="ar"/>
              </w:rPr>
              <w:t>：医生判断需预住院/日间诊疗（需征询医务科、门诊办意见）</w:t>
            </w:r>
          </w:p>
        </w:tc>
      </w:tr>
      <w:tr w14:paraId="1D5894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jc w:val="center"/>
        </w:trPr>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73BB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9C80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功能需求</w:t>
            </w:r>
          </w:p>
        </w:tc>
        <w:tc>
          <w:tcPr>
            <w:tcW w:w="4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AE89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需求描述</w:t>
            </w:r>
          </w:p>
        </w:tc>
        <w:tc>
          <w:tcPr>
            <w:tcW w:w="2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6C5C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HIS实现位置</w:t>
            </w:r>
          </w:p>
        </w:tc>
      </w:tr>
      <w:tr w14:paraId="547532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2" w:hRule="atLeast"/>
          <w:jc w:val="center"/>
        </w:trPr>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6ACC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CB98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智能术式准入</w:t>
            </w:r>
          </w:p>
        </w:tc>
        <w:tc>
          <w:tcPr>
            <w:tcW w:w="4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26487">
            <w:pPr>
              <w:keepNext w:val="0"/>
              <w:keepLines w:val="0"/>
              <w:widowControl/>
              <w:suppressLineNumbers w:val="0"/>
              <w:jc w:val="left"/>
              <w:textAlignment w:val="center"/>
              <w:rPr>
                <w:rFonts w:hint="eastAsia" w:ascii="宋体" w:hAnsi="宋体" w:eastAsia="宋体" w:cs="宋体"/>
                <w:i w:val="0"/>
                <w:iCs w:val="0"/>
                <w:color w:val="404040"/>
                <w:sz w:val="21"/>
                <w:szCs w:val="21"/>
                <w:u w:val="none"/>
              </w:rPr>
            </w:pPr>
            <w:r>
              <w:rPr>
                <w:rFonts w:hint="eastAsia" w:ascii="宋体" w:hAnsi="宋体" w:eastAsia="宋体" w:cs="宋体"/>
                <w:i w:val="0"/>
                <w:iCs w:val="0"/>
                <w:color w:val="404040"/>
                <w:kern w:val="0"/>
                <w:sz w:val="21"/>
                <w:szCs w:val="21"/>
                <w:u w:val="none"/>
                <w:lang w:val="en-US" w:eastAsia="zh-CN" w:bidi="ar"/>
              </w:rPr>
              <w:t>- 新增“预住院/日间申请”按钮</w:t>
            </w:r>
            <w:r>
              <w:rPr>
                <w:rFonts w:hint="eastAsia" w:ascii="宋体" w:hAnsi="宋体" w:eastAsia="宋体" w:cs="宋体"/>
                <w:i w:val="0"/>
                <w:iCs w:val="0"/>
                <w:color w:val="404040"/>
                <w:kern w:val="0"/>
                <w:sz w:val="21"/>
                <w:szCs w:val="21"/>
                <w:u w:val="none"/>
                <w:lang w:val="en-US" w:eastAsia="zh-CN" w:bidi="ar"/>
              </w:rPr>
              <w:br w:type="textWrapping"/>
            </w:r>
            <w:r>
              <w:rPr>
                <w:rFonts w:hint="eastAsia" w:ascii="宋体" w:hAnsi="宋体" w:eastAsia="宋体" w:cs="宋体"/>
                <w:i w:val="0"/>
                <w:iCs w:val="0"/>
                <w:color w:val="404040"/>
                <w:kern w:val="0"/>
                <w:sz w:val="21"/>
                <w:szCs w:val="21"/>
                <w:u w:val="none"/>
                <w:lang w:val="en-US" w:eastAsia="zh-CN" w:bidi="ar"/>
              </w:rPr>
              <w:t>- 开立时自动校验目录，拦截目录外术式</w:t>
            </w:r>
          </w:p>
        </w:tc>
        <w:tc>
          <w:tcPr>
            <w:tcW w:w="221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5F3D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门诊医生工作站</w:t>
            </w:r>
          </w:p>
        </w:tc>
      </w:tr>
      <w:tr w14:paraId="017598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3" w:hRule="atLeast"/>
          <w:jc w:val="center"/>
        </w:trPr>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E5BD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A48A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资源实时可视</w:t>
            </w:r>
          </w:p>
        </w:tc>
        <w:tc>
          <w:tcPr>
            <w:tcW w:w="4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61913">
            <w:pPr>
              <w:keepNext w:val="0"/>
              <w:keepLines w:val="0"/>
              <w:widowControl/>
              <w:suppressLineNumbers w:val="0"/>
              <w:jc w:val="left"/>
              <w:textAlignment w:val="center"/>
              <w:rPr>
                <w:rFonts w:hint="eastAsia" w:ascii="宋体" w:hAnsi="宋体" w:eastAsia="宋体" w:cs="宋体"/>
                <w:i w:val="0"/>
                <w:iCs w:val="0"/>
                <w:color w:val="404040"/>
                <w:sz w:val="21"/>
                <w:szCs w:val="21"/>
                <w:u w:val="none"/>
              </w:rPr>
            </w:pPr>
            <w:r>
              <w:rPr>
                <w:rFonts w:hint="eastAsia" w:ascii="宋体" w:hAnsi="宋体" w:eastAsia="宋体" w:cs="宋体"/>
                <w:i w:val="0"/>
                <w:iCs w:val="0"/>
                <w:color w:val="404040"/>
                <w:kern w:val="0"/>
                <w:sz w:val="21"/>
                <w:szCs w:val="21"/>
                <w:u w:val="none"/>
                <w:lang w:val="en-US" w:eastAsia="zh-CN" w:bidi="ar"/>
              </w:rPr>
              <w:t>- 弹窗显示：</w:t>
            </w:r>
            <w:r>
              <w:rPr>
                <w:rFonts w:hint="eastAsia" w:ascii="宋体" w:hAnsi="宋体" w:eastAsia="宋体" w:cs="宋体"/>
                <w:i w:val="0"/>
                <w:iCs w:val="0"/>
                <w:color w:val="404040"/>
                <w:kern w:val="0"/>
                <w:sz w:val="21"/>
                <w:szCs w:val="21"/>
                <w:u w:val="none"/>
                <w:lang w:val="en-US" w:eastAsia="zh-CN" w:bidi="ar"/>
              </w:rPr>
              <w:br w:type="textWrapping"/>
            </w:r>
            <w:r>
              <w:rPr>
                <w:rFonts w:hint="eastAsia" w:ascii="宋体" w:hAnsi="宋体" w:eastAsia="宋体" w:cs="宋体"/>
                <w:i w:val="0"/>
                <w:iCs w:val="0"/>
                <w:color w:val="404040"/>
                <w:kern w:val="0"/>
                <w:sz w:val="21"/>
                <w:szCs w:val="21"/>
                <w:u w:val="none"/>
                <w:lang w:val="en-US" w:eastAsia="zh-CN" w:bidi="ar"/>
              </w:rPr>
              <w:t>• 床位存量（住院系统接口）</w:t>
            </w:r>
            <w:r>
              <w:rPr>
                <w:rFonts w:hint="eastAsia" w:ascii="宋体" w:hAnsi="宋体" w:eastAsia="宋体" w:cs="宋体"/>
                <w:i w:val="0"/>
                <w:iCs w:val="0"/>
                <w:color w:val="404040"/>
                <w:kern w:val="0"/>
                <w:sz w:val="21"/>
                <w:szCs w:val="21"/>
                <w:u w:val="none"/>
                <w:lang w:val="en-US" w:eastAsia="zh-CN" w:bidi="ar"/>
              </w:rPr>
              <w:br w:type="textWrapping"/>
            </w:r>
            <w:r>
              <w:rPr>
                <w:rFonts w:hint="eastAsia" w:ascii="宋体" w:hAnsi="宋体" w:eastAsia="宋体" w:cs="宋体"/>
                <w:i w:val="0"/>
                <w:iCs w:val="0"/>
                <w:color w:val="404040"/>
                <w:kern w:val="0"/>
                <w:sz w:val="21"/>
                <w:szCs w:val="21"/>
                <w:u w:val="none"/>
                <w:lang w:val="en-US" w:eastAsia="zh-CN" w:bidi="ar"/>
              </w:rPr>
              <w:t>• 检查设备排队时长（LIS/PACS接口）</w:t>
            </w:r>
          </w:p>
        </w:tc>
        <w:tc>
          <w:tcPr>
            <w:tcW w:w="221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DA63F">
            <w:pPr>
              <w:jc w:val="center"/>
              <w:rPr>
                <w:rFonts w:hint="eastAsia" w:ascii="宋体" w:hAnsi="宋体" w:eastAsia="宋体" w:cs="宋体"/>
                <w:i w:val="0"/>
                <w:iCs w:val="0"/>
                <w:color w:val="000000"/>
                <w:sz w:val="21"/>
                <w:szCs w:val="21"/>
                <w:u w:val="none"/>
              </w:rPr>
            </w:pPr>
          </w:p>
        </w:tc>
      </w:tr>
      <w:tr w14:paraId="4BEDAD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jc w:val="center"/>
        </w:trPr>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A0B9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FFC6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一键开单</w:t>
            </w:r>
          </w:p>
        </w:tc>
        <w:tc>
          <w:tcPr>
            <w:tcW w:w="4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FCB75">
            <w:pPr>
              <w:keepNext w:val="0"/>
              <w:keepLines w:val="0"/>
              <w:widowControl/>
              <w:suppressLineNumbers w:val="0"/>
              <w:jc w:val="left"/>
              <w:textAlignment w:val="center"/>
              <w:rPr>
                <w:rFonts w:hint="eastAsia" w:ascii="宋体" w:hAnsi="宋体" w:eastAsia="宋体" w:cs="宋体"/>
                <w:i w:val="0"/>
                <w:iCs w:val="0"/>
                <w:color w:val="404040"/>
                <w:sz w:val="21"/>
                <w:szCs w:val="21"/>
                <w:u w:val="none"/>
              </w:rPr>
            </w:pPr>
            <w:r>
              <w:rPr>
                <w:rFonts w:hint="eastAsia" w:ascii="宋体" w:hAnsi="宋体" w:eastAsia="宋体" w:cs="宋体"/>
                <w:i w:val="0"/>
                <w:iCs w:val="0"/>
                <w:color w:val="404040"/>
                <w:kern w:val="0"/>
                <w:sz w:val="21"/>
                <w:szCs w:val="21"/>
                <w:u w:val="none"/>
                <w:lang w:val="en-US" w:eastAsia="zh-CN" w:bidi="ar"/>
              </w:rPr>
              <w:t>- 预置“术前检查套餐”（如腹腔镜手术包），避免手工勾选</w:t>
            </w:r>
          </w:p>
        </w:tc>
        <w:tc>
          <w:tcPr>
            <w:tcW w:w="221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0853C">
            <w:pPr>
              <w:jc w:val="center"/>
              <w:rPr>
                <w:rFonts w:hint="eastAsia" w:ascii="宋体" w:hAnsi="宋体" w:eastAsia="宋体" w:cs="宋体"/>
                <w:i w:val="0"/>
                <w:iCs w:val="0"/>
                <w:color w:val="000000"/>
                <w:sz w:val="21"/>
                <w:szCs w:val="21"/>
                <w:u w:val="none"/>
              </w:rPr>
            </w:pPr>
          </w:p>
        </w:tc>
      </w:tr>
      <w:tr w14:paraId="44565F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jc w:val="center"/>
        </w:trPr>
        <w:tc>
          <w:tcPr>
            <w:tcW w:w="9788" w:type="dxa"/>
            <w:gridSpan w:val="4"/>
            <w:tcBorders>
              <w:top w:val="nil"/>
              <w:left w:val="nil"/>
              <w:bottom w:val="nil"/>
              <w:right w:val="nil"/>
            </w:tcBorders>
            <w:shd w:val="clear" w:color="auto" w:fill="auto"/>
            <w:noWrap/>
            <w:vAlign w:val="center"/>
          </w:tcPr>
          <w:p w14:paraId="1D107AA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Style w:val="82"/>
                <w:rFonts w:hint="eastAsia" w:ascii="宋体" w:hAnsi="宋体" w:eastAsia="宋体" w:cs="宋体"/>
                <w:sz w:val="21"/>
                <w:szCs w:val="21"/>
                <w:lang w:val="en-US" w:eastAsia="zh-CN" w:bidi="ar"/>
              </w:rPr>
              <w:t>2.</w:t>
            </w:r>
            <w:r>
              <w:rPr>
                <w:rStyle w:val="338"/>
                <w:rFonts w:hint="eastAsia" w:ascii="宋体" w:eastAsia="宋体" w:cs="宋体"/>
                <w:sz w:val="21"/>
                <w:szCs w:val="21"/>
                <w:lang w:val="en-US" w:eastAsia="zh-CN" w:bidi="ar"/>
              </w:rPr>
              <w:t>预住院管理阶段</w:t>
            </w:r>
            <w:r>
              <w:rPr>
                <w:rStyle w:val="82"/>
                <w:rFonts w:hint="eastAsia" w:ascii="宋体" w:hAnsi="宋体" w:eastAsia="宋体" w:cs="宋体"/>
                <w:spacing w:val="0"/>
                <w:sz w:val="21"/>
                <w:szCs w:val="21"/>
                <w:lang w:val="en-US" w:eastAsia="zh-CN" w:bidi="ar"/>
              </w:rPr>
              <w:t>：完成术前检查与评估（需征询医务科、护理部意见）</w:t>
            </w:r>
          </w:p>
        </w:tc>
      </w:tr>
      <w:tr w14:paraId="5896F9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jc w:val="center"/>
        </w:trPr>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782E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3C3D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功能需求</w:t>
            </w:r>
          </w:p>
        </w:tc>
        <w:tc>
          <w:tcPr>
            <w:tcW w:w="4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7022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需求描述</w:t>
            </w:r>
          </w:p>
        </w:tc>
        <w:tc>
          <w:tcPr>
            <w:tcW w:w="2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3122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HIS实现位置</w:t>
            </w:r>
          </w:p>
        </w:tc>
      </w:tr>
      <w:tr w14:paraId="66B57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2" w:hRule="atLeast"/>
          <w:jc w:val="center"/>
        </w:trPr>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75A7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8395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检查绿色通道</w:t>
            </w:r>
          </w:p>
        </w:tc>
        <w:tc>
          <w:tcPr>
            <w:tcW w:w="4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173A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Style w:val="259"/>
                <w:rFonts w:ascii="宋体" w:hAnsi="宋体" w:eastAsia="宋体" w:cs="宋体"/>
                <w:sz w:val="21"/>
                <w:szCs w:val="21"/>
                <w:lang w:val="en-US" w:eastAsia="zh-CN" w:bidi="ar"/>
              </w:rPr>
              <w:t xml:space="preserve">- 预住院检查单自动标记 </w:t>
            </w:r>
            <w:r>
              <w:rPr>
                <w:rStyle w:val="274"/>
                <w:rFonts w:hint="eastAsia" w:ascii="宋体" w:hAnsi="宋体" w:eastAsia="宋体" w:cs="宋体"/>
                <w:sz w:val="21"/>
                <w:szCs w:val="21"/>
                <w:lang w:val="en-US" w:eastAsia="zh-CN" w:bidi="ar"/>
              </w:rPr>
              <w:t>“术前优先”</w:t>
            </w:r>
            <w:r>
              <w:rPr>
                <w:rStyle w:val="259"/>
                <w:rFonts w:ascii="宋体" w:hAnsi="宋体" w:eastAsia="宋体" w:cs="宋体"/>
                <w:sz w:val="21"/>
                <w:szCs w:val="21"/>
                <w:lang w:val="en-US" w:eastAsia="zh-CN" w:bidi="ar"/>
              </w:rPr>
              <w:br w:type="textWrapping"/>
            </w:r>
            <w:r>
              <w:rPr>
                <w:rStyle w:val="259"/>
                <w:rFonts w:ascii="宋体" w:hAnsi="宋体" w:eastAsia="宋体" w:cs="宋体"/>
                <w:sz w:val="21"/>
                <w:szCs w:val="21"/>
                <w:lang w:val="en-US" w:eastAsia="zh-CN" w:bidi="ar"/>
              </w:rPr>
              <w:t>- 逾期未检自动短信提醒患者（短信平台接口）</w:t>
            </w:r>
          </w:p>
        </w:tc>
        <w:tc>
          <w:tcPr>
            <w:tcW w:w="2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0431C">
            <w:pPr>
              <w:keepNext w:val="0"/>
              <w:keepLines w:val="0"/>
              <w:widowControl/>
              <w:suppressLineNumbers w:val="0"/>
              <w:jc w:val="center"/>
              <w:textAlignment w:val="center"/>
              <w:rPr>
                <w:rFonts w:hint="eastAsia" w:ascii="宋体" w:hAnsi="宋体" w:eastAsia="宋体" w:cs="宋体"/>
                <w:i w:val="0"/>
                <w:iCs w:val="0"/>
                <w:color w:val="404040"/>
                <w:sz w:val="21"/>
                <w:szCs w:val="21"/>
                <w:u w:val="none"/>
              </w:rPr>
            </w:pPr>
            <w:r>
              <w:rPr>
                <w:rFonts w:hint="eastAsia" w:ascii="宋体" w:hAnsi="宋体" w:eastAsia="宋体" w:cs="宋体"/>
                <w:i w:val="0"/>
                <w:iCs w:val="0"/>
                <w:color w:val="404040"/>
                <w:kern w:val="0"/>
                <w:sz w:val="21"/>
                <w:szCs w:val="21"/>
                <w:u w:val="none"/>
                <w:lang w:val="en-US" w:eastAsia="zh-CN" w:bidi="ar"/>
              </w:rPr>
              <w:t>LIS/PACS系统</w:t>
            </w:r>
          </w:p>
        </w:tc>
      </w:tr>
      <w:tr w14:paraId="533788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3" w:hRule="atLeast"/>
          <w:jc w:val="center"/>
        </w:trPr>
        <w:tc>
          <w:tcPr>
            <w:tcW w:w="829" w:type="dxa"/>
            <w:tcBorders>
              <w:top w:val="nil"/>
              <w:left w:val="single" w:color="000000" w:sz="4" w:space="0"/>
              <w:bottom w:val="single" w:color="000000" w:sz="4" w:space="0"/>
              <w:right w:val="single" w:color="000000" w:sz="4" w:space="0"/>
            </w:tcBorders>
            <w:shd w:val="clear" w:color="auto" w:fill="auto"/>
            <w:noWrap/>
            <w:vAlign w:val="center"/>
          </w:tcPr>
          <w:p w14:paraId="6608D16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130" w:type="dxa"/>
            <w:tcBorders>
              <w:top w:val="nil"/>
              <w:left w:val="single" w:color="000000" w:sz="4" w:space="0"/>
              <w:bottom w:val="single" w:color="000000" w:sz="4" w:space="0"/>
              <w:right w:val="single" w:color="000000" w:sz="4" w:space="0"/>
            </w:tcBorders>
            <w:shd w:val="clear" w:color="auto" w:fill="auto"/>
            <w:noWrap/>
            <w:vAlign w:val="center"/>
          </w:tcPr>
          <w:p w14:paraId="2CEC68C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集中评估</w:t>
            </w:r>
          </w:p>
        </w:tc>
        <w:tc>
          <w:tcPr>
            <w:tcW w:w="4618" w:type="dxa"/>
            <w:tcBorders>
              <w:top w:val="nil"/>
              <w:left w:val="single" w:color="000000" w:sz="4" w:space="0"/>
              <w:bottom w:val="single" w:color="000000" w:sz="4" w:space="0"/>
              <w:right w:val="single" w:color="000000" w:sz="4" w:space="0"/>
            </w:tcBorders>
            <w:shd w:val="clear" w:color="auto" w:fill="auto"/>
            <w:vAlign w:val="center"/>
          </w:tcPr>
          <w:p w14:paraId="24B65AB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Style w:val="259"/>
                <w:rFonts w:ascii="宋体" w:hAnsi="宋体" w:eastAsia="宋体" w:cs="宋体"/>
                <w:sz w:val="21"/>
                <w:szCs w:val="21"/>
                <w:lang w:val="en-US" w:eastAsia="zh-CN" w:bidi="ar"/>
              </w:rPr>
              <w:t>- 新增结构化评估模板：</w:t>
            </w:r>
            <w:r>
              <w:rPr>
                <w:rStyle w:val="259"/>
                <w:rFonts w:ascii="宋体" w:hAnsi="宋体" w:eastAsia="宋体" w:cs="宋体"/>
                <w:sz w:val="21"/>
                <w:szCs w:val="21"/>
                <w:lang w:val="en-US" w:eastAsia="zh-CN" w:bidi="ar"/>
              </w:rPr>
              <w:br w:type="textWrapping"/>
            </w:r>
            <w:r>
              <w:rPr>
                <w:rStyle w:val="259"/>
                <w:rFonts w:ascii="宋体" w:hAnsi="宋体" w:eastAsia="宋体" w:cs="宋体"/>
                <w:sz w:val="21"/>
                <w:szCs w:val="21"/>
                <w:lang w:val="en-US" w:eastAsia="zh-CN" w:bidi="ar"/>
              </w:rPr>
              <w:t>• 麻醉风险评估（ASA分级）</w:t>
            </w:r>
            <w:r>
              <w:rPr>
                <w:rStyle w:val="259"/>
                <w:rFonts w:ascii="宋体" w:hAnsi="宋体" w:eastAsia="宋体" w:cs="宋体"/>
                <w:sz w:val="21"/>
                <w:szCs w:val="21"/>
                <w:lang w:val="en-US" w:eastAsia="zh-CN" w:bidi="ar"/>
              </w:rPr>
              <w:br w:type="textWrapping"/>
            </w:r>
            <w:r>
              <w:rPr>
                <w:rStyle w:val="259"/>
                <w:rFonts w:ascii="宋体" w:hAnsi="宋体" w:eastAsia="宋体" w:cs="宋体"/>
                <w:sz w:val="21"/>
                <w:szCs w:val="21"/>
                <w:lang w:val="en-US" w:eastAsia="zh-CN" w:bidi="ar"/>
              </w:rPr>
              <w:t>• 护理并发症筛查</w:t>
            </w:r>
          </w:p>
        </w:tc>
        <w:tc>
          <w:tcPr>
            <w:tcW w:w="2211" w:type="dxa"/>
            <w:tcBorders>
              <w:top w:val="nil"/>
              <w:left w:val="single" w:color="000000" w:sz="4" w:space="0"/>
              <w:bottom w:val="single" w:color="000000" w:sz="4" w:space="0"/>
              <w:right w:val="single" w:color="000000" w:sz="4" w:space="0"/>
            </w:tcBorders>
            <w:shd w:val="clear" w:color="auto" w:fill="auto"/>
            <w:noWrap/>
            <w:vAlign w:val="center"/>
          </w:tcPr>
          <w:p w14:paraId="4E32E029">
            <w:pPr>
              <w:keepNext w:val="0"/>
              <w:keepLines w:val="0"/>
              <w:widowControl/>
              <w:suppressLineNumbers w:val="0"/>
              <w:jc w:val="center"/>
              <w:textAlignment w:val="center"/>
              <w:rPr>
                <w:rFonts w:hint="eastAsia" w:ascii="宋体" w:hAnsi="宋体" w:eastAsia="宋体" w:cs="宋体"/>
                <w:i w:val="0"/>
                <w:iCs w:val="0"/>
                <w:color w:val="404040"/>
                <w:sz w:val="21"/>
                <w:szCs w:val="21"/>
                <w:u w:val="none"/>
              </w:rPr>
            </w:pPr>
            <w:r>
              <w:rPr>
                <w:rFonts w:hint="eastAsia" w:ascii="宋体" w:hAnsi="宋体" w:eastAsia="宋体" w:cs="宋体"/>
                <w:i w:val="0"/>
                <w:iCs w:val="0"/>
                <w:color w:val="404040"/>
                <w:kern w:val="0"/>
                <w:sz w:val="21"/>
                <w:szCs w:val="21"/>
                <w:u w:val="none"/>
                <w:lang w:val="en-US" w:eastAsia="zh-CN" w:bidi="ar"/>
              </w:rPr>
              <w:t>电子病历系统</w:t>
            </w:r>
          </w:p>
        </w:tc>
      </w:tr>
      <w:tr w14:paraId="00A18A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3" w:hRule="atLeast"/>
          <w:jc w:val="center"/>
        </w:trPr>
        <w:tc>
          <w:tcPr>
            <w:tcW w:w="829" w:type="dxa"/>
            <w:tcBorders>
              <w:top w:val="nil"/>
              <w:left w:val="single" w:color="000000" w:sz="4" w:space="0"/>
              <w:bottom w:val="single" w:color="000000" w:sz="4" w:space="0"/>
              <w:right w:val="single" w:color="000000" w:sz="4" w:space="0"/>
            </w:tcBorders>
            <w:shd w:val="clear" w:color="auto" w:fill="auto"/>
            <w:noWrap/>
            <w:vAlign w:val="center"/>
          </w:tcPr>
          <w:p w14:paraId="23CA908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2130" w:type="dxa"/>
            <w:tcBorders>
              <w:top w:val="nil"/>
              <w:left w:val="single" w:color="000000" w:sz="4" w:space="0"/>
              <w:bottom w:val="single" w:color="000000" w:sz="4" w:space="0"/>
              <w:right w:val="single" w:color="000000" w:sz="4" w:space="0"/>
            </w:tcBorders>
            <w:shd w:val="clear" w:color="auto" w:fill="auto"/>
            <w:noWrap/>
            <w:vAlign w:val="center"/>
          </w:tcPr>
          <w:p w14:paraId="57EB751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转科决策</w:t>
            </w:r>
          </w:p>
        </w:tc>
        <w:tc>
          <w:tcPr>
            <w:tcW w:w="4618" w:type="dxa"/>
            <w:tcBorders>
              <w:top w:val="nil"/>
              <w:left w:val="single" w:color="000000" w:sz="4" w:space="0"/>
              <w:bottom w:val="single" w:color="000000" w:sz="4" w:space="0"/>
              <w:right w:val="single" w:color="000000" w:sz="4" w:space="0"/>
            </w:tcBorders>
            <w:shd w:val="clear" w:color="auto" w:fill="auto"/>
            <w:vAlign w:val="center"/>
          </w:tcPr>
          <w:p w14:paraId="1EF16A13">
            <w:pPr>
              <w:keepNext w:val="0"/>
              <w:keepLines w:val="0"/>
              <w:widowControl/>
              <w:suppressLineNumbers w:val="0"/>
              <w:jc w:val="left"/>
              <w:textAlignment w:val="center"/>
              <w:rPr>
                <w:rFonts w:hint="eastAsia" w:ascii="宋体" w:hAnsi="宋体" w:eastAsia="宋体" w:cs="宋体"/>
                <w:i w:val="0"/>
                <w:iCs w:val="0"/>
                <w:color w:val="404040"/>
                <w:sz w:val="21"/>
                <w:szCs w:val="21"/>
                <w:u w:val="none"/>
              </w:rPr>
            </w:pPr>
            <w:r>
              <w:rPr>
                <w:rFonts w:hint="eastAsia" w:ascii="宋体" w:hAnsi="宋体" w:eastAsia="宋体" w:cs="宋体"/>
                <w:i w:val="0"/>
                <w:iCs w:val="0"/>
                <w:color w:val="404040"/>
                <w:kern w:val="0"/>
                <w:sz w:val="21"/>
                <w:szCs w:val="21"/>
                <w:u w:val="none"/>
                <w:lang w:val="en-US" w:eastAsia="zh-CN" w:bidi="ar"/>
              </w:rPr>
              <w:t>- 评估后自动触发：</w:t>
            </w:r>
            <w:r>
              <w:rPr>
                <w:rFonts w:hint="eastAsia" w:ascii="宋体" w:hAnsi="宋体" w:eastAsia="宋体" w:cs="宋体"/>
                <w:i w:val="0"/>
                <w:iCs w:val="0"/>
                <w:color w:val="404040"/>
                <w:kern w:val="0"/>
                <w:sz w:val="21"/>
                <w:szCs w:val="21"/>
                <w:u w:val="none"/>
                <w:lang w:val="en-US" w:eastAsia="zh-CN" w:bidi="ar"/>
              </w:rPr>
              <w:br w:type="textWrapping"/>
            </w:r>
            <w:r>
              <w:rPr>
                <w:rFonts w:hint="eastAsia" w:ascii="宋体" w:hAnsi="宋体" w:eastAsia="宋体" w:cs="宋体"/>
                <w:i w:val="0"/>
                <w:iCs w:val="0"/>
                <w:color w:val="404040"/>
                <w:kern w:val="0"/>
                <w:sz w:val="21"/>
                <w:szCs w:val="21"/>
                <w:u w:val="none"/>
                <w:lang w:val="en-US" w:eastAsia="zh-CN" w:bidi="ar"/>
              </w:rPr>
              <w:t>• 转日间手术 → 分配日间床位</w:t>
            </w:r>
            <w:r>
              <w:rPr>
                <w:rFonts w:hint="eastAsia" w:ascii="宋体" w:hAnsi="宋体" w:eastAsia="宋体" w:cs="宋体"/>
                <w:i w:val="0"/>
                <w:iCs w:val="0"/>
                <w:color w:val="404040"/>
                <w:kern w:val="0"/>
                <w:sz w:val="21"/>
                <w:szCs w:val="21"/>
                <w:u w:val="none"/>
                <w:lang w:val="en-US" w:eastAsia="zh-CN" w:bidi="ar"/>
              </w:rPr>
              <w:br w:type="textWrapping"/>
            </w:r>
            <w:r>
              <w:rPr>
                <w:rFonts w:hint="eastAsia" w:ascii="宋体" w:hAnsi="宋体" w:eastAsia="宋体" w:cs="宋体"/>
                <w:i w:val="0"/>
                <w:iCs w:val="0"/>
                <w:color w:val="404040"/>
                <w:kern w:val="0"/>
                <w:sz w:val="21"/>
                <w:szCs w:val="21"/>
                <w:u w:val="none"/>
                <w:lang w:val="en-US" w:eastAsia="zh-CN" w:bidi="ar"/>
              </w:rPr>
              <w:t>• 转普通住院 → 推送住院申请</w:t>
            </w:r>
          </w:p>
        </w:tc>
        <w:tc>
          <w:tcPr>
            <w:tcW w:w="2211" w:type="dxa"/>
            <w:tcBorders>
              <w:top w:val="nil"/>
              <w:left w:val="single" w:color="000000" w:sz="4" w:space="0"/>
              <w:bottom w:val="single" w:color="000000" w:sz="4" w:space="0"/>
              <w:right w:val="single" w:color="000000" w:sz="4" w:space="0"/>
            </w:tcBorders>
            <w:shd w:val="clear" w:color="auto" w:fill="auto"/>
            <w:noWrap/>
            <w:vAlign w:val="center"/>
          </w:tcPr>
          <w:p w14:paraId="36B155AC">
            <w:pPr>
              <w:keepNext w:val="0"/>
              <w:keepLines w:val="0"/>
              <w:widowControl/>
              <w:suppressLineNumbers w:val="0"/>
              <w:jc w:val="center"/>
              <w:textAlignment w:val="center"/>
              <w:rPr>
                <w:rFonts w:hint="eastAsia" w:ascii="宋体" w:hAnsi="宋体" w:eastAsia="宋体" w:cs="宋体"/>
                <w:i w:val="0"/>
                <w:iCs w:val="0"/>
                <w:color w:val="404040"/>
                <w:sz w:val="21"/>
                <w:szCs w:val="21"/>
                <w:u w:val="none"/>
              </w:rPr>
            </w:pPr>
            <w:r>
              <w:rPr>
                <w:rFonts w:hint="eastAsia" w:ascii="宋体" w:hAnsi="宋体" w:eastAsia="宋体" w:cs="宋体"/>
                <w:i w:val="0"/>
                <w:iCs w:val="0"/>
                <w:color w:val="404040"/>
                <w:kern w:val="0"/>
                <w:sz w:val="21"/>
                <w:szCs w:val="21"/>
                <w:u w:val="none"/>
                <w:lang w:val="en-US" w:eastAsia="zh-CN" w:bidi="ar"/>
              </w:rPr>
              <w:t>住院医生工作站</w:t>
            </w:r>
          </w:p>
        </w:tc>
      </w:tr>
      <w:tr w14:paraId="7511A3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jc w:val="center"/>
        </w:trPr>
        <w:tc>
          <w:tcPr>
            <w:tcW w:w="9788" w:type="dxa"/>
            <w:gridSpan w:val="4"/>
            <w:tcBorders>
              <w:top w:val="nil"/>
              <w:left w:val="nil"/>
              <w:bottom w:val="nil"/>
              <w:right w:val="nil"/>
            </w:tcBorders>
            <w:shd w:val="clear" w:color="auto" w:fill="auto"/>
            <w:noWrap/>
            <w:vAlign w:val="center"/>
          </w:tcPr>
          <w:p w14:paraId="10D5787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Style w:val="82"/>
                <w:rFonts w:hint="eastAsia" w:ascii="宋体" w:hAnsi="宋体" w:eastAsia="宋体" w:cs="宋体"/>
                <w:sz w:val="21"/>
                <w:szCs w:val="21"/>
                <w:lang w:val="en-US" w:eastAsia="zh-CN" w:bidi="ar"/>
              </w:rPr>
              <w:t>3.</w:t>
            </w:r>
            <w:r>
              <w:rPr>
                <w:rStyle w:val="338"/>
                <w:rFonts w:hint="eastAsia" w:ascii="宋体" w:eastAsia="宋体" w:cs="宋体"/>
                <w:sz w:val="21"/>
                <w:szCs w:val="21"/>
                <w:lang w:val="en-US" w:eastAsia="zh-CN" w:bidi="ar"/>
              </w:rPr>
              <w:t>日间登记阶段</w:t>
            </w:r>
            <w:r>
              <w:rPr>
                <w:rStyle w:val="82"/>
                <w:rFonts w:hint="eastAsia" w:ascii="宋体" w:hAnsi="宋体" w:eastAsia="宋体" w:cs="宋体"/>
                <w:spacing w:val="0"/>
                <w:sz w:val="21"/>
                <w:szCs w:val="21"/>
                <w:lang w:val="en-US" w:eastAsia="zh-CN" w:bidi="ar"/>
              </w:rPr>
              <w:t>：治疗日入院办理（需征询医务科、护理部意见）</w:t>
            </w:r>
          </w:p>
        </w:tc>
      </w:tr>
      <w:tr w14:paraId="254762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1" w:hRule="atLeast"/>
          <w:jc w:val="center"/>
        </w:trPr>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1DF0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E386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功能需求</w:t>
            </w:r>
          </w:p>
        </w:tc>
        <w:tc>
          <w:tcPr>
            <w:tcW w:w="4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7963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需求描述</w:t>
            </w:r>
          </w:p>
        </w:tc>
        <w:tc>
          <w:tcPr>
            <w:tcW w:w="2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4074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HIS实现位置</w:t>
            </w:r>
          </w:p>
        </w:tc>
      </w:tr>
      <w:tr w14:paraId="2CA0A5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4" w:hRule="atLeast"/>
          <w:jc w:val="center"/>
        </w:trPr>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9C6C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A1B0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无感建档</w:t>
            </w:r>
          </w:p>
        </w:tc>
        <w:tc>
          <w:tcPr>
            <w:tcW w:w="4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283B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Style w:val="259"/>
                <w:rFonts w:ascii="宋体" w:hAnsi="宋体" w:eastAsia="宋体" w:cs="宋体"/>
                <w:sz w:val="21"/>
                <w:szCs w:val="21"/>
                <w:lang w:val="en-US" w:eastAsia="zh-CN" w:bidi="ar"/>
              </w:rPr>
              <w:t>- 刷身份证自动调取：</w:t>
            </w:r>
            <w:r>
              <w:rPr>
                <w:rStyle w:val="259"/>
                <w:rFonts w:ascii="宋体" w:hAnsi="宋体" w:eastAsia="宋体" w:cs="宋体"/>
                <w:sz w:val="21"/>
                <w:szCs w:val="21"/>
                <w:lang w:val="en-US" w:eastAsia="zh-CN" w:bidi="ar"/>
              </w:rPr>
              <w:br w:type="textWrapping"/>
            </w:r>
            <w:r>
              <w:rPr>
                <w:rStyle w:val="259"/>
                <w:rFonts w:ascii="宋体" w:hAnsi="宋体" w:eastAsia="宋体" w:cs="宋体"/>
                <w:sz w:val="21"/>
                <w:szCs w:val="21"/>
                <w:lang w:val="en-US" w:eastAsia="zh-CN" w:bidi="ar"/>
              </w:rPr>
              <w:t>• 预住院检查报告</w:t>
            </w:r>
            <w:r>
              <w:rPr>
                <w:rStyle w:val="259"/>
                <w:rFonts w:ascii="宋体" w:hAnsi="宋体" w:eastAsia="宋体" w:cs="宋体"/>
                <w:sz w:val="21"/>
                <w:szCs w:val="21"/>
                <w:lang w:val="en-US" w:eastAsia="zh-CN" w:bidi="ar"/>
              </w:rPr>
              <w:br w:type="textWrapping"/>
            </w:r>
            <w:r>
              <w:rPr>
                <w:rStyle w:val="259"/>
                <w:rFonts w:ascii="宋体" w:hAnsi="宋体" w:eastAsia="宋体" w:cs="宋体"/>
                <w:sz w:val="21"/>
                <w:szCs w:val="21"/>
                <w:lang w:val="en-US" w:eastAsia="zh-CN" w:bidi="ar"/>
              </w:rPr>
              <w:t>• 评估结果</w:t>
            </w:r>
            <w:r>
              <w:rPr>
                <w:rStyle w:val="259"/>
                <w:rFonts w:ascii="宋体" w:hAnsi="宋体" w:eastAsia="宋体" w:cs="宋体"/>
                <w:sz w:val="21"/>
                <w:szCs w:val="21"/>
                <w:lang w:val="en-US" w:eastAsia="zh-CN" w:bidi="ar"/>
              </w:rPr>
              <w:br w:type="textWrapping"/>
            </w:r>
            <w:r>
              <w:rPr>
                <w:rStyle w:val="259"/>
                <w:rFonts w:ascii="宋体" w:hAnsi="宋体" w:eastAsia="宋体" w:cs="宋体"/>
                <w:sz w:val="21"/>
                <w:szCs w:val="21"/>
                <w:lang w:val="en-US" w:eastAsia="zh-CN" w:bidi="ar"/>
              </w:rPr>
              <w:t>• 预交金记录</w:t>
            </w:r>
          </w:p>
        </w:tc>
        <w:tc>
          <w:tcPr>
            <w:tcW w:w="2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58A6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Style w:val="259"/>
                <w:rFonts w:ascii="宋体" w:hAnsi="宋体" w:eastAsia="宋体" w:cs="宋体"/>
                <w:sz w:val="21"/>
                <w:szCs w:val="21"/>
                <w:lang w:val="en-US" w:eastAsia="zh-CN" w:bidi="ar"/>
              </w:rPr>
              <w:t>护士站系统</w:t>
            </w:r>
            <w:r>
              <w:rPr>
                <w:rStyle w:val="259"/>
                <w:rFonts w:ascii="宋体" w:hAnsi="宋体" w:eastAsia="宋体" w:cs="宋体"/>
                <w:sz w:val="21"/>
                <w:szCs w:val="21"/>
                <w:lang w:val="en-US" w:eastAsia="zh-CN" w:bidi="ar"/>
              </w:rPr>
              <w:br w:type="textWrapping"/>
            </w:r>
            <w:r>
              <w:rPr>
                <w:rStyle w:val="259"/>
                <w:rFonts w:ascii="宋体" w:hAnsi="宋体" w:eastAsia="宋体" w:cs="宋体"/>
                <w:sz w:val="21"/>
                <w:szCs w:val="21"/>
                <w:lang w:val="en-US" w:eastAsia="zh-CN" w:bidi="ar"/>
              </w:rPr>
              <w:t>住院医生工作站</w:t>
            </w:r>
          </w:p>
        </w:tc>
      </w:tr>
      <w:tr w14:paraId="37CBF0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2" w:hRule="atLeast"/>
          <w:jc w:val="center"/>
        </w:trPr>
        <w:tc>
          <w:tcPr>
            <w:tcW w:w="829" w:type="dxa"/>
            <w:tcBorders>
              <w:top w:val="nil"/>
              <w:left w:val="single" w:color="000000" w:sz="4" w:space="0"/>
              <w:bottom w:val="single" w:color="000000" w:sz="4" w:space="0"/>
              <w:right w:val="single" w:color="000000" w:sz="4" w:space="0"/>
            </w:tcBorders>
            <w:shd w:val="clear" w:color="auto" w:fill="auto"/>
            <w:noWrap/>
            <w:vAlign w:val="center"/>
          </w:tcPr>
          <w:p w14:paraId="1EE37A3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130" w:type="dxa"/>
            <w:tcBorders>
              <w:top w:val="nil"/>
              <w:left w:val="single" w:color="000000" w:sz="4" w:space="0"/>
              <w:bottom w:val="single" w:color="000000" w:sz="4" w:space="0"/>
              <w:right w:val="single" w:color="000000" w:sz="4" w:space="0"/>
            </w:tcBorders>
            <w:shd w:val="clear" w:color="auto" w:fill="auto"/>
            <w:noWrap/>
            <w:vAlign w:val="center"/>
          </w:tcPr>
          <w:p w14:paraId="3E736C5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弹性床位分配</w:t>
            </w:r>
          </w:p>
        </w:tc>
        <w:tc>
          <w:tcPr>
            <w:tcW w:w="4618" w:type="dxa"/>
            <w:tcBorders>
              <w:top w:val="nil"/>
              <w:left w:val="single" w:color="000000" w:sz="4" w:space="0"/>
              <w:bottom w:val="single" w:color="000000" w:sz="4" w:space="0"/>
              <w:right w:val="single" w:color="000000" w:sz="4" w:space="0"/>
            </w:tcBorders>
            <w:shd w:val="clear" w:color="auto" w:fill="auto"/>
            <w:vAlign w:val="center"/>
          </w:tcPr>
          <w:p w14:paraId="55348A8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Style w:val="259"/>
                <w:rFonts w:ascii="宋体" w:hAnsi="宋体" w:eastAsia="宋体" w:cs="宋体"/>
                <w:sz w:val="21"/>
                <w:szCs w:val="21"/>
                <w:lang w:val="en-US" w:eastAsia="zh-CN" w:bidi="ar"/>
              </w:rPr>
              <w:t xml:space="preserve">- </w:t>
            </w:r>
            <w:r>
              <w:rPr>
                <w:rStyle w:val="274"/>
                <w:rFonts w:hint="eastAsia" w:ascii="宋体" w:hAnsi="宋体" w:eastAsia="宋体" w:cs="宋体"/>
                <w:sz w:val="21"/>
                <w:szCs w:val="21"/>
                <w:lang w:val="en-US" w:eastAsia="zh-CN" w:bidi="ar"/>
              </w:rPr>
              <w:t>分散模式</w:t>
            </w:r>
            <w:r>
              <w:rPr>
                <w:rStyle w:val="259"/>
                <w:rFonts w:ascii="宋体" w:hAnsi="宋体" w:eastAsia="宋体" w:cs="宋体"/>
                <w:sz w:val="21"/>
                <w:szCs w:val="21"/>
                <w:lang w:val="en-US" w:eastAsia="zh-CN" w:bidi="ar"/>
              </w:rPr>
              <w:t>：分配至专科病房日间床位</w:t>
            </w:r>
            <w:r>
              <w:rPr>
                <w:rStyle w:val="259"/>
                <w:rFonts w:ascii="宋体" w:hAnsi="宋体" w:eastAsia="宋体" w:cs="宋体"/>
                <w:sz w:val="21"/>
                <w:szCs w:val="21"/>
                <w:lang w:val="en-US" w:eastAsia="zh-CN" w:bidi="ar"/>
              </w:rPr>
              <w:br w:type="textWrapping"/>
            </w:r>
            <w:r>
              <w:rPr>
                <w:rStyle w:val="259"/>
                <w:rFonts w:ascii="宋体" w:hAnsi="宋体" w:eastAsia="宋体" w:cs="宋体"/>
                <w:sz w:val="21"/>
                <w:szCs w:val="21"/>
                <w:lang w:val="en-US" w:eastAsia="zh-CN" w:bidi="ar"/>
              </w:rPr>
              <w:t xml:space="preserve">- </w:t>
            </w:r>
            <w:r>
              <w:rPr>
                <w:rStyle w:val="274"/>
                <w:rFonts w:hint="eastAsia" w:ascii="宋体" w:hAnsi="宋体" w:eastAsia="宋体" w:cs="宋体"/>
                <w:sz w:val="21"/>
                <w:szCs w:val="21"/>
                <w:lang w:val="en-US" w:eastAsia="zh-CN" w:bidi="ar"/>
              </w:rPr>
              <w:t>集中模式</w:t>
            </w:r>
            <w:r>
              <w:rPr>
                <w:rStyle w:val="259"/>
                <w:rFonts w:ascii="宋体" w:hAnsi="宋体" w:eastAsia="宋体" w:cs="宋体"/>
                <w:sz w:val="21"/>
                <w:szCs w:val="21"/>
                <w:lang w:val="en-US" w:eastAsia="zh-CN" w:bidi="ar"/>
              </w:rPr>
              <w:t>：分配至日间手术病房床位</w:t>
            </w:r>
          </w:p>
        </w:tc>
        <w:tc>
          <w:tcPr>
            <w:tcW w:w="2211" w:type="dxa"/>
            <w:tcBorders>
              <w:top w:val="nil"/>
              <w:left w:val="single" w:color="000000" w:sz="4" w:space="0"/>
              <w:bottom w:val="single" w:color="000000" w:sz="4" w:space="0"/>
              <w:right w:val="single" w:color="000000" w:sz="4" w:space="0"/>
            </w:tcBorders>
            <w:shd w:val="clear" w:color="auto" w:fill="auto"/>
            <w:vAlign w:val="center"/>
          </w:tcPr>
          <w:p w14:paraId="5803DDF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Style w:val="259"/>
                <w:rFonts w:ascii="宋体" w:hAnsi="宋体" w:eastAsia="宋体" w:cs="宋体"/>
                <w:sz w:val="21"/>
                <w:szCs w:val="21"/>
                <w:lang w:val="en-US" w:eastAsia="zh-CN" w:bidi="ar"/>
              </w:rPr>
              <w:t>床位管理系统</w:t>
            </w:r>
            <w:r>
              <w:rPr>
                <w:rStyle w:val="259"/>
                <w:rFonts w:ascii="宋体" w:hAnsi="宋体" w:eastAsia="宋体" w:cs="宋体"/>
                <w:sz w:val="21"/>
                <w:szCs w:val="21"/>
                <w:lang w:val="en-US" w:eastAsia="zh-CN" w:bidi="ar"/>
              </w:rPr>
              <w:br w:type="textWrapping"/>
            </w:r>
            <w:r>
              <w:rPr>
                <w:rStyle w:val="259"/>
                <w:rFonts w:ascii="宋体" w:hAnsi="宋体" w:eastAsia="宋体" w:cs="宋体"/>
                <w:sz w:val="21"/>
                <w:szCs w:val="21"/>
                <w:lang w:val="en-US" w:eastAsia="zh-CN" w:bidi="ar"/>
              </w:rPr>
              <w:t>护士站系统</w:t>
            </w:r>
          </w:p>
        </w:tc>
      </w:tr>
      <w:tr w14:paraId="0AD349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2" w:hRule="atLeast"/>
          <w:jc w:val="center"/>
        </w:trPr>
        <w:tc>
          <w:tcPr>
            <w:tcW w:w="829" w:type="dxa"/>
            <w:tcBorders>
              <w:top w:val="nil"/>
              <w:left w:val="single" w:color="000000" w:sz="4" w:space="0"/>
              <w:bottom w:val="single" w:color="000000" w:sz="4" w:space="0"/>
              <w:right w:val="single" w:color="000000" w:sz="4" w:space="0"/>
            </w:tcBorders>
            <w:shd w:val="clear" w:color="auto" w:fill="auto"/>
            <w:noWrap/>
            <w:vAlign w:val="center"/>
          </w:tcPr>
          <w:p w14:paraId="27FBA93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2130" w:type="dxa"/>
            <w:tcBorders>
              <w:top w:val="nil"/>
              <w:left w:val="single" w:color="000000" w:sz="4" w:space="0"/>
              <w:bottom w:val="single" w:color="000000" w:sz="4" w:space="0"/>
              <w:right w:val="single" w:color="000000" w:sz="4" w:space="0"/>
            </w:tcBorders>
            <w:shd w:val="clear" w:color="auto" w:fill="auto"/>
            <w:noWrap/>
            <w:vAlign w:val="center"/>
          </w:tcPr>
          <w:p w14:paraId="6835B92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化疗周期绑定</w:t>
            </w:r>
          </w:p>
        </w:tc>
        <w:tc>
          <w:tcPr>
            <w:tcW w:w="4618" w:type="dxa"/>
            <w:tcBorders>
              <w:top w:val="nil"/>
              <w:left w:val="single" w:color="000000" w:sz="4" w:space="0"/>
              <w:bottom w:val="single" w:color="000000" w:sz="4" w:space="0"/>
              <w:right w:val="single" w:color="000000" w:sz="4" w:space="0"/>
            </w:tcBorders>
            <w:shd w:val="clear" w:color="auto" w:fill="auto"/>
            <w:vAlign w:val="center"/>
          </w:tcPr>
          <w:p w14:paraId="38F635C9">
            <w:pPr>
              <w:keepNext w:val="0"/>
              <w:keepLines w:val="0"/>
              <w:widowControl/>
              <w:suppressLineNumbers w:val="0"/>
              <w:jc w:val="left"/>
              <w:textAlignment w:val="center"/>
              <w:rPr>
                <w:rFonts w:hint="eastAsia" w:ascii="宋体" w:hAnsi="宋体" w:eastAsia="宋体" w:cs="宋体"/>
                <w:i w:val="0"/>
                <w:iCs w:val="0"/>
                <w:color w:val="404040"/>
                <w:sz w:val="21"/>
                <w:szCs w:val="21"/>
                <w:u w:val="none"/>
              </w:rPr>
            </w:pPr>
            <w:r>
              <w:rPr>
                <w:rFonts w:hint="eastAsia" w:ascii="宋体" w:hAnsi="宋体" w:eastAsia="宋体" w:cs="宋体"/>
                <w:i w:val="0"/>
                <w:iCs w:val="0"/>
                <w:color w:val="404040"/>
                <w:kern w:val="0"/>
                <w:sz w:val="21"/>
                <w:szCs w:val="21"/>
                <w:u w:val="none"/>
                <w:lang w:val="en-US" w:eastAsia="zh-CN" w:bidi="ar"/>
              </w:rPr>
              <w:t>- 自动加载周期治疗方案</w:t>
            </w:r>
            <w:r>
              <w:rPr>
                <w:rFonts w:hint="eastAsia" w:ascii="宋体" w:hAnsi="宋体" w:eastAsia="宋体" w:cs="宋体"/>
                <w:i w:val="0"/>
                <w:iCs w:val="0"/>
                <w:color w:val="404040"/>
                <w:kern w:val="0"/>
                <w:sz w:val="21"/>
                <w:szCs w:val="21"/>
                <w:u w:val="none"/>
                <w:lang w:val="en-US" w:eastAsia="zh-CN" w:bidi="ar"/>
              </w:rPr>
              <w:br w:type="textWrapping"/>
            </w:r>
            <w:r>
              <w:rPr>
                <w:rFonts w:hint="eastAsia" w:ascii="宋体" w:hAnsi="宋体" w:eastAsia="宋体" w:cs="宋体"/>
                <w:i w:val="0"/>
                <w:iCs w:val="0"/>
                <w:color w:val="404040"/>
                <w:kern w:val="0"/>
                <w:sz w:val="21"/>
                <w:szCs w:val="21"/>
                <w:u w:val="none"/>
                <w:lang w:val="en-US" w:eastAsia="zh-CN" w:bidi="ar"/>
              </w:rPr>
              <w:t>- 弹窗提醒本次用药剂量（对接药学系统）</w:t>
            </w:r>
          </w:p>
        </w:tc>
        <w:tc>
          <w:tcPr>
            <w:tcW w:w="2211" w:type="dxa"/>
            <w:tcBorders>
              <w:top w:val="nil"/>
              <w:left w:val="single" w:color="000000" w:sz="4" w:space="0"/>
              <w:bottom w:val="single" w:color="000000" w:sz="4" w:space="0"/>
              <w:right w:val="single" w:color="000000" w:sz="4" w:space="0"/>
            </w:tcBorders>
            <w:shd w:val="clear" w:color="auto" w:fill="auto"/>
            <w:noWrap/>
            <w:vAlign w:val="center"/>
          </w:tcPr>
          <w:p w14:paraId="429818C6">
            <w:pPr>
              <w:keepNext w:val="0"/>
              <w:keepLines w:val="0"/>
              <w:widowControl/>
              <w:suppressLineNumbers w:val="0"/>
              <w:jc w:val="center"/>
              <w:textAlignment w:val="center"/>
              <w:rPr>
                <w:rFonts w:hint="eastAsia" w:ascii="宋体" w:hAnsi="宋体" w:eastAsia="宋体" w:cs="宋体"/>
                <w:i w:val="0"/>
                <w:iCs w:val="0"/>
                <w:color w:val="404040"/>
                <w:sz w:val="21"/>
                <w:szCs w:val="21"/>
                <w:u w:val="none"/>
              </w:rPr>
            </w:pPr>
            <w:r>
              <w:rPr>
                <w:rFonts w:hint="eastAsia" w:ascii="宋体" w:hAnsi="宋体" w:eastAsia="宋体" w:cs="宋体"/>
                <w:i w:val="0"/>
                <w:iCs w:val="0"/>
                <w:color w:val="404040"/>
                <w:kern w:val="0"/>
                <w:sz w:val="21"/>
                <w:szCs w:val="21"/>
                <w:u w:val="none"/>
                <w:lang w:val="en-US" w:eastAsia="zh-CN" w:bidi="ar"/>
              </w:rPr>
              <w:t>住院医生工作站</w:t>
            </w:r>
          </w:p>
        </w:tc>
      </w:tr>
      <w:tr w14:paraId="49BA9F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jc w:val="center"/>
        </w:trPr>
        <w:tc>
          <w:tcPr>
            <w:tcW w:w="9788" w:type="dxa"/>
            <w:gridSpan w:val="4"/>
            <w:tcBorders>
              <w:top w:val="nil"/>
              <w:left w:val="nil"/>
              <w:bottom w:val="nil"/>
              <w:right w:val="nil"/>
            </w:tcBorders>
            <w:shd w:val="clear" w:color="auto" w:fill="auto"/>
            <w:noWrap/>
            <w:vAlign w:val="center"/>
          </w:tcPr>
          <w:p w14:paraId="390A8AE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Style w:val="82"/>
                <w:rFonts w:hint="eastAsia" w:ascii="宋体" w:hAnsi="宋体" w:eastAsia="宋体" w:cs="宋体"/>
                <w:sz w:val="21"/>
                <w:szCs w:val="21"/>
                <w:lang w:val="en-US" w:eastAsia="zh-CN" w:bidi="ar"/>
              </w:rPr>
              <w:t>4.</w:t>
            </w:r>
            <w:r>
              <w:rPr>
                <w:rStyle w:val="338"/>
                <w:rFonts w:hint="eastAsia" w:ascii="宋体" w:eastAsia="宋体" w:cs="宋体"/>
                <w:sz w:val="21"/>
                <w:szCs w:val="21"/>
                <w:lang w:val="en-US" w:eastAsia="zh-CN" w:bidi="ar"/>
              </w:rPr>
              <w:t>治疗执行阶段</w:t>
            </w:r>
            <w:r>
              <w:rPr>
                <w:rStyle w:val="82"/>
                <w:rFonts w:hint="eastAsia" w:ascii="宋体" w:hAnsi="宋体" w:eastAsia="宋体" w:cs="宋体"/>
                <w:spacing w:val="0"/>
                <w:sz w:val="21"/>
                <w:szCs w:val="21"/>
                <w:lang w:val="en-US" w:eastAsia="zh-CN" w:bidi="ar"/>
              </w:rPr>
              <w:t>：日间手术/化疗实施与监护（需征询医务科、护理部、手麻意见）</w:t>
            </w:r>
          </w:p>
        </w:tc>
      </w:tr>
      <w:tr w14:paraId="2E361B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1" w:hRule="atLeast"/>
          <w:jc w:val="center"/>
        </w:trPr>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939A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419E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功能需求</w:t>
            </w:r>
          </w:p>
        </w:tc>
        <w:tc>
          <w:tcPr>
            <w:tcW w:w="4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6D19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需求描述</w:t>
            </w:r>
          </w:p>
        </w:tc>
        <w:tc>
          <w:tcPr>
            <w:tcW w:w="2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EB81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HIS实现位置</w:t>
            </w:r>
          </w:p>
        </w:tc>
      </w:tr>
      <w:tr w14:paraId="137296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4" w:hRule="atLeast"/>
          <w:jc w:val="center"/>
        </w:trPr>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3C3F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1DC8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化疗四维核查</w:t>
            </w:r>
          </w:p>
        </w:tc>
        <w:tc>
          <w:tcPr>
            <w:tcW w:w="4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8488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Style w:val="259"/>
                <w:rFonts w:ascii="宋体" w:hAnsi="宋体" w:eastAsia="宋体" w:cs="宋体"/>
                <w:sz w:val="21"/>
                <w:szCs w:val="21"/>
                <w:lang w:val="en-US" w:eastAsia="zh-CN" w:bidi="ar"/>
              </w:rPr>
              <w:t>-输液前强制完成：</w:t>
            </w:r>
            <w:r>
              <w:rPr>
                <w:rStyle w:val="259"/>
                <w:rFonts w:ascii="宋体" w:hAnsi="宋体" w:eastAsia="宋体" w:cs="宋体"/>
                <w:sz w:val="21"/>
                <w:szCs w:val="21"/>
                <w:lang w:val="en-US" w:eastAsia="zh-CN" w:bidi="ar"/>
              </w:rPr>
              <w:br w:type="textWrapping"/>
            </w:r>
            <w:r>
              <w:rPr>
                <w:rStyle w:val="259"/>
                <w:rFonts w:ascii="宋体" w:hAnsi="宋体" w:eastAsia="宋体" w:cs="宋体"/>
                <w:sz w:val="21"/>
                <w:szCs w:val="21"/>
                <w:lang w:val="en-US" w:eastAsia="zh-CN" w:bidi="ar"/>
              </w:rPr>
              <w:t>①扫码验身份 → ②剂量校准 → ③过敏史弹窗 → ④血管通路评估（B超对接）</w:t>
            </w:r>
            <w:r>
              <w:rPr>
                <w:rStyle w:val="259"/>
                <w:rFonts w:ascii="宋体" w:hAnsi="宋体" w:eastAsia="宋体" w:cs="宋体"/>
                <w:sz w:val="21"/>
                <w:szCs w:val="21"/>
                <w:lang w:val="en-US" w:eastAsia="zh-CN" w:bidi="ar"/>
              </w:rPr>
              <w:br w:type="textWrapping"/>
            </w:r>
            <w:r>
              <w:rPr>
                <w:rStyle w:val="259"/>
                <w:rFonts w:ascii="宋体" w:hAnsi="宋体" w:eastAsia="宋体" w:cs="宋体"/>
                <w:sz w:val="21"/>
                <w:szCs w:val="21"/>
                <w:lang w:val="en-US" w:eastAsia="zh-CN" w:bidi="ar"/>
              </w:rPr>
              <w:t>-四维核查未完成则禁止输液（强制弹窗）</w:t>
            </w:r>
          </w:p>
        </w:tc>
        <w:tc>
          <w:tcPr>
            <w:tcW w:w="2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679BB">
            <w:pPr>
              <w:keepNext w:val="0"/>
              <w:keepLines w:val="0"/>
              <w:widowControl/>
              <w:suppressLineNumbers w:val="0"/>
              <w:jc w:val="center"/>
              <w:textAlignment w:val="center"/>
              <w:rPr>
                <w:rFonts w:hint="eastAsia" w:ascii="宋体" w:hAnsi="宋体" w:eastAsia="宋体" w:cs="宋体"/>
                <w:i w:val="0"/>
                <w:iCs w:val="0"/>
                <w:color w:val="404040"/>
                <w:sz w:val="21"/>
                <w:szCs w:val="21"/>
                <w:u w:val="none"/>
              </w:rPr>
            </w:pPr>
            <w:r>
              <w:rPr>
                <w:rFonts w:hint="eastAsia" w:ascii="宋体" w:hAnsi="宋体" w:eastAsia="宋体" w:cs="宋体"/>
                <w:i w:val="0"/>
                <w:iCs w:val="0"/>
                <w:color w:val="404040"/>
                <w:kern w:val="0"/>
                <w:sz w:val="21"/>
                <w:szCs w:val="21"/>
                <w:u w:val="none"/>
                <w:lang w:val="en-US" w:eastAsia="zh-CN" w:bidi="ar"/>
              </w:rPr>
              <w:t>护士站系统</w:t>
            </w:r>
          </w:p>
        </w:tc>
      </w:tr>
      <w:tr w14:paraId="15D01D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4" w:hRule="atLeast"/>
          <w:jc w:val="center"/>
        </w:trPr>
        <w:tc>
          <w:tcPr>
            <w:tcW w:w="829" w:type="dxa"/>
            <w:tcBorders>
              <w:top w:val="nil"/>
              <w:left w:val="single" w:color="000000" w:sz="4" w:space="0"/>
              <w:bottom w:val="single" w:color="000000" w:sz="4" w:space="0"/>
              <w:right w:val="single" w:color="000000" w:sz="4" w:space="0"/>
            </w:tcBorders>
            <w:shd w:val="clear" w:color="auto" w:fill="auto"/>
            <w:noWrap/>
            <w:vAlign w:val="center"/>
          </w:tcPr>
          <w:p w14:paraId="77EF418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130" w:type="dxa"/>
            <w:tcBorders>
              <w:top w:val="nil"/>
              <w:left w:val="single" w:color="000000" w:sz="4" w:space="0"/>
              <w:bottom w:val="single" w:color="000000" w:sz="4" w:space="0"/>
              <w:right w:val="single" w:color="000000" w:sz="4" w:space="0"/>
            </w:tcBorders>
            <w:shd w:val="clear" w:color="auto" w:fill="auto"/>
            <w:noWrap/>
            <w:vAlign w:val="center"/>
          </w:tcPr>
          <w:p w14:paraId="2DECF73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生命体征熔断</w:t>
            </w:r>
          </w:p>
        </w:tc>
        <w:tc>
          <w:tcPr>
            <w:tcW w:w="4618" w:type="dxa"/>
            <w:tcBorders>
              <w:top w:val="nil"/>
              <w:left w:val="single" w:color="000000" w:sz="4" w:space="0"/>
              <w:bottom w:val="single" w:color="000000" w:sz="4" w:space="0"/>
              <w:right w:val="single" w:color="000000" w:sz="4" w:space="0"/>
            </w:tcBorders>
            <w:shd w:val="clear" w:color="auto" w:fill="auto"/>
            <w:vAlign w:val="center"/>
          </w:tcPr>
          <w:p w14:paraId="1C52B07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Style w:val="259"/>
                <w:rFonts w:ascii="宋体" w:hAnsi="宋体" w:eastAsia="宋体" w:cs="宋体"/>
                <w:sz w:val="21"/>
                <w:szCs w:val="21"/>
                <w:lang w:val="en-US" w:eastAsia="zh-CN" w:bidi="ar"/>
              </w:rPr>
              <w:t>- SpO₂&lt;90%或HR&gt;120自动：</w:t>
            </w:r>
            <w:r>
              <w:rPr>
                <w:rStyle w:val="259"/>
                <w:rFonts w:ascii="宋体" w:hAnsi="宋体" w:eastAsia="宋体" w:cs="宋体"/>
                <w:sz w:val="21"/>
                <w:szCs w:val="21"/>
                <w:lang w:val="en-US" w:eastAsia="zh-CN" w:bidi="ar"/>
              </w:rPr>
              <w:br w:type="textWrapping"/>
            </w:r>
            <w:r>
              <w:rPr>
                <w:rStyle w:val="259"/>
                <w:rFonts w:ascii="宋体" w:hAnsi="宋体" w:eastAsia="宋体" w:cs="宋体"/>
                <w:sz w:val="21"/>
                <w:szCs w:val="21"/>
                <w:lang w:val="en-US" w:eastAsia="zh-CN" w:bidi="ar"/>
              </w:rPr>
              <w:t>• 冻结出院</w:t>
            </w:r>
            <w:r>
              <w:rPr>
                <w:rStyle w:val="259"/>
                <w:rFonts w:ascii="宋体" w:hAnsi="宋体" w:eastAsia="宋体" w:cs="宋体"/>
                <w:sz w:val="21"/>
                <w:szCs w:val="21"/>
                <w:lang w:val="en-US" w:eastAsia="zh-CN" w:bidi="ar"/>
              </w:rPr>
              <w:br w:type="textWrapping"/>
            </w:r>
            <w:r>
              <w:rPr>
                <w:rStyle w:val="259"/>
                <w:rFonts w:ascii="宋体" w:hAnsi="宋体" w:eastAsia="宋体" w:cs="宋体"/>
                <w:sz w:val="21"/>
                <w:szCs w:val="21"/>
                <w:lang w:val="en-US" w:eastAsia="zh-CN" w:bidi="ar"/>
              </w:rPr>
              <w:t>• 呼叫麻醉医师</w:t>
            </w:r>
            <w:r>
              <w:rPr>
                <w:rStyle w:val="259"/>
                <w:rFonts w:ascii="宋体" w:hAnsi="宋体" w:eastAsia="宋体" w:cs="宋体"/>
                <w:sz w:val="21"/>
                <w:szCs w:val="21"/>
                <w:lang w:val="en-US" w:eastAsia="zh-CN" w:bidi="ar"/>
              </w:rPr>
              <w:br w:type="textWrapping"/>
            </w:r>
            <w:r>
              <w:rPr>
                <w:rStyle w:val="259"/>
                <w:rFonts w:ascii="宋体" w:hAnsi="宋体" w:eastAsia="宋体" w:cs="宋体"/>
                <w:sz w:val="21"/>
                <w:szCs w:val="21"/>
                <w:lang w:val="en-US" w:eastAsia="zh-CN" w:bidi="ar"/>
              </w:rPr>
              <w:t>• 保留床位</w:t>
            </w:r>
          </w:p>
        </w:tc>
        <w:tc>
          <w:tcPr>
            <w:tcW w:w="2211" w:type="dxa"/>
            <w:tcBorders>
              <w:top w:val="nil"/>
              <w:left w:val="single" w:color="000000" w:sz="4" w:space="0"/>
              <w:bottom w:val="single" w:color="000000" w:sz="4" w:space="0"/>
              <w:right w:val="single" w:color="000000" w:sz="4" w:space="0"/>
            </w:tcBorders>
            <w:shd w:val="clear" w:color="auto" w:fill="auto"/>
            <w:noWrap/>
            <w:vAlign w:val="center"/>
          </w:tcPr>
          <w:p w14:paraId="4044EAF4">
            <w:pPr>
              <w:keepNext w:val="0"/>
              <w:keepLines w:val="0"/>
              <w:widowControl/>
              <w:suppressLineNumbers w:val="0"/>
              <w:jc w:val="center"/>
              <w:textAlignment w:val="center"/>
              <w:rPr>
                <w:rFonts w:hint="eastAsia" w:ascii="宋体" w:hAnsi="宋体" w:eastAsia="宋体" w:cs="宋体"/>
                <w:i w:val="0"/>
                <w:iCs w:val="0"/>
                <w:color w:val="404040"/>
                <w:sz w:val="21"/>
                <w:szCs w:val="21"/>
                <w:u w:val="none"/>
              </w:rPr>
            </w:pPr>
            <w:r>
              <w:rPr>
                <w:rFonts w:hint="eastAsia" w:ascii="宋体" w:hAnsi="宋体" w:eastAsia="宋体" w:cs="宋体"/>
                <w:i w:val="0"/>
                <w:iCs w:val="0"/>
                <w:color w:val="404040"/>
                <w:kern w:val="0"/>
                <w:sz w:val="21"/>
                <w:szCs w:val="21"/>
                <w:u w:val="none"/>
                <w:lang w:val="en-US" w:eastAsia="zh-CN" w:bidi="ar"/>
              </w:rPr>
              <w:t>护士站系统</w:t>
            </w:r>
          </w:p>
        </w:tc>
      </w:tr>
      <w:tr w14:paraId="04CE91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1" w:hRule="atLeast"/>
          <w:jc w:val="center"/>
        </w:trPr>
        <w:tc>
          <w:tcPr>
            <w:tcW w:w="829" w:type="dxa"/>
            <w:tcBorders>
              <w:top w:val="nil"/>
              <w:left w:val="single" w:color="000000" w:sz="4" w:space="0"/>
              <w:bottom w:val="single" w:color="000000" w:sz="4" w:space="0"/>
              <w:right w:val="single" w:color="000000" w:sz="4" w:space="0"/>
            </w:tcBorders>
            <w:shd w:val="clear" w:color="auto" w:fill="auto"/>
            <w:noWrap/>
            <w:vAlign w:val="center"/>
          </w:tcPr>
          <w:p w14:paraId="5DC4629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2130" w:type="dxa"/>
            <w:tcBorders>
              <w:top w:val="nil"/>
              <w:left w:val="single" w:color="000000" w:sz="4" w:space="0"/>
              <w:bottom w:val="single" w:color="000000" w:sz="4" w:space="0"/>
              <w:right w:val="single" w:color="000000" w:sz="4" w:space="0"/>
            </w:tcBorders>
            <w:shd w:val="clear" w:color="auto" w:fill="auto"/>
            <w:noWrap/>
            <w:vAlign w:val="center"/>
          </w:tcPr>
          <w:p w14:paraId="6C945F4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手术超时管控</w:t>
            </w:r>
          </w:p>
        </w:tc>
        <w:tc>
          <w:tcPr>
            <w:tcW w:w="4618" w:type="dxa"/>
            <w:tcBorders>
              <w:top w:val="nil"/>
              <w:left w:val="single" w:color="000000" w:sz="4" w:space="0"/>
              <w:bottom w:val="single" w:color="000000" w:sz="4" w:space="0"/>
              <w:right w:val="single" w:color="000000" w:sz="4" w:space="0"/>
            </w:tcBorders>
            <w:shd w:val="clear" w:color="auto" w:fill="auto"/>
            <w:vAlign w:val="center"/>
          </w:tcPr>
          <w:p w14:paraId="6DB8A8F8">
            <w:pPr>
              <w:keepNext w:val="0"/>
              <w:keepLines w:val="0"/>
              <w:widowControl/>
              <w:suppressLineNumbers w:val="0"/>
              <w:jc w:val="left"/>
              <w:textAlignment w:val="center"/>
              <w:rPr>
                <w:rFonts w:hint="eastAsia" w:ascii="宋体" w:hAnsi="宋体" w:eastAsia="宋体" w:cs="宋体"/>
                <w:i w:val="0"/>
                <w:iCs w:val="0"/>
                <w:color w:val="404040"/>
                <w:sz w:val="21"/>
                <w:szCs w:val="21"/>
                <w:u w:val="none"/>
              </w:rPr>
            </w:pPr>
            <w:r>
              <w:rPr>
                <w:rFonts w:hint="eastAsia" w:ascii="宋体" w:hAnsi="宋体" w:eastAsia="宋体" w:cs="宋体"/>
                <w:i w:val="0"/>
                <w:iCs w:val="0"/>
                <w:color w:val="404040"/>
                <w:kern w:val="0"/>
                <w:sz w:val="21"/>
                <w:szCs w:val="21"/>
                <w:u w:val="none"/>
                <w:lang w:val="en-US" w:eastAsia="zh-CN" w:bidi="ar"/>
              </w:rPr>
              <w:t>住院时间＞48小时自动转普通住院，拆分账单并释放日间床位</w:t>
            </w:r>
          </w:p>
        </w:tc>
        <w:tc>
          <w:tcPr>
            <w:tcW w:w="2211" w:type="dxa"/>
            <w:tcBorders>
              <w:top w:val="nil"/>
              <w:left w:val="single" w:color="000000" w:sz="4" w:space="0"/>
              <w:bottom w:val="single" w:color="000000" w:sz="4" w:space="0"/>
              <w:right w:val="single" w:color="000000" w:sz="4" w:space="0"/>
            </w:tcBorders>
            <w:shd w:val="clear" w:color="auto" w:fill="auto"/>
            <w:noWrap/>
            <w:vAlign w:val="center"/>
          </w:tcPr>
          <w:p w14:paraId="24B1BD42">
            <w:pPr>
              <w:keepNext w:val="0"/>
              <w:keepLines w:val="0"/>
              <w:widowControl/>
              <w:suppressLineNumbers w:val="0"/>
              <w:jc w:val="center"/>
              <w:textAlignment w:val="center"/>
              <w:rPr>
                <w:rFonts w:hint="eastAsia" w:ascii="宋体" w:hAnsi="宋体" w:eastAsia="宋体" w:cs="宋体"/>
                <w:i w:val="0"/>
                <w:iCs w:val="0"/>
                <w:color w:val="404040"/>
                <w:sz w:val="21"/>
                <w:szCs w:val="21"/>
                <w:u w:val="none"/>
              </w:rPr>
            </w:pPr>
            <w:r>
              <w:rPr>
                <w:rFonts w:hint="eastAsia" w:ascii="宋体" w:hAnsi="宋体" w:eastAsia="宋体" w:cs="宋体"/>
                <w:i w:val="0"/>
                <w:iCs w:val="0"/>
                <w:color w:val="404040"/>
                <w:kern w:val="0"/>
                <w:sz w:val="21"/>
                <w:szCs w:val="21"/>
                <w:u w:val="none"/>
                <w:lang w:val="en-US" w:eastAsia="zh-CN" w:bidi="ar"/>
              </w:rPr>
              <w:t>住院医生工作站</w:t>
            </w:r>
          </w:p>
        </w:tc>
      </w:tr>
      <w:tr w14:paraId="376E60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96" w:hRule="atLeast"/>
          <w:jc w:val="center"/>
        </w:trPr>
        <w:tc>
          <w:tcPr>
            <w:tcW w:w="829" w:type="dxa"/>
            <w:tcBorders>
              <w:top w:val="nil"/>
              <w:left w:val="single" w:color="000000" w:sz="4" w:space="0"/>
              <w:bottom w:val="single" w:color="000000" w:sz="4" w:space="0"/>
              <w:right w:val="single" w:color="000000" w:sz="4" w:space="0"/>
            </w:tcBorders>
            <w:shd w:val="clear" w:color="auto" w:fill="auto"/>
            <w:noWrap/>
            <w:vAlign w:val="center"/>
          </w:tcPr>
          <w:p w14:paraId="69B1BC8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2130" w:type="dxa"/>
            <w:tcBorders>
              <w:top w:val="nil"/>
              <w:left w:val="single" w:color="000000" w:sz="4" w:space="0"/>
              <w:bottom w:val="single" w:color="000000" w:sz="4" w:space="0"/>
              <w:right w:val="single" w:color="000000" w:sz="4" w:space="0"/>
            </w:tcBorders>
            <w:shd w:val="clear" w:color="auto" w:fill="auto"/>
            <w:noWrap/>
            <w:vAlign w:val="center"/>
          </w:tcPr>
          <w:p w14:paraId="52C1D25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手术智能排台</w:t>
            </w:r>
          </w:p>
        </w:tc>
        <w:tc>
          <w:tcPr>
            <w:tcW w:w="4618" w:type="dxa"/>
            <w:tcBorders>
              <w:top w:val="nil"/>
              <w:left w:val="single" w:color="000000" w:sz="4" w:space="0"/>
              <w:bottom w:val="single" w:color="000000" w:sz="4" w:space="0"/>
              <w:right w:val="single" w:color="000000" w:sz="4" w:space="0"/>
            </w:tcBorders>
            <w:shd w:val="clear" w:color="auto" w:fill="auto"/>
            <w:vAlign w:val="center"/>
          </w:tcPr>
          <w:p w14:paraId="07EAE8B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Style w:val="259"/>
                <w:rFonts w:ascii="宋体" w:hAnsi="宋体" w:eastAsia="宋体" w:cs="宋体"/>
                <w:sz w:val="21"/>
                <w:szCs w:val="21"/>
                <w:lang w:val="en-US" w:eastAsia="zh-CN" w:bidi="ar"/>
              </w:rPr>
              <w:t>- 新增“日间手术通道”视图</w:t>
            </w:r>
            <w:r>
              <w:rPr>
                <w:rStyle w:val="259"/>
                <w:rFonts w:ascii="宋体" w:hAnsi="宋体" w:eastAsia="宋体" w:cs="宋体"/>
                <w:sz w:val="21"/>
                <w:szCs w:val="21"/>
                <w:lang w:val="en-US" w:eastAsia="zh-CN" w:bidi="ar"/>
              </w:rPr>
              <w:br w:type="textWrapping"/>
            </w:r>
            <w:r>
              <w:rPr>
                <w:rStyle w:val="259"/>
                <w:rFonts w:ascii="宋体" w:hAnsi="宋体" w:eastAsia="宋体" w:cs="宋体"/>
                <w:sz w:val="21"/>
                <w:szCs w:val="21"/>
                <w:lang w:val="en-US" w:eastAsia="zh-CN" w:bidi="ar"/>
              </w:rPr>
              <w:t xml:space="preserve">- </w:t>
            </w:r>
            <w:r>
              <w:rPr>
                <w:rStyle w:val="274"/>
                <w:rFonts w:hint="eastAsia" w:ascii="宋体" w:hAnsi="宋体" w:eastAsia="宋体" w:cs="宋体"/>
                <w:sz w:val="21"/>
                <w:szCs w:val="21"/>
                <w:lang w:val="en-US" w:eastAsia="zh-CN" w:bidi="ar"/>
              </w:rPr>
              <w:t>分散模式</w:t>
            </w:r>
            <w:r>
              <w:rPr>
                <w:rStyle w:val="259"/>
                <w:rFonts w:ascii="宋体" w:hAnsi="宋体" w:eastAsia="宋体" w:cs="宋体"/>
                <w:sz w:val="21"/>
                <w:szCs w:val="21"/>
                <w:lang w:val="en-US" w:eastAsia="zh-CN" w:bidi="ar"/>
              </w:rPr>
              <w:t>：专科手术室自主排台（需可自主分配日间专用时段）</w:t>
            </w:r>
            <w:r>
              <w:rPr>
                <w:rStyle w:val="259"/>
                <w:rFonts w:ascii="宋体" w:hAnsi="宋体" w:eastAsia="宋体" w:cs="宋体"/>
                <w:sz w:val="21"/>
                <w:szCs w:val="21"/>
                <w:lang w:val="en-US" w:eastAsia="zh-CN" w:bidi="ar"/>
              </w:rPr>
              <w:br w:type="textWrapping"/>
            </w:r>
            <w:r>
              <w:rPr>
                <w:rStyle w:val="259"/>
                <w:rFonts w:ascii="宋体" w:hAnsi="宋体" w:eastAsia="宋体" w:cs="宋体"/>
                <w:sz w:val="21"/>
                <w:szCs w:val="21"/>
                <w:lang w:val="en-US" w:eastAsia="zh-CN" w:bidi="ar"/>
              </w:rPr>
              <w:t xml:space="preserve">- </w:t>
            </w:r>
            <w:r>
              <w:rPr>
                <w:rStyle w:val="274"/>
                <w:rFonts w:hint="eastAsia" w:ascii="宋体" w:hAnsi="宋体" w:eastAsia="宋体" w:cs="宋体"/>
                <w:sz w:val="21"/>
                <w:szCs w:val="21"/>
                <w:lang w:val="en-US" w:eastAsia="zh-CN" w:bidi="ar"/>
              </w:rPr>
              <w:t>集中模式</w:t>
            </w:r>
            <w:r>
              <w:rPr>
                <w:rStyle w:val="259"/>
                <w:rFonts w:ascii="宋体" w:hAnsi="宋体" w:eastAsia="宋体" w:cs="宋体"/>
                <w:sz w:val="21"/>
                <w:szCs w:val="21"/>
                <w:lang w:val="en-US" w:eastAsia="zh-CN" w:bidi="ar"/>
              </w:rPr>
              <w:t>：日间手术中心统一排台</w:t>
            </w:r>
            <w:r>
              <w:rPr>
                <w:rStyle w:val="259"/>
                <w:rFonts w:ascii="宋体" w:hAnsi="宋体" w:eastAsia="宋体" w:cs="宋体"/>
                <w:sz w:val="21"/>
                <w:szCs w:val="21"/>
                <w:lang w:val="en-US" w:eastAsia="zh-CN" w:bidi="ar"/>
              </w:rPr>
              <w:br w:type="textWrapping"/>
            </w:r>
            <w:r>
              <w:rPr>
                <w:rStyle w:val="259"/>
                <w:rFonts w:ascii="宋体" w:hAnsi="宋体" w:eastAsia="宋体" w:cs="宋体"/>
                <w:sz w:val="21"/>
                <w:szCs w:val="21"/>
                <w:lang w:val="en-US" w:eastAsia="zh-CN" w:bidi="ar"/>
              </w:rPr>
              <w:t>- 按术式复杂度自动分配：</w:t>
            </w:r>
            <w:r>
              <w:rPr>
                <w:rStyle w:val="259"/>
                <w:rFonts w:ascii="宋体" w:hAnsi="宋体" w:eastAsia="宋体" w:cs="宋体"/>
                <w:sz w:val="21"/>
                <w:szCs w:val="21"/>
                <w:lang w:val="en-US" w:eastAsia="zh-CN" w:bidi="ar"/>
              </w:rPr>
              <w:br w:type="textWrapping"/>
            </w:r>
            <w:r>
              <w:rPr>
                <w:rStyle w:val="259"/>
                <w:rFonts w:ascii="宋体" w:hAnsi="宋体" w:eastAsia="宋体" w:cs="宋体"/>
                <w:sz w:val="21"/>
                <w:szCs w:val="21"/>
                <w:lang w:val="en-US" w:eastAsia="zh-CN" w:bidi="ar"/>
              </w:rPr>
              <w:t>• 短手术（≤30min）→ 专用日间手术室</w:t>
            </w:r>
            <w:r>
              <w:rPr>
                <w:rStyle w:val="259"/>
                <w:rFonts w:ascii="宋体" w:hAnsi="宋体" w:eastAsia="宋体" w:cs="宋体"/>
                <w:sz w:val="21"/>
                <w:szCs w:val="21"/>
                <w:lang w:val="en-US" w:eastAsia="zh-CN" w:bidi="ar"/>
              </w:rPr>
              <w:br w:type="textWrapping"/>
            </w:r>
            <w:r>
              <w:rPr>
                <w:rStyle w:val="259"/>
                <w:rFonts w:ascii="宋体" w:hAnsi="宋体" w:eastAsia="宋体" w:cs="宋体"/>
                <w:sz w:val="21"/>
                <w:szCs w:val="21"/>
                <w:lang w:val="en-US" w:eastAsia="zh-CN" w:bidi="ar"/>
              </w:rPr>
              <w:t>• 中长手术 → 标准手术间</w:t>
            </w:r>
          </w:p>
        </w:tc>
        <w:tc>
          <w:tcPr>
            <w:tcW w:w="2211" w:type="dxa"/>
            <w:tcBorders>
              <w:top w:val="nil"/>
              <w:left w:val="single" w:color="000000" w:sz="4" w:space="0"/>
              <w:bottom w:val="single" w:color="000000" w:sz="4" w:space="0"/>
              <w:right w:val="single" w:color="000000" w:sz="4" w:space="0"/>
            </w:tcBorders>
            <w:shd w:val="clear" w:color="auto" w:fill="auto"/>
            <w:noWrap/>
            <w:vAlign w:val="center"/>
          </w:tcPr>
          <w:p w14:paraId="19FA007E">
            <w:pPr>
              <w:keepNext w:val="0"/>
              <w:keepLines w:val="0"/>
              <w:widowControl/>
              <w:suppressLineNumbers w:val="0"/>
              <w:jc w:val="center"/>
              <w:textAlignment w:val="center"/>
              <w:rPr>
                <w:rFonts w:hint="eastAsia" w:ascii="宋体" w:hAnsi="宋体" w:eastAsia="宋体" w:cs="宋体"/>
                <w:i w:val="0"/>
                <w:iCs w:val="0"/>
                <w:color w:val="404040"/>
                <w:sz w:val="21"/>
                <w:szCs w:val="21"/>
                <w:u w:val="none"/>
              </w:rPr>
            </w:pPr>
            <w:r>
              <w:rPr>
                <w:rFonts w:hint="eastAsia" w:ascii="宋体" w:hAnsi="宋体" w:eastAsia="宋体" w:cs="宋体"/>
                <w:i w:val="0"/>
                <w:iCs w:val="0"/>
                <w:color w:val="404040"/>
                <w:kern w:val="0"/>
                <w:sz w:val="21"/>
                <w:szCs w:val="21"/>
                <w:u w:val="none"/>
                <w:lang w:val="en-US" w:eastAsia="zh-CN" w:bidi="ar"/>
              </w:rPr>
              <w:t>手术室管理系统</w:t>
            </w:r>
          </w:p>
        </w:tc>
      </w:tr>
      <w:tr w14:paraId="459B6D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2" w:hRule="atLeast"/>
          <w:jc w:val="center"/>
        </w:trPr>
        <w:tc>
          <w:tcPr>
            <w:tcW w:w="829" w:type="dxa"/>
            <w:tcBorders>
              <w:top w:val="nil"/>
              <w:left w:val="single" w:color="000000" w:sz="4" w:space="0"/>
              <w:bottom w:val="single" w:color="000000" w:sz="4" w:space="0"/>
              <w:right w:val="single" w:color="000000" w:sz="4" w:space="0"/>
            </w:tcBorders>
            <w:shd w:val="clear" w:color="auto" w:fill="auto"/>
            <w:noWrap/>
            <w:vAlign w:val="center"/>
          </w:tcPr>
          <w:p w14:paraId="5A03018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2130" w:type="dxa"/>
            <w:tcBorders>
              <w:top w:val="nil"/>
              <w:left w:val="single" w:color="000000" w:sz="4" w:space="0"/>
              <w:bottom w:val="single" w:color="000000" w:sz="4" w:space="0"/>
              <w:right w:val="single" w:color="000000" w:sz="4" w:space="0"/>
            </w:tcBorders>
            <w:shd w:val="clear" w:color="auto" w:fill="auto"/>
            <w:noWrap/>
            <w:vAlign w:val="center"/>
          </w:tcPr>
          <w:p w14:paraId="191790A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麻醉快速通道</w:t>
            </w:r>
          </w:p>
        </w:tc>
        <w:tc>
          <w:tcPr>
            <w:tcW w:w="4618" w:type="dxa"/>
            <w:tcBorders>
              <w:top w:val="nil"/>
              <w:left w:val="single" w:color="000000" w:sz="4" w:space="0"/>
              <w:bottom w:val="single" w:color="000000" w:sz="4" w:space="0"/>
              <w:right w:val="single" w:color="000000" w:sz="4" w:space="0"/>
            </w:tcBorders>
            <w:shd w:val="clear" w:color="auto" w:fill="auto"/>
            <w:vAlign w:val="center"/>
          </w:tcPr>
          <w:p w14:paraId="384AA14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Style w:val="259"/>
                <w:rFonts w:ascii="宋体" w:hAnsi="宋体" w:eastAsia="宋体" w:cs="宋体"/>
                <w:sz w:val="21"/>
                <w:szCs w:val="21"/>
                <w:lang w:val="en-US" w:eastAsia="zh-CN" w:bidi="ar"/>
              </w:rPr>
              <w:t>- 日间专属评估模板</w:t>
            </w:r>
            <w:r>
              <w:rPr>
                <w:rStyle w:val="259"/>
                <w:rFonts w:ascii="宋体" w:hAnsi="宋体" w:eastAsia="宋体" w:cs="宋体"/>
                <w:sz w:val="21"/>
                <w:szCs w:val="21"/>
                <w:lang w:val="en-US" w:eastAsia="zh-CN" w:bidi="ar"/>
              </w:rPr>
              <w:br w:type="textWrapping"/>
            </w:r>
            <w:r>
              <w:rPr>
                <w:rStyle w:val="259"/>
                <w:rFonts w:ascii="宋体" w:hAnsi="宋体" w:eastAsia="宋体" w:cs="宋体"/>
                <w:sz w:val="21"/>
                <w:szCs w:val="21"/>
                <w:lang w:val="en-US" w:eastAsia="zh-CN" w:bidi="ar"/>
              </w:rPr>
              <w:t>- 自动同步预住院检验报告（避免重复抽血）</w:t>
            </w:r>
          </w:p>
        </w:tc>
        <w:tc>
          <w:tcPr>
            <w:tcW w:w="2211" w:type="dxa"/>
            <w:tcBorders>
              <w:top w:val="nil"/>
              <w:left w:val="single" w:color="000000" w:sz="4" w:space="0"/>
              <w:bottom w:val="single" w:color="000000" w:sz="4" w:space="0"/>
              <w:right w:val="single" w:color="000000" w:sz="4" w:space="0"/>
            </w:tcBorders>
            <w:shd w:val="clear" w:color="auto" w:fill="auto"/>
            <w:noWrap/>
            <w:vAlign w:val="center"/>
          </w:tcPr>
          <w:p w14:paraId="420A1BBB">
            <w:pPr>
              <w:keepNext w:val="0"/>
              <w:keepLines w:val="0"/>
              <w:widowControl/>
              <w:suppressLineNumbers w:val="0"/>
              <w:jc w:val="center"/>
              <w:textAlignment w:val="center"/>
              <w:rPr>
                <w:rFonts w:hint="eastAsia" w:ascii="宋体" w:hAnsi="宋体" w:eastAsia="宋体" w:cs="宋体"/>
                <w:i w:val="0"/>
                <w:iCs w:val="0"/>
                <w:color w:val="404040"/>
                <w:sz w:val="21"/>
                <w:szCs w:val="21"/>
                <w:u w:val="none"/>
              </w:rPr>
            </w:pPr>
            <w:r>
              <w:rPr>
                <w:rFonts w:hint="eastAsia" w:ascii="宋体" w:hAnsi="宋体" w:eastAsia="宋体" w:cs="宋体"/>
                <w:i w:val="0"/>
                <w:iCs w:val="0"/>
                <w:color w:val="404040"/>
                <w:kern w:val="0"/>
                <w:sz w:val="21"/>
                <w:szCs w:val="21"/>
                <w:u w:val="none"/>
                <w:lang w:val="en-US" w:eastAsia="zh-CN" w:bidi="ar"/>
              </w:rPr>
              <w:t>麻醉医生工作站</w:t>
            </w:r>
          </w:p>
        </w:tc>
      </w:tr>
      <w:tr w14:paraId="755AFE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jc w:val="center"/>
        </w:trPr>
        <w:tc>
          <w:tcPr>
            <w:tcW w:w="9788" w:type="dxa"/>
            <w:gridSpan w:val="4"/>
            <w:tcBorders>
              <w:top w:val="nil"/>
              <w:left w:val="nil"/>
              <w:bottom w:val="nil"/>
              <w:right w:val="nil"/>
            </w:tcBorders>
            <w:shd w:val="clear" w:color="auto" w:fill="auto"/>
            <w:noWrap/>
            <w:vAlign w:val="center"/>
          </w:tcPr>
          <w:p w14:paraId="2319CA8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Style w:val="82"/>
                <w:rFonts w:hint="eastAsia" w:ascii="宋体" w:hAnsi="宋体" w:eastAsia="宋体" w:cs="宋体"/>
                <w:sz w:val="21"/>
                <w:szCs w:val="21"/>
                <w:lang w:val="en-US" w:eastAsia="zh-CN" w:bidi="ar"/>
              </w:rPr>
              <w:t>5.</w:t>
            </w:r>
            <w:r>
              <w:rPr>
                <w:rStyle w:val="338"/>
                <w:rFonts w:hint="eastAsia" w:ascii="宋体" w:eastAsia="宋体" w:cs="宋体"/>
                <w:sz w:val="21"/>
                <w:szCs w:val="21"/>
                <w:lang w:val="en-US" w:eastAsia="zh-CN" w:bidi="ar"/>
              </w:rPr>
              <w:t>出院结算阶段</w:t>
            </w:r>
            <w:r>
              <w:rPr>
                <w:rStyle w:val="82"/>
                <w:rFonts w:hint="eastAsia" w:ascii="宋体" w:hAnsi="宋体" w:eastAsia="宋体" w:cs="宋体"/>
                <w:spacing w:val="0"/>
                <w:sz w:val="21"/>
                <w:szCs w:val="21"/>
                <w:lang w:val="en-US" w:eastAsia="zh-CN" w:bidi="ar"/>
              </w:rPr>
              <w:t>：费用结算与离院（需征询财务处、医保科意见）</w:t>
            </w:r>
          </w:p>
        </w:tc>
      </w:tr>
      <w:tr w14:paraId="5052A4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jc w:val="center"/>
        </w:trPr>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71FF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A241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功能需求</w:t>
            </w:r>
          </w:p>
        </w:tc>
        <w:tc>
          <w:tcPr>
            <w:tcW w:w="4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B9A2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需求描述</w:t>
            </w:r>
          </w:p>
        </w:tc>
        <w:tc>
          <w:tcPr>
            <w:tcW w:w="2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CDF3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HIS实现位置</w:t>
            </w:r>
          </w:p>
        </w:tc>
      </w:tr>
      <w:tr w14:paraId="6B4528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2" w:hRule="atLeast"/>
          <w:jc w:val="center"/>
        </w:trPr>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E43A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4009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费用自动合并</w:t>
            </w:r>
          </w:p>
        </w:tc>
        <w:tc>
          <w:tcPr>
            <w:tcW w:w="4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C7E5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Style w:val="259"/>
                <w:rFonts w:ascii="宋体" w:hAnsi="宋体" w:eastAsia="宋体" w:cs="宋体"/>
                <w:sz w:val="21"/>
                <w:szCs w:val="21"/>
                <w:lang w:val="en-US" w:eastAsia="zh-CN" w:bidi="ar"/>
              </w:rPr>
              <w:t>- 住院结算时抓取术前7天门诊检查费</w:t>
            </w:r>
            <w:r>
              <w:rPr>
                <w:rStyle w:val="259"/>
                <w:rFonts w:ascii="宋体" w:hAnsi="宋体" w:eastAsia="宋体" w:cs="宋体"/>
                <w:sz w:val="21"/>
                <w:szCs w:val="21"/>
                <w:lang w:val="en-US" w:eastAsia="zh-CN" w:bidi="ar"/>
              </w:rPr>
              <w:br w:type="textWrapping"/>
            </w:r>
            <w:r>
              <w:rPr>
                <w:rStyle w:val="259"/>
                <w:rFonts w:ascii="宋体" w:hAnsi="宋体" w:eastAsia="宋体" w:cs="宋体"/>
                <w:sz w:val="21"/>
                <w:szCs w:val="21"/>
                <w:lang w:val="en-US" w:eastAsia="zh-CN" w:bidi="ar"/>
              </w:rPr>
              <w:t>- 仅合并检验检查类（药品/材料自动过滤）</w:t>
            </w:r>
          </w:p>
        </w:tc>
        <w:tc>
          <w:tcPr>
            <w:tcW w:w="221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C195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收费管理系统</w:t>
            </w:r>
          </w:p>
        </w:tc>
      </w:tr>
      <w:tr w14:paraId="1F7DC7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2" w:hRule="atLeast"/>
          <w:jc w:val="center"/>
        </w:trPr>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BB1F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58F5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化疗周期结算</w:t>
            </w:r>
          </w:p>
        </w:tc>
        <w:tc>
          <w:tcPr>
            <w:tcW w:w="4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EBAB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Style w:val="259"/>
                <w:rFonts w:ascii="宋体" w:hAnsi="宋体" w:eastAsia="宋体" w:cs="宋体"/>
                <w:sz w:val="21"/>
                <w:szCs w:val="21"/>
                <w:lang w:val="en-US" w:eastAsia="zh-CN" w:bidi="ar"/>
              </w:rPr>
              <w:t>- 末次治疗合并开具发票，原预结算单自动核销</w:t>
            </w:r>
            <w:r>
              <w:rPr>
                <w:rStyle w:val="259"/>
                <w:rFonts w:ascii="宋体" w:hAnsi="宋体" w:eastAsia="宋体" w:cs="宋体"/>
                <w:sz w:val="21"/>
                <w:szCs w:val="21"/>
                <w:lang w:val="en-US" w:eastAsia="zh-CN" w:bidi="ar"/>
              </w:rPr>
              <w:br w:type="textWrapping"/>
            </w:r>
            <w:r>
              <w:rPr>
                <w:rStyle w:val="259"/>
                <w:rFonts w:ascii="宋体" w:hAnsi="宋体" w:eastAsia="宋体" w:cs="宋体"/>
                <w:sz w:val="21"/>
                <w:szCs w:val="21"/>
                <w:lang w:val="en-US" w:eastAsia="zh-CN" w:bidi="ar"/>
              </w:rPr>
              <w:t>- 支持电子票据推送</w:t>
            </w:r>
          </w:p>
        </w:tc>
        <w:tc>
          <w:tcPr>
            <w:tcW w:w="221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7E2A4">
            <w:pPr>
              <w:jc w:val="center"/>
              <w:rPr>
                <w:rFonts w:hint="eastAsia" w:ascii="宋体" w:hAnsi="宋体" w:eastAsia="宋体" w:cs="宋体"/>
                <w:i w:val="0"/>
                <w:iCs w:val="0"/>
                <w:color w:val="000000"/>
                <w:sz w:val="21"/>
                <w:szCs w:val="21"/>
                <w:u w:val="none"/>
              </w:rPr>
            </w:pPr>
          </w:p>
        </w:tc>
      </w:tr>
      <w:tr w14:paraId="5183D3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2" w:hRule="atLeast"/>
          <w:jc w:val="center"/>
        </w:trPr>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94FF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1BE3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预交金智能结转</w:t>
            </w:r>
          </w:p>
        </w:tc>
        <w:tc>
          <w:tcPr>
            <w:tcW w:w="4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60479">
            <w:pPr>
              <w:keepNext w:val="0"/>
              <w:keepLines w:val="0"/>
              <w:widowControl/>
              <w:suppressLineNumbers w:val="0"/>
              <w:jc w:val="left"/>
              <w:textAlignment w:val="center"/>
              <w:rPr>
                <w:rFonts w:hint="eastAsia" w:ascii="宋体" w:hAnsi="宋体" w:eastAsia="宋体" w:cs="宋体"/>
                <w:i w:val="0"/>
                <w:iCs w:val="0"/>
                <w:color w:val="404040"/>
                <w:sz w:val="21"/>
                <w:szCs w:val="21"/>
                <w:u w:val="none"/>
              </w:rPr>
            </w:pPr>
            <w:r>
              <w:rPr>
                <w:rFonts w:hint="eastAsia" w:ascii="宋体" w:hAnsi="宋体" w:eastAsia="宋体" w:cs="宋体"/>
                <w:i w:val="0"/>
                <w:iCs w:val="0"/>
                <w:color w:val="404040"/>
                <w:kern w:val="0"/>
                <w:sz w:val="21"/>
                <w:szCs w:val="21"/>
                <w:u w:val="none"/>
                <w:lang w:val="en-US" w:eastAsia="zh-CN" w:bidi="ar"/>
              </w:rPr>
              <w:t>- 预住院预交金自动转入住院账户</w:t>
            </w:r>
            <w:r>
              <w:rPr>
                <w:rFonts w:hint="eastAsia" w:ascii="宋体" w:hAnsi="宋体" w:eastAsia="宋体" w:cs="宋体"/>
                <w:i w:val="0"/>
                <w:iCs w:val="0"/>
                <w:color w:val="404040"/>
                <w:kern w:val="0"/>
                <w:sz w:val="21"/>
                <w:szCs w:val="21"/>
                <w:u w:val="none"/>
                <w:lang w:val="en-US" w:eastAsia="zh-CN" w:bidi="ar"/>
              </w:rPr>
              <w:br w:type="textWrapping"/>
            </w:r>
            <w:r>
              <w:rPr>
                <w:rFonts w:hint="eastAsia" w:ascii="宋体" w:hAnsi="宋体" w:eastAsia="宋体" w:cs="宋体"/>
                <w:i w:val="0"/>
                <w:iCs w:val="0"/>
                <w:color w:val="404040"/>
                <w:kern w:val="0"/>
                <w:sz w:val="21"/>
                <w:szCs w:val="21"/>
                <w:u w:val="none"/>
                <w:lang w:val="en-US" w:eastAsia="zh-CN" w:bidi="ar"/>
              </w:rPr>
              <w:t>- 差额部分多渠道补缴（现金/银行卡/微信/支付宝）</w:t>
            </w:r>
          </w:p>
        </w:tc>
        <w:tc>
          <w:tcPr>
            <w:tcW w:w="221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3D901">
            <w:pPr>
              <w:jc w:val="center"/>
              <w:rPr>
                <w:rFonts w:hint="eastAsia" w:ascii="宋体" w:hAnsi="宋体" w:eastAsia="宋体" w:cs="宋体"/>
                <w:i w:val="0"/>
                <w:iCs w:val="0"/>
                <w:color w:val="000000"/>
                <w:sz w:val="21"/>
                <w:szCs w:val="21"/>
                <w:u w:val="none"/>
              </w:rPr>
            </w:pPr>
          </w:p>
        </w:tc>
      </w:tr>
      <w:tr w14:paraId="073078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jc w:val="center"/>
        </w:trPr>
        <w:tc>
          <w:tcPr>
            <w:tcW w:w="9788" w:type="dxa"/>
            <w:gridSpan w:val="4"/>
            <w:tcBorders>
              <w:top w:val="nil"/>
              <w:left w:val="nil"/>
              <w:bottom w:val="nil"/>
              <w:right w:val="nil"/>
            </w:tcBorders>
            <w:shd w:val="clear" w:color="auto" w:fill="auto"/>
            <w:noWrap/>
            <w:vAlign w:val="center"/>
          </w:tcPr>
          <w:p w14:paraId="56498BC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Style w:val="82"/>
                <w:rFonts w:hint="eastAsia" w:ascii="宋体" w:hAnsi="宋体" w:eastAsia="宋体" w:cs="宋体"/>
                <w:spacing w:val="0"/>
                <w:sz w:val="21"/>
                <w:szCs w:val="21"/>
                <w:lang w:val="en-US" w:eastAsia="zh-CN" w:bidi="ar"/>
              </w:rPr>
              <w:t>6.</w:t>
            </w:r>
            <w:r>
              <w:rPr>
                <w:rStyle w:val="338"/>
                <w:rFonts w:hint="eastAsia" w:ascii="宋体" w:eastAsia="宋体" w:cs="宋体"/>
                <w:sz w:val="21"/>
                <w:szCs w:val="21"/>
                <w:lang w:val="en-US" w:eastAsia="zh-CN" w:bidi="ar"/>
              </w:rPr>
              <w:t>随访与质控阶段</w:t>
            </w:r>
            <w:r>
              <w:rPr>
                <w:rStyle w:val="82"/>
                <w:rFonts w:hint="eastAsia" w:ascii="宋体" w:hAnsi="宋体" w:eastAsia="宋体" w:cs="宋体"/>
                <w:spacing w:val="0"/>
                <w:sz w:val="21"/>
                <w:szCs w:val="21"/>
                <w:lang w:val="en-US" w:eastAsia="zh-CN" w:bidi="ar"/>
              </w:rPr>
              <w:t>：出院后管理</w:t>
            </w:r>
          </w:p>
        </w:tc>
      </w:tr>
      <w:tr w14:paraId="47AB72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1" w:hRule="atLeast"/>
          <w:jc w:val="center"/>
        </w:trPr>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F517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EF1F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功能需求</w:t>
            </w:r>
          </w:p>
        </w:tc>
        <w:tc>
          <w:tcPr>
            <w:tcW w:w="4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88E4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需求描述</w:t>
            </w:r>
          </w:p>
        </w:tc>
        <w:tc>
          <w:tcPr>
            <w:tcW w:w="2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C56E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实现位置</w:t>
            </w:r>
          </w:p>
        </w:tc>
      </w:tr>
      <w:tr w14:paraId="31D24C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jc w:val="center"/>
        </w:trPr>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707B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E92A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自动随访</w:t>
            </w:r>
          </w:p>
        </w:tc>
        <w:tc>
          <w:tcPr>
            <w:tcW w:w="46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78F93">
            <w:pPr>
              <w:keepNext w:val="0"/>
              <w:keepLines w:val="0"/>
              <w:widowControl/>
              <w:suppressLineNumbers w:val="0"/>
              <w:jc w:val="left"/>
              <w:textAlignment w:val="center"/>
              <w:rPr>
                <w:rFonts w:hint="eastAsia" w:ascii="宋体" w:hAnsi="宋体" w:eastAsia="宋体" w:cs="宋体"/>
                <w:i w:val="0"/>
                <w:iCs w:val="0"/>
                <w:color w:val="404040"/>
                <w:sz w:val="21"/>
                <w:szCs w:val="21"/>
                <w:u w:val="none"/>
              </w:rPr>
            </w:pPr>
            <w:r>
              <w:rPr>
                <w:rFonts w:hint="eastAsia" w:ascii="宋体" w:hAnsi="宋体" w:eastAsia="宋体" w:cs="宋体"/>
                <w:i w:val="0"/>
                <w:iCs w:val="0"/>
                <w:color w:val="404040"/>
                <w:kern w:val="0"/>
                <w:sz w:val="21"/>
                <w:szCs w:val="21"/>
                <w:u w:val="none"/>
                <w:lang w:val="en-US" w:eastAsia="zh-CN" w:bidi="ar"/>
              </w:rPr>
              <w:t>术后24h推送问卷（疼痛/出血）</w:t>
            </w:r>
          </w:p>
        </w:tc>
        <w:tc>
          <w:tcPr>
            <w:tcW w:w="22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54BE0">
            <w:pPr>
              <w:keepNext w:val="0"/>
              <w:keepLines w:val="0"/>
              <w:widowControl/>
              <w:suppressLineNumbers w:val="0"/>
              <w:jc w:val="center"/>
              <w:textAlignment w:val="center"/>
              <w:rPr>
                <w:rFonts w:hint="eastAsia" w:ascii="宋体" w:hAnsi="宋体" w:eastAsia="宋体" w:cs="宋体"/>
                <w:i w:val="0"/>
                <w:iCs w:val="0"/>
                <w:color w:val="404040"/>
                <w:sz w:val="21"/>
                <w:szCs w:val="21"/>
                <w:u w:val="none"/>
              </w:rPr>
            </w:pPr>
            <w:r>
              <w:rPr>
                <w:rFonts w:hint="eastAsia" w:ascii="宋体" w:hAnsi="宋体" w:eastAsia="宋体" w:cs="宋体"/>
                <w:i w:val="0"/>
                <w:iCs w:val="0"/>
                <w:color w:val="404040"/>
                <w:kern w:val="0"/>
                <w:sz w:val="21"/>
                <w:szCs w:val="21"/>
                <w:u w:val="none"/>
                <w:lang w:val="en-US" w:eastAsia="zh-CN" w:bidi="ar"/>
              </w:rPr>
              <w:t>随访系统</w:t>
            </w:r>
          </w:p>
        </w:tc>
      </w:tr>
      <w:tr w14:paraId="45836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3" w:hRule="atLeast"/>
          <w:jc w:val="center"/>
        </w:trPr>
        <w:tc>
          <w:tcPr>
            <w:tcW w:w="829" w:type="dxa"/>
            <w:tcBorders>
              <w:top w:val="nil"/>
              <w:left w:val="single" w:color="000000" w:sz="4" w:space="0"/>
              <w:bottom w:val="single" w:color="auto" w:sz="4" w:space="0"/>
              <w:right w:val="single" w:color="000000" w:sz="4" w:space="0"/>
            </w:tcBorders>
            <w:shd w:val="clear" w:color="auto" w:fill="auto"/>
            <w:noWrap/>
            <w:vAlign w:val="center"/>
          </w:tcPr>
          <w:p w14:paraId="772C7E3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130" w:type="dxa"/>
            <w:tcBorders>
              <w:top w:val="nil"/>
              <w:left w:val="single" w:color="000000" w:sz="4" w:space="0"/>
              <w:bottom w:val="single" w:color="auto" w:sz="4" w:space="0"/>
              <w:right w:val="single" w:color="000000" w:sz="4" w:space="0"/>
            </w:tcBorders>
            <w:shd w:val="clear" w:color="auto" w:fill="auto"/>
            <w:noWrap/>
            <w:vAlign w:val="center"/>
          </w:tcPr>
          <w:p w14:paraId="199CD0F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资源利用率分析</w:t>
            </w:r>
          </w:p>
        </w:tc>
        <w:tc>
          <w:tcPr>
            <w:tcW w:w="4618" w:type="dxa"/>
            <w:tcBorders>
              <w:top w:val="nil"/>
              <w:left w:val="single" w:color="000000" w:sz="4" w:space="0"/>
              <w:bottom w:val="single" w:color="auto" w:sz="4" w:space="0"/>
              <w:right w:val="single" w:color="000000" w:sz="4" w:space="0"/>
            </w:tcBorders>
            <w:shd w:val="clear" w:color="auto" w:fill="auto"/>
            <w:vAlign w:val="center"/>
          </w:tcPr>
          <w:p w14:paraId="6AC8094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Style w:val="74"/>
                <w:rFonts w:hint="eastAsia" w:ascii="宋体" w:hAnsi="宋体" w:eastAsia="宋体" w:cs="宋体"/>
                <w:szCs w:val="21"/>
                <w:lang w:val="en-US" w:eastAsia="zh-CN" w:bidi="ar"/>
              </w:rPr>
              <w:t>- 日间手术室周转次数/日</w:t>
            </w:r>
            <w:r>
              <w:rPr>
                <w:rStyle w:val="74"/>
                <w:rFonts w:hint="eastAsia" w:ascii="宋体" w:hAnsi="宋体" w:eastAsia="宋体" w:cs="宋体"/>
                <w:szCs w:val="21"/>
                <w:lang w:val="en-US" w:eastAsia="zh-CN" w:bidi="ar"/>
              </w:rPr>
              <w:br w:type="textWrapping"/>
            </w:r>
            <w:r>
              <w:rPr>
                <w:rStyle w:val="74"/>
                <w:rFonts w:hint="eastAsia" w:ascii="宋体" w:hAnsi="宋体" w:eastAsia="宋体" w:cs="宋体"/>
                <w:szCs w:val="21"/>
                <w:lang w:val="en-US" w:eastAsia="zh-CN" w:bidi="ar"/>
              </w:rPr>
              <w:t>- 日间化疗椅/床位空闲率</w:t>
            </w:r>
            <w:r>
              <w:rPr>
                <w:rStyle w:val="74"/>
                <w:rFonts w:hint="eastAsia" w:ascii="宋体" w:hAnsi="宋体" w:eastAsia="宋体" w:cs="宋体"/>
                <w:szCs w:val="21"/>
                <w:lang w:val="en-US" w:eastAsia="zh-CN" w:bidi="ar"/>
              </w:rPr>
              <w:br w:type="textWrapping"/>
            </w:r>
            <w:r>
              <w:rPr>
                <w:rStyle w:val="74"/>
                <w:rFonts w:hint="eastAsia" w:ascii="宋体" w:hAnsi="宋体" w:eastAsia="宋体" w:cs="宋体"/>
                <w:szCs w:val="21"/>
                <w:lang w:val="en-US" w:eastAsia="zh-CN" w:bidi="ar"/>
              </w:rPr>
              <w:t>- 48小时超时病例统计</w:t>
            </w:r>
          </w:p>
        </w:tc>
        <w:tc>
          <w:tcPr>
            <w:tcW w:w="2211" w:type="dxa"/>
            <w:tcBorders>
              <w:top w:val="nil"/>
              <w:left w:val="single" w:color="000000" w:sz="4" w:space="0"/>
              <w:bottom w:val="single" w:color="auto" w:sz="4" w:space="0"/>
              <w:right w:val="single" w:color="000000" w:sz="4" w:space="0"/>
            </w:tcBorders>
            <w:shd w:val="clear" w:color="auto" w:fill="auto"/>
            <w:noWrap/>
            <w:vAlign w:val="center"/>
          </w:tcPr>
          <w:p w14:paraId="7A6B067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医务管理系统</w:t>
            </w:r>
          </w:p>
        </w:tc>
      </w:tr>
    </w:tbl>
    <w:p w14:paraId="0FD249CE">
      <w:pPr>
        <w:rPr>
          <w:rFonts w:ascii="宋体" w:hAnsi="宋体"/>
          <w:color w:val="auto"/>
          <w:highlight w:val="none"/>
        </w:rPr>
      </w:pPr>
    </w:p>
    <w:p w14:paraId="47DE9A0B">
      <w:pPr>
        <w:rPr>
          <w:rFonts w:ascii="宋体" w:hAnsi="宋体"/>
          <w:color w:val="auto"/>
          <w:highlight w:val="none"/>
        </w:rPr>
      </w:pPr>
    </w:p>
    <w:p w14:paraId="603AF9DE">
      <w:pPr>
        <w:pStyle w:val="4"/>
        <w:numPr>
          <w:ilvl w:val="2"/>
          <w:numId w:val="1"/>
        </w:numPr>
        <w:spacing w:before="0" w:after="0" w:line="360" w:lineRule="auto"/>
        <w:ind w:left="567" w:hanging="567"/>
        <w:rPr>
          <w:color w:val="auto"/>
          <w:sz w:val="24"/>
          <w:highlight w:val="none"/>
        </w:rPr>
      </w:pPr>
      <w:bookmarkStart w:id="16" w:name="_Toc24326"/>
      <w:bookmarkStart w:id="17" w:name="_Toc25919"/>
      <w:bookmarkStart w:id="18" w:name="_Toc9883"/>
      <w:bookmarkStart w:id="19" w:name="_Toc3411"/>
      <w:bookmarkStart w:id="20" w:name="_Toc1586"/>
      <w:r>
        <w:rPr>
          <w:rFonts w:hint="eastAsia" w:eastAsia="宋体"/>
          <w:color w:val="auto"/>
          <w:kern w:val="2"/>
          <w:sz w:val="24"/>
          <w:szCs w:val="24"/>
          <w:highlight w:val="none"/>
        </w:rPr>
        <w:t>门诊电子病历</w:t>
      </w:r>
      <w:bookmarkEnd w:id="16"/>
      <w:bookmarkEnd w:id="17"/>
      <w:bookmarkEnd w:id="18"/>
      <w:bookmarkEnd w:id="19"/>
      <w:bookmarkEnd w:id="20"/>
    </w:p>
    <w:tbl>
      <w:tblPr>
        <w:tblStyle w:val="46"/>
        <w:tblW w:w="100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
        <w:gridCol w:w="1090"/>
        <w:gridCol w:w="6"/>
        <w:gridCol w:w="8076"/>
      </w:tblGrid>
      <w:tr w14:paraId="1619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867" w:type="dxa"/>
            <w:vAlign w:val="center"/>
          </w:tcPr>
          <w:p w14:paraId="5190B521">
            <w:pPr>
              <w:jc w:val="center"/>
              <w:rPr>
                <w:color w:val="auto"/>
                <w:szCs w:val="21"/>
                <w:highlight w:val="none"/>
              </w:rPr>
            </w:pPr>
            <w:r>
              <w:rPr>
                <w:rFonts w:hint="eastAsia" w:ascii="宋体" w:hAnsi="宋体" w:cs="宋体"/>
                <w:color w:val="auto"/>
                <w:kern w:val="0"/>
                <w:szCs w:val="21"/>
                <w:highlight w:val="none"/>
              </w:rPr>
              <w:t>需求名称</w:t>
            </w:r>
          </w:p>
        </w:tc>
        <w:tc>
          <w:tcPr>
            <w:tcW w:w="1090" w:type="dxa"/>
            <w:vAlign w:val="center"/>
          </w:tcPr>
          <w:p w14:paraId="37819A04">
            <w:pPr>
              <w:jc w:val="center"/>
              <w:rPr>
                <w:color w:val="auto"/>
                <w:szCs w:val="21"/>
                <w:highlight w:val="none"/>
              </w:rPr>
            </w:pPr>
            <w:r>
              <w:rPr>
                <w:rFonts w:hint="eastAsia" w:ascii="宋体" w:hAnsi="宋体" w:cs="宋体"/>
                <w:color w:val="auto"/>
                <w:kern w:val="0"/>
                <w:szCs w:val="21"/>
                <w:highlight w:val="none"/>
              </w:rPr>
              <w:t>序号</w:t>
            </w:r>
          </w:p>
        </w:tc>
        <w:tc>
          <w:tcPr>
            <w:tcW w:w="8082" w:type="dxa"/>
            <w:gridSpan w:val="2"/>
            <w:vAlign w:val="center"/>
          </w:tcPr>
          <w:p w14:paraId="01FE5BEE">
            <w:pPr>
              <w:jc w:val="center"/>
              <w:rPr>
                <w:color w:val="auto"/>
                <w:szCs w:val="21"/>
                <w:highlight w:val="none"/>
              </w:rPr>
            </w:pPr>
            <w:r>
              <w:rPr>
                <w:rFonts w:hint="eastAsia" w:ascii="宋体" w:hAnsi="宋体" w:cs="宋体"/>
                <w:color w:val="auto"/>
                <w:kern w:val="0"/>
                <w:szCs w:val="21"/>
                <w:highlight w:val="none"/>
              </w:rPr>
              <w:t>需求描述</w:t>
            </w:r>
          </w:p>
        </w:tc>
      </w:tr>
      <w:tr w14:paraId="50BF2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Merge w:val="restart"/>
            <w:vAlign w:val="center"/>
          </w:tcPr>
          <w:p w14:paraId="68EDBF6E">
            <w:pPr>
              <w:numPr>
                <w:ilvl w:val="-1"/>
                <w:numId w:val="0"/>
              </w:numPr>
              <w:ind w:left="0" w:firstLine="0"/>
              <w:rPr>
                <w:rFonts w:ascii="宋体" w:hAnsi="宋体" w:cs="宋体"/>
                <w:color w:val="auto"/>
                <w:szCs w:val="21"/>
                <w:highlight w:val="none"/>
              </w:rPr>
            </w:pPr>
            <w:r>
              <w:rPr>
                <w:rFonts w:hint="eastAsia"/>
                <w:color w:val="auto"/>
                <w:szCs w:val="21"/>
                <w:highlight w:val="none"/>
              </w:rPr>
              <w:t>门诊电子病历</w:t>
            </w:r>
          </w:p>
        </w:tc>
        <w:tc>
          <w:tcPr>
            <w:tcW w:w="9172" w:type="dxa"/>
            <w:gridSpan w:val="3"/>
            <w:vAlign w:val="center"/>
          </w:tcPr>
          <w:p w14:paraId="398F7D1A">
            <w:pPr>
              <w:rPr>
                <w:rFonts w:ascii="宋体" w:hAnsi="宋体" w:cs="宋体"/>
                <w:color w:val="auto"/>
                <w:kern w:val="0"/>
                <w:szCs w:val="21"/>
                <w:highlight w:val="none"/>
              </w:rPr>
            </w:pPr>
            <w:r>
              <w:rPr>
                <w:rFonts w:hint="eastAsia"/>
                <w:color w:val="auto"/>
                <w:szCs w:val="21"/>
                <w:highlight w:val="none"/>
              </w:rPr>
              <w:t>医生站一体化集成</w:t>
            </w:r>
            <w:r>
              <w:rPr>
                <w:rFonts w:ascii="宋体" w:hAnsi="宋体" w:cs="宋体"/>
                <w:color w:val="auto"/>
                <w:highlight w:val="none"/>
                <w:shd w:val="clear" w:color="auto"/>
              </w:rPr>
              <w:t>（病历元素拖拉拽自定义编辑模块）</w:t>
            </w:r>
          </w:p>
        </w:tc>
      </w:tr>
      <w:tr w14:paraId="62136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867" w:type="dxa"/>
            <w:vMerge w:val="continue"/>
            <w:vAlign w:val="center"/>
          </w:tcPr>
          <w:p w14:paraId="4F513783">
            <w:pPr>
              <w:rPr>
                <w:rFonts w:ascii="宋体" w:hAnsi="宋体" w:cs="宋体"/>
                <w:color w:val="auto"/>
                <w:szCs w:val="21"/>
                <w:highlight w:val="none"/>
              </w:rPr>
            </w:pPr>
          </w:p>
        </w:tc>
        <w:tc>
          <w:tcPr>
            <w:tcW w:w="1096" w:type="dxa"/>
            <w:gridSpan w:val="2"/>
            <w:vMerge w:val="restart"/>
            <w:vAlign w:val="center"/>
          </w:tcPr>
          <w:p w14:paraId="79CB7873">
            <w:pPr>
              <w:widowControl/>
              <w:jc w:val="center"/>
              <w:rPr>
                <w:rFonts w:ascii="宋体" w:hAnsi="宋体" w:cs="宋体"/>
                <w:color w:val="auto"/>
                <w:kern w:val="0"/>
                <w:szCs w:val="21"/>
                <w:highlight w:val="none"/>
              </w:rPr>
            </w:pPr>
            <w:r>
              <w:rPr>
                <w:rFonts w:hint="eastAsia"/>
                <w:color w:val="auto"/>
                <w:szCs w:val="21"/>
                <w:highlight w:val="none"/>
              </w:rPr>
              <w:t>医生站一体化</w:t>
            </w:r>
          </w:p>
        </w:tc>
        <w:tc>
          <w:tcPr>
            <w:tcW w:w="8076" w:type="dxa"/>
            <w:vAlign w:val="center"/>
          </w:tcPr>
          <w:p w14:paraId="74C30981">
            <w:pPr>
              <w:numPr>
                <w:ilvl w:val="0"/>
                <w:numId w:val="12"/>
              </w:numPr>
              <w:rPr>
                <w:rFonts w:ascii="宋体" w:hAnsi="宋体" w:cs="宋体"/>
                <w:bCs/>
                <w:color w:val="auto"/>
                <w:szCs w:val="21"/>
                <w:highlight w:val="none"/>
              </w:rPr>
            </w:pPr>
            <w:r>
              <w:rPr>
                <w:rFonts w:hint="eastAsia" w:ascii="宋体" w:hAnsi="宋体" w:cs="宋体"/>
                <w:bCs/>
                <w:color w:val="auto"/>
                <w:szCs w:val="21"/>
                <w:highlight w:val="none"/>
              </w:rPr>
              <w:t>支持门诊病历跟医生站一体化，方便医生看诊，提高就诊效率</w:t>
            </w:r>
          </w:p>
        </w:tc>
      </w:tr>
      <w:tr w14:paraId="3E0C0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867" w:type="dxa"/>
            <w:vMerge w:val="continue"/>
            <w:vAlign w:val="center"/>
          </w:tcPr>
          <w:p w14:paraId="1C8ABF85">
            <w:pPr>
              <w:rPr>
                <w:rFonts w:ascii="宋体" w:hAnsi="宋体" w:cs="宋体"/>
                <w:color w:val="auto"/>
                <w:szCs w:val="21"/>
                <w:highlight w:val="none"/>
              </w:rPr>
            </w:pPr>
          </w:p>
        </w:tc>
        <w:tc>
          <w:tcPr>
            <w:tcW w:w="1096" w:type="dxa"/>
            <w:gridSpan w:val="2"/>
            <w:vMerge w:val="continue"/>
            <w:vAlign w:val="center"/>
          </w:tcPr>
          <w:p w14:paraId="11E21488">
            <w:pPr>
              <w:widowControl/>
              <w:jc w:val="center"/>
              <w:rPr>
                <w:rFonts w:ascii="宋体" w:hAnsi="宋体" w:cs="宋体"/>
                <w:color w:val="auto"/>
                <w:kern w:val="0"/>
                <w:szCs w:val="21"/>
                <w:highlight w:val="none"/>
              </w:rPr>
            </w:pPr>
          </w:p>
        </w:tc>
        <w:tc>
          <w:tcPr>
            <w:tcW w:w="8076" w:type="dxa"/>
            <w:vAlign w:val="center"/>
          </w:tcPr>
          <w:p w14:paraId="293A5643">
            <w:pPr>
              <w:numPr>
                <w:ilvl w:val="0"/>
                <w:numId w:val="12"/>
              </w:numPr>
              <w:tabs>
                <w:tab w:val="left" w:pos="525"/>
                <w:tab w:val="left" w:pos="630"/>
              </w:tabs>
              <w:spacing w:line="360" w:lineRule="auto"/>
              <w:rPr>
                <w:rFonts w:ascii="宋体" w:hAnsi="宋体" w:cs="宋体"/>
                <w:bCs/>
                <w:color w:val="auto"/>
                <w:szCs w:val="21"/>
                <w:highlight w:val="none"/>
              </w:rPr>
            </w:pPr>
            <w:r>
              <w:rPr>
                <w:rFonts w:hint="eastAsia" w:ascii="宋体" w:hAnsi="宋体" w:cs="宋体"/>
                <w:bCs/>
                <w:color w:val="auto"/>
                <w:szCs w:val="21"/>
                <w:highlight w:val="none"/>
              </w:rPr>
              <w:t>支持门诊病历和门诊医嘱的信息自动更新和签名流程闭环</w:t>
            </w:r>
          </w:p>
          <w:p w14:paraId="242A189F">
            <w:pPr>
              <w:numPr>
                <w:ilvl w:val="0"/>
                <w:numId w:val="12"/>
              </w:numPr>
              <w:tabs>
                <w:tab w:val="left" w:pos="525"/>
                <w:tab w:val="left" w:pos="630"/>
              </w:tabs>
              <w:spacing w:line="360" w:lineRule="auto"/>
              <w:rPr>
                <w:rFonts w:ascii="宋体" w:hAnsi="宋体" w:cs="宋体"/>
                <w:bCs/>
                <w:color w:val="auto"/>
                <w:szCs w:val="21"/>
                <w:highlight w:val="none"/>
              </w:rPr>
            </w:pPr>
            <w:r>
              <w:rPr>
                <w:rFonts w:hint="eastAsia" w:ascii="宋体" w:hAnsi="宋体" w:cs="宋体"/>
                <w:bCs/>
                <w:color w:val="C00000"/>
                <w:szCs w:val="21"/>
                <w:highlight w:val="none"/>
                <w:lang w:eastAsia="zh-CN"/>
              </w:rPr>
              <w:t>支持患者对门诊病历签名确认</w:t>
            </w:r>
          </w:p>
        </w:tc>
      </w:tr>
      <w:tr w14:paraId="4749F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867" w:type="dxa"/>
            <w:vMerge w:val="continue"/>
            <w:vAlign w:val="center"/>
          </w:tcPr>
          <w:p w14:paraId="6F40B625">
            <w:pPr>
              <w:rPr>
                <w:rFonts w:ascii="宋体" w:hAnsi="宋体" w:cs="宋体"/>
                <w:color w:val="auto"/>
                <w:szCs w:val="21"/>
                <w:highlight w:val="none"/>
              </w:rPr>
            </w:pPr>
          </w:p>
        </w:tc>
        <w:tc>
          <w:tcPr>
            <w:tcW w:w="1096" w:type="dxa"/>
            <w:gridSpan w:val="2"/>
            <w:vMerge w:val="continue"/>
            <w:vAlign w:val="center"/>
          </w:tcPr>
          <w:p w14:paraId="209890EB">
            <w:pPr>
              <w:widowControl/>
              <w:jc w:val="center"/>
              <w:rPr>
                <w:rFonts w:ascii="宋体" w:hAnsi="宋体" w:cs="宋体"/>
                <w:color w:val="auto"/>
                <w:kern w:val="0"/>
                <w:szCs w:val="21"/>
                <w:highlight w:val="none"/>
              </w:rPr>
            </w:pPr>
          </w:p>
        </w:tc>
        <w:tc>
          <w:tcPr>
            <w:tcW w:w="8076" w:type="dxa"/>
            <w:vAlign w:val="center"/>
          </w:tcPr>
          <w:p w14:paraId="17FC5B5E">
            <w:pPr>
              <w:numPr>
                <w:ilvl w:val="0"/>
                <w:numId w:val="12"/>
              </w:numPr>
              <w:tabs>
                <w:tab w:val="left" w:pos="525"/>
                <w:tab w:val="left" w:pos="630"/>
              </w:tabs>
              <w:spacing w:line="360" w:lineRule="auto"/>
              <w:rPr>
                <w:rFonts w:ascii="宋体" w:hAnsi="宋体" w:cs="宋体"/>
                <w:bCs/>
                <w:color w:val="auto"/>
                <w:szCs w:val="21"/>
                <w:highlight w:val="none"/>
              </w:rPr>
            </w:pPr>
            <w:r>
              <w:rPr>
                <w:rFonts w:hint="eastAsia" w:ascii="宋体" w:hAnsi="宋体" w:cs="宋体"/>
                <w:bCs/>
                <w:color w:val="auto"/>
                <w:szCs w:val="21"/>
                <w:highlight w:val="none"/>
              </w:rPr>
              <w:t>支持医生站录入医嘱和诊断自动更新到本人创建/签署的病历中</w:t>
            </w:r>
          </w:p>
          <w:p w14:paraId="08A5DC06">
            <w:pPr>
              <w:numPr>
                <w:ilvl w:val="0"/>
                <w:numId w:val="12"/>
              </w:numPr>
              <w:tabs>
                <w:tab w:val="left" w:pos="525"/>
                <w:tab w:val="left" w:pos="630"/>
              </w:tabs>
              <w:spacing w:line="360" w:lineRule="auto"/>
              <w:rPr>
                <w:rFonts w:ascii="宋体" w:hAnsi="宋体" w:cs="宋体"/>
                <w:bCs/>
                <w:color w:val="auto"/>
                <w:szCs w:val="21"/>
                <w:highlight w:val="none"/>
              </w:rPr>
            </w:pPr>
            <w:r>
              <w:rPr>
                <w:rFonts w:hint="eastAsia" w:ascii="宋体" w:hAnsi="宋体" w:cs="宋体"/>
                <w:bCs/>
                <w:color w:val="auto"/>
                <w:szCs w:val="21"/>
                <w:highlight w:val="none"/>
              </w:rPr>
              <w:t>支持医师引用麻醉药品、第一类精神药品医嘱功能（药学部提供医嘱模板）。</w:t>
            </w:r>
          </w:p>
        </w:tc>
      </w:tr>
      <w:tr w14:paraId="22F6F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867" w:type="dxa"/>
            <w:vMerge w:val="continue"/>
            <w:vAlign w:val="center"/>
          </w:tcPr>
          <w:p w14:paraId="7A977ACC">
            <w:pPr>
              <w:rPr>
                <w:rFonts w:ascii="宋体" w:hAnsi="宋体" w:cs="宋体"/>
                <w:color w:val="auto"/>
                <w:szCs w:val="21"/>
                <w:highlight w:val="none"/>
              </w:rPr>
            </w:pPr>
          </w:p>
        </w:tc>
        <w:tc>
          <w:tcPr>
            <w:tcW w:w="1096" w:type="dxa"/>
            <w:gridSpan w:val="2"/>
            <w:vMerge w:val="continue"/>
            <w:vAlign w:val="center"/>
          </w:tcPr>
          <w:p w14:paraId="204EE1D7">
            <w:pPr>
              <w:widowControl/>
              <w:jc w:val="center"/>
              <w:rPr>
                <w:rFonts w:ascii="宋体" w:hAnsi="宋体" w:cs="宋体"/>
                <w:color w:val="auto"/>
                <w:kern w:val="0"/>
                <w:szCs w:val="21"/>
                <w:highlight w:val="none"/>
              </w:rPr>
            </w:pPr>
          </w:p>
        </w:tc>
        <w:tc>
          <w:tcPr>
            <w:tcW w:w="8076" w:type="dxa"/>
            <w:vAlign w:val="center"/>
          </w:tcPr>
          <w:p w14:paraId="0D3AC728">
            <w:pPr>
              <w:numPr>
                <w:ilvl w:val="0"/>
                <w:numId w:val="12"/>
              </w:numPr>
              <w:tabs>
                <w:tab w:val="left" w:pos="525"/>
                <w:tab w:val="left" w:pos="630"/>
              </w:tabs>
              <w:spacing w:line="360" w:lineRule="auto"/>
              <w:rPr>
                <w:rFonts w:ascii="宋体" w:hAnsi="宋体" w:cs="宋体"/>
                <w:bCs/>
                <w:color w:val="auto"/>
                <w:szCs w:val="21"/>
                <w:highlight w:val="none"/>
              </w:rPr>
            </w:pPr>
            <w:r>
              <w:rPr>
                <w:rFonts w:hint="eastAsia" w:ascii="宋体" w:hAnsi="宋体" w:cs="宋体"/>
                <w:bCs/>
                <w:color w:val="auto"/>
                <w:szCs w:val="21"/>
                <w:highlight w:val="none"/>
              </w:rPr>
              <w:t>支持医嘱文书联动功能，当医生开特检、特药医嘱时自动生成患者同意书，删除医嘱时自动删除对应的病历文书</w:t>
            </w:r>
          </w:p>
        </w:tc>
      </w:tr>
      <w:tr w14:paraId="6C832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67" w:type="dxa"/>
            <w:vMerge w:val="continue"/>
            <w:vAlign w:val="center"/>
          </w:tcPr>
          <w:p w14:paraId="77BCAE40">
            <w:pPr>
              <w:rPr>
                <w:rFonts w:ascii="宋体" w:hAnsi="宋体" w:cs="宋体"/>
                <w:color w:val="auto"/>
                <w:szCs w:val="21"/>
                <w:highlight w:val="none"/>
              </w:rPr>
            </w:pPr>
          </w:p>
        </w:tc>
        <w:tc>
          <w:tcPr>
            <w:tcW w:w="9172" w:type="dxa"/>
            <w:gridSpan w:val="3"/>
            <w:vAlign w:val="center"/>
          </w:tcPr>
          <w:p w14:paraId="1C75C13E">
            <w:pPr>
              <w:rPr>
                <w:rFonts w:ascii="宋体" w:hAnsi="宋体" w:cs="宋体"/>
                <w:color w:val="auto"/>
                <w:kern w:val="0"/>
                <w:szCs w:val="21"/>
                <w:highlight w:val="none"/>
              </w:rPr>
            </w:pPr>
            <w:r>
              <w:rPr>
                <w:rFonts w:hint="eastAsia"/>
                <w:color w:val="auto"/>
                <w:szCs w:val="21"/>
                <w:highlight w:val="none"/>
              </w:rPr>
              <w:t>病历权限管理</w:t>
            </w:r>
          </w:p>
        </w:tc>
      </w:tr>
      <w:tr w14:paraId="15977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67" w:type="dxa"/>
            <w:vMerge w:val="continue"/>
            <w:vAlign w:val="center"/>
          </w:tcPr>
          <w:p w14:paraId="7DB814C5">
            <w:pPr>
              <w:rPr>
                <w:rFonts w:ascii="宋体" w:hAnsi="宋体" w:cs="宋体"/>
                <w:color w:val="auto"/>
                <w:szCs w:val="21"/>
                <w:highlight w:val="none"/>
              </w:rPr>
            </w:pPr>
          </w:p>
        </w:tc>
        <w:tc>
          <w:tcPr>
            <w:tcW w:w="1096" w:type="dxa"/>
            <w:gridSpan w:val="2"/>
            <w:vMerge w:val="restart"/>
            <w:vAlign w:val="center"/>
          </w:tcPr>
          <w:p w14:paraId="1A01CDF8">
            <w:pPr>
              <w:widowControl/>
              <w:jc w:val="center"/>
              <w:rPr>
                <w:rFonts w:ascii="宋体" w:hAnsi="宋体" w:cs="宋体"/>
                <w:color w:val="auto"/>
                <w:kern w:val="0"/>
                <w:szCs w:val="21"/>
                <w:highlight w:val="none"/>
              </w:rPr>
            </w:pPr>
            <w:r>
              <w:rPr>
                <w:rFonts w:hint="eastAsia"/>
                <w:color w:val="auto"/>
                <w:szCs w:val="21"/>
                <w:highlight w:val="none"/>
              </w:rPr>
              <w:t>病历权限管理</w:t>
            </w:r>
          </w:p>
        </w:tc>
        <w:tc>
          <w:tcPr>
            <w:tcW w:w="8076" w:type="dxa"/>
            <w:vAlign w:val="center"/>
          </w:tcPr>
          <w:p w14:paraId="52475512">
            <w:pPr>
              <w:numPr>
                <w:ilvl w:val="0"/>
                <w:numId w:val="12"/>
              </w:numPr>
              <w:tabs>
                <w:tab w:val="left" w:pos="525"/>
                <w:tab w:val="left" w:pos="630"/>
              </w:tabs>
              <w:spacing w:line="360" w:lineRule="auto"/>
              <w:rPr>
                <w:rFonts w:ascii="宋体" w:hAnsi="宋体" w:cs="宋体"/>
                <w:bCs/>
                <w:color w:val="auto"/>
                <w:szCs w:val="21"/>
                <w:highlight w:val="none"/>
              </w:rPr>
            </w:pPr>
            <w:r>
              <w:rPr>
                <w:rFonts w:hint="eastAsia" w:ascii="宋体" w:hAnsi="宋体" w:cs="宋体"/>
                <w:bCs/>
                <w:color w:val="auto"/>
                <w:szCs w:val="21"/>
                <w:highlight w:val="none"/>
              </w:rPr>
              <w:t>支持病历文书操作权限的定义功能</w:t>
            </w:r>
            <w:r>
              <w:rPr>
                <w:rFonts w:hint="eastAsia" w:ascii="宋体" w:hAnsi="宋体" w:cs="宋体"/>
                <w:bCs/>
                <w:szCs w:val="21"/>
              </w:rPr>
              <w:t>和操作</w:t>
            </w:r>
            <w:r>
              <w:rPr>
                <w:rFonts w:ascii="宋体" w:hAnsi="宋体" w:cs="宋体"/>
                <w:bCs/>
                <w:szCs w:val="21"/>
              </w:rPr>
              <w:t>记录日志</w:t>
            </w:r>
          </w:p>
        </w:tc>
      </w:tr>
      <w:tr w14:paraId="2E391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67" w:type="dxa"/>
            <w:vMerge w:val="continue"/>
            <w:vAlign w:val="center"/>
          </w:tcPr>
          <w:p w14:paraId="6E2F09B1">
            <w:pPr>
              <w:rPr>
                <w:rFonts w:ascii="宋体" w:hAnsi="宋体" w:cs="宋体"/>
                <w:color w:val="auto"/>
                <w:szCs w:val="21"/>
                <w:highlight w:val="none"/>
              </w:rPr>
            </w:pPr>
          </w:p>
        </w:tc>
        <w:tc>
          <w:tcPr>
            <w:tcW w:w="1096" w:type="dxa"/>
            <w:gridSpan w:val="2"/>
            <w:vMerge w:val="continue"/>
            <w:vAlign w:val="center"/>
          </w:tcPr>
          <w:p w14:paraId="1D93B866">
            <w:pPr>
              <w:widowControl/>
              <w:jc w:val="center"/>
              <w:rPr>
                <w:rFonts w:ascii="宋体" w:hAnsi="宋体" w:cs="宋体"/>
                <w:color w:val="auto"/>
                <w:kern w:val="0"/>
                <w:szCs w:val="21"/>
                <w:highlight w:val="none"/>
              </w:rPr>
            </w:pPr>
          </w:p>
        </w:tc>
        <w:tc>
          <w:tcPr>
            <w:tcW w:w="8076" w:type="dxa"/>
            <w:vAlign w:val="center"/>
          </w:tcPr>
          <w:p w14:paraId="4715E683">
            <w:pPr>
              <w:numPr>
                <w:ilvl w:val="0"/>
                <w:numId w:val="12"/>
              </w:numPr>
              <w:tabs>
                <w:tab w:val="left" w:pos="525"/>
                <w:tab w:val="left" w:pos="630"/>
              </w:tabs>
              <w:spacing w:line="360" w:lineRule="auto"/>
              <w:rPr>
                <w:rFonts w:ascii="宋体" w:hAnsi="宋体" w:cs="宋体"/>
                <w:bCs/>
                <w:color w:val="auto"/>
                <w:szCs w:val="21"/>
                <w:highlight w:val="none"/>
              </w:rPr>
            </w:pPr>
            <w:r>
              <w:rPr>
                <w:rFonts w:hint="eastAsia" w:ascii="宋体" w:hAnsi="宋体" w:cs="宋体"/>
                <w:bCs/>
                <w:color w:val="auto"/>
                <w:szCs w:val="21"/>
                <w:highlight w:val="none"/>
              </w:rPr>
              <w:t>支持按照医疗角色划分为门诊医生、门诊护士、门诊办等</w:t>
            </w:r>
          </w:p>
        </w:tc>
      </w:tr>
      <w:tr w14:paraId="10F45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67" w:type="dxa"/>
            <w:vMerge w:val="continue"/>
            <w:vAlign w:val="center"/>
          </w:tcPr>
          <w:p w14:paraId="5F5C196A">
            <w:pPr>
              <w:rPr>
                <w:rFonts w:ascii="宋体" w:hAnsi="宋体" w:cs="宋体"/>
                <w:color w:val="auto"/>
                <w:szCs w:val="21"/>
                <w:highlight w:val="none"/>
              </w:rPr>
            </w:pPr>
          </w:p>
        </w:tc>
        <w:tc>
          <w:tcPr>
            <w:tcW w:w="1096" w:type="dxa"/>
            <w:gridSpan w:val="2"/>
            <w:vMerge w:val="continue"/>
            <w:vAlign w:val="center"/>
          </w:tcPr>
          <w:p w14:paraId="6B47D2EB">
            <w:pPr>
              <w:widowControl/>
              <w:jc w:val="center"/>
              <w:rPr>
                <w:rFonts w:ascii="宋体" w:hAnsi="宋体" w:cs="宋体"/>
                <w:color w:val="auto"/>
                <w:kern w:val="0"/>
                <w:szCs w:val="21"/>
                <w:highlight w:val="none"/>
              </w:rPr>
            </w:pPr>
          </w:p>
        </w:tc>
        <w:tc>
          <w:tcPr>
            <w:tcW w:w="8076" w:type="dxa"/>
            <w:vAlign w:val="center"/>
          </w:tcPr>
          <w:p w14:paraId="3D73724A">
            <w:pPr>
              <w:numPr>
                <w:ilvl w:val="0"/>
                <w:numId w:val="12"/>
              </w:numPr>
              <w:tabs>
                <w:tab w:val="left" w:pos="525"/>
                <w:tab w:val="left" w:pos="630"/>
              </w:tabs>
              <w:spacing w:line="360" w:lineRule="auto"/>
              <w:rPr>
                <w:rFonts w:ascii="宋体" w:hAnsi="宋体" w:cs="宋体"/>
                <w:bCs/>
                <w:color w:val="auto"/>
                <w:szCs w:val="21"/>
                <w:highlight w:val="none"/>
              </w:rPr>
            </w:pPr>
            <w:r>
              <w:rPr>
                <w:rFonts w:hint="eastAsia" w:ascii="宋体" w:hAnsi="宋体" w:cs="宋体"/>
                <w:bCs/>
                <w:color w:val="auto"/>
                <w:szCs w:val="21"/>
                <w:highlight w:val="none"/>
              </w:rPr>
              <w:t>支持授权不同角色门诊病历的书写、查看、打印、导出等权限</w:t>
            </w:r>
          </w:p>
        </w:tc>
      </w:tr>
      <w:tr w14:paraId="43C3E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67" w:type="dxa"/>
            <w:vMerge w:val="continue"/>
            <w:vAlign w:val="center"/>
          </w:tcPr>
          <w:p w14:paraId="07C24E79">
            <w:pPr>
              <w:rPr>
                <w:rFonts w:ascii="宋体" w:hAnsi="宋体" w:cs="宋体"/>
                <w:color w:val="auto"/>
                <w:szCs w:val="21"/>
                <w:highlight w:val="none"/>
              </w:rPr>
            </w:pPr>
          </w:p>
        </w:tc>
        <w:tc>
          <w:tcPr>
            <w:tcW w:w="9172" w:type="dxa"/>
            <w:gridSpan w:val="3"/>
            <w:vAlign w:val="center"/>
          </w:tcPr>
          <w:p w14:paraId="44491BFF">
            <w:pPr>
              <w:rPr>
                <w:rFonts w:ascii="宋体" w:hAnsi="宋体" w:cs="宋体"/>
                <w:color w:val="auto"/>
                <w:kern w:val="0"/>
                <w:szCs w:val="21"/>
                <w:highlight w:val="none"/>
              </w:rPr>
            </w:pPr>
            <w:r>
              <w:rPr>
                <w:rFonts w:hint="eastAsia"/>
                <w:color w:val="auto"/>
                <w:szCs w:val="21"/>
                <w:highlight w:val="none"/>
              </w:rPr>
              <w:t>门诊病历书写</w:t>
            </w:r>
          </w:p>
        </w:tc>
      </w:tr>
      <w:tr w14:paraId="4326D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867" w:type="dxa"/>
            <w:vMerge w:val="continue"/>
            <w:vAlign w:val="center"/>
          </w:tcPr>
          <w:p w14:paraId="4E80648D">
            <w:pPr>
              <w:rPr>
                <w:rFonts w:ascii="宋体" w:hAnsi="宋体" w:cs="宋体"/>
                <w:color w:val="auto"/>
                <w:szCs w:val="21"/>
                <w:highlight w:val="none"/>
              </w:rPr>
            </w:pPr>
          </w:p>
        </w:tc>
        <w:tc>
          <w:tcPr>
            <w:tcW w:w="1096" w:type="dxa"/>
            <w:gridSpan w:val="2"/>
            <w:vMerge w:val="restart"/>
            <w:vAlign w:val="center"/>
          </w:tcPr>
          <w:p w14:paraId="2E9E4300">
            <w:pPr>
              <w:widowControl/>
              <w:jc w:val="center"/>
              <w:rPr>
                <w:rFonts w:ascii="宋体" w:hAnsi="宋体" w:cs="宋体"/>
                <w:color w:val="auto"/>
                <w:kern w:val="0"/>
                <w:szCs w:val="21"/>
                <w:highlight w:val="none"/>
              </w:rPr>
            </w:pPr>
            <w:r>
              <w:rPr>
                <w:rFonts w:hint="eastAsia"/>
                <w:color w:val="auto"/>
                <w:szCs w:val="21"/>
                <w:highlight w:val="none"/>
              </w:rPr>
              <w:t>门诊病历书写</w:t>
            </w:r>
          </w:p>
        </w:tc>
        <w:tc>
          <w:tcPr>
            <w:tcW w:w="8076" w:type="dxa"/>
            <w:vAlign w:val="center"/>
          </w:tcPr>
          <w:p w14:paraId="087D1F4F">
            <w:pPr>
              <w:numPr>
                <w:ilvl w:val="0"/>
                <w:numId w:val="12"/>
              </w:numPr>
              <w:tabs>
                <w:tab w:val="left" w:pos="525"/>
                <w:tab w:val="left" w:pos="630"/>
              </w:tabs>
              <w:spacing w:line="360" w:lineRule="auto"/>
              <w:rPr>
                <w:rFonts w:ascii="宋体" w:hAnsi="宋体" w:cs="宋体"/>
                <w:bCs/>
                <w:color w:val="auto"/>
                <w:szCs w:val="21"/>
                <w:highlight w:val="none"/>
              </w:rPr>
            </w:pPr>
            <w:r>
              <w:rPr>
                <w:rFonts w:hint="eastAsia" w:ascii="宋体" w:hAnsi="宋体" w:cs="宋体"/>
                <w:bCs/>
                <w:color w:val="auto"/>
                <w:szCs w:val="21"/>
                <w:highlight w:val="none"/>
              </w:rPr>
              <w:t>支持自动选择科室默认模板，也支持自行选择任一模板进行病历书写。同时支持选择患者历史文书创建新病历；</w:t>
            </w:r>
          </w:p>
        </w:tc>
      </w:tr>
      <w:tr w14:paraId="44C8E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867" w:type="dxa"/>
            <w:vMerge w:val="continue"/>
            <w:vAlign w:val="center"/>
          </w:tcPr>
          <w:p w14:paraId="443AD644">
            <w:pPr>
              <w:rPr>
                <w:rFonts w:ascii="宋体" w:hAnsi="宋体" w:cs="宋体"/>
                <w:color w:val="auto"/>
                <w:szCs w:val="21"/>
                <w:highlight w:val="none"/>
              </w:rPr>
            </w:pPr>
          </w:p>
        </w:tc>
        <w:tc>
          <w:tcPr>
            <w:tcW w:w="1096" w:type="dxa"/>
            <w:gridSpan w:val="2"/>
            <w:vMerge w:val="continue"/>
            <w:vAlign w:val="center"/>
          </w:tcPr>
          <w:p w14:paraId="203AD85B">
            <w:pPr>
              <w:widowControl/>
              <w:jc w:val="center"/>
              <w:rPr>
                <w:rFonts w:ascii="宋体" w:hAnsi="宋体" w:cs="宋体"/>
                <w:color w:val="auto"/>
                <w:kern w:val="0"/>
                <w:szCs w:val="21"/>
                <w:highlight w:val="none"/>
              </w:rPr>
            </w:pPr>
          </w:p>
        </w:tc>
        <w:tc>
          <w:tcPr>
            <w:tcW w:w="8076" w:type="dxa"/>
            <w:vAlign w:val="center"/>
          </w:tcPr>
          <w:p w14:paraId="0C8AD2E2">
            <w:pPr>
              <w:numPr>
                <w:ilvl w:val="0"/>
                <w:numId w:val="12"/>
              </w:numPr>
              <w:tabs>
                <w:tab w:val="left" w:pos="525"/>
                <w:tab w:val="left" w:pos="630"/>
              </w:tabs>
              <w:spacing w:line="360" w:lineRule="auto"/>
              <w:rPr>
                <w:rFonts w:ascii="宋体" w:hAnsi="宋体" w:cs="宋体"/>
                <w:bCs/>
                <w:color w:val="auto"/>
                <w:szCs w:val="21"/>
                <w:highlight w:val="none"/>
              </w:rPr>
            </w:pPr>
            <w:r>
              <w:rPr>
                <w:rFonts w:hint="eastAsia" w:ascii="宋体" w:hAnsi="宋体" w:cs="宋体"/>
                <w:bCs/>
                <w:color w:val="auto"/>
                <w:szCs w:val="21"/>
                <w:highlight w:val="none"/>
              </w:rPr>
              <w:t>提供类WORD书写界面风格、结构化书写、所见即所得。支持文本元素、日期元素、单选元素、多选元素等多种结构化书写格式，支持病历书写时元素的快速跳转；</w:t>
            </w:r>
          </w:p>
        </w:tc>
      </w:tr>
      <w:tr w14:paraId="7AD2E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867" w:type="dxa"/>
            <w:vMerge w:val="continue"/>
            <w:vAlign w:val="center"/>
          </w:tcPr>
          <w:p w14:paraId="6A76D919">
            <w:pPr>
              <w:rPr>
                <w:rFonts w:ascii="宋体" w:hAnsi="宋体" w:cs="宋体"/>
                <w:color w:val="auto"/>
                <w:szCs w:val="21"/>
                <w:highlight w:val="none"/>
              </w:rPr>
            </w:pPr>
          </w:p>
        </w:tc>
        <w:tc>
          <w:tcPr>
            <w:tcW w:w="1096" w:type="dxa"/>
            <w:gridSpan w:val="2"/>
            <w:vMerge w:val="continue"/>
            <w:vAlign w:val="center"/>
          </w:tcPr>
          <w:p w14:paraId="6C737809">
            <w:pPr>
              <w:widowControl/>
              <w:jc w:val="center"/>
              <w:rPr>
                <w:rFonts w:ascii="宋体" w:hAnsi="宋体" w:cs="宋体"/>
                <w:color w:val="auto"/>
                <w:kern w:val="0"/>
                <w:szCs w:val="21"/>
                <w:highlight w:val="none"/>
              </w:rPr>
            </w:pPr>
          </w:p>
        </w:tc>
        <w:tc>
          <w:tcPr>
            <w:tcW w:w="8076" w:type="dxa"/>
            <w:vAlign w:val="center"/>
          </w:tcPr>
          <w:p w14:paraId="24D0D6F3">
            <w:pPr>
              <w:numPr>
                <w:ilvl w:val="0"/>
                <w:numId w:val="12"/>
              </w:numPr>
              <w:tabs>
                <w:tab w:val="left" w:pos="525"/>
                <w:tab w:val="left" w:pos="630"/>
              </w:tabs>
              <w:spacing w:line="360" w:lineRule="auto"/>
              <w:rPr>
                <w:rFonts w:ascii="宋体" w:hAnsi="宋体" w:cs="宋体"/>
                <w:bCs/>
                <w:color w:val="auto"/>
                <w:szCs w:val="21"/>
                <w:highlight w:val="none"/>
              </w:rPr>
            </w:pPr>
            <w:r>
              <w:rPr>
                <w:rFonts w:hint="eastAsia" w:ascii="宋体" w:hAnsi="宋体" w:cs="宋体"/>
                <w:bCs/>
                <w:color w:val="auto"/>
                <w:szCs w:val="21"/>
                <w:highlight w:val="none"/>
              </w:rPr>
              <w:t>提供患者个人信息、门诊医嘱、检查申请、检验申请的自动引用功能，同时支持手动刷新；</w:t>
            </w:r>
          </w:p>
        </w:tc>
      </w:tr>
      <w:tr w14:paraId="2696B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867" w:type="dxa"/>
            <w:vMerge w:val="continue"/>
            <w:vAlign w:val="center"/>
          </w:tcPr>
          <w:p w14:paraId="0913EC75">
            <w:pPr>
              <w:rPr>
                <w:rFonts w:ascii="宋体" w:hAnsi="宋体" w:cs="宋体"/>
                <w:color w:val="auto"/>
                <w:szCs w:val="21"/>
                <w:highlight w:val="none"/>
              </w:rPr>
            </w:pPr>
          </w:p>
        </w:tc>
        <w:tc>
          <w:tcPr>
            <w:tcW w:w="1096" w:type="dxa"/>
            <w:gridSpan w:val="2"/>
            <w:vMerge w:val="continue"/>
            <w:vAlign w:val="center"/>
          </w:tcPr>
          <w:p w14:paraId="5C62FD13">
            <w:pPr>
              <w:widowControl/>
              <w:jc w:val="center"/>
              <w:rPr>
                <w:rFonts w:ascii="宋体" w:hAnsi="宋体" w:cs="宋体"/>
                <w:color w:val="auto"/>
                <w:kern w:val="0"/>
                <w:szCs w:val="21"/>
                <w:highlight w:val="none"/>
              </w:rPr>
            </w:pPr>
          </w:p>
        </w:tc>
        <w:tc>
          <w:tcPr>
            <w:tcW w:w="8076" w:type="dxa"/>
            <w:vAlign w:val="center"/>
          </w:tcPr>
          <w:p w14:paraId="5C93A10F">
            <w:pPr>
              <w:numPr>
                <w:ilvl w:val="0"/>
                <w:numId w:val="12"/>
              </w:numPr>
              <w:tabs>
                <w:tab w:val="left" w:pos="525"/>
                <w:tab w:val="left" w:pos="630"/>
              </w:tabs>
              <w:spacing w:line="360" w:lineRule="auto"/>
              <w:rPr>
                <w:rFonts w:ascii="宋体" w:hAnsi="宋体" w:cs="宋体"/>
                <w:bCs/>
                <w:color w:val="auto"/>
                <w:szCs w:val="21"/>
                <w:highlight w:val="none"/>
              </w:rPr>
            </w:pPr>
            <w:r>
              <w:rPr>
                <w:rFonts w:hint="eastAsia" w:ascii="宋体" w:hAnsi="宋体" w:cs="宋体"/>
                <w:bCs/>
                <w:color w:val="auto"/>
                <w:szCs w:val="21"/>
                <w:highlight w:val="none"/>
              </w:rPr>
              <w:t>支持医生在病历书写时，对个人常用语、常用模板进行收藏和使用的功能，便于同一病种病历的高效书写；</w:t>
            </w:r>
          </w:p>
        </w:tc>
      </w:tr>
      <w:tr w14:paraId="25E61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67" w:type="dxa"/>
            <w:vMerge w:val="continue"/>
            <w:vAlign w:val="center"/>
          </w:tcPr>
          <w:p w14:paraId="7DFE794A">
            <w:pPr>
              <w:rPr>
                <w:rFonts w:ascii="宋体" w:hAnsi="宋体" w:cs="宋体"/>
                <w:color w:val="auto"/>
                <w:szCs w:val="21"/>
                <w:highlight w:val="none"/>
              </w:rPr>
            </w:pPr>
          </w:p>
        </w:tc>
        <w:tc>
          <w:tcPr>
            <w:tcW w:w="1096" w:type="dxa"/>
            <w:gridSpan w:val="2"/>
            <w:vMerge w:val="continue"/>
            <w:vAlign w:val="center"/>
          </w:tcPr>
          <w:p w14:paraId="267FF4B6">
            <w:pPr>
              <w:widowControl/>
              <w:jc w:val="center"/>
              <w:rPr>
                <w:rFonts w:ascii="宋体" w:hAnsi="宋体" w:cs="宋体"/>
                <w:color w:val="auto"/>
                <w:kern w:val="0"/>
                <w:szCs w:val="21"/>
                <w:highlight w:val="none"/>
              </w:rPr>
            </w:pPr>
          </w:p>
        </w:tc>
        <w:tc>
          <w:tcPr>
            <w:tcW w:w="8076" w:type="dxa"/>
            <w:vAlign w:val="center"/>
          </w:tcPr>
          <w:p w14:paraId="15DBA217">
            <w:pPr>
              <w:numPr>
                <w:ilvl w:val="0"/>
                <w:numId w:val="12"/>
              </w:numPr>
              <w:tabs>
                <w:tab w:val="left" w:pos="525"/>
                <w:tab w:val="left" w:pos="630"/>
              </w:tabs>
              <w:spacing w:line="360" w:lineRule="auto"/>
              <w:rPr>
                <w:rFonts w:ascii="宋体" w:hAnsi="宋体" w:cs="宋体"/>
                <w:bCs/>
                <w:color w:val="auto"/>
                <w:szCs w:val="21"/>
                <w:highlight w:val="none"/>
              </w:rPr>
            </w:pPr>
            <w:r>
              <w:rPr>
                <w:rFonts w:hint="eastAsia" w:ascii="宋体" w:hAnsi="宋体" w:cs="宋体"/>
                <w:bCs/>
                <w:color w:val="auto"/>
                <w:szCs w:val="21"/>
                <w:highlight w:val="none"/>
              </w:rPr>
              <w:t>支持病历章节收缩功能。允许医生将不重要的章节内容收起，方便聚焦关键内容；</w:t>
            </w:r>
          </w:p>
        </w:tc>
      </w:tr>
      <w:tr w14:paraId="0EB02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867" w:type="dxa"/>
            <w:vMerge w:val="continue"/>
            <w:vAlign w:val="center"/>
          </w:tcPr>
          <w:p w14:paraId="078552A9">
            <w:pPr>
              <w:rPr>
                <w:rFonts w:ascii="宋体" w:hAnsi="宋体" w:cs="宋体"/>
                <w:color w:val="auto"/>
                <w:szCs w:val="21"/>
                <w:highlight w:val="none"/>
              </w:rPr>
            </w:pPr>
          </w:p>
        </w:tc>
        <w:tc>
          <w:tcPr>
            <w:tcW w:w="1096" w:type="dxa"/>
            <w:gridSpan w:val="2"/>
            <w:vMerge w:val="continue"/>
            <w:vAlign w:val="center"/>
          </w:tcPr>
          <w:p w14:paraId="20C0DBBD">
            <w:pPr>
              <w:widowControl/>
              <w:jc w:val="center"/>
              <w:rPr>
                <w:rFonts w:ascii="宋体" w:hAnsi="宋体" w:cs="宋体"/>
                <w:color w:val="auto"/>
                <w:kern w:val="0"/>
                <w:szCs w:val="21"/>
                <w:highlight w:val="none"/>
              </w:rPr>
            </w:pPr>
          </w:p>
        </w:tc>
        <w:tc>
          <w:tcPr>
            <w:tcW w:w="8076" w:type="dxa"/>
            <w:vAlign w:val="center"/>
          </w:tcPr>
          <w:p w14:paraId="21BA99EF">
            <w:pPr>
              <w:numPr>
                <w:ilvl w:val="0"/>
                <w:numId w:val="12"/>
              </w:numPr>
              <w:tabs>
                <w:tab w:val="left" w:pos="525"/>
                <w:tab w:val="left" w:pos="630"/>
              </w:tabs>
              <w:spacing w:line="360" w:lineRule="auto"/>
              <w:rPr>
                <w:rFonts w:ascii="宋体" w:hAnsi="宋体" w:cs="宋体"/>
                <w:bCs/>
                <w:color w:val="auto"/>
                <w:szCs w:val="21"/>
                <w:highlight w:val="none"/>
              </w:rPr>
            </w:pPr>
            <w:r>
              <w:rPr>
                <w:rFonts w:hint="eastAsia" w:ascii="宋体" w:hAnsi="宋体" w:cs="宋体"/>
                <w:bCs/>
                <w:color w:val="auto"/>
                <w:szCs w:val="21"/>
                <w:highlight w:val="none"/>
              </w:rPr>
              <w:t>支持门诊病历续写功能。比如上午A医生接诊病人，下午同科B医生接诊，可以在A医生病历后面续写内容，并与A医生的病历形成一份完整的病历。续写病历与主病历一起显示、一起打印；</w:t>
            </w:r>
          </w:p>
        </w:tc>
      </w:tr>
      <w:tr w14:paraId="76F87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867" w:type="dxa"/>
            <w:vMerge w:val="continue"/>
            <w:vAlign w:val="center"/>
          </w:tcPr>
          <w:p w14:paraId="1725F55C">
            <w:pPr>
              <w:rPr>
                <w:rFonts w:ascii="宋体" w:hAnsi="宋体" w:cs="宋体"/>
                <w:color w:val="auto"/>
                <w:szCs w:val="21"/>
                <w:highlight w:val="none"/>
              </w:rPr>
            </w:pPr>
          </w:p>
        </w:tc>
        <w:tc>
          <w:tcPr>
            <w:tcW w:w="1096" w:type="dxa"/>
            <w:gridSpan w:val="2"/>
            <w:vMerge w:val="continue"/>
            <w:vAlign w:val="center"/>
          </w:tcPr>
          <w:p w14:paraId="26428A43">
            <w:pPr>
              <w:widowControl/>
              <w:jc w:val="center"/>
              <w:rPr>
                <w:rFonts w:ascii="宋体" w:hAnsi="宋体" w:cs="宋体"/>
                <w:color w:val="auto"/>
                <w:kern w:val="0"/>
                <w:szCs w:val="21"/>
                <w:highlight w:val="none"/>
              </w:rPr>
            </w:pPr>
          </w:p>
        </w:tc>
        <w:tc>
          <w:tcPr>
            <w:tcW w:w="8076" w:type="dxa"/>
            <w:vAlign w:val="center"/>
          </w:tcPr>
          <w:p w14:paraId="7B7B2283">
            <w:pPr>
              <w:numPr>
                <w:ilvl w:val="0"/>
                <w:numId w:val="12"/>
              </w:numPr>
              <w:tabs>
                <w:tab w:val="left" w:pos="525"/>
                <w:tab w:val="left" w:pos="630"/>
              </w:tabs>
              <w:spacing w:line="360" w:lineRule="auto"/>
              <w:rPr>
                <w:rFonts w:ascii="宋体" w:hAnsi="宋体" w:cs="宋体"/>
                <w:bCs/>
                <w:color w:val="auto"/>
                <w:szCs w:val="21"/>
                <w:highlight w:val="none"/>
              </w:rPr>
            </w:pPr>
            <w:r>
              <w:rPr>
                <w:rFonts w:hint="eastAsia" w:ascii="宋体" w:hAnsi="宋体" w:cs="宋体"/>
                <w:bCs/>
                <w:color w:val="auto"/>
                <w:szCs w:val="21"/>
                <w:highlight w:val="none"/>
              </w:rPr>
              <w:t>支持跨院区的信息共享和引用。比如患者的历史病历、检查报告、检验报告等</w:t>
            </w:r>
          </w:p>
          <w:p w14:paraId="61BEFCE3">
            <w:pPr>
              <w:numPr>
                <w:ilvl w:val="0"/>
                <w:numId w:val="12"/>
              </w:numPr>
              <w:tabs>
                <w:tab w:val="left" w:pos="525"/>
                <w:tab w:val="left" w:pos="630"/>
              </w:tabs>
              <w:spacing w:line="360" w:lineRule="auto"/>
              <w:rPr>
                <w:rFonts w:ascii="宋体" w:hAnsi="宋体" w:cs="宋体"/>
                <w:bCs/>
                <w:color w:val="auto"/>
                <w:szCs w:val="21"/>
                <w:highlight w:val="none"/>
              </w:rPr>
            </w:pPr>
            <w:r>
              <w:rPr>
                <w:rFonts w:hint="eastAsia" w:ascii="宋体" w:hAnsi="宋体" w:cs="宋体"/>
                <w:bCs/>
                <w:color w:val="auto"/>
                <w:szCs w:val="21"/>
                <w:highlight w:val="none"/>
              </w:rPr>
              <w:t>病历书写必须包含食品过敏记录，食品过敏记录需传给审方系统用于营养类药品医嘱的审查与提示。</w:t>
            </w:r>
          </w:p>
        </w:tc>
      </w:tr>
      <w:tr w14:paraId="46E2C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jc w:val="center"/>
        </w:trPr>
        <w:tc>
          <w:tcPr>
            <w:tcW w:w="867" w:type="dxa"/>
            <w:vMerge w:val="continue"/>
            <w:vAlign w:val="center"/>
          </w:tcPr>
          <w:p w14:paraId="36A7D218">
            <w:pPr>
              <w:rPr>
                <w:rFonts w:ascii="宋体" w:hAnsi="宋体" w:cs="宋体"/>
                <w:color w:val="auto"/>
                <w:szCs w:val="21"/>
                <w:highlight w:val="none"/>
              </w:rPr>
            </w:pPr>
          </w:p>
        </w:tc>
        <w:tc>
          <w:tcPr>
            <w:tcW w:w="1096" w:type="dxa"/>
            <w:gridSpan w:val="2"/>
            <w:vMerge w:val="continue"/>
            <w:vAlign w:val="center"/>
          </w:tcPr>
          <w:p w14:paraId="6E0E701F">
            <w:pPr>
              <w:widowControl/>
              <w:jc w:val="center"/>
              <w:rPr>
                <w:rFonts w:ascii="宋体" w:hAnsi="宋体" w:cs="宋体"/>
                <w:color w:val="auto"/>
                <w:kern w:val="0"/>
                <w:szCs w:val="21"/>
                <w:highlight w:val="none"/>
              </w:rPr>
            </w:pPr>
          </w:p>
        </w:tc>
        <w:tc>
          <w:tcPr>
            <w:tcW w:w="8076" w:type="dxa"/>
            <w:vAlign w:val="center"/>
          </w:tcPr>
          <w:p w14:paraId="19A2FB6A">
            <w:pPr>
              <w:numPr>
                <w:ilvl w:val="0"/>
                <w:numId w:val="12"/>
              </w:numPr>
              <w:tabs>
                <w:tab w:val="left" w:pos="525"/>
                <w:tab w:val="left" w:pos="630"/>
              </w:tabs>
              <w:spacing w:line="360" w:lineRule="auto"/>
              <w:rPr>
                <w:rFonts w:ascii="宋体" w:hAnsi="宋体" w:cs="宋体"/>
                <w:bCs/>
                <w:color w:val="auto"/>
                <w:szCs w:val="21"/>
                <w:highlight w:val="none"/>
              </w:rPr>
            </w:pPr>
            <w:r>
              <w:rPr>
                <w:rFonts w:hint="eastAsia" w:ascii="宋体" w:hAnsi="宋体" w:cs="宋体"/>
                <w:bCs/>
                <w:color w:val="auto"/>
                <w:szCs w:val="21"/>
                <w:highlight w:val="none"/>
              </w:rPr>
              <w:t>增加药学门诊药历书写界面，支持自行选择通用、妊娠期哺乳期、咳喘模板进行门诊药历书写，可对模板中的内容进行编辑、保存和打印，其中患者基本信息、临床诊断、过敏史、药物不良反应史、检验检查结果、药品处方支持从系统引用，无需人工填写。</w:t>
            </w:r>
          </w:p>
          <w:p w14:paraId="736EF3D9">
            <w:pPr>
              <w:numPr>
                <w:ilvl w:val="0"/>
                <w:numId w:val="12"/>
              </w:numPr>
              <w:tabs>
                <w:tab w:val="left" w:pos="525"/>
                <w:tab w:val="left" w:pos="630"/>
              </w:tabs>
              <w:spacing w:line="360" w:lineRule="auto"/>
              <w:rPr>
                <w:rFonts w:ascii="宋体" w:hAnsi="宋体" w:cs="宋体"/>
                <w:bCs/>
                <w:color w:val="auto"/>
                <w:szCs w:val="21"/>
                <w:highlight w:val="none"/>
              </w:rPr>
            </w:pPr>
            <w:r>
              <w:rPr>
                <w:rFonts w:hint="eastAsia" w:ascii="宋体" w:hAnsi="宋体" w:cs="宋体"/>
                <w:bCs/>
                <w:color w:val="auto"/>
                <w:szCs w:val="21"/>
                <w:highlight w:val="none"/>
              </w:rPr>
              <w:t>支持在门诊药历书写界面同屏查看、引用患者门诊、住院期间的病历、药品处方、检验检查、病理、微生物报告、过敏史、药品不良反应记录等。</w:t>
            </w:r>
          </w:p>
        </w:tc>
      </w:tr>
      <w:tr w14:paraId="3F9F6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67" w:type="dxa"/>
            <w:vMerge w:val="continue"/>
            <w:vAlign w:val="center"/>
          </w:tcPr>
          <w:p w14:paraId="5FA628CE">
            <w:pPr>
              <w:rPr>
                <w:rFonts w:ascii="宋体" w:hAnsi="宋体" w:cs="宋体"/>
                <w:color w:val="auto"/>
                <w:szCs w:val="21"/>
                <w:highlight w:val="none"/>
              </w:rPr>
            </w:pPr>
          </w:p>
        </w:tc>
        <w:tc>
          <w:tcPr>
            <w:tcW w:w="9172" w:type="dxa"/>
            <w:gridSpan w:val="3"/>
            <w:vAlign w:val="center"/>
          </w:tcPr>
          <w:p w14:paraId="22AF716F">
            <w:pPr>
              <w:rPr>
                <w:rFonts w:ascii="宋体" w:hAnsi="宋体" w:cs="宋体"/>
                <w:color w:val="auto"/>
                <w:kern w:val="0"/>
                <w:szCs w:val="21"/>
                <w:highlight w:val="none"/>
              </w:rPr>
            </w:pPr>
            <w:r>
              <w:rPr>
                <w:rFonts w:hint="eastAsia"/>
                <w:color w:val="auto"/>
                <w:szCs w:val="21"/>
                <w:highlight w:val="none"/>
              </w:rPr>
              <w:t>病历书写助手</w:t>
            </w:r>
          </w:p>
        </w:tc>
      </w:tr>
      <w:tr w14:paraId="47C96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867" w:type="dxa"/>
            <w:vMerge w:val="continue"/>
            <w:vAlign w:val="center"/>
          </w:tcPr>
          <w:p w14:paraId="61C07715">
            <w:pPr>
              <w:rPr>
                <w:rFonts w:ascii="宋体" w:hAnsi="宋体" w:cs="宋体"/>
                <w:color w:val="auto"/>
                <w:szCs w:val="21"/>
                <w:highlight w:val="none"/>
              </w:rPr>
            </w:pPr>
          </w:p>
        </w:tc>
        <w:tc>
          <w:tcPr>
            <w:tcW w:w="1096" w:type="dxa"/>
            <w:gridSpan w:val="2"/>
            <w:vMerge w:val="restart"/>
            <w:vAlign w:val="center"/>
          </w:tcPr>
          <w:p w14:paraId="2FA53FCA">
            <w:pPr>
              <w:numPr>
                <w:ilvl w:val="-1"/>
                <w:numId w:val="0"/>
              </w:numPr>
              <w:tabs>
                <w:tab w:val="left" w:pos="525"/>
                <w:tab w:val="left" w:pos="630"/>
              </w:tabs>
              <w:spacing w:line="360" w:lineRule="auto"/>
              <w:ind w:left="0" w:firstLine="0"/>
              <w:rPr>
                <w:rFonts w:ascii="宋体" w:hAnsi="宋体" w:cs="宋体"/>
                <w:bCs/>
                <w:color w:val="auto"/>
                <w:szCs w:val="21"/>
                <w:highlight w:val="none"/>
              </w:rPr>
            </w:pPr>
            <w:r>
              <w:rPr>
                <w:rFonts w:hint="eastAsia" w:ascii="宋体" w:hAnsi="宋体" w:cs="宋体"/>
                <w:bCs/>
                <w:color w:val="auto"/>
                <w:szCs w:val="21"/>
                <w:highlight w:val="none"/>
              </w:rPr>
              <w:t>病历书写助手</w:t>
            </w:r>
          </w:p>
        </w:tc>
        <w:tc>
          <w:tcPr>
            <w:tcW w:w="8076" w:type="dxa"/>
            <w:vAlign w:val="center"/>
          </w:tcPr>
          <w:p w14:paraId="718CF615">
            <w:pPr>
              <w:numPr>
                <w:ilvl w:val="0"/>
                <w:numId w:val="12"/>
              </w:numPr>
              <w:tabs>
                <w:tab w:val="left" w:pos="525"/>
                <w:tab w:val="left" w:pos="630"/>
              </w:tabs>
              <w:spacing w:line="360" w:lineRule="auto"/>
              <w:rPr>
                <w:rFonts w:ascii="宋体" w:hAnsi="宋体" w:cs="宋体"/>
                <w:bCs/>
                <w:color w:val="auto"/>
                <w:szCs w:val="21"/>
                <w:highlight w:val="none"/>
              </w:rPr>
            </w:pPr>
            <w:r>
              <w:rPr>
                <w:rFonts w:hint="eastAsia" w:ascii="宋体" w:hAnsi="宋体" w:cs="宋体"/>
                <w:bCs/>
                <w:color w:val="auto"/>
                <w:szCs w:val="21"/>
                <w:highlight w:val="none"/>
              </w:rPr>
              <w:t>支持同屏查看和引用检查报告、检验报告、病理报告、微生物报告等内容，数据范围包括既往门诊和住院就诊。检验报告的异常值有明显的颜色区分；</w:t>
            </w:r>
          </w:p>
        </w:tc>
      </w:tr>
      <w:tr w14:paraId="0AF1D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0" w:hRule="atLeast"/>
          <w:jc w:val="center"/>
        </w:trPr>
        <w:tc>
          <w:tcPr>
            <w:tcW w:w="867" w:type="dxa"/>
            <w:vMerge w:val="continue"/>
            <w:vAlign w:val="center"/>
          </w:tcPr>
          <w:p w14:paraId="15275E58">
            <w:pPr>
              <w:rPr>
                <w:rFonts w:ascii="宋体" w:hAnsi="宋体" w:cs="宋体"/>
                <w:color w:val="auto"/>
                <w:szCs w:val="21"/>
                <w:highlight w:val="none"/>
              </w:rPr>
            </w:pPr>
          </w:p>
        </w:tc>
        <w:tc>
          <w:tcPr>
            <w:tcW w:w="1096" w:type="dxa"/>
            <w:gridSpan w:val="2"/>
            <w:vMerge w:val="continue"/>
            <w:vAlign w:val="center"/>
          </w:tcPr>
          <w:p w14:paraId="225B0DDE">
            <w:pPr>
              <w:numPr>
                <w:ilvl w:val="0"/>
                <w:numId w:val="12"/>
              </w:numPr>
              <w:tabs>
                <w:tab w:val="left" w:pos="525"/>
                <w:tab w:val="left" w:pos="630"/>
              </w:tabs>
              <w:spacing w:line="360" w:lineRule="auto"/>
              <w:rPr>
                <w:rFonts w:ascii="宋体" w:hAnsi="宋体" w:cs="宋体"/>
                <w:bCs/>
                <w:color w:val="auto"/>
                <w:szCs w:val="21"/>
                <w:highlight w:val="none"/>
              </w:rPr>
            </w:pPr>
          </w:p>
        </w:tc>
        <w:tc>
          <w:tcPr>
            <w:tcW w:w="8076" w:type="dxa"/>
            <w:vAlign w:val="center"/>
          </w:tcPr>
          <w:p w14:paraId="1A2FC475">
            <w:pPr>
              <w:numPr>
                <w:ilvl w:val="0"/>
                <w:numId w:val="12"/>
              </w:numPr>
              <w:tabs>
                <w:tab w:val="left" w:pos="525"/>
                <w:tab w:val="left" w:pos="630"/>
              </w:tabs>
              <w:spacing w:line="360" w:lineRule="auto"/>
              <w:rPr>
                <w:rFonts w:ascii="宋体" w:hAnsi="宋体" w:cs="宋体"/>
                <w:bCs/>
                <w:color w:val="auto"/>
                <w:szCs w:val="21"/>
                <w:highlight w:val="none"/>
              </w:rPr>
            </w:pPr>
            <w:r>
              <w:rPr>
                <w:rFonts w:hint="eastAsia" w:ascii="宋体" w:hAnsi="宋体" w:cs="宋体"/>
                <w:bCs/>
                <w:color w:val="auto"/>
                <w:szCs w:val="21"/>
                <w:highlight w:val="none"/>
              </w:rPr>
              <w:t>支持病历常用语引用。包括通用引用、按章节引用、按元素引用三种模式。通用引用模式下医生可以选择一个或者多个常用语引入到病历，按章节引用模式下只能选择该章节的常用语进行引用，按元素引用模式下需要精准筛选出当前元素的常用语进行引用；</w:t>
            </w:r>
          </w:p>
          <w:p w14:paraId="359088EF">
            <w:pPr>
              <w:numPr>
                <w:ilvl w:val="0"/>
                <w:numId w:val="12"/>
              </w:numPr>
              <w:tabs>
                <w:tab w:val="left" w:pos="525"/>
                <w:tab w:val="left" w:pos="630"/>
              </w:tabs>
              <w:spacing w:line="360" w:lineRule="auto"/>
              <w:rPr>
                <w:rFonts w:ascii="宋体" w:hAnsi="宋体" w:cs="宋体"/>
                <w:bCs/>
                <w:color w:val="auto"/>
                <w:szCs w:val="21"/>
                <w:highlight w:val="none"/>
              </w:rPr>
            </w:pPr>
            <w:r>
              <w:rPr>
                <w:rFonts w:hint="eastAsia" w:ascii="宋体" w:hAnsi="宋体" w:cs="宋体"/>
                <w:bCs/>
                <w:color w:val="auto"/>
                <w:szCs w:val="21"/>
                <w:highlight w:val="none"/>
              </w:rPr>
              <w:t xml:space="preserve">可根据诊断、性别、年龄等自动定义病历结构和 </w:t>
            </w:r>
          </w:p>
          <w:p w14:paraId="04E1F6CB">
            <w:pPr>
              <w:numPr>
                <w:ilvl w:val="0"/>
                <w:numId w:val="12"/>
              </w:numPr>
              <w:tabs>
                <w:tab w:val="left" w:pos="525"/>
                <w:tab w:val="left" w:pos="630"/>
              </w:tabs>
              <w:spacing w:line="360" w:lineRule="auto"/>
              <w:rPr>
                <w:rFonts w:ascii="宋体" w:hAnsi="宋体" w:cs="宋体"/>
                <w:bCs/>
                <w:color w:val="auto"/>
                <w:szCs w:val="21"/>
                <w:highlight w:val="none"/>
              </w:rPr>
            </w:pPr>
            <w:r>
              <w:rPr>
                <w:rFonts w:hint="eastAsia" w:ascii="宋体" w:hAnsi="宋体" w:cs="宋体"/>
                <w:bCs/>
                <w:color w:val="auto"/>
                <w:szCs w:val="21"/>
                <w:highlight w:val="none"/>
              </w:rPr>
              <w:t xml:space="preserve">格式 </w:t>
            </w:r>
          </w:p>
          <w:p w14:paraId="6BC58589">
            <w:pPr>
              <w:numPr>
                <w:ilvl w:val="0"/>
                <w:numId w:val="12"/>
              </w:numPr>
              <w:tabs>
                <w:tab w:val="left" w:pos="525"/>
                <w:tab w:val="left" w:pos="630"/>
              </w:tabs>
              <w:spacing w:line="360" w:lineRule="auto"/>
              <w:rPr>
                <w:rFonts w:ascii="宋体" w:hAnsi="宋体" w:cs="宋体"/>
                <w:bCs/>
                <w:color w:val="auto"/>
                <w:szCs w:val="21"/>
                <w:highlight w:val="none"/>
              </w:rPr>
            </w:pPr>
            <w:r>
              <w:rPr>
                <w:rFonts w:hint="eastAsia" w:ascii="宋体" w:hAnsi="宋体" w:cs="宋体"/>
                <w:bCs/>
                <w:color w:val="auto"/>
                <w:szCs w:val="21"/>
                <w:highlight w:val="none"/>
              </w:rPr>
              <w:t xml:space="preserve">能够按照诊疗指南进行病历书写内容提示 </w:t>
            </w:r>
          </w:p>
          <w:p w14:paraId="13A0D707">
            <w:pPr>
              <w:numPr>
                <w:ilvl w:val="0"/>
                <w:numId w:val="12"/>
              </w:numPr>
              <w:tabs>
                <w:tab w:val="left" w:pos="525"/>
                <w:tab w:val="left" w:pos="630"/>
              </w:tabs>
              <w:spacing w:line="360" w:lineRule="auto"/>
              <w:rPr>
                <w:rFonts w:ascii="宋体" w:hAnsi="宋体" w:cs="宋体"/>
                <w:bCs/>
                <w:color w:val="auto"/>
                <w:szCs w:val="21"/>
                <w:highlight w:val="none"/>
              </w:rPr>
            </w:pPr>
            <w:r>
              <w:rPr>
                <w:rFonts w:hint="eastAsia" w:ascii="宋体" w:hAnsi="宋体" w:cs="宋体"/>
                <w:bCs/>
                <w:color w:val="auto"/>
                <w:szCs w:val="21"/>
                <w:highlight w:val="none"/>
              </w:rPr>
              <w:t xml:space="preserve">病历书写有对书写内容有智能检查与提示功能 </w:t>
            </w:r>
          </w:p>
          <w:p w14:paraId="1C65DD92">
            <w:pPr>
              <w:numPr>
                <w:ilvl w:val="0"/>
                <w:numId w:val="12"/>
              </w:numPr>
              <w:tabs>
                <w:tab w:val="left" w:pos="525"/>
                <w:tab w:val="left" w:pos="630"/>
              </w:tabs>
              <w:spacing w:line="360" w:lineRule="auto"/>
              <w:rPr>
                <w:rFonts w:ascii="宋体" w:hAnsi="宋体" w:cs="宋体"/>
                <w:bCs/>
                <w:color w:val="auto"/>
                <w:szCs w:val="21"/>
                <w:highlight w:val="none"/>
              </w:rPr>
            </w:pPr>
            <w:r>
              <w:rPr>
                <w:rFonts w:hint="eastAsia" w:ascii="宋体" w:hAnsi="宋体" w:cs="宋体"/>
                <w:bCs/>
                <w:color w:val="auto"/>
                <w:szCs w:val="21"/>
                <w:highlight w:val="none"/>
              </w:rPr>
              <w:t>可根据病人情况智能推荐模板</w:t>
            </w:r>
          </w:p>
        </w:tc>
      </w:tr>
      <w:tr w14:paraId="34800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867" w:type="dxa"/>
            <w:vMerge w:val="continue"/>
            <w:vAlign w:val="center"/>
          </w:tcPr>
          <w:p w14:paraId="7B954514">
            <w:pPr>
              <w:rPr>
                <w:rFonts w:ascii="宋体" w:hAnsi="宋体" w:cs="宋体"/>
                <w:color w:val="auto"/>
                <w:szCs w:val="21"/>
                <w:highlight w:val="none"/>
              </w:rPr>
            </w:pPr>
          </w:p>
        </w:tc>
        <w:tc>
          <w:tcPr>
            <w:tcW w:w="1096" w:type="dxa"/>
            <w:gridSpan w:val="2"/>
            <w:vMerge w:val="continue"/>
            <w:vAlign w:val="center"/>
          </w:tcPr>
          <w:p w14:paraId="28881198">
            <w:pPr>
              <w:widowControl/>
              <w:jc w:val="center"/>
              <w:rPr>
                <w:rFonts w:ascii="宋体" w:hAnsi="宋体" w:cs="宋体"/>
                <w:color w:val="auto"/>
                <w:kern w:val="0"/>
                <w:szCs w:val="21"/>
                <w:highlight w:val="none"/>
              </w:rPr>
            </w:pPr>
          </w:p>
        </w:tc>
        <w:tc>
          <w:tcPr>
            <w:tcW w:w="8076" w:type="dxa"/>
            <w:vAlign w:val="center"/>
          </w:tcPr>
          <w:p w14:paraId="0717BB7B">
            <w:pPr>
              <w:numPr>
                <w:ilvl w:val="0"/>
                <w:numId w:val="12"/>
              </w:numPr>
              <w:tabs>
                <w:tab w:val="left" w:pos="525"/>
                <w:tab w:val="left" w:pos="630"/>
              </w:tabs>
              <w:spacing w:line="360" w:lineRule="auto"/>
              <w:rPr>
                <w:rFonts w:ascii="宋体" w:hAnsi="宋体" w:cs="宋体"/>
                <w:bCs/>
                <w:color w:val="auto"/>
                <w:szCs w:val="21"/>
                <w:highlight w:val="none"/>
              </w:rPr>
            </w:pPr>
            <w:r>
              <w:rPr>
                <w:rFonts w:hint="eastAsia" w:ascii="宋体" w:hAnsi="宋体" w:cs="宋体"/>
                <w:bCs/>
                <w:color w:val="auto"/>
                <w:szCs w:val="21"/>
                <w:highlight w:val="none"/>
              </w:rPr>
              <w:t>支持患者历史病历的查询和引用。医生能查阅患者既往的就诊、治疗、预后情况，一键将历史文书的主诉、现病史等内容引入到当前病历中，同时自动提取本次就诊的诊断和医嘱信息。</w:t>
            </w:r>
          </w:p>
        </w:tc>
      </w:tr>
      <w:tr w14:paraId="23D9E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67" w:type="dxa"/>
            <w:vMerge w:val="continue"/>
            <w:vAlign w:val="center"/>
          </w:tcPr>
          <w:p w14:paraId="2EA0D4C5">
            <w:pPr>
              <w:rPr>
                <w:rFonts w:ascii="宋体" w:hAnsi="宋体" w:cs="宋体"/>
                <w:color w:val="auto"/>
                <w:szCs w:val="21"/>
                <w:highlight w:val="none"/>
              </w:rPr>
            </w:pPr>
          </w:p>
        </w:tc>
        <w:tc>
          <w:tcPr>
            <w:tcW w:w="1096" w:type="dxa"/>
            <w:gridSpan w:val="2"/>
            <w:vMerge w:val="continue"/>
            <w:vAlign w:val="center"/>
          </w:tcPr>
          <w:p w14:paraId="6B0F479B">
            <w:pPr>
              <w:widowControl/>
              <w:jc w:val="center"/>
              <w:rPr>
                <w:rFonts w:ascii="宋体" w:hAnsi="宋体" w:cs="宋体"/>
                <w:color w:val="auto"/>
                <w:kern w:val="0"/>
                <w:szCs w:val="21"/>
                <w:highlight w:val="none"/>
              </w:rPr>
            </w:pPr>
          </w:p>
        </w:tc>
        <w:tc>
          <w:tcPr>
            <w:tcW w:w="8076" w:type="dxa"/>
            <w:vAlign w:val="center"/>
          </w:tcPr>
          <w:p w14:paraId="443AEE6F">
            <w:pPr>
              <w:numPr>
                <w:ilvl w:val="0"/>
                <w:numId w:val="12"/>
              </w:numPr>
              <w:tabs>
                <w:tab w:val="left" w:pos="525"/>
                <w:tab w:val="left" w:pos="630"/>
              </w:tabs>
              <w:spacing w:line="360" w:lineRule="auto"/>
              <w:rPr>
                <w:rFonts w:ascii="宋体" w:hAnsi="宋体" w:cs="宋体"/>
                <w:bCs/>
                <w:color w:val="auto"/>
                <w:szCs w:val="21"/>
                <w:highlight w:val="none"/>
              </w:rPr>
            </w:pPr>
            <w:r>
              <w:rPr>
                <w:rFonts w:hint="eastAsia" w:ascii="宋体" w:hAnsi="宋体" w:cs="宋体"/>
                <w:bCs/>
                <w:color w:val="auto"/>
                <w:szCs w:val="21"/>
                <w:highlight w:val="none"/>
              </w:rPr>
              <w:t>支持特殊符号、医学图库、医学术语、医学表达式的快速引用。</w:t>
            </w:r>
          </w:p>
        </w:tc>
      </w:tr>
      <w:tr w14:paraId="5764B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67" w:type="dxa"/>
            <w:vMerge w:val="continue"/>
            <w:vAlign w:val="center"/>
          </w:tcPr>
          <w:p w14:paraId="7A461146">
            <w:pPr>
              <w:rPr>
                <w:rFonts w:ascii="宋体" w:hAnsi="宋体" w:cs="宋体"/>
                <w:color w:val="auto"/>
                <w:szCs w:val="21"/>
                <w:highlight w:val="none"/>
              </w:rPr>
            </w:pPr>
          </w:p>
        </w:tc>
        <w:tc>
          <w:tcPr>
            <w:tcW w:w="9172" w:type="dxa"/>
            <w:gridSpan w:val="3"/>
            <w:vAlign w:val="center"/>
          </w:tcPr>
          <w:p w14:paraId="6D119A98">
            <w:pPr>
              <w:rPr>
                <w:rFonts w:ascii="宋体" w:hAnsi="宋体" w:cs="宋体"/>
                <w:color w:val="auto"/>
                <w:kern w:val="0"/>
                <w:szCs w:val="21"/>
                <w:highlight w:val="none"/>
              </w:rPr>
            </w:pPr>
            <w:r>
              <w:rPr>
                <w:rFonts w:hint="eastAsia"/>
                <w:color w:val="auto"/>
                <w:szCs w:val="21"/>
                <w:highlight w:val="none"/>
              </w:rPr>
              <w:t>病历打印</w:t>
            </w:r>
          </w:p>
        </w:tc>
      </w:tr>
      <w:tr w14:paraId="70931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67" w:type="dxa"/>
            <w:vMerge w:val="continue"/>
            <w:vAlign w:val="center"/>
          </w:tcPr>
          <w:p w14:paraId="4DB17B6A">
            <w:pPr>
              <w:rPr>
                <w:rFonts w:ascii="宋体" w:hAnsi="宋体" w:cs="宋体"/>
                <w:color w:val="auto"/>
                <w:szCs w:val="21"/>
                <w:highlight w:val="none"/>
              </w:rPr>
            </w:pPr>
          </w:p>
        </w:tc>
        <w:tc>
          <w:tcPr>
            <w:tcW w:w="1096" w:type="dxa"/>
            <w:gridSpan w:val="2"/>
            <w:vMerge w:val="restart"/>
            <w:vAlign w:val="center"/>
          </w:tcPr>
          <w:p w14:paraId="2CD85F23">
            <w:pPr>
              <w:widowControl/>
              <w:jc w:val="center"/>
              <w:rPr>
                <w:rFonts w:ascii="宋体" w:hAnsi="宋体" w:cs="宋体"/>
                <w:color w:val="auto"/>
                <w:kern w:val="0"/>
                <w:szCs w:val="21"/>
                <w:highlight w:val="none"/>
              </w:rPr>
            </w:pPr>
            <w:r>
              <w:rPr>
                <w:rFonts w:hint="eastAsia"/>
                <w:color w:val="auto"/>
                <w:szCs w:val="21"/>
                <w:highlight w:val="none"/>
              </w:rPr>
              <w:t>病历打印</w:t>
            </w:r>
          </w:p>
        </w:tc>
        <w:tc>
          <w:tcPr>
            <w:tcW w:w="8076" w:type="dxa"/>
            <w:vAlign w:val="center"/>
          </w:tcPr>
          <w:p w14:paraId="03C67C17">
            <w:pPr>
              <w:numPr>
                <w:ilvl w:val="0"/>
                <w:numId w:val="12"/>
              </w:numPr>
              <w:tabs>
                <w:tab w:val="left" w:pos="525"/>
                <w:tab w:val="left" w:pos="630"/>
              </w:tabs>
              <w:spacing w:line="360" w:lineRule="auto"/>
              <w:rPr>
                <w:rFonts w:ascii="宋体" w:hAnsi="宋体" w:cs="宋体"/>
                <w:bCs/>
                <w:color w:val="auto"/>
                <w:szCs w:val="21"/>
                <w:highlight w:val="none"/>
              </w:rPr>
            </w:pPr>
            <w:r>
              <w:rPr>
                <w:rFonts w:hint="eastAsia" w:ascii="宋体" w:hAnsi="宋体" w:cs="宋体"/>
                <w:bCs/>
                <w:color w:val="auto"/>
                <w:szCs w:val="21"/>
                <w:highlight w:val="none"/>
              </w:rPr>
              <w:t>支持门诊病历的原样打印，书写格式和打印格式要一致；</w:t>
            </w:r>
          </w:p>
        </w:tc>
      </w:tr>
      <w:tr w14:paraId="257AE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867" w:type="dxa"/>
            <w:vMerge w:val="continue"/>
            <w:vAlign w:val="center"/>
          </w:tcPr>
          <w:p w14:paraId="5708CB49">
            <w:pPr>
              <w:rPr>
                <w:rFonts w:ascii="宋体" w:hAnsi="宋体" w:cs="宋体"/>
                <w:color w:val="auto"/>
                <w:szCs w:val="21"/>
                <w:highlight w:val="none"/>
              </w:rPr>
            </w:pPr>
          </w:p>
        </w:tc>
        <w:tc>
          <w:tcPr>
            <w:tcW w:w="1096" w:type="dxa"/>
            <w:gridSpan w:val="2"/>
            <w:vMerge w:val="continue"/>
            <w:vAlign w:val="center"/>
          </w:tcPr>
          <w:p w14:paraId="076BA04A">
            <w:pPr>
              <w:widowControl/>
              <w:jc w:val="center"/>
              <w:rPr>
                <w:rFonts w:ascii="宋体" w:hAnsi="宋体" w:cs="宋体"/>
                <w:color w:val="auto"/>
                <w:kern w:val="0"/>
                <w:szCs w:val="21"/>
                <w:highlight w:val="none"/>
              </w:rPr>
            </w:pPr>
          </w:p>
        </w:tc>
        <w:tc>
          <w:tcPr>
            <w:tcW w:w="8076" w:type="dxa"/>
            <w:vAlign w:val="center"/>
          </w:tcPr>
          <w:p w14:paraId="46F0F885">
            <w:pPr>
              <w:numPr>
                <w:ilvl w:val="0"/>
                <w:numId w:val="12"/>
              </w:numPr>
              <w:tabs>
                <w:tab w:val="left" w:pos="525"/>
                <w:tab w:val="left" w:pos="630"/>
              </w:tabs>
              <w:spacing w:line="360" w:lineRule="auto"/>
              <w:rPr>
                <w:rFonts w:ascii="宋体" w:hAnsi="宋体" w:cs="宋体"/>
                <w:bCs/>
                <w:color w:val="auto"/>
                <w:szCs w:val="21"/>
                <w:highlight w:val="none"/>
              </w:rPr>
            </w:pPr>
            <w:r>
              <w:rPr>
                <w:rFonts w:hint="eastAsia" w:ascii="宋体" w:hAnsi="宋体" w:cs="宋体"/>
                <w:bCs/>
                <w:color w:val="auto"/>
                <w:szCs w:val="21"/>
                <w:highlight w:val="none"/>
              </w:rPr>
              <w:t>支持门诊病历的分离打印，书写格式和打印格式要分离。需要在病历书写格式中保持单选按钮、复选框、表格等多种结构化编辑，在打印时自动输出成自然语言文本，并且只打印必要内容。</w:t>
            </w:r>
          </w:p>
        </w:tc>
      </w:tr>
      <w:tr w14:paraId="778DA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67" w:type="dxa"/>
            <w:vMerge w:val="continue"/>
            <w:vAlign w:val="center"/>
          </w:tcPr>
          <w:p w14:paraId="76A2A871">
            <w:pPr>
              <w:rPr>
                <w:rFonts w:ascii="宋体" w:hAnsi="宋体" w:cs="宋体"/>
                <w:color w:val="auto"/>
                <w:szCs w:val="21"/>
                <w:highlight w:val="none"/>
              </w:rPr>
            </w:pPr>
          </w:p>
        </w:tc>
        <w:tc>
          <w:tcPr>
            <w:tcW w:w="9172" w:type="dxa"/>
            <w:gridSpan w:val="3"/>
            <w:vAlign w:val="center"/>
          </w:tcPr>
          <w:p w14:paraId="5924E5B8">
            <w:pPr>
              <w:rPr>
                <w:rFonts w:ascii="宋体" w:hAnsi="宋体" w:cs="宋体"/>
                <w:color w:val="auto"/>
                <w:kern w:val="0"/>
                <w:szCs w:val="21"/>
                <w:highlight w:val="none"/>
              </w:rPr>
            </w:pPr>
            <w:r>
              <w:rPr>
                <w:rFonts w:hint="eastAsia"/>
                <w:color w:val="auto"/>
                <w:szCs w:val="21"/>
                <w:highlight w:val="none"/>
              </w:rPr>
              <w:t>门诊病历管理</w:t>
            </w:r>
          </w:p>
        </w:tc>
      </w:tr>
      <w:tr w14:paraId="727E4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867" w:type="dxa"/>
            <w:vMerge w:val="continue"/>
            <w:vAlign w:val="center"/>
          </w:tcPr>
          <w:p w14:paraId="108AC15E">
            <w:pPr>
              <w:rPr>
                <w:rFonts w:ascii="宋体" w:hAnsi="宋体" w:cs="宋体"/>
                <w:color w:val="auto"/>
                <w:szCs w:val="21"/>
                <w:highlight w:val="none"/>
              </w:rPr>
            </w:pPr>
          </w:p>
        </w:tc>
        <w:tc>
          <w:tcPr>
            <w:tcW w:w="1096" w:type="dxa"/>
            <w:gridSpan w:val="2"/>
            <w:vMerge w:val="restart"/>
            <w:vAlign w:val="center"/>
          </w:tcPr>
          <w:p w14:paraId="3628F250">
            <w:pPr>
              <w:widowControl/>
              <w:jc w:val="center"/>
              <w:rPr>
                <w:rFonts w:ascii="宋体" w:hAnsi="宋体" w:cs="宋体"/>
                <w:color w:val="auto"/>
                <w:kern w:val="0"/>
                <w:szCs w:val="21"/>
                <w:highlight w:val="none"/>
              </w:rPr>
            </w:pPr>
            <w:r>
              <w:rPr>
                <w:rFonts w:hint="eastAsia"/>
                <w:color w:val="auto"/>
                <w:szCs w:val="21"/>
                <w:highlight w:val="none"/>
              </w:rPr>
              <w:t>门诊病历管理</w:t>
            </w:r>
          </w:p>
        </w:tc>
        <w:tc>
          <w:tcPr>
            <w:tcW w:w="8076" w:type="dxa"/>
            <w:vAlign w:val="center"/>
          </w:tcPr>
          <w:p w14:paraId="5BE4C59F">
            <w:pPr>
              <w:numPr>
                <w:ilvl w:val="0"/>
                <w:numId w:val="12"/>
              </w:numPr>
              <w:tabs>
                <w:tab w:val="left" w:pos="525"/>
                <w:tab w:val="left" w:pos="630"/>
              </w:tabs>
              <w:spacing w:line="360" w:lineRule="auto"/>
              <w:rPr>
                <w:rFonts w:ascii="宋体" w:hAnsi="宋体" w:cs="宋体"/>
                <w:bCs/>
                <w:color w:val="auto"/>
                <w:szCs w:val="21"/>
                <w:highlight w:val="none"/>
              </w:rPr>
            </w:pPr>
            <w:r>
              <w:rPr>
                <w:rFonts w:hint="eastAsia" w:ascii="宋体" w:hAnsi="宋体" w:cs="宋体"/>
                <w:bCs/>
                <w:color w:val="auto"/>
                <w:szCs w:val="21"/>
                <w:highlight w:val="none"/>
              </w:rPr>
              <w:t>病历后台存储支持文本、HTML、XML、JSON、PDF等多种格式，符合结构化存储要求。同时这些数据支持以URL地址、HTTP服务、视图三种模式提供给第三方厂商查看和使用；</w:t>
            </w:r>
          </w:p>
        </w:tc>
      </w:tr>
      <w:tr w14:paraId="02FB8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67" w:type="dxa"/>
            <w:vMerge w:val="continue"/>
            <w:vAlign w:val="center"/>
          </w:tcPr>
          <w:p w14:paraId="71879C5B">
            <w:pPr>
              <w:rPr>
                <w:rFonts w:ascii="宋体" w:hAnsi="宋体" w:cs="宋体"/>
                <w:color w:val="auto"/>
                <w:szCs w:val="21"/>
                <w:highlight w:val="none"/>
              </w:rPr>
            </w:pPr>
          </w:p>
        </w:tc>
        <w:tc>
          <w:tcPr>
            <w:tcW w:w="1096" w:type="dxa"/>
            <w:gridSpan w:val="2"/>
            <w:vMerge w:val="continue"/>
            <w:vAlign w:val="center"/>
          </w:tcPr>
          <w:p w14:paraId="7A8634E2">
            <w:pPr>
              <w:widowControl/>
              <w:jc w:val="center"/>
              <w:rPr>
                <w:rFonts w:ascii="宋体" w:hAnsi="宋体" w:cs="宋体"/>
                <w:color w:val="auto"/>
                <w:kern w:val="0"/>
                <w:szCs w:val="21"/>
                <w:highlight w:val="none"/>
              </w:rPr>
            </w:pPr>
          </w:p>
        </w:tc>
        <w:tc>
          <w:tcPr>
            <w:tcW w:w="8076" w:type="dxa"/>
            <w:vAlign w:val="center"/>
          </w:tcPr>
          <w:p w14:paraId="09A7BC9D">
            <w:pPr>
              <w:numPr>
                <w:ilvl w:val="0"/>
                <w:numId w:val="12"/>
              </w:numPr>
              <w:tabs>
                <w:tab w:val="left" w:pos="525"/>
                <w:tab w:val="left" w:pos="630"/>
              </w:tabs>
              <w:spacing w:line="360" w:lineRule="auto"/>
              <w:rPr>
                <w:rFonts w:ascii="宋体" w:hAnsi="宋体" w:cs="宋体"/>
                <w:bCs/>
                <w:color w:val="auto"/>
                <w:szCs w:val="21"/>
                <w:highlight w:val="none"/>
              </w:rPr>
            </w:pPr>
            <w:r>
              <w:rPr>
                <w:rFonts w:hint="eastAsia" w:ascii="宋体" w:hAnsi="宋体" w:cs="宋体"/>
                <w:bCs/>
                <w:color w:val="auto"/>
                <w:szCs w:val="21"/>
                <w:highlight w:val="none"/>
              </w:rPr>
              <w:t>病历文书保存和签名时，支持实时生成PDF文件；</w:t>
            </w:r>
          </w:p>
        </w:tc>
      </w:tr>
      <w:tr w14:paraId="2DB0B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67" w:type="dxa"/>
            <w:vMerge w:val="continue"/>
            <w:vAlign w:val="center"/>
          </w:tcPr>
          <w:p w14:paraId="3D66737E">
            <w:pPr>
              <w:rPr>
                <w:rFonts w:ascii="宋体" w:hAnsi="宋体" w:cs="宋体"/>
                <w:color w:val="auto"/>
                <w:szCs w:val="21"/>
                <w:highlight w:val="none"/>
              </w:rPr>
            </w:pPr>
          </w:p>
        </w:tc>
        <w:tc>
          <w:tcPr>
            <w:tcW w:w="1096" w:type="dxa"/>
            <w:gridSpan w:val="2"/>
            <w:vMerge w:val="continue"/>
            <w:vAlign w:val="center"/>
          </w:tcPr>
          <w:p w14:paraId="62798D4E">
            <w:pPr>
              <w:widowControl/>
              <w:jc w:val="center"/>
              <w:rPr>
                <w:rFonts w:ascii="宋体" w:hAnsi="宋体" w:cs="宋体"/>
                <w:color w:val="auto"/>
                <w:kern w:val="0"/>
                <w:szCs w:val="21"/>
                <w:highlight w:val="none"/>
              </w:rPr>
            </w:pPr>
          </w:p>
        </w:tc>
        <w:tc>
          <w:tcPr>
            <w:tcW w:w="8076" w:type="dxa"/>
            <w:vAlign w:val="center"/>
          </w:tcPr>
          <w:p w14:paraId="62499D2C">
            <w:pPr>
              <w:numPr>
                <w:ilvl w:val="0"/>
                <w:numId w:val="12"/>
              </w:numPr>
              <w:tabs>
                <w:tab w:val="left" w:pos="525"/>
                <w:tab w:val="left" w:pos="630"/>
              </w:tabs>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lang w:eastAsia="zh-CN"/>
              </w:rPr>
              <w:t>支持门（急）诊诊疗信息页的生成和管理。</w:t>
            </w:r>
          </w:p>
        </w:tc>
      </w:tr>
      <w:tr w14:paraId="77A88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67" w:type="dxa"/>
            <w:vMerge w:val="continue"/>
            <w:vAlign w:val="center"/>
          </w:tcPr>
          <w:p w14:paraId="53A5DF5A">
            <w:pPr>
              <w:rPr>
                <w:rFonts w:ascii="宋体" w:hAnsi="宋体" w:cs="宋体"/>
                <w:color w:val="auto"/>
                <w:szCs w:val="21"/>
                <w:highlight w:val="none"/>
              </w:rPr>
            </w:pPr>
          </w:p>
        </w:tc>
        <w:tc>
          <w:tcPr>
            <w:tcW w:w="1096" w:type="dxa"/>
            <w:gridSpan w:val="2"/>
            <w:vMerge w:val="continue"/>
            <w:vAlign w:val="center"/>
          </w:tcPr>
          <w:p w14:paraId="7D4913FC">
            <w:pPr>
              <w:widowControl/>
              <w:jc w:val="center"/>
              <w:rPr>
                <w:rFonts w:ascii="宋体" w:hAnsi="宋体" w:cs="宋体"/>
                <w:color w:val="auto"/>
                <w:kern w:val="0"/>
                <w:szCs w:val="21"/>
                <w:highlight w:val="none"/>
              </w:rPr>
            </w:pPr>
          </w:p>
        </w:tc>
        <w:tc>
          <w:tcPr>
            <w:tcW w:w="8076" w:type="dxa"/>
            <w:vAlign w:val="center"/>
          </w:tcPr>
          <w:p w14:paraId="174B0512">
            <w:pPr>
              <w:numPr>
                <w:ilvl w:val="0"/>
                <w:numId w:val="12"/>
              </w:numPr>
              <w:tabs>
                <w:tab w:val="left" w:pos="525"/>
                <w:tab w:val="left" w:pos="630"/>
              </w:tabs>
              <w:spacing w:line="360" w:lineRule="auto"/>
              <w:rPr>
                <w:rFonts w:hint="eastAsia" w:ascii="宋体" w:hAnsi="宋体" w:cs="宋体"/>
                <w:bCs/>
                <w:color w:val="auto"/>
                <w:szCs w:val="21"/>
                <w:highlight w:val="none"/>
                <w:lang w:eastAsia="zh-CN"/>
              </w:rPr>
            </w:pPr>
            <w:r>
              <w:rPr>
                <w:rFonts w:hint="eastAsia" w:ascii="宋体" w:hAnsi="宋体" w:cs="宋体"/>
                <w:bCs/>
                <w:color w:val="auto"/>
                <w:szCs w:val="21"/>
                <w:highlight w:val="none"/>
                <w:lang w:eastAsia="zh-CN"/>
              </w:rPr>
              <w:t>支持生成麻醉、第一类精神药品专用病历。</w:t>
            </w:r>
          </w:p>
        </w:tc>
      </w:tr>
      <w:tr w14:paraId="6B173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67" w:type="dxa"/>
            <w:vMerge w:val="continue"/>
            <w:vAlign w:val="center"/>
          </w:tcPr>
          <w:p w14:paraId="7ED2A4BC">
            <w:pPr>
              <w:rPr>
                <w:rFonts w:ascii="宋体" w:hAnsi="宋体" w:cs="宋体"/>
                <w:color w:val="auto"/>
                <w:szCs w:val="21"/>
                <w:highlight w:val="none"/>
              </w:rPr>
            </w:pPr>
          </w:p>
        </w:tc>
        <w:tc>
          <w:tcPr>
            <w:tcW w:w="1096" w:type="dxa"/>
            <w:gridSpan w:val="2"/>
            <w:vMerge w:val="continue"/>
            <w:vAlign w:val="center"/>
          </w:tcPr>
          <w:p w14:paraId="5829919B">
            <w:pPr>
              <w:widowControl/>
              <w:jc w:val="center"/>
              <w:rPr>
                <w:rFonts w:ascii="宋体" w:hAnsi="宋体" w:cs="宋体"/>
                <w:color w:val="auto"/>
                <w:kern w:val="0"/>
                <w:szCs w:val="21"/>
                <w:highlight w:val="none"/>
              </w:rPr>
            </w:pPr>
          </w:p>
        </w:tc>
        <w:tc>
          <w:tcPr>
            <w:tcW w:w="8076" w:type="dxa"/>
            <w:vAlign w:val="center"/>
          </w:tcPr>
          <w:p w14:paraId="4DC3C988">
            <w:pPr>
              <w:numPr>
                <w:ilvl w:val="0"/>
                <w:numId w:val="12"/>
              </w:numPr>
              <w:tabs>
                <w:tab w:val="left" w:pos="525"/>
                <w:tab w:val="left" w:pos="630"/>
              </w:tabs>
              <w:spacing w:line="360" w:lineRule="auto"/>
              <w:rPr>
                <w:rFonts w:ascii="宋体" w:hAnsi="宋体" w:cs="宋体"/>
                <w:bCs/>
                <w:color w:val="auto"/>
                <w:szCs w:val="21"/>
                <w:highlight w:val="none"/>
              </w:rPr>
            </w:pPr>
            <w:r>
              <w:rPr>
                <w:rFonts w:hint="eastAsia" w:ascii="宋体" w:hAnsi="宋体" w:cs="宋体"/>
                <w:bCs/>
                <w:color w:val="auto"/>
                <w:szCs w:val="21"/>
                <w:highlight w:val="none"/>
              </w:rPr>
              <w:t>提供门诊病历修改痕迹记录和比对功能，方便回溯每个版本的病历修改情况；</w:t>
            </w:r>
          </w:p>
        </w:tc>
      </w:tr>
      <w:tr w14:paraId="5ABF2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867" w:type="dxa"/>
            <w:vMerge w:val="continue"/>
            <w:vAlign w:val="center"/>
          </w:tcPr>
          <w:p w14:paraId="747EB446">
            <w:pPr>
              <w:rPr>
                <w:rFonts w:ascii="宋体" w:hAnsi="宋体" w:cs="宋体"/>
                <w:color w:val="auto"/>
                <w:szCs w:val="21"/>
                <w:highlight w:val="none"/>
              </w:rPr>
            </w:pPr>
          </w:p>
        </w:tc>
        <w:tc>
          <w:tcPr>
            <w:tcW w:w="1096" w:type="dxa"/>
            <w:gridSpan w:val="2"/>
            <w:vMerge w:val="continue"/>
            <w:vAlign w:val="center"/>
          </w:tcPr>
          <w:p w14:paraId="3BD6D665">
            <w:pPr>
              <w:widowControl/>
              <w:jc w:val="center"/>
              <w:rPr>
                <w:rFonts w:ascii="宋体" w:hAnsi="宋体" w:cs="宋体"/>
                <w:color w:val="auto"/>
                <w:kern w:val="0"/>
                <w:szCs w:val="21"/>
                <w:highlight w:val="none"/>
              </w:rPr>
            </w:pPr>
          </w:p>
        </w:tc>
        <w:tc>
          <w:tcPr>
            <w:tcW w:w="8076" w:type="dxa"/>
            <w:vAlign w:val="center"/>
          </w:tcPr>
          <w:p w14:paraId="3BEBA8FF">
            <w:pPr>
              <w:numPr>
                <w:ilvl w:val="0"/>
                <w:numId w:val="12"/>
              </w:numPr>
              <w:tabs>
                <w:tab w:val="left" w:pos="525"/>
                <w:tab w:val="left" w:pos="630"/>
              </w:tabs>
              <w:spacing w:line="360" w:lineRule="auto"/>
              <w:rPr>
                <w:rFonts w:ascii="宋体" w:hAnsi="宋体" w:cs="宋体"/>
                <w:bCs/>
                <w:color w:val="auto"/>
                <w:szCs w:val="21"/>
                <w:highlight w:val="none"/>
              </w:rPr>
            </w:pPr>
            <w:r>
              <w:rPr>
                <w:rFonts w:hint="eastAsia" w:ascii="宋体" w:hAnsi="宋体" w:cs="宋体"/>
                <w:bCs/>
                <w:color w:val="auto"/>
                <w:szCs w:val="21"/>
                <w:highlight w:val="none"/>
              </w:rPr>
              <w:t>支持对门诊病历的任何操作自动生成审计日志和追溯。操作包括创建、修改、删除、查看、打印、签名等，审计日志包括操作时间、操作者、操作内容等。提供按单份文书或某个患者追踪查看其所有操作者及操作内容，支持按操作者追踪查看其所有操作功能，以确保运行病历书写始终被监控直至入库；</w:t>
            </w:r>
          </w:p>
        </w:tc>
      </w:tr>
      <w:tr w14:paraId="16901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867" w:type="dxa"/>
            <w:vMerge w:val="continue"/>
            <w:vAlign w:val="center"/>
          </w:tcPr>
          <w:p w14:paraId="71BB9F3D">
            <w:pPr>
              <w:rPr>
                <w:rFonts w:ascii="宋体" w:hAnsi="宋体" w:cs="宋体"/>
                <w:color w:val="auto"/>
                <w:szCs w:val="21"/>
                <w:highlight w:val="none"/>
              </w:rPr>
            </w:pPr>
          </w:p>
        </w:tc>
        <w:tc>
          <w:tcPr>
            <w:tcW w:w="1096" w:type="dxa"/>
            <w:gridSpan w:val="2"/>
            <w:vMerge w:val="continue"/>
            <w:vAlign w:val="center"/>
          </w:tcPr>
          <w:p w14:paraId="45D8D0CF">
            <w:pPr>
              <w:widowControl/>
              <w:jc w:val="center"/>
              <w:rPr>
                <w:rFonts w:ascii="宋体" w:hAnsi="宋体" w:cs="宋体"/>
                <w:color w:val="auto"/>
                <w:kern w:val="0"/>
                <w:szCs w:val="21"/>
                <w:highlight w:val="none"/>
              </w:rPr>
            </w:pPr>
          </w:p>
        </w:tc>
        <w:tc>
          <w:tcPr>
            <w:tcW w:w="8076" w:type="dxa"/>
            <w:vAlign w:val="center"/>
          </w:tcPr>
          <w:p w14:paraId="29CF7389">
            <w:pPr>
              <w:numPr>
                <w:ilvl w:val="0"/>
                <w:numId w:val="12"/>
              </w:numPr>
              <w:tabs>
                <w:tab w:val="left" w:pos="525"/>
                <w:tab w:val="left" w:pos="630"/>
              </w:tabs>
              <w:spacing w:line="360" w:lineRule="auto"/>
              <w:rPr>
                <w:rFonts w:ascii="宋体" w:hAnsi="宋体" w:cs="宋体"/>
                <w:bCs/>
                <w:color w:val="auto"/>
                <w:szCs w:val="21"/>
                <w:highlight w:val="none"/>
              </w:rPr>
            </w:pPr>
            <w:r>
              <w:rPr>
                <w:rFonts w:hint="eastAsia" w:ascii="宋体" w:hAnsi="宋体" w:cs="宋体"/>
                <w:bCs/>
                <w:color w:val="auto"/>
                <w:szCs w:val="21"/>
                <w:highlight w:val="none"/>
              </w:rPr>
              <w:t>提供门诊诊疗活动的统计查询功能。应包含：门诊病历查询、书写情况统计、门诊就诊记录查询等；</w:t>
            </w:r>
          </w:p>
          <w:p w14:paraId="156DF505">
            <w:pPr>
              <w:numPr>
                <w:ilvl w:val="0"/>
                <w:numId w:val="12"/>
              </w:numPr>
              <w:tabs>
                <w:tab w:val="left" w:pos="525"/>
                <w:tab w:val="left" w:pos="630"/>
              </w:tabs>
              <w:spacing w:line="360" w:lineRule="auto"/>
              <w:rPr>
                <w:rFonts w:ascii="宋体" w:hAnsi="宋体" w:cs="宋体"/>
                <w:bCs/>
                <w:color w:val="auto"/>
                <w:szCs w:val="21"/>
                <w:highlight w:val="none"/>
              </w:rPr>
            </w:pPr>
            <w:r>
              <w:rPr>
                <w:rFonts w:hint="eastAsia" w:ascii="宋体" w:hAnsi="宋体" w:cs="宋体"/>
                <w:bCs/>
                <w:color w:val="auto"/>
                <w:szCs w:val="21"/>
                <w:highlight w:val="none"/>
              </w:rPr>
              <w:t>支持门诊病历结构化检索</w:t>
            </w:r>
            <w:r>
              <w:rPr>
                <w:rFonts w:hint="eastAsia" w:ascii="宋体" w:hAnsi="宋体" w:cs="宋体"/>
                <w:bCs/>
                <w:color w:val="auto"/>
                <w:szCs w:val="21"/>
                <w:highlight w:val="none"/>
                <w:lang w:eastAsia="zh-CN"/>
              </w:rPr>
              <w:t>。</w:t>
            </w:r>
          </w:p>
        </w:tc>
      </w:tr>
      <w:tr w14:paraId="62B4C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867" w:type="dxa"/>
            <w:vMerge w:val="continue"/>
            <w:vAlign w:val="center"/>
          </w:tcPr>
          <w:p w14:paraId="31A3EF2B">
            <w:pPr>
              <w:rPr>
                <w:rFonts w:ascii="宋体" w:hAnsi="宋体" w:cs="宋体"/>
                <w:color w:val="auto"/>
                <w:szCs w:val="21"/>
                <w:highlight w:val="none"/>
              </w:rPr>
            </w:pPr>
          </w:p>
        </w:tc>
        <w:tc>
          <w:tcPr>
            <w:tcW w:w="1096" w:type="dxa"/>
            <w:gridSpan w:val="2"/>
            <w:vMerge w:val="continue"/>
            <w:vAlign w:val="center"/>
          </w:tcPr>
          <w:p w14:paraId="791B02F5">
            <w:pPr>
              <w:widowControl/>
              <w:jc w:val="center"/>
              <w:rPr>
                <w:rFonts w:ascii="宋体" w:hAnsi="宋体" w:cs="宋体"/>
                <w:color w:val="auto"/>
                <w:kern w:val="0"/>
                <w:szCs w:val="21"/>
                <w:highlight w:val="none"/>
              </w:rPr>
            </w:pPr>
          </w:p>
        </w:tc>
        <w:tc>
          <w:tcPr>
            <w:tcW w:w="8076" w:type="dxa"/>
            <w:vAlign w:val="center"/>
          </w:tcPr>
          <w:p w14:paraId="1C4D7601">
            <w:pPr>
              <w:numPr>
                <w:ilvl w:val="0"/>
                <w:numId w:val="12"/>
              </w:numPr>
              <w:tabs>
                <w:tab w:val="left" w:pos="525"/>
                <w:tab w:val="left" w:pos="630"/>
              </w:tabs>
              <w:spacing w:line="360" w:lineRule="auto"/>
              <w:rPr>
                <w:rFonts w:ascii="宋体" w:hAnsi="宋体" w:cs="宋体"/>
                <w:bCs/>
                <w:color w:val="auto"/>
                <w:szCs w:val="21"/>
                <w:highlight w:val="none"/>
              </w:rPr>
            </w:pPr>
            <w:r>
              <w:rPr>
                <w:rFonts w:hint="eastAsia" w:ascii="宋体" w:hAnsi="宋体" w:cs="宋体"/>
                <w:bCs/>
                <w:color w:val="auto"/>
                <w:szCs w:val="21"/>
                <w:highlight w:val="none"/>
              </w:rPr>
              <w:t>提供门诊病历订阅的功能。当第三方系统需要获取门诊病历结构化内容时，通过结构化订阅的方式实现；</w:t>
            </w:r>
          </w:p>
        </w:tc>
      </w:tr>
      <w:tr w14:paraId="77684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867" w:type="dxa"/>
            <w:vMerge w:val="continue"/>
            <w:vAlign w:val="center"/>
          </w:tcPr>
          <w:p w14:paraId="4C5EE95C">
            <w:pPr>
              <w:rPr>
                <w:rFonts w:ascii="宋体" w:hAnsi="宋体" w:cs="宋体"/>
                <w:color w:val="auto"/>
                <w:szCs w:val="21"/>
                <w:highlight w:val="none"/>
              </w:rPr>
            </w:pPr>
          </w:p>
        </w:tc>
        <w:tc>
          <w:tcPr>
            <w:tcW w:w="1096" w:type="dxa"/>
            <w:gridSpan w:val="2"/>
            <w:vMerge w:val="continue"/>
            <w:vAlign w:val="center"/>
          </w:tcPr>
          <w:p w14:paraId="702B5080">
            <w:pPr>
              <w:widowControl/>
              <w:jc w:val="center"/>
              <w:rPr>
                <w:rFonts w:ascii="宋体" w:hAnsi="宋体" w:cs="宋体"/>
                <w:color w:val="auto"/>
                <w:kern w:val="0"/>
                <w:szCs w:val="21"/>
                <w:highlight w:val="none"/>
              </w:rPr>
            </w:pPr>
          </w:p>
        </w:tc>
        <w:tc>
          <w:tcPr>
            <w:tcW w:w="8076" w:type="dxa"/>
            <w:vAlign w:val="center"/>
          </w:tcPr>
          <w:p w14:paraId="48BC35C9">
            <w:pPr>
              <w:numPr>
                <w:ilvl w:val="0"/>
                <w:numId w:val="12"/>
              </w:numPr>
              <w:tabs>
                <w:tab w:val="left" w:pos="525"/>
                <w:tab w:val="left" w:pos="630"/>
              </w:tabs>
              <w:spacing w:line="360" w:lineRule="auto"/>
              <w:rPr>
                <w:rFonts w:ascii="宋体" w:hAnsi="宋体" w:cs="宋体"/>
                <w:bCs/>
                <w:color w:val="auto"/>
                <w:szCs w:val="21"/>
                <w:highlight w:val="none"/>
              </w:rPr>
            </w:pPr>
            <w:r>
              <w:rPr>
                <w:rFonts w:hint="eastAsia" w:ascii="宋体" w:hAnsi="宋体" w:cs="宋体"/>
                <w:bCs/>
                <w:color w:val="auto"/>
                <w:szCs w:val="21"/>
                <w:highlight w:val="none"/>
              </w:rPr>
              <w:t>支持门诊病历的提交和退回审批流程。即已经打印的病历会自动提交并锁定。医生如果要修改需要先退回申请，由主管部门审批通过才允许修改。24小时内未打印的病历无需审批，会自动退回。</w:t>
            </w:r>
          </w:p>
        </w:tc>
      </w:tr>
      <w:tr w14:paraId="0EEC5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67" w:type="dxa"/>
            <w:vMerge w:val="continue"/>
            <w:vAlign w:val="center"/>
          </w:tcPr>
          <w:p w14:paraId="178F3F31">
            <w:pPr>
              <w:rPr>
                <w:rFonts w:ascii="宋体" w:hAnsi="宋体" w:cs="宋体"/>
                <w:color w:val="auto"/>
                <w:szCs w:val="21"/>
                <w:highlight w:val="none"/>
              </w:rPr>
            </w:pPr>
          </w:p>
        </w:tc>
        <w:tc>
          <w:tcPr>
            <w:tcW w:w="1096" w:type="dxa"/>
            <w:gridSpan w:val="2"/>
            <w:vMerge w:val="continue"/>
            <w:vAlign w:val="center"/>
          </w:tcPr>
          <w:p w14:paraId="148C64AB">
            <w:pPr>
              <w:widowControl/>
              <w:jc w:val="center"/>
              <w:rPr>
                <w:rFonts w:ascii="宋体" w:hAnsi="宋体" w:cs="宋体"/>
                <w:color w:val="auto"/>
                <w:kern w:val="0"/>
                <w:szCs w:val="21"/>
                <w:highlight w:val="none"/>
              </w:rPr>
            </w:pPr>
          </w:p>
        </w:tc>
        <w:tc>
          <w:tcPr>
            <w:tcW w:w="8076" w:type="dxa"/>
            <w:vAlign w:val="center"/>
          </w:tcPr>
          <w:p w14:paraId="4621C500">
            <w:pPr>
              <w:numPr>
                <w:ilvl w:val="0"/>
                <w:numId w:val="12"/>
              </w:numPr>
              <w:tabs>
                <w:tab w:val="left" w:pos="525"/>
                <w:tab w:val="left" w:pos="630"/>
              </w:tabs>
              <w:spacing w:line="360" w:lineRule="auto"/>
              <w:rPr>
                <w:rFonts w:ascii="宋体" w:hAnsi="宋体" w:cs="宋体"/>
                <w:bCs/>
                <w:color w:val="auto"/>
                <w:szCs w:val="21"/>
                <w:highlight w:val="none"/>
              </w:rPr>
            </w:pPr>
            <w:r>
              <w:rPr>
                <w:rFonts w:hint="eastAsia" w:ascii="宋体" w:hAnsi="宋体" w:cs="宋体"/>
                <w:bCs/>
                <w:color w:val="auto"/>
                <w:szCs w:val="21"/>
                <w:highlight w:val="none"/>
              </w:rPr>
              <w:t>支持根据药师姓名、日期、患者姓名查询统计门诊药历书写情况</w:t>
            </w:r>
          </w:p>
        </w:tc>
      </w:tr>
      <w:tr w14:paraId="3AFF8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67" w:type="dxa"/>
            <w:vMerge w:val="continue"/>
            <w:vAlign w:val="center"/>
          </w:tcPr>
          <w:p w14:paraId="17CDBAE2">
            <w:pPr>
              <w:rPr>
                <w:rFonts w:ascii="宋体" w:hAnsi="宋体" w:cs="宋体"/>
                <w:color w:val="auto"/>
                <w:szCs w:val="21"/>
                <w:highlight w:val="none"/>
              </w:rPr>
            </w:pPr>
          </w:p>
        </w:tc>
        <w:tc>
          <w:tcPr>
            <w:tcW w:w="9172" w:type="dxa"/>
            <w:gridSpan w:val="3"/>
            <w:vAlign w:val="center"/>
          </w:tcPr>
          <w:p w14:paraId="68B9CD22">
            <w:pPr>
              <w:rPr>
                <w:rFonts w:ascii="宋体" w:hAnsi="宋体" w:cs="宋体"/>
                <w:color w:val="auto"/>
                <w:kern w:val="0"/>
                <w:szCs w:val="21"/>
                <w:highlight w:val="none"/>
              </w:rPr>
            </w:pPr>
            <w:r>
              <w:rPr>
                <w:rFonts w:hint="eastAsia"/>
                <w:color w:val="auto"/>
                <w:szCs w:val="21"/>
                <w:highlight w:val="none"/>
              </w:rPr>
              <w:t>门诊病历与质控联动</w:t>
            </w:r>
          </w:p>
        </w:tc>
      </w:tr>
      <w:tr w14:paraId="5E2B7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5" w:hRule="atLeast"/>
          <w:jc w:val="center"/>
        </w:trPr>
        <w:tc>
          <w:tcPr>
            <w:tcW w:w="867" w:type="dxa"/>
            <w:vMerge w:val="continue"/>
            <w:vAlign w:val="center"/>
          </w:tcPr>
          <w:p w14:paraId="790CCB6D">
            <w:pPr>
              <w:rPr>
                <w:rFonts w:ascii="宋体" w:hAnsi="宋体" w:cs="宋体"/>
                <w:color w:val="auto"/>
                <w:szCs w:val="21"/>
                <w:highlight w:val="none"/>
              </w:rPr>
            </w:pPr>
          </w:p>
        </w:tc>
        <w:tc>
          <w:tcPr>
            <w:tcW w:w="1096" w:type="dxa"/>
            <w:gridSpan w:val="2"/>
            <w:vMerge w:val="restart"/>
            <w:vAlign w:val="center"/>
          </w:tcPr>
          <w:p w14:paraId="7AE51FBC">
            <w:pPr>
              <w:widowControl/>
              <w:jc w:val="center"/>
              <w:rPr>
                <w:rFonts w:ascii="宋体" w:hAnsi="宋体" w:cs="宋体"/>
                <w:color w:val="auto"/>
                <w:kern w:val="0"/>
                <w:szCs w:val="21"/>
                <w:highlight w:val="none"/>
              </w:rPr>
            </w:pPr>
            <w:r>
              <w:rPr>
                <w:rFonts w:hint="eastAsia"/>
                <w:color w:val="auto"/>
                <w:szCs w:val="21"/>
                <w:highlight w:val="none"/>
              </w:rPr>
              <w:t>门诊病历与质控联动</w:t>
            </w:r>
          </w:p>
        </w:tc>
        <w:tc>
          <w:tcPr>
            <w:tcW w:w="8076" w:type="dxa"/>
            <w:vAlign w:val="center"/>
          </w:tcPr>
          <w:p w14:paraId="2ABD6BD3">
            <w:pPr>
              <w:numPr>
                <w:ilvl w:val="0"/>
                <w:numId w:val="12"/>
              </w:numPr>
              <w:tabs>
                <w:tab w:val="left" w:pos="525"/>
                <w:tab w:val="left" w:pos="630"/>
              </w:tabs>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提供门诊病历的边写边质控功能，门诊病历和质控需一体化集成和实时提醒。医生病历签名时，根据配置的内涵质控规则对病历内容进行质控，对问题病历进行实时提醒。比如主诉不超过20个字、男性病历中出现女性描述、老人病历中出现儿童描述等；</w:t>
            </w:r>
          </w:p>
          <w:p w14:paraId="3DC8AFA4">
            <w:pPr>
              <w:numPr>
                <w:ilvl w:val="0"/>
                <w:numId w:val="12"/>
              </w:numPr>
              <w:tabs>
                <w:tab w:val="left" w:pos="525"/>
                <w:tab w:val="left" w:pos="630"/>
              </w:tabs>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支持按质控点名称、质控逻辑、类型、状态、提醒级别进行质控点的查询。</w:t>
            </w:r>
          </w:p>
          <w:p w14:paraId="7996135F">
            <w:pPr>
              <w:numPr>
                <w:ilvl w:val="0"/>
                <w:numId w:val="12"/>
              </w:numPr>
              <w:tabs>
                <w:tab w:val="left" w:pos="525"/>
                <w:tab w:val="left" w:pos="630"/>
              </w:tabs>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支持在质控点查询页面查看每条质控点的质控逻辑、质控点状态。</w:t>
            </w:r>
          </w:p>
          <w:p w14:paraId="1969FC7E">
            <w:pPr>
              <w:numPr>
                <w:ilvl w:val="0"/>
                <w:numId w:val="12"/>
              </w:numPr>
              <w:tabs>
                <w:tab w:val="left" w:pos="525"/>
                <w:tab w:val="left" w:pos="630"/>
              </w:tabs>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支持对质控点的生效状态进行开启/关闭。</w:t>
            </w:r>
          </w:p>
          <w:p w14:paraId="04ADB3DF">
            <w:pPr>
              <w:numPr>
                <w:ilvl w:val="0"/>
                <w:numId w:val="12"/>
              </w:numPr>
              <w:tabs>
                <w:tab w:val="left" w:pos="525"/>
                <w:tab w:val="left" w:pos="630"/>
              </w:tabs>
              <w:spacing w:line="360" w:lineRule="auto"/>
              <w:rPr>
                <w:rFonts w:ascii="宋体" w:hAnsi="宋体" w:cs="宋体"/>
                <w:bCs/>
                <w:color w:val="auto"/>
                <w:szCs w:val="21"/>
                <w:highlight w:val="none"/>
              </w:rPr>
            </w:pPr>
            <w:r>
              <w:rPr>
                <w:rFonts w:hint="eastAsia" w:ascii="宋体" w:hAnsi="宋体" w:cs="宋体"/>
                <w:bCs/>
                <w:color w:val="auto"/>
                <w:szCs w:val="21"/>
                <w:highlight w:val="none"/>
              </w:rPr>
              <w:t>支持质控点级别的自定义配置，支持3级配置，3级为最高级别。</w:t>
            </w:r>
          </w:p>
        </w:tc>
      </w:tr>
      <w:tr w14:paraId="78765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7" w:hRule="atLeast"/>
          <w:jc w:val="center"/>
        </w:trPr>
        <w:tc>
          <w:tcPr>
            <w:tcW w:w="867" w:type="dxa"/>
            <w:vMerge w:val="continue"/>
            <w:vAlign w:val="center"/>
          </w:tcPr>
          <w:p w14:paraId="45ACD2F8">
            <w:pPr>
              <w:rPr>
                <w:rFonts w:ascii="宋体" w:hAnsi="宋体" w:cs="宋体"/>
                <w:color w:val="auto"/>
                <w:szCs w:val="21"/>
                <w:highlight w:val="none"/>
              </w:rPr>
            </w:pPr>
          </w:p>
        </w:tc>
        <w:tc>
          <w:tcPr>
            <w:tcW w:w="1096" w:type="dxa"/>
            <w:gridSpan w:val="2"/>
            <w:vMerge w:val="continue"/>
            <w:vAlign w:val="center"/>
          </w:tcPr>
          <w:p w14:paraId="12265308">
            <w:pPr>
              <w:widowControl/>
              <w:jc w:val="center"/>
              <w:rPr>
                <w:rFonts w:ascii="宋体" w:hAnsi="宋体" w:cs="宋体"/>
                <w:color w:val="auto"/>
                <w:kern w:val="0"/>
                <w:szCs w:val="21"/>
                <w:highlight w:val="none"/>
              </w:rPr>
            </w:pPr>
          </w:p>
        </w:tc>
        <w:tc>
          <w:tcPr>
            <w:tcW w:w="8076" w:type="dxa"/>
            <w:vAlign w:val="center"/>
          </w:tcPr>
          <w:p w14:paraId="63BE2844">
            <w:pPr>
              <w:numPr>
                <w:ilvl w:val="0"/>
                <w:numId w:val="12"/>
              </w:numPr>
              <w:tabs>
                <w:tab w:val="left" w:pos="525"/>
                <w:tab w:val="left" w:pos="630"/>
              </w:tabs>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门诊病历质控提醒包括提醒、拦截、禁止三种类型。提醒类不卡控医生签名，且质控消息仅小弹窗提醒。拦截类和禁止类需卡控医生签名，且质控消息直接从侧边弹出，需对提醒内容整改后重新签名。</w:t>
            </w:r>
          </w:p>
          <w:p w14:paraId="3C81B727">
            <w:pPr>
              <w:numPr>
                <w:ilvl w:val="0"/>
                <w:numId w:val="12"/>
              </w:numPr>
              <w:tabs>
                <w:tab w:val="left" w:pos="525"/>
                <w:tab w:val="left" w:pos="630"/>
              </w:tabs>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支持对全院各门诊科室病历质量情况进行统计分析，包括门诊患者数、问题数、修正问题数、科室质量情况分布等。</w:t>
            </w:r>
          </w:p>
          <w:p w14:paraId="1201633E">
            <w:pPr>
              <w:numPr>
                <w:ilvl w:val="0"/>
                <w:numId w:val="12"/>
              </w:numPr>
              <w:tabs>
                <w:tab w:val="left" w:pos="525"/>
                <w:tab w:val="left" w:pos="630"/>
              </w:tabs>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支持对全院各门诊医生病历质量情况进行统计分析，包括门诊患者数、问题数、修正问题数、门诊医生质量情况分布等。</w:t>
            </w:r>
          </w:p>
          <w:p w14:paraId="7072BA6E">
            <w:pPr>
              <w:numPr>
                <w:ilvl w:val="0"/>
                <w:numId w:val="12"/>
              </w:numPr>
              <w:tabs>
                <w:tab w:val="left" w:pos="525"/>
                <w:tab w:val="left" w:pos="630"/>
              </w:tabs>
              <w:spacing w:line="360" w:lineRule="auto"/>
              <w:rPr>
                <w:rFonts w:ascii="宋体" w:hAnsi="宋体" w:cs="宋体"/>
                <w:bCs/>
                <w:color w:val="auto"/>
                <w:szCs w:val="21"/>
                <w:highlight w:val="none"/>
              </w:rPr>
            </w:pPr>
            <w:r>
              <w:rPr>
                <w:rFonts w:hint="eastAsia" w:ascii="宋体" w:hAnsi="宋体" w:cs="宋体"/>
                <w:bCs/>
                <w:color w:val="auto"/>
                <w:szCs w:val="21"/>
                <w:highlight w:val="none"/>
              </w:rPr>
              <w:t>支持查看门诊病历的缺陷问题明细列表，分析全院缺陷问题，包括各缺陷问题的质控患者数汇总、质控失败患者数汇总、质控修正患者数汇总、质控患者修正率汇总、质控点等级。</w:t>
            </w:r>
          </w:p>
        </w:tc>
      </w:tr>
      <w:tr w14:paraId="2EA96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67" w:type="dxa"/>
            <w:vMerge w:val="continue"/>
            <w:vAlign w:val="center"/>
          </w:tcPr>
          <w:p w14:paraId="6E11C70E">
            <w:pPr>
              <w:rPr>
                <w:rFonts w:ascii="宋体" w:hAnsi="宋体" w:cs="宋体"/>
                <w:color w:val="auto"/>
                <w:szCs w:val="21"/>
                <w:highlight w:val="none"/>
              </w:rPr>
            </w:pPr>
          </w:p>
        </w:tc>
        <w:tc>
          <w:tcPr>
            <w:tcW w:w="9172" w:type="dxa"/>
            <w:gridSpan w:val="3"/>
            <w:vAlign w:val="center"/>
          </w:tcPr>
          <w:p w14:paraId="3B0E4CE9">
            <w:pPr>
              <w:rPr>
                <w:rFonts w:ascii="宋体" w:hAnsi="宋体" w:cs="宋体"/>
                <w:color w:val="auto"/>
                <w:kern w:val="0"/>
                <w:szCs w:val="21"/>
                <w:highlight w:val="none"/>
              </w:rPr>
            </w:pPr>
            <w:r>
              <w:rPr>
                <w:rFonts w:hint="eastAsia"/>
                <w:color w:val="auto"/>
                <w:szCs w:val="21"/>
                <w:highlight w:val="none"/>
              </w:rPr>
              <w:t>门诊病历模板管理</w:t>
            </w:r>
          </w:p>
        </w:tc>
      </w:tr>
      <w:tr w14:paraId="59A07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867" w:type="dxa"/>
            <w:vMerge w:val="continue"/>
            <w:vAlign w:val="center"/>
          </w:tcPr>
          <w:p w14:paraId="3393BEF6">
            <w:pPr>
              <w:rPr>
                <w:rFonts w:ascii="宋体" w:hAnsi="宋体" w:cs="宋体"/>
                <w:color w:val="auto"/>
                <w:szCs w:val="21"/>
                <w:highlight w:val="none"/>
              </w:rPr>
            </w:pPr>
          </w:p>
        </w:tc>
        <w:tc>
          <w:tcPr>
            <w:tcW w:w="1096" w:type="dxa"/>
            <w:gridSpan w:val="2"/>
            <w:vMerge w:val="restart"/>
            <w:vAlign w:val="center"/>
          </w:tcPr>
          <w:p w14:paraId="4611ABAC">
            <w:pPr>
              <w:widowControl/>
              <w:jc w:val="center"/>
              <w:rPr>
                <w:rFonts w:ascii="宋体" w:hAnsi="宋体" w:cs="宋体"/>
                <w:color w:val="auto"/>
                <w:kern w:val="0"/>
                <w:szCs w:val="21"/>
                <w:highlight w:val="none"/>
              </w:rPr>
            </w:pPr>
            <w:r>
              <w:rPr>
                <w:rFonts w:hint="eastAsia"/>
                <w:color w:val="auto"/>
                <w:szCs w:val="21"/>
                <w:highlight w:val="none"/>
              </w:rPr>
              <w:t>门诊病历模板管理</w:t>
            </w:r>
          </w:p>
        </w:tc>
        <w:tc>
          <w:tcPr>
            <w:tcW w:w="8076" w:type="dxa"/>
            <w:vAlign w:val="center"/>
          </w:tcPr>
          <w:p w14:paraId="2EF3CA30">
            <w:pPr>
              <w:numPr>
                <w:ilvl w:val="0"/>
                <w:numId w:val="12"/>
              </w:numPr>
              <w:tabs>
                <w:tab w:val="left" w:pos="525"/>
                <w:tab w:val="left" w:pos="630"/>
              </w:tabs>
              <w:spacing w:line="360" w:lineRule="auto"/>
              <w:rPr>
                <w:rFonts w:ascii="宋体" w:hAnsi="宋体" w:cs="宋体"/>
                <w:bCs/>
                <w:color w:val="auto"/>
                <w:szCs w:val="21"/>
                <w:highlight w:val="none"/>
              </w:rPr>
            </w:pPr>
            <w:r>
              <w:rPr>
                <w:rFonts w:hint="eastAsia" w:ascii="宋体" w:hAnsi="宋体" w:cs="宋体"/>
                <w:bCs/>
                <w:color w:val="auto"/>
                <w:szCs w:val="21"/>
                <w:highlight w:val="none"/>
              </w:rPr>
              <w:t>提供科室模板管理员创建和授权功能。管理员可以被授权不同的诊疗科目，授权后管理员只管理有权限科室的病历模板；</w:t>
            </w:r>
          </w:p>
        </w:tc>
      </w:tr>
      <w:tr w14:paraId="74DDC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867" w:type="dxa"/>
            <w:vMerge w:val="continue"/>
            <w:vAlign w:val="center"/>
          </w:tcPr>
          <w:p w14:paraId="7B45062F">
            <w:pPr>
              <w:rPr>
                <w:rFonts w:ascii="宋体" w:hAnsi="宋体" w:cs="宋体"/>
                <w:color w:val="auto"/>
                <w:szCs w:val="21"/>
                <w:highlight w:val="none"/>
              </w:rPr>
            </w:pPr>
          </w:p>
        </w:tc>
        <w:tc>
          <w:tcPr>
            <w:tcW w:w="1096" w:type="dxa"/>
            <w:gridSpan w:val="2"/>
            <w:vMerge w:val="continue"/>
            <w:vAlign w:val="center"/>
          </w:tcPr>
          <w:p w14:paraId="220B3DA0">
            <w:pPr>
              <w:widowControl/>
              <w:jc w:val="center"/>
              <w:rPr>
                <w:rFonts w:ascii="宋体" w:hAnsi="宋体" w:cs="宋体"/>
                <w:color w:val="auto"/>
                <w:kern w:val="0"/>
                <w:szCs w:val="21"/>
                <w:highlight w:val="none"/>
              </w:rPr>
            </w:pPr>
          </w:p>
        </w:tc>
        <w:tc>
          <w:tcPr>
            <w:tcW w:w="8076" w:type="dxa"/>
            <w:vAlign w:val="center"/>
          </w:tcPr>
          <w:p w14:paraId="2447E30A">
            <w:pPr>
              <w:numPr>
                <w:ilvl w:val="0"/>
                <w:numId w:val="12"/>
              </w:numPr>
              <w:tabs>
                <w:tab w:val="left" w:pos="525"/>
                <w:tab w:val="left" w:pos="630"/>
              </w:tabs>
              <w:spacing w:line="360" w:lineRule="auto"/>
              <w:rPr>
                <w:rFonts w:ascii="宋体" w:hAnsi="宋体" w:cs="宋体"/>
                <w:bCs/>
                <w:color w:val="auto"/>
                <w:szCs w:val="21"/>
                <w:highlight w:val="none"/>
              </w:rPr>
            </w:pPr>
            <w:r>
              <w:rPr>
                <w:rFonts w:hint="eastAsia" w:ascii="宋体" w:hAnsi="宋体" w:cs="宋体"/>
                <w:bCs/>
                <w:color w:val="auto"/>
                <w:szCs w:val="21"/>
                <w:highlight w:val="none"/>
              </w:rPr>
              <w:t>提供三级模板管理和审批功能。三级模板有全院格式模板、科室章节模板和个人数据模板；</w:t>
            </w:r>
          </w:p>
        </w:tc>
      </w:tr>
      <w:tr w14:paraId="0CBB6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867" w:type="dxa"/>
            <w:vMerge w:val="continue"/>
            <w:vAlign w:val="center"/>
          </w:tcPr>
          <w:p w14:paraId="7C3A67A2">
            <w:pPr>
              <w:rPr>
                <w:rFonts w:ascii="宋体" w:hAnsi="宋体" w:cs="宋体"/>
                <w:color w:val="auto"/>
                <w:szCs w:val="21"/>
                <w:highlight w:val="none"/>
              </w:rPr>
            </w:pPr>
          </w:p>
        </w:tc>
        <w:tc>
          <w:tcPr>
            <w:tcW w:w="1096" w:type="dxa"/>
            <w:gridSpan w:val="2"/>
            <w:vMerge w:val="continue"/>
            <w:vAlign w:val="center"/>
          </w:tcPr>
          <w:p w14:paraId="67A6BE57">
            <w:pPr>
              <w:widowControl/>
              <w:jc w:val="center"/>
              <w:rPr>
                <w:rFonts w:ascii="宋体" w:hAnsi="宋体" w:cs="宋体"/>
                <w:color w:val="auto"/>
                <w:kern w:val="0"/>
                <w:szCs w:val="21"/>
                <w:highlight w:val="none"/>
              </w:rPr>
            </w:pPr>
          </w:p>
        </w:tc>
        <w:tc>
          <w:tcPr>
            <w:tcW w:w="8076" w:type="dxa"/>
            <w:vAlign w:val="center"/>
          </w:tcPr>
          <w:p w14:paraId="02E0FFA1">
            <w:pPr>
              <w:numPr>
                <w:ilvl w:val="0"/>
                <w:numId w:val="12"/>
              </w:numPr>
              <w:tabs>
                <w:tab w:val="left" w:pos="525"/>
                <w:tab w:val="left" w:pos="630"/>
              </w:tabs>
              <w:spacing w:line="360" w:lineRule="auto"/>
              <w:rPr>
                <w:rFonts w:ascii="宋体" w:hAnsi="宋体" w:cs="宋体"/>
                <w:bCs/>
                <w:color w:val="auto"/>
                <w:szCs w:val="21"/>
                <w:highlight w:val="none"/>
              </w:rPr>
            </w:pPr>
            <w:r>
              <w:rPr>
                <w:rFonts w:hint="eastAsia" w:ascii="宋体" w:hAnsi="宋体" w:cs="宋体"/>
                <w:bCs/>
                <w:color w:val="auto"/>
                <w:szCs w:val="21"/>
                <w:highlight w:val="none"/>
              </w:rPr>
              <w:t>实现全院格式模板的统一管理。个人数据模板继承自全院格式模板并受母板管控，修改母板后所有相关模板能自动更新，包括增删改文本、元素、表格等操作；</w:t>
            </w:r>
          </w:p>
        </w:tc>
      </w:tr>
      <w:tr w14:paraId="37655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867" w:type="dxa"/>
            <w:vMerge w:val="continue"/>
            <w:vAlign w:val="center"/>
          </w:tcPr>
          <w:p w14:paraId="0C3D7106">
            <w:pPr>
              <w:rPr>
                <w:rFonts w:ascii="宋体" w:hAnsi="宋体" w:cs="宋体"/>
                <w:color w:val="auto"/>
                <w:szCs w:val="21"/>
                <w:highlight w:val="none"/>
              </w:rPr>
            </w:pPr>
          </w:p>
        </w:tc>
        <w:tc>
          <w:tcPr>
            <w:tcW w:w="1096" w:type="dxa"/>
            <w:gridSpan w:val="2"/>
            <w:vMerge w:val="continue"/>
            <w:vAlign w:val="center"/>
          </w:tcPr>
          <w:p w14:paraId="2C25ADD7">
            <w:pPr>
              <w:widowControl/>
              <w:jc w:val="center"/>
              <w:rPr>
                <w:rFonts w:ascii="宋体" w:hAnsi="宋体" w:cs="宋体"/>
                <w:color w:val="auto"/>
                <w:kern w:val="0"/>
                <w:szCs w:val="21"/>
                <w:highlight w:val="none"/>
              </w:rPr>
            </w:pPr>
          </w:p>
        </w:tc>
        <w:tc>
          <w:tcPr>
            <w:tcW w:w="8076" w:type="dxa"/>
            <w:vAlign w:val="center"/>
          </w:tcPr>
          <w:p w14:paraId="3C8AE44E">
            <w:pPr>
              <w:numPr>
                <w:ilvl w:val="0"/>
                <w:numId w:val="12"/>
              </w:numPr>
              <w:tabs>
                <w:tab w:val="left" w:pos="525"/>
                <w:tab w:val="left" w:pos="630"/>
              </w:tabs>
              <w:spacing w:line="360" w:lineRule="auto"/>
              <w:rPr>
                <w:rFonts w:ascii="宋体" w:hAnsi="宋体" w:cs="宋体"/>
                <w:bCs/>
                <w:color w:val="auto"/>
                <w:szCs w:val="21"/>
                <w:highlight w:val="none"/>
              </w:rPr>
            </w:pPr>
            <w:r>
              <w:rPr>
                <w:rFonts w:hint="eastAsia" w:ascii="宋体" w:hAnsi="宋体" w:cs="宋体"/>
                <w:bCs/>
                <w:color w:val="auto"/>
                <w:szCs w:val="21"/>
                <w:highlight w:val="none"/>
              </w:rPr>
              <w:t>提供数值、日期、单选、文本、选择、复选等元素的插入，支持图片、按钮、页眉、片段、二维码、条形码等内容的编辑；</w:t>
            </w:r>
          </w:p>
        </w:tc>
      </w:tr>
      <w:tr w14:paraId="416A6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867" w:type="dxa"/>
            <w:vMerge w:val="continue"/>
            <w:vAlign w:val="center"/>
          </w:tcPr>
          <w:p w14:paraId="45C9A24E">
            <w:pPr>
              <w:rPr>
                <w:rFonts w:ascii="宋体" w:hAnsi="宋体" w:cs="宋体"/>
                <w:color w:val="auto"/>
                <w:szCs w:val="21"/>
                <w:highlight w:val="none"/>
              </w:rPr>
            </w:pPr>
          </w:p>
        </w:tc>
        <w:tc>
          <w:tcPr>
            <w:tcW w:w="1096" w:type="dxa"/>
            <w:gridSpan w:val="2"/>
            <w:vMerge w:val="continue"/>
            <w:vAlign w:val="center"/>
          </w:tcPr>
          <w:p w14:paraId="63646B97">
            <w:pPr>
              <w:widowControl/>
              <w:jc w:val="center"/>
              <w:rPr>
                <w:rFonts w:ascii="宋体" w:hAnsi="宋体" w:cs="宋体"/>
                <w:color w:val="auto"/>
                <w:kern w:val="0"/>
                <w:szCs w:val="21"/>
                <w:highlight w:val="none"/>
              </w:rPr>
            </w:pPr>
          </w:p>
        </w:tc>
        <w:tc>
          <w:tcPr>
            <w:tcW w:w="8076" w:type="dxa"/>
            <w:vAlign w:val="center"/>
          </w:tcPr>
          <w:p w14:paraId="1E807738">
            <w:pPr>
              <w:numPr>
                <w:ilvl w:val="0"/>
                <w:numId w:val="12"/>
              </w:numPr>
              <w:tabs>
                <w:tab w:val="left" w:pos="525"/>
                <w:tab w:val="left" w:pos="630"/>
              </w:tabs>
              <w:spacing w:line="360" w:lineRule="auto"/>
              <w:rPr>
                <w:rFonts w:ascii="宋体" w:hAnsi="宋体" w:cs="宋体"/>
                <w:bCs/>
                <w:color w:val="auto"/>
                <w:szCs w:val="21"/>
                <w:highlight w:val="none"/>
              </w:rPr>
            </w:pPr>
            <w:r>
              <w:rPr>
                <w:rFonts w:hint="eastAsia" w:ascii="宋体" w:hAnsi="宋体" w:cs="宋体"/>
                <w:bCs/>
                <w:color w:val="auto"/>
                <w:szCs w:val="21"/>
                <w:highlight w:val="none"/>
              </w:rPr>
              <w:t>支持病历内容之间的联动，包括元素与元素、元素与片段、元素与表格之间的逻辑关系联动；</w:t>
            </w:r>
          </w:p>
        </w:tc>
      </w:tr>
      <w:tr w14:paraId="726CA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67" w:type="dxa"/>
            <w:vMerge w:val="continue"/>
            <w:vAlign w:val="center"/>
          </w:tcPr>
          <w:p w14:paraId="29005C8E">
            <w:pPr>
              <w:rPr>
                <w:rFonts w:ascii="宋体" w:hAnsi="宋体" w:cs="宋体"/>
                <w:color w:val="auto"/>
                <w:szCs w:val="21"/>
                <w:highlight w:val="none"/>
              </w:rPr>
            </w:pPr>
          </w:p>
        </w:tc>
        <w:tc>
          <w:tcPr>
            <w:tcW w:w="1096" w:type="dxa"/>
            <w:gridSpan w:val="2"/>
            <w:vMerge w:val="continue"/>
            <w:vAlign w:val="center"/>
          </w:tcPr>
          <w:p w14:paraId="0DEB7BF8">
            <w:pPr>
              <w:widowControl/>
              <w:jc w:val="center"/>
              <w:rPr>
                <w:rFonts w:ascii="宋体" w:hAnsi="宋体" w:cs="宋体"/>
                <w:color w:val="auto"/>
                <w:kern w:val="0"/>
                <w:szCs w:val="21"/>
                <w:highlight w:val="none"/>
              </w:rPr>
            </w:pPr>
          </w:p>
        </w:tc>
        <w:tc>
          <w:tcPr>
            <w:tcW w:w="8076" w:type="dxa"/>
            <w:vAlign w:val="center"/>
          </w:tcPr>
          <w:p w14:paraId="1DFF9E68">
            <w:pPr>
              <w:numPr>
                <w:ilvl w:val="0"/>
                <w:numId w:val="12"/>
              </w:numPr>
              <w:tabs>
                <w:tab w:val="left" w:pos="525"/>
                <w:tab w:val="left" w:pos="630"/>
              </w:tabs>
              <w:spacing w:line="360" w:lineRule="auto"/>
              <w:rPr>
                <w:rFonts w:ascii="宋体" w:hAnsi="宋体" w:cs="宋体"/>
                <w:bCs/>
                <w:color w:val="auto"/>
                <w:szCs w:val="21"/>
                <w:highlight w:val="none"/>
              </w:rPr>
            </w:pPr>
            <w:r>
              <w:rPr>
                <w:rFonts w:hint="eastAsia" w:ascii="宋体" w:hAnsi="宋体" w:cs="宋体"/>
                <w:bCs/>
                <w:color w:val="auto"/>
                <w:szCs w:val="21"/>
                <w:highlight w:val="none"/>
              </w:rPr>
              <w:t>支持打印隐藏元素设置，用于实现病历编辑提示信息，病历预览和打印后不显示；</w:t>
            </w:r>
          </w:p>
        </w:tc>
      </w:tr>
      <w:tr w14:paraId="28C0E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867" w:type="dxa"/>
            <w:vMerge w:val="continue"/>
            <w:vAlign w:val="center"/>
          </w:tcPr>
          <w:p w14:paraId="4EA6277C">
            <w:pPr>
              <w:rPr>
                <w:rFonts w:ascii="宋体" w:hAnsi="宋体" w:cs="宋体"/>
                <w:color w:val="auto"/>
                <w:szCs w:val="21"/>
                <w:highlight w:val="none"/>
              </w:rPr>
            </w:pPr>
          </w:p>
        </w:tc>
        <w:tc>
          <w:tcPr>
            <w:tcW w:w="1096" w:type="dxa"/>
            <w:gridSpan w:val="2"/>
            <w:vMerge w:val="continue"/>
            <w:vAlign w:val="center"/>
          </w:tcPr>
          <w:p w14:paraId="57459AC9">
            <w:pPr>
              <w:widowControl/>
              <w:jc w:val="center"/>
              <w:rPr>
                <w:rFonts w:ascii="宋体" w:hAnsi="宋体" w:cs="宋体"/>
                <w:color w:val="auto"/>
                <w:kern w:val="0"/>
                <w:szCs w:val="21"/>
                <w:highlight w:val="none"/>
              </w:rPr>
            </w:pPr>
          </w:p>
        </w:tc>
        <w:tc>
          <w:tcPr>
            <w:tcW w:w="8076" w:type="dxa"/>
            <w:vAlign w:val="center"/>
          </w:tcPr>
          <w:p w14:paraId="244FE996">
            <w:pPr>
              <w:numPr>
                <w:ilvl w:val="0"/>
                <w:numId w:val="12"/>
              </w:numPr>
              <w:tabs>
                <w:tab w:val="left" w:pos="525"/>
                <w:tab w:val="left" w:pos="630"/>
              </w:tabs>
              <w:spacing w:line="360" w:lineRule="auto"/>
              <w:rPr>
                <w:rFonts w:ascii="宋体" w:hAnsi="宋体" w:cs="宋体"/>
                <w:bCs/>
                <w:color w:val="auto"/>
                <w:szCs w:val="21"/>
                <w:highlight w:val="none"/>
              </w:rPr>
            </w:pPr>
            <w:r>
              <w:rPr>
                <w:rFonts w:hint="eastAsia" w:ascii="宋体" w:hAnsi="宋体" w:cs="宋体"/>
                <w:bCs/>
                <w:color w:val="auto"/>
                <w:szCs w:val="21"/>
                <w:highlight w:val="none"/>
              </w:rPr>
              <w:t>提供病历模板打印格式的自定义功能。做模板时定义病历打印格式脚本，在模板制作页面即可预览打印格式，实现病历书写和打印的分离。打印脚本支持整个章节的显示或隐藏、元素的显示或隐藏、打印内容的重组等；</w:t>
            </w:r>
          </w:p>
        </w:tc>
      </w:tr>
      <w:tr w14:paraId="5A8F8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867" w:type="dxa"/>
            <w:vMerge w:val="continue"/>
            <w:vAlign w:val="center"/>
          </w:tcPr>
          <w:p w14:paraId="0C6F5778">
            <w:pPr>
              <w:rPr>
                <w:rFonts w:ascii="宋体" w:hAnsi="宋体" w:cs="宋体"/>
                <w:color w:val="auto"/>
                <w:szCs w:val="21"/>
                <w:highlight w:val="none"/>
              </w:rPr>
            </w:pPr>
          </w:p>
        </w:tc>
        <w:tc>
          <w:tcPr>
            <w:tcW w:w="1096" w:type="dxa"/>
            <w:gridSpan w:val="2"/>
            <w:vMerge w:val="continue"/>
            <w:vAlign w:val="center"/>
          </w:tcPr>
          <w:p w14:paraId="267B5E74">
            <w:pPr>
              <w:widowControl/>
              <w:jc w:val="center"/>
              <w:rPr>
                <w:rFonts w:ascii="宋体" w:hAnsi="宋体" w:cs="宋体"/>
                <w:color w:val="auto"/>
                <w:kern w:val="0"/>
                <w:szCs w:val="21"/>
                <w:highlight w:val="none"/>
              </w:rPr>
            </w:pPr>
          </w:p>
        </w:tc>
        <w:tc>
          <w:tcPr>
            <w:tcW w:w="8076" w:type="dxa"/>
            <w:vAlign w:val="center"/>
          </w:tcPr>
          <w:p w14:paraId="65E34308">
            <w:pPr>
              <w:numPr>
                <w:ilvl w:val="0"/>
                <w:numId w:val="12"/>
              </w:numPr>
              <w:tabs>
                <w:tab w:val="left" w:pos="525"/>
                <w:tab w:val="left" w:pos="630"/>
              </w:tabs>
              <w:spacing w:line="360" w:lineRule="auto"/>
              <w:rPr>
                <w:rFonts w:ascii="宋体" w:hAnsi="宋体" w:cs="宋体"/>
                <w:bCs/>
                <w:color w:val="auto"/>
                <w:szCs w:val="21"/>
                <w:highlight w:val="none"/>
              </w:rPr>
            </w:pPr>
            <w:r>
              <w:rPr>
                <w:rFonts w:hint="eastAsia" w:ascii="宋体" w:hAnsi="宋体" w:cs="宋体"/>
                <w:bCs/>
                <w:color w:val="auto"/>
                <w:szCs w:val="21"/>
                <w:highlight w:val="none"/>
              </w:rPr>
              <w:t>提供模板批量管理。包括批量改元素属性、批量替换章节内容、批量替换页眉等。对于同一类模板的共性修改，制作人员不需要逐一操作，批量替换以提高工作效率；</w:t>
            </w:r>
          </w:p>
        </w:tc>
      </w:tr>
      <w:tr w14:paraId="33720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867" w:type="dxa"/>
            <w:vMerge w:val="continue"/>
            <w:vAlign w:val="center"/>
          </w:tcPr>
          <w:p w14:paraId="4E5EF51B">
            <w:pPr>
              <w:rPr>
                <w:rFonts w:ascii="宋体" w:hAnsi="宋体" w:cs="宋体"/>
                <w:color w:val="auto"/>
                <w:szCs w:val="21"/>
                <w:highlight w:val="none"/>
              </w:rPr>
            </w:pPr>
          </w:p>
        </w:tc>
        <w:tc>
          <w:tcPr>
            <w:tcW w:w="1096" w:type="dxa"/>
            <w:gridSpan w:val="2"/>
            <w:vMerge w:val="continue"/>
            <w:vAlign w:val="center"/>
          </w:tcPr>
          <w:p w14:paraId="2BEDD9C3">
            <w:pPr>
              <w:widowControl/>
              <w:jc w:val="center"/>
              <w:rPr>
                <w:rFonts w:ascii="宋体" w:hAnsi="宋体" w:cs="宋体"/>
                <w:color w:val="auto"/>
                <w:kern w:val="0"/>
                <w:szCs w:val="21"/>
                <w:highlight w:val="none"/>
              </w:rPr>
            </w:pPr>
          </w:p>
        </w:tc>
        <w:tc>
          <w:tcPr>
            <w:tcW w:w="8076" w:type="dxa"/>
            <w:vAlign w:val="center"/>
          </w:tcPr>
          <w:p w14:paraId="5EC7D638">
            <w:pPr>
              <w:numPr>
                <w:ilvl w:val="0"/>
                <w:numId w:val="12"/>
              </w:numPr>
              <w:tabs>
                <w:tab w:val="left" w:pos="525"/>
                <w:tab w:val="left" w:pos="630"/>
              </w:tabs>
              <w:spacing w:line="360" w:lineRule="auto"/>
              <w:rPr>
                <w:rFonts w:ascii="宋体" w:hAnsi="宋体" w:cs="宋体"/>
                <w:bCs/>
                <w:color w:val="auto"/>
                <w:szCs w:val="21"/>
                <w:highlight w:val="none"/>
              </w:rPr>
            </w:pPr>
            <w:r>
              <w:rPr>
                <w:rFonts w:hint="eastAsia" w:ascii="宋体" w:hAnsi="宋体" w:cs="宋体"/>
                <w:bCs/>
                <w:color w:val="auto"/>
                <w:szCs w:val="21"/>
                <w:highlight w:val="none"/>
              </w:rPr>
              <w:t>支持病历模板的一处制作多处订阅功能。当医院有多个院区时，各院区可以从中心订阅模板，避免模板的重复制作。</w:t>
            </w:r>
          </w:p>
        </w:tc>
      </w:tr>
      <w:tr w14:paraId="28BA2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867" w:type="dxa"/>
            <w:vMerge w:val="continue"/>
            <w:vAlign w:val="center"/>
          </w:tcPr>
          <w:p w14:paraId="4B243EE2">
            <w:pPr>
              <w:rPr>
                <w:rFonts w:ascii="宋体" w:hAnsi="宋体" w:cs="宋体"/>
                <w:color w:val="auto"/>
                <w:szCs w:val="21"/>
                <w:highlight w:val="none"/>
              </w:rPr>
            </w:pPr>
          </w:p>
        </w:tc>
        <w:tc>
          <w:tcPr>
            <w:tcW w:w="1096" w:type="dxa"/>
            <w:gridSpan w:val="2"/>
            <w:vMerge w:val="continue"/>
            <w:vAlign w:val="center"/>
          </w:tcPr>
          <w:p w14:paraId="201809BC">
            <w:pPr>
              <w:widowControl/>
              <w:jc w:val="center"/>
              <w:rPr>
                <w:rFonts w:ascii="宋体" w:hAnsi="宋体" w:cs="宋体"/>
                <w:color w:val="auto"/>
                <w:kern w:val="0"/>
                <w:szCs w:val="21"/>
                <w:highlight w:val="none"/>
              </w:rPr>
            </w:pPr>
          </w:p>
        </w:tc>
        <w:tc>
          <w:tcPr>
            <w:tcW w:w="8076" w:type="dxa"/>
            <w:vAlign w:val="center"/>
          </w:tcPr>
          <w:p w14:paraId="203DAFB0">
            <w:pPr>
              <w:numPr>
                <w:ilvl w:val="0"/>
                <w:numId w:val="12"/>
              </w:numPr>
              <w:tabs>
                <w:tab w:val="left" w:pos="525"/>
                <w:tab w:val="left" w:pos="630"/>
              </w:tabs>
              <w:spacing w:line="360" w:lineRule="auto"/>
              <w:rPr>
                <w:rFonts w:hint="eastAsia" w:ascii="宋体" w:hAnsi="宋体" w:cs="宋体"/>
                <w:bCs/>
                <w:color w:val="auto"/>
                <w:szCs w:val="21"/>
                <w:highlight w:val="none"/>
              </w:rPr>
            </w:pPr>
            <w:r>
              <w:rPr>
                <w:rFonts w:hint="eastAsia" w:ascii="宋体" w:hAnsi="宋体" w:eastAsia="宋体" w:cs="宋体"/>
                <w:bCs/>
                <w:color w:val="auto"/>
                <w:sz w:val="21"/>
                <w:szCs w:val="21"/>
                <w:highlight w:val="none"/>
              </w:rPr>
              <w:t>根据临床实际需求，承担病历文书模板的配置工作，保障文书模板的规范性和适用性。</w:t>
            </w:r>
          </w:p>
        </w:tc>
      </w:tr>
    </w:tbl>
    <w:p w14:paraId="518897BB">
      <w:pPr>
        <w:rPr>
          <w:color w:val="auto"/>
          <w:highlight w:val="none"/>
        </w:rPr>
      </w:pPr>
    </w:p>
    <w:p w14:paraId="7909B2C0">
      <w:pPr>
        <w:rPr>
          <w:color w:val="auto"/>
          <w:highlight w:val="none"/>
        </w:rPr>
      </w:pPr>
    </w:p>
    <w:p w14:paraId="041B70C8">
      <w:pPr>
        <w:rPr>
          <w:color w:val="auto"/>
          <w:highlight w:val="none"/>
        </w:rPr>
      </w:pPr>
    </w:p>
    <w:p w14:paraId="2BC2540B">
      <w:pPr>
        <w:rPr>
          <w:color w:val="auto"/>
          <w:highlight w:val="none"/>
        </w:rPr>
      </w:pPr>
    </w:p>
    <w:p w14:paraId="591EE3FD">
      <w:pPr>
        <w:rPr>
          <w:color w:val="auto"/>
          <w:highlight w:val="none"/>
        </w:rPr>
      </w:pPr>
    </w:p>
    <w:p w14:paraId="2A484481">
      <w:pPr>
        <w:rPr>
          <w:color w:val="auto"/>
          <w:highlight w:val="none"/>
        </w:rPr>
      </w:pPr>
      <w:bookmarkStart w:id="21" w:name="_Toc10152"/>
      <w:bookmarkStart w:id="22" w:name="_Toc5546"/>
    </w:p>
    <w:p w14:paraId="111D5161">
      <w:pPr>
        <w:pStyle w:val="4"/>
        <w:numPr>
          <w:ilvl w:val="2"/>
          <w:numId w:val="1"/>
        </w:numPr>
        <w:spacing w:before="0" w:after="0" w:line="360" w:lineRule="auto"/>
        <w:ind w:left="567" w:hanging="567"/>
        <w:rPr>
          <w:color w:val="auto"/>
          <w:sz w:val="24"/>
          <w:highlight w:val="none"/>
        </w:rPr>
      </w:pPr>
      <w:bookmarkStart w:id="23" w:name="_Toc12598"/>
      <w:bookmarkStart w:id="24" w:name="_Toc29207"/>
      <w:bookmarkStart w:id="25" w:name="_Toc13322"/>
      <w:r>
        <w:rPr>
          <w:rFonts w:hint="eastAsia" w:eastAsia="宋体"/>
          <w:color w:val="auto"/>
          <w:kern w:val="2"/>
          <w:sz w:val="24"/>
          <w:szCs w:val="24"/>
          <w:highlight w:val="none"/>
        </w:rPr>
        <w:t>住院医生站</w:t>
      </w:r>
      <w:bookmarkEnd w:id="21"/>
      <w:bookmarkEnd w:id="22"/>
      <w:bookmarkEnd w:id="23"/>
      <w:bookmarkEnd w:id="24"/>
      <w:bookmarkEnd w:id="25"/>
    </w:p>
    <w:tbl>
      <w:tblPr>
        <w:tblStyle w:val="46"/>
        <w:tblW w:w="99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185"/>
        <w:gridCol w:w="7986"/>
      </w:tblGrid>
      <w:tr w14:paraId="65929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828" w:type="dxa"/>
            <w:vAlign w:val="center"/>
          </w:tcPr>
          <w:p w14:paraId="2CC7C25E">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需求名称</w:t>
            </w:r>
          </w:p>
        </w:tc>
        <w:tc>
          <w:tcPr>
            <w:tcW w:w="1185" w:type="dxa"/>
            <w:vAlign w:val="center"/>
          </w:tcPr>
          <w:p w14:paraId="0678589C">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序号</w:t>
            </w:r>
          </w:p>
        </w:tc>
        <w:tc>
          <w:tcPr>
            <w:tcW w:w="7986" w:type="dxa"/>
            <w:vAlign w:val="center"/>
          </w:tcPr>
          <w:p w14:paraId="51EBFE96">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需求描述</w:t>
            </w:r>
          </w:p>
        </w:tc>
      </w:tr>
      <w:tr w14:paraId="72F53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828" w:type="dxa"/>
            <w:vMerge w:val="restart"/>
            <w:vAlign w:val="center"/>
          </w:tcPr>
          <w:p w14:paraId="43B34680">
            <w:pPr>
              <w:keepNext w:val="0"/>
              <w:keepLines w:val="0"/>
              <w:pageBreakBefore w:val="0"/>
              <w:numPr>
                <w:ilvl w:val="0"/>
                <w:numId w:val="0"/>
              </w:numPr>
              <w:kinsoku/>
              <w:wordWrap/>
              <w:overflowPunct/>
              <w:topLinePunct w:val="0"/>
              <w:autoSpaceDE/>
              <w:autoSpaceDN/>
              <w:bidi w:val="0"/>
              <w:adjustRightInd w:val="0"/>
              <w:snapToGrid w:val="0"/>
              <w:spacing w:line="360" w:lineRule="auto"/>
              <w:ind w:left="425" w:hanging="425"/>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住院医生站</w:t>
            </w:r>
          </w:p>
        </w:tc>
        <w:tc>
          <w:tcPr>
            <w:tcW w:w="9171" w:type="dxa"/>
            <w:gridSpan w:val="2"/>
            <w:vAlign w:val="center"/>
          </w:tcPr>
          <w:p w14:paraId="4FA473A4">
            <w:pPr>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Cs w:val="21"/>
                <w:highlight w:val="none"/>
              </w:rPr>
            </w:pPr>
            <w:r>
              <w:rPr>
                <w:rFonts w:ascii="宋体" w:hAnsi="宋体" w:cs="宋体"/>
                <w:color w:val="auto"/>
                <w:kern w:val="0"/>
                <w:szCs w:val="21"/>
                <w:highlight w:val="none"/>
              </w:rPr>
              <w:t>主页管</w:t>
            </w:r>
            <w:r>
              <w:rPr>
                <w:rFonts w:hint="eastAsia" w:ascii="宋体" w:hAnsi="宋体" w:cs="宋体"/>
                <w:color w:val="auto"/>
                <w:kern w:val="0"/>
                <w:szCs w:val="21"/>
                <w:highlight w:val="none"/>
              </w:rPr>
              <w:t>理</w:t>
            </w:r>
          </w:p>
        </w:tc>
      </w:tr>
      <w:tr w14:paraId="52A0C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0" w:hRule="atLeast"/>
          <w:jc w:val="center"/>
        </w:trPr>
        <w:tc>
          <w:tcPr>
            <w:tcW w:w="828" w:type="dxa"/>
            <w:vMerge w:val="continue"/>
            <w:vAlign w:val="center"/>
          </w:tcPr>
          <w:p w14:paraId="4555CE1E">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p>
        </w:tc>
        <w:tc>
          <w:tcPr>
            <w:tcW w:w="1185" w:type="dxa"/>
            <w:vAlign w:val="center"/>
          </w:tcPr>
          <w:p w14:paraId="07D13C14">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olor w:val="auto"/>
                <w:highlight w:val="none"/>
              </w:rPr>
            </w:pPr>
            <w:r>
              <w:rPr>
                <w:rFonts w:hint="eastAsia" w:ascii="宋体" w:hAnsi="宋体"/>
                <w:color w:val="auto"/>
                <w:highlight w:val="none"/>
              </w:rPr>
              <w:t>今日病人</w:t>
            </w:r>
          </w:p>
        </w:tc>
        <w:tc>
          <w:tcPr>
            <w:tcW w:w="7986" w:type="dxa"/>
            <w:vAlign w:val="center"/>
          </w:tcPr>
          <w:p w14:paraId="00FA8351">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shd w:val="clear" w:color="auto" w:fill="FFFF00"/>
              </w:rPr>
            </w:pPr>
            <w:r>
              <w:rPr>
                <w:rFonts w:hint="eastAsia" w:ascii="宋体" w:hAnsi="宋体" w:cs="宋体"/>
                <w:bCs/>
                <w:color w:val="auto"/>
                <w:szCs w:val="21"/>
                <w:highlight w:val="none"/>
              </w:rPr>
              <w:t>根据医生今日病人管理，为医生提供病人主页内容。通过后台配置化操作提供医生今日病人列表，包括“科室今日入院病人、今日出院病人、今日手术病人、转入转出、借床”等信息。</w:t>
            </w:r>
          </w:p>
          <w:p w14:paraId="258C68CF">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shd w:val="clear" w:color="auto" w:fill="FFFF00"/>
              </w:rPr>
            </w:pPr>
            <w:r>
              <w:rPr>
                <w:rFonts w:hint="eastAsia" w:ascii="宋体" w:hAnsi="宋体" w:cs="宋体"/>
                <w:bCs/>
                <w:color w:val="auto"/>
                <w:szCs w:val="21"/>
                <w:highlight w:val="none"/>
              </w:rPr>
              <w:t>支持分类显示：支持按大科</w:t>
            </w:r>
            <w:r>
              <w:rPr>
                <w:rFonts w:ascii="宋体" w:hAnsi="宋体" w:cs="宋体"/>
                <w:bCs/>
                <w:color w:val="auto"/>
                <w:szCs w:val="21"/>
                <w:highlight w:val="none"/>
              </w:rPr>
              <w:t>/中心、专科、亚专科、治疗组、主管医生、病房分类显示。支持同时显示本科室病区及在其他病区借床病人。</w:t>
            </w:r>
            <w:r>
              <w:rPr>
                <w:rFonts w:hint="eastAsia" w:ascii="宋体" w:hAnsi="宋体" w:cs="宋体"/>
                <w:bCs/>
                <w:color w:val="auto"/>
                <w:szCs w:val="21"/>
                <w:highlight w:val="none"/>
              </w:rPr>
              <w:t>病人图标要同时显示病区和床号。</w:t>
            </w:r>
          </w:p>
          <w:p w14:paraId="169D9163">
            <w:pPr>
              <w:keepNext w:val="0"/>
              <w:keepLines w:val="0"/>
              <w:pageBreakBefore w:val="0"/>
              <w:numPr>
                <w:ilvl w:val="0"/>
                <w:numId w:val="12"/>
              </w:numPr>
              <w:kinsoku/>
              <w:wordWrap/>
              <w:overflowPunct/>
              <w:topLinePunct w:val="0"/>
              <w:autoSpaceDE/>
              <w:autoSpaceDN/>
              <w:bidi w:val="0"/>
              <w:adjustRightInd w:val="0"/>
              <w:snapToGrid w:val="0"/>
              <w:spacing w:line="360" w:lineRule="auto"/>
              <w:jc w:val="left"/>
              <w:textAlignment w:val="auto"/>
              <w:rPr>
                <w:color w:val="auto"/>
                <w:highlight w:val="none"/>
              </w:rPr>
            </w:pPr>
            <w:r>
              <w:rPr>
                <w:rFonts w:hint="eastAsia" w:ascii="宋体" w:hAnsi="宋体" w:cs="宋体"/>
                <w:bCs/>
                <w:color w:val="auto"/>
                <w:szCs w:val="21"/>
                <w:highlight w:val="none"/>
              </w:rPr>
              <w:t>支持不同的展示方式，包括列表、图标。</w:t>
            </w:r>
            <w:r>
              <w:rPr>
                <w:rFonts w:hint="eastAsia" w:ascii="宋体" w:hAnsi="宋体" w:cs="宋体"/>
                <w:color w:val="auto"/>
                <w:highlight w:val="none"/>
              </w:rPr>
              <w:t>（申请病历电子章）</w:t>
            </w:r>
            <w:r>
              <w:rPr>
                <w:rFonts w:ascii="宋体" w:hAnsi="宋体" w:cs="宋体"/>
                <w:color w:val="auto"/>
                <w:highlight w:val="none"/>
              </w:rPr>
              <w:t xml:space="preserve"> </w:t>
            </w:r>
          </w:p>
          <w:p w14:paraId="35DF4D2F">
            <w:pPr>
              <w:keepNext w:val="0"/>
              <w:keepLines w:val="0"/>
              <w:pageBreakBefore w:val="0"/>
              <w:numPr>
                <w:ilvl w:val="0"/>
                <w:numId w:val="12"/>
              </w:numPr>
              <w:kinsoku/>
              <w:wordWrap/>
              <w:overflowPunct/>
              <w:topLinePunct w:val="0"/>
              <w:autoSpaceDE/>
              <w:autoSpaceDN/>
              <w:bidi w:val="0"/>
              <w:adjustRightInd w:val="0"/>
              <w:snapToGrid w:val="0"/>
              <w:spacing w:line="360" w:lineRule="auto"/>
              <w:jc w:val="left"/>
              <w:textAlignment w:val="auto"/>
              <w:rPr>
                <w:color w:val="auto"/>
                <w:highlight w:val="none"/>
              </w:rPr>
            </w:pPr>
            <w:r>
              <w:rPr>
                <w:rFonts w:hint="eastAsia" w:ascii="宋体" w:hAnsi="宋体" w:cs="宋体"/>
                <w:bCs/>
                <w:color w:val="auto"/>
                <w:szCs w:val="21"/>
                <w:highlight w:val="none"/>
              </w:rPr>
              <w:t>支持生成今日患者统计表：统计在院、出院、转科、手术、四级手术、病重患者数量，自动生成交接班信息，传到交接班系统。</w:t>
            </w:r>
          </w:p>
        </w:tc>
      </w:tr>
      <w:tr w14:paraId="14BB3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1" w:hRule="atLeast"/>
          <w:jc w:val="center"/>
        </w:trPr>
        <w:tc>
          <w:tcPr>
            <w:tcW w:w="828" w:type="dxa"/>
            <w:vMerge w:val="continue"/>
            <w:vAlign w:val="center"/>
          </w:tcPr>
          <w:p w14:paraId="7D11425F">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p>
        </w:tc>
        <w:tc>
          <w:tcPr>
            <w:tcW w:w="1185" w:type="dxa"/>
            <w:vAlign w:val="center"/>
          </w:tcPr>
          <w:p w14:paraId="1A2C396A">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olor w:val="auto"/>
                <w:highlight w:val="none"/>
              </w:rPr>
            </w:pPr>
            <w:r>
              <w:rPr>
                <w:rFonts w:hint="eastAsia" w:ascii="宋体" w:hAnsi="宋体"/>
                <w:color w:val="auto"/>
                <w:highlight w:val="none"/>
              </w:rPr>
              <w:t>流转处理</w:t>
            </w:r>
          </w:p>
        </w:tc>
        <w:tc>
          <w:tcPr>
            <w:tcW w:w="7986" w:type="dxa"/>
            <w:vAlign w:val="center"/>
          </w:tcPr>
          <w:p w14:paraId="2DA35793">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提供系统病人流转业务处理，将业务流转病人处理事项进行集成，内容包括：会诊管理、手术管理、他科治疗管理等。例如在会诊管理中，能第一时间接收到会诊消息，且能及时查看到病人详情和病历等资料，系统应能提供快速显示界面，提供医生查询，并且具有独立会诊患者列表，能显示会诊的紧急情况，能查看会诊的状态（如收到申请单、接受会诊、会诊完成等）；医生可快速查看资料，在会诊消息界面书写会诊意见，会诊单书写完毕后会自动生成在电子病历会诊记录中。</w:t>
            </w:r>
          </w:p>
          <w:p w14:paraId="6E63617D">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电脑端会诊提醒方式采用冒泡提醒，不使用弹窗。</w:t>
            </w:r>
          </w:p>
          <w:p w14:paraId="759FF65D">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支持会诊消息短信、OA推送。</w:t>
            </w:r>
          </w:p>
        </w:tc>
      </w:tr>
      <w:tr w14:paraId="4A9E5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0" w:hRule="atLeast"/>
          <w:jc w:val="center"/>
        </w:trPr>
        <w:tc>
          <w:tcPr>
            <w:tcW w:w="828" w:type="dxa"/>
            <w:vMerge w:val="continue"/>
            <w:vAlign w:val="center"/>
          </w:tcPr>
          <w:p w14:paraId="6CE0205E">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p>
        </w:tc>
        <w:tc>
          <w:tcPr>
            <w:tcW w:w="1185" w:type="dxa"/>
            <w:vAlign w:val="center"/>
          </w:tcPr>
          <w:p w14:paraId="6D46A258">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olor w:val="auto"/>
                <w:highlight w:val="none"/>
              </w:rPr>
            </w:pPr>
            <w:r>
              <w:rPr>
                <w:rFonts w:hint="eastAsia" w:ascii="宋体" w:hAnsi="宋体"/>
                <w:color w:val="auto"/>
                <w:highlight w:val="none"/>
              </w:rPr>
              <w:t>日常业务处理</w:t>
            </w:r>
          </w:p>
        </w:tc>
        <w:tc>
          <w:tcPr>
            <w:tcW w:w="7986" w:type="dxa"/>
            <w:vAlign w:val="center"/>
          </w:tcPr>
          <w:p w14:paraId="49CEEEE6">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基于后台配置化主页内容，将医生日常业务交互工作集成至主页，方便集中查看处理及统计。集成内容可由后台进行界面配置管理，内容包含且不限于：与护士站信息流转的问题医嘱处理、今日转入转出病人提示、基于业务权限所管辖的待审批申请、与事后处方管理对接的医嘱点评、抗菌药物超限期提醒等内容。</w:t>
            </w:r>
          </w:p>
          <w:p w14:paraId="22AFBACF">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住院医生工作站要支持移动端使用，包括查看医嘱，查看检查检验预约时间、影像（静态和动态图像）及结果，查看病历、护理记录，查看会诊信息、查看会诊病人信息，支持上传患者外院病历及报告，支持文字识别上传内容。移动端支持显示当日科室患者基础数据，包括在院、出院、转科、手术、四级手术、病重患者数量。</w:t>
            </w:r>
          </w:p>
        </w:tc>
      </w:tr>
      <w:tr w14:paraId="68A26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828" w:type="dxa"/>
            <w:vMerge w:val="continue"/>
            <w:vAlign w:val="center"/>
          </w:tcPr>
          <w:p w14:paraId="37332E8B">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p>
        </w:tc>
        <w:tc>
          <w:tcPr>
            <w:tcW w:w="9171" w:type="dxa"/>
            <w:gridSpan w:val="2"/>
            <w:vAlign w:val="center"/>
          </w:tcPr>
          <w:p w14:paraId="418D6682">
            <w:pPr>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Cs w:val="21"/>
                <w:highlight w:val="none"/>
              </w:rPr>
            </w:pPr>
            <w:r>
              <w:rPr>
                <w:color w:val="auto"/>
                <w:highlight w:val="none"/>
              </w:rPr>
              <w:t>患者管理</w:t>
            </w:r>
          </w:p>
        </w:tc>
      </w:tr>
      <w:tr w14:paraId="69D38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7" w:hRule="atLeast"/>
          <w:jc w:val="center"/>
        </w:trPr>
        <w:tc>
          <w:tcPr>
            <w:tcW w:w="828" w:type="dxa"/>
            <w:vMerge w:val="continue"/>
            <w:vAlign w:val="center"/>
          </w:tcPr>
          <w:p w14:paraId="390FD13A">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p>
        </w:tc>
        <w:tc>
          <w:tcPr>
            <w:tcW w:w="1185" w:type="dxa"/>
            <w:vAlign w:val="center"/>
          </w:tcPr>
          <w:p w14:paraId="2EDA7729">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患者管理</w:t>
            </w:r>
          </w:p>
        </w:tc>
        <w:tc>
          <w:tcPr>
            <w:tcW w:w="7986" w:type="dxa"/>
            <w:vAlign w:val="center"/>
          </w:tcPr>
          <w:p w14:paraId="0E1A389D">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提供病人检索管理，系统支持通过各种形式对病人进行筛选处理，如根据患者床号、病案号、姓名等条件快速定位患者；根据科室（大科/中心、专科、亚专科）、诊疗组、我手术患者等条件快速筛选患者；根据已转科、已出院、已归档等类别，对患者快速分类、过滤显示；根据病人护理等级及危重情况的标注与快速筛选；根据诊断、手术名称检索筛选病例。</w:t>
            </w:r>
          </w:p>
          <w:p w14:paraId="1EFA94E9">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提供快捷病人详卡展示操作，点击病人姓名，即可展示病人详细信息，病人信息包括：姓名、性别、年龄、住院号、床号、病区、主管医师、医保情况、欠费情况、护理级别、手术状态等；并在界面中对标电子病历评审要求，集成</w:t>
            </w:r>
            <w:r>
              <w:rPr>
                <w:rFonts w:ascii="宋体" w:hAnsi="宋体" w:cs="宋体"/>
                <w:bCs/>
                <w:color w:val="auto"/>
                <w:szCs w:val="21"/>
                <w:highlight w:val="none"/>
              </w:rPr>
              <w:t>360集成视图，展现病人全过程诊疗记录；</w:t>
            </w:r>
          </w:p>
          <w:p w14:paraId="0E2F7920">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ascii="宋体" w:hAnsi="宋体" w:cs="宋体"/>
                <w:bCs/>
                <w:color w:val="auto"/>
                <w:szCs w:val="21"/>
                <w:highlight w:val="none"/>
              </w:rPr>
              <w:t>支持对院前准备患者、日间手术患者等待入院患者的审核，可自定义配置审核流程</w:t>
            </w:r>
            <w:r>
              <w:rPr>
                <w:rFonts w:hint="eastAsia" w:ascii="宋体" w:hAnsi="宋体" w:cs="宋体"/>
                <w:bCs/>
                <w:color w:val="auto"/>
                <w:szCs w:val="21"/>
                <w:highlight w:val="none"/>
              </w:rPr>
              <w:t>；</w:t>
            </w:r>
          </w:p>
          <w:p w14:paraId="4E46893B">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支持查看分娩室病区的患者，并支持分娩室医生、患者住院科室医生同时管理患者。</w:t>
            </w:r>
          </w:p>
          <w:p w14:paraId="030B76A7">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支持借床科室医生、患者住院科室医生同时管理患者。（A病区的患者借床在B，A、B的医生都能看患者病历）</w:t>
            </w:r>
          </w:p>
          <w:p w14:paraId="7FD7D9B1">
            <w:pPr>
              <w:numPr>
                <w:ilvl w:val="0"/>
                <w:numId w:val="12"/>
              </w:numPr>
              <w:tabs>
                <w:tab w:val="left" w:pos="525"/>
                <w:tab w:val="left" w:pos="630"/>
              </w:tabs>
              <w:adjustRightInd w:val="0"/>
              <w:snapToGrid w:val="0"/>
              <w:spacing w:line="360" w:lineRule="auto"/>
              <w:jc w:val="left"/>
              <w:rPr>
                <w:rFonts w:ascii="宋体" w:hAnsi="宋体" w:cs="宋体"/>
                <w:bCs/>
                <w:color w:val="auto"/>
                <w:szCs w:val="21"/>
                <w:highlight w:val="none"/>
              </w:rPr>
            </w:pPr>
            <w:r>
              <w:rPr>
                <w:rFonts w:hint="eastAsia" w:ascii="宋体" w:hAnsi="宋体" w:cs="宋体"/>
                <w:bCs/>
                <w:color w:val="auto"/>
                <w:szCs w:val="21"/>
                <w:highlight w:val="none"/>
                <w:lang w:val="en-US" w:eastAsia="zh-CN"/>
              </w:rPr>
              <w:t>支持查看患者住院期间的</w:t>
            </w:r>
            <w:r>
              <w:rPr>
                <w:rFonts w:hint="eastAsia" w:ascii="宋体" w:hAnsi="宋体" w:cs="宋体"/>
                <w:bCs/>
                <w:color w:val="auto"/>
                <w:szCs w:val="21"/>
                <w:highlight w:val="none"/>
              </w:rPr>
              <w:t>费用</w:t>
            </w:r>
            <w:r>
              <w:rPr>
                <w:rFonts w:hint="eastAsia" w:ascii="宋体" w:hAnsi="宋体" w:cs="宋体"/>
                <w:bCs/>
                <w:color w:val="auto"/>
                <w:szCs w:val="21"/>
                <w:highlight w:val="none"/>
                <w:lang w:val="en-US" w:eastAsia="zh-CN"/>
              </w:rPr>
              <w:t>明细数据。</w:t>
            </w:r>
          </w:p>
          <w:p w14:paraId="279B3736">
            <w:pPr>
              <w:numPr>
                <w:ilvl w:val="0"/>
                <w:numId w:val="12"/>
              </w:numPr>
              <w:tabs>
                <w:tab w:val="left" w:pos="525"/>
                <w:tab w:val="left" w:pos="630"/>
              </w:tabs>
              <w:adjustRightInd w:val="0"/>
              <w:snapToGrid w:val="0"/>
              <w:spacing w:line="360" w:lineRule="auto"/>
              <w:jc w:val="left"/>
              <w:rPr>
                <w:rFonts w:ascii="宋体" w:hAnsi="宋体" w:cs="宋体"/>
                <w:bCs/>
                <w:color w:val="auto"/>
                <w:szCs w:val="21"/>
                <w:highlight w:val="none"/>
              </w:rPr>
            </w:pPr>
            <w:r>
              <w:rPr>
                <w:rFonts w:hint="eastAsia" w:ascii="宋体" w:hAnsi="宋体" w:cs="宋体"/>
                <w:bCs/>
                <w:color w:val="auto"/>
                <w:szCs w:val="21"/>
                <w:highlight w:val="none"/>
                <w:lang w:val="en-US" w:eastAsia="zh-CN"/>
              </w:rPr>
              <w:t>支持医生修改费用类别。</w:t>
            </w:r>
          </w:p>
          <w:p w14:paraId="223F999D">
            <w:pPr>
              <w:numPr>
                <w:ilvl w:val="0"/>
                <w:numId w:val="12"/>
              </w:numPr>
              <w:tabs>
                <w:tab w:val="left" w:pos="525"/>
                <w:tab w:val="left" w:pos="630"/>
              </w:tabs>
              <w:adjustRightInd w:val="0"/>
              <w:snapToGrid w:val="0"/>
              <w:spacing w:line="360" w:lineRule="auto"/>
              <w:jc w:val="left"/>
              <w:rPr>
                <w:rFonts w:ascii="宋体" w:hAnsi="宋体" w:cs="宋体"/>
                <w:bCs/>
                <w:color w:val="auto"/>
                <w:szCs w:val="21"/>
                <w:highlight w:val="none"/>
              </w:rPr>
            </w:pPr>
            <w:r>
              <w:rPr>
                <w:rFonts w:hint="eastAsia" w:ascii="宋体" w:hAnsi="宋体" w:cs="宋体"/>
                <w:bCs/>
                <w:color w:val="auto"/>
                <w:szCs w:val="21"/>
                <w:highlight w:val="none"/>
              </w:rPr>
              <w:t>支持预住院费用转移</w:t>
            </w:r>
            <w:r>
              <w:rPr>
                <w:rFonts w:hint="eastAsia" w:ascii="宋体" w:hAnsi="宋体" w:cs="宋体"/>
                <w:bCs/>
                <w:color w:val="auto"/>
                <w:szCs w:val="21"/>
                <w:highlight w:val="none"/>
                <w:lang w:eastAsia="zh-CN"/>
              </w:rPr>
              <w:t>。</w:t>
            </w:r>
          </w:p>
          <w:p w14:paraId="699C3B4C">
            <w:pPr>
              <w:numPr>
                <w:ilvl w:val="0"/>
                <w:numId w:val="12"/>
              </w:numPr>
              <w:tabs>
                <w:tab w:val="left" w:pos="525"/>
                <w:tab w:val="left" w:pos="630"/>
              </w:tabs>
              <w:adjustRightInd w:val="0"/>
              <w:snapToGrid w:val="0"/>
              <w:spacing w:line="360" w:lineRule="auto"/>
              <w:jc w:val="left"/>
              <w:rPr>
                <w:rFonts w:ascii="宋体" w:hAnsi="宋体" w:cs="宋体"/>
                <w:bCs/>
                <w:color w:val="auto"/>
                <w:szCs w:val="21"/>
                <w:highlight w:val="none"/>
              </w:rPr>
            </w:pPr>
            <w:r>
              <w:rPr>
                <w:rFonts w:hint="eastAsia" w:ascii="宋体" w:hAnsi="宋体" w:cs="宋体"/>
                <w:bCs/>
                <w:color w:val="auto"/>
                <w:szCs w:val="21"/>
                <w:highlight w:val="none"/>
              </w:rPr>
              <w:t>支持发起电子版门诊认定申请</w:t>
            </w:r>
            <w:r>
              <w:rPr>
                <w:rFonts w:hint="eastAsia" w:ascii="宋体" w:hAnsi="宋体" w:cs="宋体"/>
                <w:bCs/>
                <w:color w:val="auto"/>
                <w:szCs w:val="21"/>
                <w:highlight w:val="none"/>
                <w:lang w:eastAsia="zh-CN"/>
              </w:rPr>
              <w:t>。</w:t>
            </w:r>
          </w:p>
          <w:p w14:paraId="3E978951">
            <w:pPr>
              <w:numPr>
                <w:ilvl w:val="0"/>
                <w:numId w:val="12"/>
              </w:numPr>
              <w:tabs>
                <w:tab w:val="left" w:pos="525"/>
                <w:tab w:val="left" w:pos="630"/>
              </w:tabs>
              <w:adjustRightInd w:val="0"/>
              <w:snapToGrid w:val="0"/>
              <w:spacing w:line="360" w:lineRule="auto"/>
              <w:jc w:val="left"/>
              <w:rPr>
                <w:rFonts w:ascii="宋体" w:hAnsi="宋体" w:cs="宋体"/>
                <w:bCs/>
                <w:color w:val="auto"/>
                <w:szCs w:val="21"/>
                <w:highlight w:val="none"/>
              </w:rPr>
            </w:pPr>
            <w:r>
              <w:rPr>
                <w:rFonts w:hint="eastAsia" w:ascii="宋体" w:hAnsi="宋体" w:cs="宋体"/>
                <w:bCs/>
                <w:color w:val="auto"/>
                <w:szCs w:val="21"/>
                <w:highlight w:val="none"/>
              </w:rPr>
              <w:t>支持展示医保2.0版诊断及手术操作编码</w:t>
            </w:r>
            <w:r>
              <w:rPr>
                <w:rFonts w:hint="eastAsia" w:ascii="宋体" w:hAnsi="宋体" w:cs="宋体"/>
                <w:bCs/>
                <w:color w:val="auto"/>
                <w:szCs w:val="21"/>
                <w:highlight w:val="none"/>
                <w:lang w:eastAsia="zh-CN"/>
              </w:rPr>
              <w:t>。</w:t>
            </w:r>
          </w:p>
          <w:p w14:paraId="76B9D00C">
            <w:pPr>
              <w:numPr>
                <w:ilvl w:val="0"/>
                <w:numId w:val="12"/>
              </w:numPr>
              <w:tabs>
                <w:tab w:val="left" w:pos="525"/>
                <w:tab w:val="left" w:pos="630"/>
              </w:tabs>
              <w:adjustRightInd w:val="0"/>
              <w:snapToGrid w:val="0"/>
              <w:spacing w:line="360" w:lineRule="auto"/>
              <w:jc w:val="left"/>
              <w:rPr>
                <w:rFonts w:ascii="宋体" w:hAnsi="宋体" w:cs="宋体"/>
                <w:bCs/>
                <w:color w:val="auto"/>
                <w:szCs w:val="21"/>
                <w:highlight w:val="none"/>
              </w:rPr>
            </w:pPr>
            <w:r>
              <w:rPr>
                <w:rFonts w:hint="eastAsia" w:ascii="宋体" w:hAnsi="宋体" w:cs="宋体"/>
                <w:bCs/>
                <w:color w:val="auto"/>
                <w:szCs w:val="21"/>
                <w:highlight w:val="none"/>
              </w:rPr>
              <w:t>员工住院期间诊疗系统操作拦截</w:t>
            </w:r>
            <w:r>
              <w:rPr>
                <w:rFonts w:hint="eastAsia" w:ascii="宋体" w:hAnsi="宋体" w:cs="宋体"/>
                <w:bCs/>
                <w:color w:val="auto"/>
                <w:szCs w:val="21"/>
                <w:highlight w:val="none"/>
                <w:lang w:val="en-US" w:eastAsia="zh-CN"/>
              </w:rPr>
              <w:t>并提示。</w:t>
            </w:r>
          </w:p>
          <w:p w14:paraId="08EBD729">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lang w:val="en-US" w:eastAsia="zh-CN"/>
              </w:rPr>
              <w:t>系统已有功能平移到新系统。</w:t>
            </w:r>
          </w:p>
          <w:p w14:paraId="30013F11">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可查看患者历次随访量表内容结果及小结</w:t>
            </w:r>
          </w:p>
        </w:tc>
      </w:tr>
      <w:tr w14:paraId="599CB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828" w:type="dxa"/>
            <w:vMerge w:val="continue"/>
            <w:vAlign w:val="center"/>
          </w:tcPr>
          <w:p w14:paraId="73C0294A">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p>
        </w:tc>
        <w:tc>
          <w:tcPr>
            <w:tcW w:w="9171" w:type="dxa"/>
            <w:gridSpan w:val="2"/>
            <w:vAlign w:val="center"/>
          </w:tcPr>
          <w:p w14:paraId="2DFCE2FC">
            <w:pPr>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Cs w:val="21"/>
                <w:highlight w:val="none"/>
              </w:rPr>
            </w:pPr>
            <w:r>
              <w:rPr>
                <w:color w:val="auto"/>
                <w:highlight w:val="none"/>
              </w:rPr>
              <w:t>住院诊断管理</w:t>
            </w:r>
          </w:p>
        </w:tc>
      </w:tr>
      <w:tr w14:paraId="7F8A2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8" w:hRule="atLeast"/>
          <w:jc w:val="center"/>
        </w:trPr>
        <w:tc>
          <w:tcPr>
            <w:tcW w:w="828" w:type="dxa"/>
            <w:vMerge w:val="continue"/>
            <w:vAlign w:val="center"/>
          </w:tcPr>
          <w:p w14:paraId="6BD826C6">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p>
        </w:tc>
        <w:tc>
          <w:tcPr>
            <w:tcW w:w="1185" w:type="dxa"/>
            <w:vAlign w:val="center"/>
          </w:tcPr>
          <w:p w14:paraId="5E54641A">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住院诊断管理</w:t>
            </w:r>
          </w:p>
        </w:tc>
        <w:tc>
          <w:tcPr>
            <w:tcW w:w="7986" w:type="dxa"/>
            <w:vAlign w:val="center"/>
          </w:tcPr>
          <w:p w14:paraId="6691221E">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提供对病人诊断进行集中管理的模式。在同一界面中提供初步诊断、入院诊断、修正诊断、补充诊断、出院诊断等多种诊断过程管理功能。并支持住院诊断规范化管理，对标ICD-10标准编码（对标版本根据医院使用版本决定）及自定义临床诊断名称描述。</w:t>
            </w:r>
          </w:p>
          <w:p w14:paraId="68D6CF95">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通过诊断中对主诊断、副诊断的关联，将疫病报卡、临床路径、慢病上报、肿瘤上报等与诊断关联，实现诊断下达的同时实现疫病登记及临床路径导入功能（自动带入传染病</w:t>
            </w:r>
            <w:r>
              <w:rPr>
                <w:rFonts w:hint="eastAsia" w:ascii="宋体" w:hAnsi="宋体" w:cs="宋体"/>
                <w:bCs/>
                <w:color w:val="auto"/>
                <w:szCs w:val="21"/>
                <w:highlight w:val="none"/>
                <w:lang w:val="en-US" w:eastAsia="zh-CN"/>
              </w:rPr>
              <w:t>报</w:t>
            </w:r>
            <w:r>
              <w:rPr>
                <w:rFonts w:hint="eastAsia" w:ascii="宋体" w:hAnsi="宋体" w:cs="宋体"/>
                <w:bCs/>
                <w:color w:val="auto"/>
                <w:szCs w:val="21"/>
                <w:highlight w:val="none"/>
              </w:rPr>
              <w:t>卡信息）</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rPr>
              <w:t>并能进行二次上报校验。并支持诊断与病历信息对接，实现诊断录入完成后病历诊断数据自动导入。支持导入患者既往门诊、住院诊断。</w:t>
            </w:r>
          </w:p>
          <w:p w14:paraId="13E67C8B">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支持AI辅助诊断。</w:t>
            </w:r>
          </w:p>
          <w:p w14:paraId="0C44AC2D">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color w:val="auto"/>
                <w:highlight w:val="none"/>
              </w:rPr>
              <w:t>查阅报告时，对于有多正常参考值的测量项目能够 根据测量结果和病人年龄、性别、诊断、生理指标等， 自动给出正常结果的判断与提示。</w:t>
            </w:r>
          </w:p>
          <w:p w14:paraId="418DFF5B">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支持录入诊断时，可查看该诊断对应的DRG分值。</w:t>
            </w:r>
          </w:p>
          <w:p w14:paraId="5B9C702F">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hint="eastAsia" w:ascii="宋体" w:hAnsi="宋体" w:cs="宋体"/>
                <w:bCs/>
                <w:color w:val="auto"/>
                <w:szCs w:val="21"/>
                <w:highlight w:val="none"/>
              </w:rPr>
            </w:pPr>
            <w:r>
              <w:rPr>
                <w:rFonts w:hint="eastAsia" w:ascii="宋体" w:hAnsi="宋体" w:cs="宋体"/>
                <w:bCs/>
                <w:color w:val="auto"/>
                <w:szCs w:val="21"/>
                <w:highlight w:val="none"/>
              </w:rPr>
              <w:t>支持中医诊断规则校验，如中医证型不能作为父诊断。</w:t>
            </w:r>
          </w:p>
          <w:p w14:paraId="68D3084B">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支持诊断权限控制，包括指定职称、跨科室、创建者权限等控制。</w:t>
            </w:r>
          </w:p>
        </w:tc>
      </w:tr>
      <w:tr w14:paraId="3ACB1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828" w:type="dxa"/>
            <w:vMerge w:val="continue"/>
            <w:vAlign w:val="center"/>
          </w:tcPr>
          <w:p w14:paraId="72A2D8F4">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p>
        </w:tc>
        <w:tc>
          <w:tcPr>
            <w:tcW w:w="9171" w:type="dxa"/>
            <w:gridSpan w:val="2"/>
            <w:vAlign w:val="center"/>
          </w:tcPr>
          <w:p w14:paraId="6C6A083E">
            <w:pPr>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bCs/>
                <w:color w:val="auto"/>
                <w:szCs w:val="21"/>
                <w:highlight w:val="none"/>
              </w:rPr>
            </w:pPr>
            <w:r>
              <w:rPr>
                <w:color w:val="auto"/>
                <w:highlight w:val="none"/>
              </w:rPr>
              <w:t>住院医嘱管理</w:t>
            </w:r>
          </w:p>
        </w:tc>
      </w:tr>
      <w:tr w14:paraId="0F77E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8" w:type="dxa"/>
            <w:vMerge w:val="continue"/>
            <w:vAlign w:val="center"/>
          </w:tcPr>
          <w:p w14:paraId="1C94874A">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p>
        </w:tc>
        <w:tc>
          <w:tcPr>
            <w:tcW w:w="1185" w:type="dxa"/>
            <w:vAlign w:val="center"/>
          </w:tcPr>
          <w:p w14:paraId="0916EFF6">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住院医嘱录入模式</w:t>
            </w:r>
          </w:p>
        </w:tc>
        <w:tc>
          <w:tcPr>
            <w:tcW w:w="7986" w:type="dxa"/>
            <w:vAlign w:val="center"/>
          </w:tcPr>
          <w:p w14:paraId="50006E2F">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提供西成药、草药、检查、检验、手术、护理、文字等医嘱集中录入功能，通过分类前缀实现自动分类输入，打破医嘱和申请单分离录入模式；支持医嘱键盘快捷键录入、支持多种类型医嘱合并至组套；支持已开医嘱检索；支持长嘱和临嘱的转换；</w:t>
            </w:r>
            <w:r>
              <w:rPr>
                <w:rFonts w:hint="eastAsia" w:ascii="宋体" w:hAnsi="宋体" w:cs="宋体"/>
                <w:bCs/>
                <w:color w:val="auto"/>
                <w:szCs w:val="21"/>
                <w:highlight w:val="none"/>
                <w:shd w:val="clear" w:color="auto"/>
              </w:rPr>
              <w:t>一个</w:t>
            </w:r>
            <w:r>
              <w:rPr>
                <w:rFonts w:ascii="宋体" w:hAnsi="宋体" w:cs="宋体"/>
                <w:bCs/>
                <w:color w:val="auto"/>
                <w:szCs w:val="21"/>
                <w:highlight w:val="none"/>
                <w:shd w:val="clear" w:color="auto"/>
              </w:rPr>
              <w:t>CT检查项目只需开一次单。</w:t>
            </w:r>
            <w:r>
              <w:rPr>
                <w:rFonts w:hint="eastAsia" w:ascii="宋体" w:hAnsi="宋体" w:cs="宋体"/>
                <w:bCs/>
                <w:color w:val="auto"/>
                <w:szCs w:val="21"/>
                <w:highlight w:val="none"/>
                <w:shd w:val="clear" w:color="auto"/>
              </w:rPr>
              <w:t>（一个CT检查单可开具多个检查部位）</w:t>
            </w:r>
          </w:p>
          <w:p w14:paraId="3B8FD54B">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支持复制医嘱，包括当前住院医嘱、既往住院医嘱、已废医嘱的复制功能；复制医嘱时支持按时间、科室、名称排序与筛选，长嘱重整。支持查询医嘱闭环。</w:t>
            </w:r>
          </w:p>
          <w:p w14:paraId="17F67E62">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以临床为核心的专业医疗单开单模式，提供单一的西成药医疗单、成组的西成药医疗单、草药医疗单、检验医疗单、检查医疗单、护理医疗单、手术医疗单等十余种医疗单模式，并支持专科医疗单定制。并在医疗单中支持开立长期、临时、急诊、出院带药等药品医嘱功能；支持给药频次、给药时间的设置及显示执行时间。</w:t>
            </w:r>
          </w:p>
          <w:p w14:paraId="665B2ACC">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提供在单医嘱录入形式外，支持检查、检验、病理项目的集中开单，根据检验类别、检验类型、标本类型、检查类别、检查部位等进行项目选择；</w:t>
            </w:r>
            <w:r>
              <w:rPr>
                <w:rFonts w:hint="eastAsia"/>
                <w:color w:val="auto"/>
                <w:highlight w:val="none"/>
              </w:rPr>
              <w:t>根据输血申请单生成备血医嘱，按照实际发血品种和量生成备血医嘱。</w:t>
            </w:r>
            <w:r>
              <w:rPr>
                <w:color w:val="auto"/>
                <w:highlight w:val="none"/>
              </w:rPr>
              <w:t>形成完整的检验/输血闭环， 可随时查看标本状态、检验 进程状态</w:t>
            </w:r>
          </w:p>
          <w:p w14:paraId="5285D2F6">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支持配置手术申请单中内容；急诊手术单支持删除、撤回、修改功能。支持</w:t>
            </w:r>
            <w:r>
              <w:rPr>
                <w:rFonts w:hint="eastAsia"/>
                <w:color w:val="auto"/>
                <w:highlight w:val="none"/>
              </w:rPr>
              <w:t>同一个患者同时提交两个手术申请，同时弹窗提醒由医生确认是否同时开立两个手术医嘱。检验医嘱开立支持批量设置时备注何时间。检查检验病理医嘱支持预约。</w:t>
            </w:r>
          </w:p>
          <w:p w14:paraId="72FB150F">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支持根据不同的出院场景（如今日出院、宣告死亡等）配置不同的出院医嘱名称；</w:t>
            </w:r>
          </w:p>
          <w:p w14:paraId="2563DDA8">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支持限制长期医嘱的停嘱时间必须在出院时间后的</w:t>
            </w:r>
            <w:r>
              <w:rPr>
                <w:rFonts w:ascii="宋体" w:hAnsi="宋体" w:cs="宋体"/>
                <w:bCs/>
                <w:color w:val="auto"/>
                <w:szCs w:val="21"/>
                <w:highlight w:val="none"/>
              </w:rPr>
              <w:t>N分钟内（N分钟可配置）</w:t>
            </w:r>
            <w:r>
              <w:rPr>
                <w:rFonts w:hint="eastAsia" w:ascii="宋体" w:hAnsi="宋体" w:cs="宋体"/>
                <w:bCs/>
                <w:color w:val="auto"/>
                <w:szCs w:val="21"/>
                <w:highlight w:val="none"/>
              </w:rPr>
              <w:t>；</w:t>
            </w:r>
          </w:p>
          <w:p w14:paraId="033B3D98">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支持配置开立出院带药时用药限制天数；</w:t>
            </w:r>
          </w:p>
          <w:p w14:paraId="12B68F3E">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支持配置开立出院带药时药品总量取门诊包装单位或取住院包装单位；</w:t>
            </w:r>
          </w:p>
          <w:p w14:paraId="00A1F8A6">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根据患者过敏史，结合过敏药物管理系统，支持在医生站开立药品时自动提醒患者过敏情况，对需皮试药品自动默认皮试处置。</w:t>
            </w:r>
          </w:p>
          <w:p w14:paraId="60CCA87B">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支持跨院区会诊，如科内会诊、他科会诊、多学科会诊，受邀机构可选择租户下的所有机构，会诊医生接收会诊。</w:t>
            </w:r>
          </w:p>
          <w:p w14:paraId="26686F05">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支持跨院区转科，设置机构间转科治疗业务线。住院医生站开立转科时，转后机构取机构间转科业务线，转后科室医生可接收或退回转科申请，转科医嘱由转后科室医生、病区护士接收后，完成转科。</w:t>
            </w:r>
          </w:p>
          <w:p w14:paraId="567A8253">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配置开立出院带药时用药限制天数，开立出院带药界面增加“用药理由”填写功能，用药天数超过7天必须填写用药理由，否则不可提交医嘱（依据：《中山大学附属第七医院处方管理办法实施细则》（中山七院发【2023】）68号第二十四条）</w:t>
            </w:r>
          </w:p>
          <w:p w14:paraId="37E75E06">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hint="eastAsia" w:ascii="宋体" w:hAnsi="宋体" w:cs="宋体"/>
                <w:bCs/>
                <w:color w:val="auto"/>
                <w:szCs w:val="21"/>
                <w:highlight w:val="none"/>
              </w:rPr>
            </w:pPr>
            <w:r>
              <w:rPr>
                <w:rFonts w:hint="eastAsia" w:ascii="宋体" w:hAnsi="宋体" w:cs="宋体"/>
                <w:bCs/>
                <w:color w:val="auto"/>
                <w:szCs w:val="21"/>
                <w:highlight w:val="none"/>
              </w:rPr>
              <w:t>对于患者自带药品的，需有明确标识，自带药品应纳入字典管理</w:t>
            </w:r>
          </w:p>
          <w:p w14:paraId="7D41F989">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hint="eastAsia" w:ascii="宋体" w:hAnsi="宋体" w:cs="宋体"/>
                <w:bCs/>
                <w:color w:val="auto"/>
                <w:szCs w:val="21"/>
                <w:highlight w:val="none"/>
              </w:rPr>
            </w:pPr>
            <w:r>
              <w:rPr>
                <w:rFonts w:hint="eastAsia" w:ascii="宋体" w:hAnsi="宋体" w:cs="宋体"/>
                <w:bCs/>
                <w:color w:val="auto"/>
                <w:szCs w:val="21"/>
                <w:highlight w:val="none"/>
              </w:rPr>
              <w:t>对药物医嘱的不良反应有上报处理功能，与医嘱记录可对照关联</w:t>
            </w:r>
          </w:p>
          <w:p w14:paraId="1F50FC1A">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hint="eastAsia" w:ascii="宋体" w:hAnsi="宋体" w:cs="宋体"/>
                <w:bCs/>
                <w:color w:val="auto"/>
                <w:szCs w:val="21"/>
                <w:highlight w:val="none"/>
              </w:rPr>
            </w:pPr>
            <w:r>
              <w:rPr>
                <w:rFonts w:hint="eastAsia" w:ascii="宋体" w:hAnsi="宋体" w:cs="宋体"/>
                <w:bCs/>
                <w:color w:val="auto"/>
                <w:szCs w:val="21"/>
                <w:highlight w:val="none"/>
              </w:rPr>
              <w:t>有专科医嘱字典，下达医嘱时，可利用患者的诊疗数据、专科知识库及医师主观描述(包括：病历、体征、检查、检验、用药等),综合进行诊疗方案推荐，并对不合理医嘱实时给出提示</w:t>
            </w:r>
          </w:p>
          <w:p w14:paraId="4F089A87">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hint="eastAsia" w:ascii="宋体" w:hAnsi="宋体" w:cs="宋体"/>
                <w:bCs/>
                <w:color w:val="auto"/>
                <w:szCs w:val="21"/>
                <w:highlight w:val="none"/>
              </w:rPr>
            </w:pPr>
            <w:r>
              <w:rPr>
                <w:rFonts w:hint="eastAsia" w:ascii="宋体" w:hAnsi="宋体" w:cs="宋体"/>
                <w:bCs/>
                <w:color w:val="auto"/>
                <w:szCs w:val="21"/>
                <w:highlight w:val="none"/>
              </w:rPr>
              <w:t>具备可自定义的患者标记及数据内容选择功能，支持常用的管理、研究、教学数据处理等</w:t>
            </w:r>
          </w:p>
          <w:p w14:paraId="1A3F4EC7">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hint="eastAsia" w:ascii="宋体" w:hAnsi="宋体" w:cs="宋体"/>
                <w:bCs/>
                <w:color w:val="auto"/>
                <w:szCs w:val="21"/>
                <w:highlight w:val="none"/>
              </w:rPr>
            </w:pPr>
            <w:r>
              <w:rPr>
                <w:rFonts w:hint="eastAsia" w:ascii="宋体" w:hAnsi="宋体" w:cs="宋体"/>
                <w:bCs/>
                <w:color w:val="auto"/>
                <w:szCs w:val="21"/>
                <w:highlight w:val="none"/>
              </w:rPr>
              <w:t>可引用患者在外部医疗机构产生的检验、检查申请记录</w:t>
            </w:r>
          </w:p>
          <w:p w14:paraId="57CB5C8E">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开写入院医嘱时，可根据患者院外结果，判断检验检查互认项目并提示</w:t>
            </w:r>
          </w:p>
          <w:p w14:paraId="7E67F88A">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hint="eastAsia" w:ascii="宋体" w:hAnsi="宋体" w:cs="宋体"/>
                <w:bCs/>
                <w:color w:val="auto"/>
                <w:szCs w:val="21"/>
                <w:highlight w:val="none"/>
              </w:rPr>
            </w:pPr>
            <w:r>
              <w:rPr>
                <w:rFonts w:hint="eastAsia" w:ascii="宋体" w:hAnsi="宋体" w:cs="宋体"/>
                <w:bCs/>
                <w:color w:val="auto"/>
                <w:szCs w:val="21"/>
                <w:highlight w:val="none"/>
              </w:rPr>
              <w:t>常规医嘱：支持按照电子病历评级数据质量要求，将医院各类医嘱形成字典；支持排斥医嘱功能；支持医嘱关联文书功能；支持医嘱项目与计费项目关联；支持医嘱首日执行次数设置；支持特殊频率医嘱的周执行时间选择。</w:t>
            </w:r>
          </w:p>
          <w:p w14:paraId="358071C8">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hint="eastAsia" w:ascii="宋体" w:hAnsi="宋体" w:cs="宋体"/>
                <w:bCs/>
                <w:color w:val="auto"/>
                <w:szCs w:val="21"/>
                <w:highlight w:val="none"/>
              </w:rPr>
            </w:pPr>
            <w:r>
              <w:rPr>
                <w:rFonts w:hint="eastAsia" w:ascii="宋体" w:hAnsi="宋体" w:cs="宋体"/>
                <w:bCs/>
                <w:color w:val="auto"/>
                <w:szCs w:val="21"/>
                <w:highlight w:val="none"/>
              </w:rPr>
              <w:t>自备药医嘱：支持医院有无自备药字典目录的两种特殊下达模式；患者自带药品需明确标识并纳入字典管理及合理用药检查。</w:t>
            </w:r>
          </w:p>
          <w:p w14:paraId="692C0EF9">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hint="eastAsia" w:ascii="宋体" w:hAnsi="宋体" w:cs="宋体"/>
                <w:bCs/>
                <w:color w:val="auto"/>
                <w:szCs w:val="21"/>
                <w:highlight w:val="none"/>
              </w:rPr>
            </w:pPr>
            <w:r>
              <w:rPr>
                <w:rFonts w:hint="eastAsia" w:ascii="宋体" w:hAnsi="宋体" w:cs="宋体"/>
                <w:bCs/>
                <w:color w:val="auto"/>
                <w:szCs w:val="21"/>
                <w:highlight w:val="none"/>
              </w:rPr>
              <w:t>检查申请：支持无临床病史时直接填写并同步至后续申请单。</w:t>
            </w:r>
          </w:p>
          <w:p w14:paraId="64ACA6C0">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hint="eastAsia" w:ascii="宋体" w:hAnsi="宋体" w:cs="宋体"/>
                <w:bCs/>
                <w:color w:val="auto"/>
                <w:szCs w:val="21"/>
                <w:highlight w:val="none"/>
              </w:rPr>
            </w:pPr>
            <w:r>
              <w:rPr>
                <w:rFonts w:hint="eastAsia" w:ascii="宋体" w:hAnsi="宋体" w:cs="宋体"/>
                <w:bCs/>
                <w:color w:val="auto"/>
                <w:szCs w:val="21"/>
                <w:highlight w:val="none"/>
              </w:rPr>
              <w:t>病理申请：支持自定义新增病理标本并登记；支持下达时浏览患者重要病历信息。</w:t>
            </w:r>
          </w:p>
          <w:p w14:paraId="41C332C7">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hint="eastAsia" w:ascii="宋体" w:hAnsi="宋体" w:cs="宋体"/>
                <w:bCs/>
                <w:color w:val="auto"/>
                <w:szCs w:val="21"/>
                <w:highlight w:val="none"/>
              </w:rPr>
            </w:pPr>
            <w:r>
              <w:rPr>
                <w:rFonts w:hint="eastAsia" w:ascii="宋体" w:hAnsi="宋体" w:cs="宋体"/>
                <w:bCs/>
                <w:color w:val="auto"/>
                <w:szCs w:val="21"/>
                <w:highlight w:val="none"/>
              </w:rPr>
              <w:t>草药医嘱：支持同屏查看引用相关草药医嘱；支持剂数控制；对接中药代煎系统实现闭环管理。</w:t>
            </w:r>
          </w:p>
          <w:p w14:paraId="21C41098">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手术医嘱：支持手术中用药医嘱关联手术室</w:t>
            </w:r>
          </w:p>
          <w:p w14:paraId="577CCD1E">
            <w:pPr>
              <w:keepNext w:val="0"/>
              <w:keepLines w:val="0"/>
              <w:pageBreakBefore w:val="0"/>
              <w:widowControl/>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下达医嘱时，同屏直接查询患者本机构和区域内外部医疗机构的主要医疗记录（包括住院病案首页、门急诊病历、诊断证明书、住院医嘱、门诊处方、检验结果、检查报告，其他医疗机构记录实现不少于 3 类）。</w:t>
            </w:r>
          </w:p>
          <w:p w14:paraId="5FBD2FC8">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支持医生在权限范围内维护个人常用医嘱组套。个人组套可包含护理级别、心电监护、药物医嘱、检查检验、操作相关医嘱等内容</w:t>
            </w:r>
          </w:p>
        </w:tc>
      </w:tr>
      <w:tr w14:paraId="3E294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0" w:hRule="atLeast"/>
          <w:jc w:val="center"/>
        </w:trPr>
        <w:tc>
          <w:tcPr>
            <w:tcW w:w="828" w:type="dxa"/>
            <w:vMerge w:val="continue"/>
            <w:vAlign w:val="center"/>
          </w:tcPr>
          <w:p w14:paraId="06D2D9CD">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p>
        </w:tc>
        <w:tc>
          <w:tcPr>
            <w:tcW w:w="1185" w:type="dxa"/>
            <w:vAlign w:val="center"/>
          </w:tcPr>
          <w:p w14:paraId="61FA4A03">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住院医嘱规范管理</w:t>
            </w:r>
          </w:p>
        </w:tc>
        <w:tc>
          <w:tcPr>
            <w:tcW w:w="7986" w:type="dxa"/>
            <w:vAlign w:val="center"/>
          </w:tcPr>
          <w:p w14:paraId="59F64C4D">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提供医嘱录入和管理功能，实现医嘱的开立、删除、签署、停嘱、作废、打印等功能。并在业务逻辑上支持医药分离模式，医生按通用名(服务项目)开立医嘱，在商品绑定时机再指定到具体药品。</w:t>
            </w:r>
          </w:p>
          <w:p w14:paraId="58D9FF70">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提供已开医嘱的集中预览和补充修改功能，支持图表化展现，利用图标完美呈现医嘱执行、皮试、审核、报告等状态，可按医嘱类型（如全部、药品、检验、检查、手术、护理等）、医嘱状态（如开立、签署、有效医嘱、结束等）和开单科室进行医嘱类别的筛选查看与管理。并在医嘱用药安全性上支持临床知识库、临床决策、合理用药、处方点评等系统接口，根据就诊诊断、检查、检验结果审查医嘱安全性，并支持智能推荐治疗方案。系统还基于电子病历评审规范，在医嘱中内嵌式的增加了医嘱闭环管理。在医嘱权限方面，系统基于国家相关规定提供抗菌药物、抗肿瘤药物、精神毒麻等特殊药品，手术，检验检查，输血等医嘱的开立权限控制。支持账号权限管理，支持不同人员设置不同使用权限（正式员工、实习生、进修生、研究生、规培生）。</w:t>
            </w:r>
          </w:p>
          <w:p w14:paraId="558FDB81">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医嘱审批</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rPr>
              <w:t>支持基于流程引擎DIY配置特殊药品下达的审批流程，包括抗菌药物审批、抗肿瘤药物审批等。</w:t>
            </w:r>
          </w:p>
        </w:tc>
      </w:tr>
      <w:tr w14:paraId="647BA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0" w:hRule="atLeast"/>
          <w:jc w:val="center"/>
        </w:trPr>
        <w:tc>
          <w:tcPr>
            <w:tcW w:w="828" w:type="dxa"/>
            <w:vMerge w:val="continue"/>
            <w:vAlign w:val="center"/>
          </w:tcPr>
          <w:p w14:paraId="4FAAE5BB">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p>
        </w:tc>
        <w:tc>
          <w:tcPr>
            <w:tcW w:w="1185" w:type="dxa"/>
            <w:vAlign w:val="center"/>
          </w:tcPr>
          <w:p w14:paraId="6A3C29A6">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住院医嘱助手录入</w:t>
            </w:r>
          </w:p>
        </w:tc>
        <w:tc>
          <w:tcPr>
            <w:tcW w:w="7986" w:type="dxa"/>
            <w:vAlign w:val="center"/>
          </w:tcPr>
          <w:p w14:paraId="2116A2AB">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住院医生站提供医嘱助手功能，快速实现临床医嘱的快速开立。</w:t>
            </w:r>
          </w:p>
          <w:p w14:paraId="7C6B3A08">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在医嘱助手中，支持医嘱模板、患者历史医嘱、高频检查、高频药品、高频处置、常用个嘱引用，为医生医嘱录入提供便利。</w:t>
            </w:r>
          </w:p>
          <w:p w14:paraId="389E42C9">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支持AI医嘱推荐功能。</w:t>
            </w:r>
            <w:r>
              <w:rPr>
                <w:color w:val="auto"/>
                <w:highlight w:val="none"/>
              </w:rPr>
              <w:t>下达申请医嘱时，能查询临床医疗记录，能够针对 病人性别、诊断、以往检验申请与结果等进行申请合理性 自动审核并针对问题申请给出提示。</w:t>
            </w:r>
          </w:p>
          <w:p w14:paraId="2A74F8DB">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color w:val="auto"/>
                <w:highlight w:val="none"/>
              </w:rPr>
              <w:t>下达医嘱时，可根据临床路径或指南列出所需检验目，能够根据临床路径（指南）要求和病 人的具体数据，自动对比执行与变异情况，提示输入变异原因并进行记录。</w:t>
            </w:r>
          </w:p>
        </w:tc>
      </w:tr>
      <w:tr w14:paraId="1B774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4" w:hRule="atLeast"/>
          <w:jc w:val="center"/>
        </w:trPr>
        <w:tc>
          <w:tcPr>
            <w:tcW w:w="828" w:type="dxa"/>
            <w:vMerge w:val="continue"/>
            <w:vAlign w:val="center"/>
          </w:tcPr>
          <w:p w14:paraId="7718BEDC">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p>
        </w:tc>
        <w:tc>
          <w:tcPr>
            <w:tcW w:w="1185" w:type="dxa"/>
            <w:vAlign w:val="center"/>
          </w:tcPr>
          <w:p w14:paraId="0B5EEA1F">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住院医嘱智能记费</w:t>
            </w:r>
          </w:p>
        </w:tc>
        <w:tc>
          <w:tcPr>
            <w:tcW w:w="7986" w:type="dxa"/>
            <w:vAlign w:val="center"/>
          </w:tcPr>
          <w:p w14:paraId="534865D3">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支持医嘱费用处理智能化，检查项目按部位自动加收费用，检验项目按指标自动加收费用，会诊费用按会诊个数自动加收等等，且支持医嘱附加项目自动关联，允许人工补充修改。支持根据医保政策更新。</w:t>
            </w:r>
          </w:p>
        </w:tc>
      </w:tr>
      <w:tr w14:paraId="0B75A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7" w:hRule="atLeast"/>
          <w:jc w:val="center"/>
        </w:trPr>
        <w:tc>
          <w:tcPr>
            <w:tcW w:w="828" w:type="dxa"/>
            <w:vMerge w:val="continue"/>
            <w:vAlign w:val="center"/>
          </w:tcPr>
          <w:p w14:paraId="49598C16">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p>
        </w:tc>
        <w:tc>
          <w:tcPr>
            <w:tcW w:w="1185" w:type="dxa"/>
            <w:vAlign w:val="center"/>
          </w:tcPr>
          <w:p w14:paraId="0B60074E">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住院医嘱精细化管理</w:t>
            </w:r>
          </w:p>
        </w:tc>
        <w:tc>
          <w:tcPr>
            <w:tcW w:w="7986" w:type="dxa"/>
            <w:vAlign w:val="center"/>
          </w:tcPr>
          <w:p w14:paraId="7E04F09B">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支持医嘱精细化管理。通过一张长期药品医嘱医疗单，根据当前时间、给药频次、停止时间，实现首（末）日时点自动勾选，并支持时点和不同时点用药剂量的调整。</w:t>
            </w:r>
          </w:p>
          <w:p w14:paraId="1E8F7022">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支持开立输液医嘱时，自动计算患者当天已开立医嘱的液体总量，并可以查询患者历史用量；</w:t>
            </w:r>
          </w:p>
          <w:p w14:paraId="7FCD8BB5">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支持在手术申请医嘱开立时，自动导入关联的手术医嘱模板。</w:t>
            </w:r>
          </w:p>
        </w:tc>
      </w:tr>
      <w:tr w14:paraId="0EE75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jc w:val="center"/>
        </w:trPr>
        <w:tc>
          <w:tcPr>
            <w:tcW w:w="828" w:type="dxa"/>
            <w:vMerge w:val="continue"/>
            <w:vAlign w:val="center"/>
          </w:tcPr>
          <w:p w14:paraId="3C11FB4C">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p>
        </w:tc>
        <w:tc>
          <w:tcPr>
            <w:tcW w:w="1185" w:type="dxa"/>
            <w:vAlign w:val="center"/>
          </w:tcPr>
          <w:p w14:paraId="18E27179">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住院医嘱数据集成</w:t>
            </w:r>
          </w:p>
        </w:tc>
        <w:tc>
          <w:tcPr>
            <w:tcW w:w="7986" w:type="dxa"/>
            <w:vAlign w:val="center"/>
          </w:tcPr>
          <w:p w14:paraId="4227E0C9">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支持检查、检验等医疗单自动获取患者病情摘要信息和患者诊断。支持检查单优先醒目显示“备注栏”。</w:t>
            </w:r>
          </w:p>
        </w:tc>
      </w:tr>
      <w:tr w14:paraId="443A5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4" w:hRule="atLeast"/>
          <w:jc w:val="center"/>
        </w:trPr>
        <w:tc>
          <w:tcPr>
            <w:tcW w:w="828" w:type="dxa"/>
            <w:vMerge w:val="continue"/>
            <w:vAlign w:val="center"/>
          </w:tcPr>
          <w:p w14:paraId="5B152F6E">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p>
        </w:tc>
        <w:tc>
          <w:tcPr>
            <w:tcW w:w="1185" w:type="dxa"/>
            <w:vAlign w:val="center"/>
          </w:tcPr>
          <w:p w14:paraId="56C97B4E">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住院医嘱打印管理</w:t>
            </w:r>
          </w:p>
        </w:tc>
        <w:tc>
          <w:tcPr>
            <w:tcW w:w="7986" w:type="dxa"/>
            <w:vAlign w:val="center"/>
          </w:tcPr>
          <w:p w14:paraId="0A8C5234">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提供医嘱的打印功能，能够根据医院现有的医嘱单样式，定制打印模版，直接进行医嘱的打印、医生签名即可。提供长期、临时医嘱打印，可以实现开嘱打印和停嘱打印，打印方式支持续打、按页打、制定行打印、重整打印、重整清空等方式。</w:t>
            </w:r>
          </w:p>
        </w:tc>
      </w:tr>
      <w:tr w14:paraId="2135D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jc w:val="center"/>
        </w:trPr>
        <w:tc>
          <w:tcPr>
            <w:tcW w:w="828" w:type="dxa"/>
            <w:vMerge w:val="continue"/>
            <w:vAlign w:val="center"/>
          </w:tcPr>
          <w:p w14:paraId="31C8F9AD">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p>
        </w:tc>
        <w:tc>
          <w:tcPr>
            <w:tcW w:w="1185" w:type="dxa"/>
            <w:vAlign w:val="center"/>
          </w:tcPr>
          <w:p w14:paraId="72288B11">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hint="eastAsia" w:ascii="宋体" w:hAnsi="宋体" w:cs="宋体"/>
                <w:color w:val="auto"/>
                <w:kern w:val="0"/>
                <w:szCs w:val="21"/>
                <w:highlight w:val="none"/>
              </w:rPr>
            </w:pPr>
            <w:r>
              <w:rPr>
                <w:rFonts w:hint="eastAsia" w:ascii="宋体" w:hAnsi="宋体" w:cs="宋体"/>
                <w:bCs/>
                <w:color w:val="auto"/>
                <w:szCs w:val="21"/>
                <w:highlight w:val="none"/>
              </w:rPr>
              <w:t>路径医嘱执行</w:t>
            </w:r>
          </w:p>
        </w:tc>
        <w:tc>
          <w:tcPr>
            <w:tcW w:w="7986" w:type="dxa"/>
            <w:vAlign w:val="center"/>
          </w:tcPr>
          <w:p w14:paraId="58B7899E">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hint="eastAsia" w:ascii="宋体" w:hAnsi="宋体" w:cs="宋体"/>
                <w:bCs/>
                <w:color w:val="auto"/>
                <w:szCs w:val="21"/>
                <w:highlight w:val="none"/>
              </w:rPr>
            </w:pPr>
            <w:r>
              <w:rPr>
                <w:rFonts w:hint="eastAsia" w:ascii="宋体" w:hAnsi="宋体" w:cs="宋体"/>
                <w:bCs/>
                <w:color w:val="auto"/>
                <w:szCs w:val="21"/>
                <w:highlight w:val="none"/>
              </w:rPr>
              <w:t>支持路径中药品无库存时自动展示替换药品；支持常见病支路径医嘱快速下达；支持路径执行过程中自动匹配医疗文书。</w:t>
            </w:r>
          </w:p>
        </w:tc>
      </w:tr>
      <w:tr w14:paraId="41C91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828" w:type="dxa"/>
            <w:vMerge w:val="continue"/>
            <w:vAlign w:val="center"/>
          </w:tcPr>
          <w:p w14:paraId="2E5C646B">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p>
        </w:tc>
        <w:tc>
          <w:tcPr>
            <w:tcW w:w="9171" w:type="dxa"/>
            <w:gridSpan w:val="2"/>
            <w:vAlign w:val="center"/>
          </w:tcPr>
          <w:p w14:paraId="213D2535">
            <w:pPr>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bCs/>
                <w:color w:val="auto"/>
                <w:szCs w:val="21"/>
                <w:highlight w:val="none"/>
              </w:rPr>
            </w:pPr>
            <w:r>
              <w:rPr>
                <w:rFonts w:hint="eastAsia" w:ascii="宋体" w:hAnsi="宋体" w:cs="宋体"/>
                <w:bCs/>
                <w:color w:val="auto"/>
                <w:szCs w:val="21"/>
                <w:highlight w:val="none"/>
              </w:rPr>
              <w:t>住院报告查询</w:t>
            </w:r>
          </w:p>
        </w:tc>
      </w:tr>
      <w:tr w14:paraId="55C5A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7" w:hRule="atLeast"/>
          <w:jc w:val="center"/>
        </w:trPr>
        <w:tc>
          <w:tcPr>
            <w:tcW w:w="828" w:type="dxa"/>
            <w:vMerge w:val="continue"/>
            <w:vAlign w:val="center"/>
          </w:tcPr>
          <w:p w14:paraId="5A2B3A6A">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p>
        </w:tc>
        <w:tc>
          <w:tcPr>
            <w:tcW w:w="1185" w:type="dxa"/>
            <w:vAlign w:val="center"/>
          </w:tcPr>
          <w:p w14:paraId="476CE13B">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住院报告查询</w:t>
            </w:r>
          </w:p>
        </w:tc>
        <w:tc>
          <w:tcPr>
            <w:tcW w:w="7986" w:type="dxa"/>
            <w:vAlign w:val="center"/>
          </w:tcPr>
          <w:p w14:paraId="37095D6A">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支持在住院医生站有且不限于检验、检查、病理、电子病历数据报告查询</w:t>
            </w:r>
          </w:p>
          <w:p w14:paraId="7D518232">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支持历史某段时间内就诊报告的查询</w:t>
            </w:r>
          </w:p>
          <w:p w14:paraId="3AFCBE70">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支持图文报告查看以及内嵌式影像浏览器接口查看</w:t>
            </w:r>
          </w:p>
          <w:p w14:paraId="0D229559">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支持医联体、医疗集团模式可跨机构、跨院区查看患者所有检验检查结果报告</w:t>
            </w:r>
          </w:p>
          <w:p w14:paraId="02C835D4">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在检验结果中支持检验定量指标的趋势图分析，分单指标趋势图和多指标趋势图。</w:t>
            </w:r>
          </w:p>
        </w:tc>
      </w:tr>
      <w:tr w14:paraId="6A26A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828" w:type="dxa"/>
            <w:vMerge w:val="continue"/>
            <w:vAlign w:val="center"/>
          </w:tcPr>
          <w:p w14:paraId="1A78CA55">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p>
        </w:tc>
        <w:tc>
          <w:tcPr>
            <w:tcW w:w="9171" w:type="dxa"/>
            <w:gridSpan w:val="2"/>
            <w:vAlign w:val="center"/>
          </w:tcPr>
          <w:p w14:paraId="26F6EE74">
            <w:pPr>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bCs/>
                <w:color w:val="auto"/>
                <w:szCs w:val="21"/>
                <w:highlight w:val="none"/>
              </w:rPr>
            </w:pPr>
            <w:r>
              <w:rPr>
                <w:rFonts w:ascii="宋体" w:hAnsi="宋体" w:cs="宋体"/>
                <w:bCs/>
                <w:color w:val="auto"/>
                <w:szCs w:val="21"/>
                <w:highlight w:val="none"/>
              </w:rPr>
              <w:t>业务提醒功能</w:t>
            </w:r>
          </w:p>
        </w:tc>
      </w:tr>
      <w:tr w14:paraId="75BFD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0" w:hRule="atLeast"/>
          <w:jc w:val="center"/>
        </w:trPr>
        <w:tc>
          <w:tcPr>
            <w:tcW w:w="828" w:type="dxa"/>
            <w:vMerge w:val="continue"/>
            <w:vAlign w:val="center"/>
          </w:tcPr>
          <w:p w14:paraId="68F70252">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p>
        </w:tc>
        <w:tc>
          <w:tcPr>
            <w:tcW w:w="1185" w:type="dxa"/>
            <w:vAlign w:val="center"/>
          </w:tcPr>
          <w:p w14:paraId="6720EB6A">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Cs w:val="21"/>
                <w:highlight w:val="none"/>
              </w:rPr>
            </w:pPr>
            <w:r>
              <w:rPr>
                <w:color w:val="auto"/>
                <w:highlight w:val="none"/>
              </w:rPr>
              <w:t>业务提醒功能</w:t>
            </w:r>
          </w:p>
        </w:tc>
        <w:tc>
          <w:tcPr>
            <w:tcW w:w="7986" w:type="dxa"/>
            <w:vAlign w:val="center"/>
          </w:tcPr>
          <w:p w14:paraId="74F4235C">
            <w:pPr>
              <w:keepNext w:val="0"/>
              <w:keepLines w:val="0"/>
              <w:pageBreakBefore w:val="0"/>
              <w:numPr>
                <w:ilvl w:val="0"/>
                <w:numId w:val="13"/>
              </w:numPr>
              <w:kinsoku/>
              <w:wordWrap/>
              <w:overflowPunct/>
              <w:topLinePunct w:val="0"/>
              <w:autoSpaceDE/>
              <w:autoSpaceDN/>
              <w:bidi w:val="0"/>
              <w:adjustRightInd w:val="0"/>
              <w:snapToGrid w:val="0"/>
              <w:spacing w:line="360" w:lineRule="auto"/>
              <w:ind w:left="420" w:leftChars="0" w:hanging="420" w:firstLineChars="0"/>
              <w:jc w:val="left"/>
              <w:textAlignment w:val="auto"/>
              <w:rPr>
                <w:rFonts w:ascii="宋体" w:hAnsi="宋体" w:cs="宋体"/>
                <w:bCs/>
                <w:color w:val="auto"/>
                <w:szCs w:val="21"/>
                <w:highlight w:val="none"/>
              </w:rPr>
            </w:pPr>
            <w:r>
              <w:rPr>
                <w:rFonts w:hint="eastAsia" w:ascii="宋体" w:hAnsi="宋体" w:cs="宋体"/>
                <w:bCs/>
                <w:color w:val="auto"/>
                <w:szCs w:val="21"/>
                <w:highlight w:val="none"/>
              </w:rPr>
              <w:t>提供医生多种业务提醒功能，例如危急值提醒、会诊提醒等业务消息提醒</w:t>
            </w:r>
          </w:p>
          <w:p w14:paraId="54FD892A">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帮助医生能够及时填写病历资料，避免医疗差错与纠纷</w:t>
            </w:r>
          </w:p>
          <w:p w14:paraId="1D83FD22">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提供多种业务提醒方式，包括系统消息、手机短信、企业微信等。</w:t>
            </w:r>
          </w:p>
          <w:p w14:paraId="6B92B1E7">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color w:val="auto"/>
                <w:highlight w:val="none"/>
              </w:rPr>
              <w:t>输血科发血后先发送取血通知给医生端，医生确认执行用血医嘱后，再发送领血通知至护士端。</w:t>
            </w:r>
          </w:p>
        </w:tc>
      </w:tr>
      <w:tr w14:paraId="110FC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4" w:hRule="atLeast"/>
          <w:jc w:val="center"/>
        </w:trPr>
        <w:tc>
          <w:tcPr>
            <w:tcW w:w="828" w:type="dxa"/>
            <w:vMerge w:val="continue"/>
            <w:vAlign w:val="center"/>
          </w:tcPr>
          <w:p w14:paraId="7B8DA00E">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p>
        </w:tc>
        <w:tc>
          <w:tcPr>
            <w:tcW w:w="1185" w:type="dxa"/>
            <w:vAlign w:val="center"/>
          </w:tcPr>
          <w:p w14:paraId="47B6C3A4">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color w:val="auto"/>
                <w:highlight w:val="none"/>
              </w:rPr>
            </w:pPr>
            <w:r>
              <w:rPr>
                <w:rFonts w:hint="eastAsia"/>
                <w:color w:val="auto"/>
                <w:highlight w:val="none"/>
              </w:rPr>
              <w:t>危急值处理</w:t>
            </w:r>
          </w:p>
        </w:tc>
        <w:tc>
          <w:tcPr>
            <w:tcW w:w="7986" w:type="dxa"/>
            <w:vAlign w:val="center"/>
          </w:tcPr>
          <w:p w14:paraId="0B455E0E">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hint="eastAsia"/>
                <w:color w:val="auto"/>
                <w:highlight w:val="none"/>
              </w:rPr>
            </w:pPr>
            <w:r>
              <w:rPr>
                <w:rFonts w:hint="eastAsia"/>
                <w:color w:val="auto"/>
                <w:highlight w:val="none"/>
              </w:rPr>
              <w:t>基于危急值建立独立服务组件，统一外放至门急诊医生端、住院医护端进行统一接收与处理。</w:t>
            </w:r>
          </w:p>
          <w:p w14:paraId="3EDCF65E">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hint="eastAsia"/>
                <w:color w:val="auto"/>
                <w:highlight w:val="none"/>
              </w:rPr>
            </w:pPr>
            <w:r>
              <w:rPr>
                <w:rFonts w:hint="eastAsia"/>
                <w:color w:val="auto"/>
                <w:highlight w:val="none"/>
              </w:rPr>
              <w:t>支持基于消息引擎实现危急值消息实时提醒；</w:t>
            </w:r>
          </w:p>
        </w:tc>
      </w:tr>
      <w:tr w14:paraId="4A23B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828" w:type="dxa"/>
            <w:vMerge w:val="continue"/>
            <w:vAlign w:val="center"/>
          </w:tcPr>
          <w:p w14:paraId="059E44D1">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p>
        </w:tc>
        <w:tc>
          <w:tcPr>
            <w:tcW w:w="9171" w:type="dxa"/>
            <w:gridSpan w:val="2"/>
            <w:vAlign w:val="center"/>
          </w:tcPr>
          <w:p w14:paraId="076F0BC8">
            <w:pPr>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bCs/>
                <w:color w:val="auto"/>
                <w:szCs w:val="21"/>
                <w:highlight w:val="none"/>
              </w:rPr>
            </w:pPr>
            <w:r>
              <w:rPr>
                <w:rFonts w:hint="eastAsia" w:ascii="宋体" w:hAnsi="宋体" w:cs="宋体"/>
                <w:bCs/>
                <w:color w:val="auto"/>
                <w:szCs w:val="21"/>
                <w:highlight w:val="none"/>
              </w:rPr>
              <w:t>住院综合查询</w:t>
            </w:r>
          </w:p>
        </w:tc>
      </w:tr>
      <w:tr w14:paraId="74E95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jc w:val="center"/>
        </w:trPr>
        <w:tc>
          <w:tcPr>
            <w:tcW w:w="828" w:type="dxa"/>
            <w:vMerge w:val="continue"/>
            <w:vAlign w:val="center"/>
          </w:tcPr>
          <w:p w14:paraId="570F9603">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p>
        </w:tc>
        <w:tc>
          <w:tcPr>
            <w:tcW w:w="1185" w:type="dxa"/>
            <w:vAlign w:val="center"/>
          </w:tcPr>
          <w:p w14:paraId="0BFAD280">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Cs w:val="21"/>
                <w:highlight w:val="none"/>
              </w:rPr>
            </w:pPr>
            <w:r>
              <w:rPr>
                <w:color w:val="auto"/>
                <w:highlight w:val="none"/>
              </w:rPr>
              <w:t>住院综合查询</w:t>
            </w:r>
          </w:p>
        </w:tc>
        <w:tc>
          <w:tcPr>
            <w:tcW w:w="7986" w:type="dxa"/>
            <w:vAlign w:val="center"/>
          </w:tcPr>
          <w:p w14:paraId="306A3112">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提供临床诊疗业务数据的查询功能，包含处方点评结果、临床危急值报告、住院病历查询、手术及麻醉信息、重症护理信息（接口）、支持患者信息全景等。</w:t>
            </w:r>
          </w:p>
          <w:p w14:paraId="1C048D65">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支持公卫值班人员对肺结核及疑似病例转诊单进行批量查询、下载和打印。可按填报时间、患者姓名等条件查询转诊单，支持导出PDF及批量打印。</w:t>
            </w:r>
          </w:p>
        </w:tc>
      </w:tr>
      <w:tr w14:paraId="0DAFE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828" w:type="dxa"/>
            <w:vMerge w:val="continue"/>
            <w:vAlign w:val="center"/>
          </w:tcPr>
          <w:p w14:paraId="37E2C6BB">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p>
        </w:tc>
        <w:tc>
          <w:tcPr>
            <w:tcW w:w="9171" w:type="dxa"/>
            <w:gridSpan w:val="2"/>
            <w:vAlign w:val="center"/>
          </w:tcPr>
          <w:p w14:paraId="11EEB559">
            <w:pPr>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bCs/>
                <w:color w:val="auto"/>
                <w:szCs w:val="21"/>
                <w:highlight w:val="none"/>
              </w:rPr>
            </w:pPr>
            <w:r>
              <w:rPr>
                <w:rFonts w:hint="eastAsia" w:ascii="宋体" w:hAnsi="宋体" w:cs="宋体"/>
                <w:bCs/>
                <w:color w:val="auto"/>
                <w:szCs w:val="21"/>
                <w:highlight w:val="none"/>
              </w:rPr>
              <w:t>他科治疗管理</w:t>
            </w:r>
          </w:p>
        </w:tc>
      </w:tr>
      <w:tr w14:paraId="75575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1" w:hRule="atLeast"/>
          <w:jc w:val="center"/>
        </w:trPr>
        <w:tc>
          <w:tcPr>
            <w:tcW w:w="828" w:type="dxa"/>
            <w:vMerge w:val="continue"/>
            <w:vAlign w:val="center"/>
          </w:tcPr>
          <w:p w14:paraId="2F4E72FB">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p>
        </w:tc>
        <w:tc>
          <w:tcPr>
            <w:tcW w:w="1185" w:type="dxa"/>
            <w:vAlign w:val="center"/>
          </w:tcPr>
          <w:p w14:paraId="6F9DCE5D">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Cs w:val="21"/>
                <w:highlight w:val="none"/>
              </w:rPr>
            </w:pPr>
            <w:r>
              <w:rPr>
                <w:color w:val="auto"/>
                <w:highlight w:val="none"/>
              </w:rPr>
              <w:t>他科治疗管理</w:t>
            </w:r>
          </w:p>
        </w:tc>
        <w:tc>
          <w:tcPr>
            <w:tcW w:w="7986" w:type="dxa"/>
            <w:vAlign w:val="center"/>
          </w:tcPr>
          <w:p w14:paraId="1402B50F">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提供本科室诊疗之外其他科室的诊疗服务并行的功能，即“他科治疗”，包含“血透（透析）、PICC、理疗、DSA”等科室，支持上述治疗室医师进行申请单管理、病历书写、医嘱开立、医嘱计费、查阅病历等。</w:t>
            </w:r>
          </w:p>
          <w:p w14:paraId="46E8A9E2">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支持患者同病区他科治疗，医嘱由患者所在病区护士复核、执行；</w:t>
            </w:r>
          </w:p>
          <w:p w14:paraId="66CA2E19">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跨院区他科治疗：设置机构间转科治疗业务线。住院医生站开立转科时，转后机构取机构间转科业务线，转后科室医生可接收或退回转科申请，转科医嘱由转后科室医生、病区护士接收后，完成转科，治疗科室医生可在“他科患者”中下医嘱、写病历，他科治疗结束后，有治疗科室护士结束他科治疗。</w:t>
            </w:r>
          </w:p>
        </w:tc>
      </w:tr>
      <w:tr w14:paraId="32844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828" w:type="dxa"/>
            <w:vAlign w:val="center"/>
          </w:tcPr>
          <w:p w14:paraId="33AEEC0F">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p>
        </w:tc>
        <w:tc>
          <w:tcPr>
            <w:tcW w:w="9171" w:type="dxa"/>
            <w:gridSpan w:val="2"/>
            <w:vAlign w:val="center"/>
          </w:tcPr>
          <w:p w14:paraId="29B26B89">
            <w:pPr>
              <w:keepNext w:val="0"/>
              <w:keepLines w:val="0"/>
              <w:pageBreakBefore w:val="0"/>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耐药细菌预警功能</w:t>
            </w:r>
          </w:p>
        </w:tc>
      </w:tr>
      <w:tr w14:paraId="5F18D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7" w:hRule="atLeast"/>
          <w:jc w:val="center"/>
        </w:trPr>
        <w:tc>
          <w:tcPr>
            <w:tcW w:w="828" w:type="dxa"/>
            <w:vAlign w:val="center"/>
          </w:tcPr>
          <w:p w14:paraId="160DA369">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p>
        </w:tc>
        <w:tc>
          <w:tcPr>
            <w:tcW w:w="1185" w:type="dxa"/>
            <w:vAlign w:val="center"/>
          </w:tcPr>
          <w:p w14:paraId="28F75289">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r>
              <w:rPr>
                <w:rFonts w:hint="eastAsia" w:ascii="宋体" w:hAnsi="宋体" w:cs="宋体"/>
                <w:color w:val="auto"/>
                <w:highlight w:val="none"/>
              </w:rPr>
              <w:t>耐药细菌预警</w:t>
            </w:r>
          </w:p>
        </w:tc>
        <w:tc>
          <w:tcPr>
            <w:tcW w:w="7986" w:type="dxa"/>
            <w:vAlign w:val="center"/>
          </w:tcPr>
          <w:p w14:paraId="7211D085">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自主维护药品ID、药品名称（维护ID后自动显示药品名称）、检出细菌、干预科室、干预级别（同时满足药品ID、检出细菌、科室时，可提醒：开具药品时柔性提醒；或者拦截：开具药品时刚性拦截）、状态标志（暂停：规则不启用；启用：规则正常启用）</w:t>
            </w:r>
          </w:p>
          <w:p w14:paraId="254F2DAE">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支持Excel导入维护功能，导入包含药品ID、实际检出菌、科室、干预级别、状态标志的Excel后，实现批量维护。</w:t>
            </w:r>
          </w:p>
        </w:tc>
      </w:tr>
      <w:tr w14:paraId="7B175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828" w:type="dxa"/>
            <w:vAlign w:val="center"/>
          </w:tcPr>
          <w:p w14:paraId="21B1A316">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p>
        </w:tc>
        <w:tc>
          <w:tcPr>
            <w:tcW w:w="9171" w:type="dxa"/>
            <w:gridSpan w:val="2"/>
            <w:vAlign w:val="center"/>
          </w:tcPr>
          <w:p w14:paraId="383EF6FC">
            <w:pPr>
              <w:keepNext w:val="0"/>
              <w:keepLines w:val="0"/>
              <w:pageBreakBefore w:val="0"/>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云药房医嘱知情同意</w:t>
            </w:r>
          </w:p>
        </w:tc>
      </w:tr>
      <w:tr w14:paraId="19CBB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7" w:hRule="atLeast"/>
          <w:jc w:val="center"/>
        </w:trPr>
        <w:tc>
          <w:tcPr>
            <w:tcW w:w="828" w:type="dxa"/>
            <w:vAlign w:val="center"/>
          </w:tcPr>
          <w:p w14:paraId="33DA0A7C">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p>
        </w:tc>
        <w:tc>
          <w:tcPr>
            <w:tcW w:w="1185" w:type="dxa"/>
            <w:vAlign w:val="center"/>
          </w:tcPr>
          <w:p w14:paraId="7DBC7E53">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highlight w:val="none"/>
              </w:rPr>
            </w:pPr>
            <w:r>
              <w:rPr>
                <w:rFonts w:hint="eastAsia" w:ascii="宋体" w:hAnsi="宋体" w:cs="宋体"/>
                <w:color w:val="auto"/>
                <w:highlight w:val="none"/>
              </w:rPr>
              <w:t>云药房医嘱知情同意</w:t>
            </w:r>
          </w:p>
        </w:tc>
        <w:tc>
          <w:tcPr>
            <w:tcW w:w="7986" w:type="dxa"/>
            <w:vAlign w:val="center"/>
          </w:tcPr>
          <w:p w14:paraId="2CF7995E">
            <w:pPr>
              <w:keepNext w:val="0"/>
              <w:keepLines w:val="0"/>
              <w:pageBreakBefore w:val="0"/>
              <w:numPr>
                <w:ilvl w:val="0"/>
                <w:numId w:val="14"/>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color w:val="auto"/>
                <w:szCs w:val="21"/>
                <w:highlight w:val="none"/>
                <w:shd w:val="clear" w:color="auto" w:fill="FFFFFF"/>
              </w:rPr>
              <w:t>医生开具云药房医嘱时，系统检索“病历文书-其他同意书/告知书”是否有《中山大学附属第七医院患方使用“处方流转平台"药物知情同意书》，如无则不能提交医嘱，并提示：请在“病历文书-其他同意书/告知书”填写《中山大学附属第七医院患方使用“处方流转平台"药物知情同意书》后再次提交云药房医嘱</w:t>
            </w:r>
            <w:r>
              <w:rPr>
                <w:rFonts w:hint="eastAsia"/>
                <w:color w:val="auto"/>
                <w:highlight w:val="none"/>
              </w:rPr>
              <w:t>（住院医嘱系统对接云药房目录，开具云药房目录的药品时，要弹同意书，按上述流程）</w:t>
            </w:r>
          </w:p>
        </w:tc>
      </w:tr>
      <w:tr w14:paraId="708E6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28" w:type="dxa"/>
            <w:vAlign w:val="center"/>
          </w:tcPr>
          <w:p w14:paraId="4A242E87">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p>
        </w:tc>
        <w:tc>
          <w:tcPr>
            <w:tcW w:w="1185" w:type="dxa"/>
            <w:vAlign w:val="center"/>
          </w:tcPr>
          <w:p w14:paraId="58A2D2E4">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p>
        </w:tc>
        <w:tc>
          <w:tcPr>
            <w:tcW w:w="7986" w:type="dxa"/>
            <w:vAlign w:val="center"/>
          </w:tcPr>
          <w:p w14:paraId="79814DB1">
            <w:pPr>
              <w:keepNext w:val="0"/>
              <w:keepLines w:val="0"/>
              <w:pageBreakBefore w:val="0"/>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住院医生工作站要与急诊系统双向对接。</w:t>
            </w:r>
          </w:p>
        </w:tc>
      </w:tr>
      <w:tr w14:paraId="49EB0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28" w:type="dxa"/>
            <w:vAlign w:val="center"/>
          </w:tcPr>
          <w:p w14:paraId="77CB08C6">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p>
        </w:tc>
        <w:tc>
          <w:tcPr>
            <w:tcW w:w="9171" w:type="dxa"/>
            <w:gridSpan w:val="2"/>
            <w:vAlign w:val="center"/>
          </w:tcPr>
          <w:p w14:paraId="67122E6A">
            <w:pPr>
              <w:keepNext w:val="0"/>
              <w:keepLines w:val="0"/>
              <w:pageBreakBefore w:val="0"/>
              <w:tabs>
                <w:tab w:val="left" w:pos="525"/>
                <w:tab w:val="left" w:pos="630"/>
              </w:tabs>
              <w:kinsoku/>
              <w:wordWrap/>
              <w:overflowPunct/>
              <w:topLinePunct w:val="0"/>
              <w:autoSpaceDE/>
              <w:autoSpaceDN/>
              <w:bidi w:val="0"/>
              <w:adjustRightInd w:val="0"/>
              <w:snapToGrid w:val="0"/>
              <w:spacing w:line="360" w:lineRule="auto"/>
              <w:jc w:val="left"/>
              <w:textAlignment w:val="auto"/>
              <w:rPr>
                <w:rFonts w:hint="eastAsia" w:ascii="宋体" w:hAnsi="宋体" w:cs="宋体"/>
                <w:bCs/>
                <w:color w:val="auto"/>
                <w:szCs w:val="21"/>
                <w:highlight w:val="none"/>
              </w:rPr>
            </w:pPr>
            <w:r>
              <w:rPr>
                <w:rFonts w:hint="eastAsia" w:ascii="宋体" w:hAnsi="宋体"/>
                <w:color w:val="auto"/>
                <w:highlight w:val="none"/>
                <w:lang w:val="en-US" w:eastAsia="zh-CN"/>
              </w:rPr>
              <w:t>报告卡</w:t>
            </w:r>
          </w:p>
        </w:tc>
      </w:tr>
      <w:tr w14:paraId="0D15E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28" w:type="dxa"/>
            <w:vAlign w:val="center"/>
          </w:tcPr>
          <w:p w14:paraId="6D20D34A">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p>
        </w:tc>
        <w:tc>
          <w:tcPr>
            <w:tcW w:w="1185" w:type="dxa"/>
            <w:shd w:val="clear" w:color="auto" w:fill="auto"/>
            <w:vAlign w:val="center"/>
          </w:tcPr>
          <w:p w14:paraId="0FC1211A">
            <w:pPr>
              <w:keepNext w:val="0"/>
              <w:keepLines w:val="0"/>
              <w:pageBreakBefore w:val="0"/>
              <w:numPr>
                <w:ilvl w:val="-1"/>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eastAsia="宋体" w:cs="Times New Roman"/>
                <w:color w:val="auto"/>
                <w:kern w:val="2"/>
                <w:sz w:val="21"/>
                <w:szCs w:val="24"/>
                <w:highlight w:val="none"/>
                <w:lang w:val="en-US" w:eastAsia="zh-CN" w:bidi="ar-SA"/>
              </w:rPr>
            </w:pPr>
            <w:r>
              <w:rPr>
                <w:rFonts w:hint="eastAsia" w:ascii="宋体" w:hAnsi="宋体"/>
                <w:color w:val="auto"/>
                <w:highlight w:val="none"/>
                <w:lang w:val="en-US" w:eastAsia="zh-CN"/>
              </w:rPr>
              <w:t>可配置化报告卡管理功能</w:t>
            </w:r>
          </w:p>
        </w:tc>
        <w:tc>
          <w:tcPr>
            <w:tcW w:w="7986" w:type="dxa"/>
            <w:shd w:val="clear" w:color="auto" w:fill="auto"/>
            <w:vAlign w:val="center"/>
          </w:tcPr>
          <w:p w14:paraId="7659FC32">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hint="eastAsia"/>
              </w:rPr>
            </w:pPr>
            <w:r>
              <w:rPr>
                <w:rFonts w:hint="eastAsia"/>
              </w:rPr>
              <w:t>支持对各类报告卡模板、字段、必填项、校验规则及触发诊断规则进行后台配置。系统可根据诊断名称、ICD编码、就诊类型、科室等条件自动判断是否需弹出对应报告卡，减少后续新增报卡类型时的重复开发。</w:t>
            </w:r>
          </w:p>
          <w:p w14:paraId="0997BCF4">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ind w:left="440" w:leftChars="0" w:hanging="440" w:firstLineChars="0"/>
              <w:jc w:val="left"/>
              <w:textAlignment w:val="auto"/>
              <w:rPr>
                <w:rFonts w:hint="eastAsia" w:ascii="Calibri" w:hAnsi="Calibri" w:eastAsia="宋体" w:cs="Times New Roman"/>
                <w:kern w:val="2"/>
                <w:sz w:val="21"/>
                <w:szCs w:val="24"/>
                <w:lang w:val="en-US" w:eastAsia="zh-CN" w:bidi="ar-SA"/>
              </w:rPr>
            </w:pPr>
            <w:r>
              <w:rPr>
                <w:rFonts w:hint="eastAsia"/>
              </w:rPr>
              <w:t>报告卡通用字段如患者姓名、性别、年龄、证件号、联系电话、就诊科室、接诊医生、诊断名称、ICD编码、就诊时间等应支持自动带出；业务专用字段支持后台维护。</w:t>
            </w:r>
          </w:p>
        </w:tc>
      </w:tr>
      <w:tr w14:paraId="24F0A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28" w:type="dxa"/>
            <w:vAlign w:val="center"/>
          </w:tcPr>
          <w:p w14:paraId="5C4FDCAE">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p>
        </w:tc>
        <w:tc>
          <w:tcPr>
            <w:tcW w:w="1185" w:type="dxa"/>
            <w:shd w:val="clear" w:color="auto" w:fill="auto"/>
            <w:vAlign w:val="center"/>
          </w:tcPr>
          <w:p w14:paraId="6C35D050">
            <w:pPr>
              <w:keepNext w:val="0"/>
              <w:keepLines w:val="0"/>
              <w:pageBreakBefore w:val="0"/>
              <w:numPr>
                <w:ilvl w:val="-1"/>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default" w:ascii="宋体" w:hAnsi="宋体"/>
                <w:color w:val="auto"/>
                <w:highlight w:val="none"/>
                <w:lang w:val="en-US" w:eastAsia="zh-CN"/>
              </w:rPr>
            </w:pPr>
            <w:r>
              <w:rPr>
                <w:rFonts w:hint="eastAsia" w:ascii="宋体" w:hAnsi="宋体"/>
                <w:color w:val="auto"/>
                <w:highlight w:val="none"/>
                <w:lang w:val="en-US" w:eastAsia="zh-CN"/>
              </w:rPr>
              <w:t>报告卡</w:t>
            </w:r>
          </w:p>
        </w:tc>
        <w:tc>
          <w:tcPr>
            <w:tcW w:w="7986" w:type="dxa"/>
            <w:shd w:val="clear" w:color="auto" w:fill="auto"/>
            <w:vAlign w:val="center"/>
          </w:tcPr>
          <w:p w14:paraId="2D37E181">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eastAsia="宋体" w:cs="宋体"/>
                <w:bCs/>
                <w:color w:val="auto"/>
                <w:sz w:val="21"/>
                <w:szCs w:val="21"/>
                <w:highlight w:val="none"/>
              </w:rPr>
              <w:t>支持住院严重精神障碍患者报告卡及高风险报告卡管理。</w:t>
            </w:r>
            <w:r>
              <w:rPr>
                <w:rFonts w:hint="eastAsia" w:ascii="宋体" w:hAnsi="宋体" w:cs="宋体"/>
                <w:bCs/>
                <w:color w:val="auto"/>
                <w:szCs w:val="21"/>
                <w:highlight w:val="none"/>
              </w:rPr>
              <w:t>危险度评估为3级及以上时，系统提示填写严重精神障碍患者高风险报告卡，并与基础报告卡关联保存。当前暂不直接对接市精卫系统，先支持院内审核后人工上报；后续根据接口条件扩展对接。</w:t>
            </w:r>
          </w:p>
          <w:p w14:paraId="7C62CDBE">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ind w:left="440" w:leftChars="0" w:hanging="440" w:firstLineChars="0"/>
              <w:jc w:val="left"/>
              <w:textAlignment w:val="auto"/>
              <w:rPr>
                <w:rFonts w:hint="eastAsia" w:ascii="Calibri" w:hAnsi="Calibri" w:eastAsia="宋体" w:cs="Times New Roman"/>
                <w:kern w:val="2"/>
                <w:sz w:val="21"/>
                <w:szCs w:val="24"/>
                <w:lang w:val="en-US" w:eastAsia="zh-CN" w:bidi="ar-SA"/>
              </w:rPr>
            </w:pPr>
            <w:r>
              <w:rPr>
                <w:rFonts w:hint="eastAsia" w:ascii="宋体" w:hAnsi="宋体" w:cs="宋体"/>
                <w:bCs/>
                <w:color w:val="auto"/>
                <w:szCs w:val="21"/>
                <w:highlight w:val="none"/>
              </w:rPr>
              <w:t>支持公共卫生管理科对住院端提交的报告卡进行查询、审核、修改、导出及打印。</w:t>
            </w:r>
          </w:p>
        </w:tc>
      </w:tr>
      <w:tr w14:paraId="4930E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28" w:type="dxa"/>
            <w:vAlign w:val="center"/>
          </w:tcPr>
          <w:p w14:paraId="73D90718">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p>
        </w:tc>
        <w:tc>
          <w:tcPr>
            <w:tcW w:w="1185" w:type="dxa"/>
            <w:shd w:val="clear" w:color="auto" w:fill="auto"/>
            <w:vAlign w:val="center"/>
          </w:tcPr>
          <w:p w14:paraId="773F53E0">
            <w:pPr>
              <w:keepNext w:val="0"/>
              <w:keepLines w:val="0"/>
              <w:pageBreakBefore w:val="0"/>
              <w:numPr>
                <w:ilvl w:val="-1"/>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eastAsia="宋体" w:cs="Times New Roman"/>
                <w:color w:val="auto"/>
                <w:kern w:val="2"/>
                <w:sz w:val="21"/>
                <w:szCs w:val="24"/>
                <w:highlight w:val="none"/>
                <w:lang w:val="en-US" w:eastAsia="zh-CN" w:bidi="ar-SA"/>
              </w:rPr>
            </w:pPr>
            <w:r>
              <w:rPr>
                <w:rFonts w:hint="eastAsia" w:ascii="宋体" w:hAnsi="宋体"/>
                <w:color w:val="auto"/>
                <w:highlight w:val="none"/>
                <w:lang w:val="en-US" w:eastAsia="zh-CN"/>
              </w:rPr>
              <w:t>填卡要求</w:t>
            </w:r>
          </w:p>
        </w:tc>
        <w:tc>
          <w:tcPr>
            <w:tcW w:w="7986" w:type="dxa"/>
            <w:shd w:val="clear" w:color="auto" w:fill="auto"/>
            <w:vAlign w:val="center"/>
          </w:tcPr>
          <w:p w14:paraId="54A6398E">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hint="eastAsia"/>
              </w:rPr>
            </w:pPr>
            <w:r>
              <w:rPr>
                <w:rFonts w:hint="eastAsia"/>
              </w:rPr>
              <w:t>满足《中华人民共和国传染病报告卡》填卡说明要求，包括以下具体要求：（1）证件号必填，且仅限数字和字母；若为“居民身份证号”，须18位且符合逻辑校验，否则保存时高亮提醒；证件号旁提示：“暂未办理身份证儿童请填家长身份证号”。（2）通行证逻辑：选择“港澳/台湾居民来往内地通行证”时，下方弹出“患者来源地”（必选：香港/澳门/台湾），该字段仅医生端可见，不推送前置系统。上述任一填写不规范，保存时高亮提醒。（3）家长姓名：根据出生日期判定患者≤14岁（未满15岁）时，为必填项，未填则保存时高亮提醒。工作单位（学校）：职业为幼托儿童、学生、民工、教师、医务人员、工人、干部职员时，为必填项，未填则保存时高亮提醒。</w:t>
            </w:r>
          </w:p>
          <w:p w14:paraId="42D7A919">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rPr>
              <w:t>传染病报卡弹框提醒：（1）填报“手足口病”卡时，若“重症患者”选“是”，弹框提示“是否上报手足口病重症？”（“重症”加粗标红），选项“是/否”；（2）填报“新型冠状病毒感染”卡时，若“临床严重程度”选“重型”或“危重型”，弹框提示“是否上报新型冠状病毒感染重症？”（“重症”加粗标红），选项“是/否”。</w:t>
            </w:r>
          </w:p>
          <w:p w14:paraId="4625D939">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hint="eastAsia" w:ascii="宋体" w:hAnsi="宋体" w:cs="宋体"/>
                <w:bCs/>
                <w:color w:val="auto"/>
                <w:szCs w:val="21"/>
                <w:highlight w:val="none"/>
              </w:rPr>
            </w:pPr>
            <w:r>
              <w:rPr>
                <w:rFonts w:hint="eastAsia" w:ascii="宋体" w:hAnsi="宋体" w:cs="宋体"/>
                <w:bCs/>
                <w:color w:val="auto"/>
                <w:szCs w:val="21"/>
                <w:highlight w:val="none"/>
              </w:rPr>
              <w:t>心脑血管事件报告卡功能</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rPr>
              <w:t>（1）弹框时机：将报告卡的弹框提醒触发时间，调整为病历归档（病案科完成归档）后再弹出，提示医生及时报卡（2）地址保存控制：户籍地址、家庭住址需填写到“街道”级别，才允许保存报告卡。</w:t>
            </w:r>
          </w:p>
          <w:p w14:paraId="56B10B2E">
            <w:pPr>
              <w:keepNext w:val="0"/>
              <w:keepLines w:val="0"/>
              <w:pageBreakBefore w:val="0"/>
              <w:numPr>
                <w:ilvl w:val="-1"/>
                <w:numId w:val="0"/>
              </w:numPr>
              <w:tabs>
                <w:tab w:val="left" w:pos="525"/>
                <w:tab w:val="left" w:pos="630"/>
              </w:tabs>
              <w:kinsoku/>
              <w:wordWrap/>
              <w:overflowPunct/>
              <w:topLinePunct w:val="0"/>
              <w:autoSpaceDE/>
              <w:autoSpaceDN/>
              <w:bidi w:val="0"/>
              <w:adjustRightInd w:val="0"/>
              <w:snapToGrid w:val="0"/>
              <w:spacing w:line="360" w:lineRule="auto"/>
              <w:ind w:left="0" w:firstLine="0"/>
              <w:jc w:val="left"/>
              <w:textAlignment w:val="auto"/>
              <w:rPr>
                <w:rFonts w:hint="eastAsia" w:ascii="宋体" w:hAnsi="宋体" w:cs="宋体"/>
                <w:bCs/>
                <w:color w:val="auto"/>
                <w:szCs w:val="21"/>
                <w:highlight w:val="none"/>
              </w:rPr>
            </w:pPr>
            <w:r>
              <w:rPr>
                <w:rFonts w:hint="eastAsia" w:ascii="宋体" w:hAnsi="宋体" w:cs="宋体"/>
                <w:bCs/>
                <w:color w:val="auto"/>
                <w:szCs w:val="21"/>
                <w:highlight w:val="none"/>
              </w:rPr>
              <w:t>（3）导出功能：电子病历系统 → 专科菜单 → 深圳市心脑血管事件登记报告卡管理 → 导出Excel，按提供的Excel模板格式导出。</w:t>
            </w:r>
          </w:p>
          <w:p w14:paraId="7E319F74">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ind w:left="440" w:leftChars="0" w:hanging="440" w:firstLineChars="0"/>
              <w:jc w:val="left"/>
              <w:textAlignment w:val="auto"/>
              <w:rPr>
                <w:rFonts w:hint="eastAsia" w:ascii="Calibri" w:hAnsi="Calibri" w:eastAsia="宋体" w:cs="Times New Roman"/>
                <w:kern w:val="2"/>
                <w:sz w:val="21"/>
                <w:szCs w:val="24"/>
                <w:lang w:val="en-US" w:eastAsia="zh-CN" w:bidi="ar-SA"/>
              </w:rPr>
            </w:pPr>
            <w:r>
              <w:rPr>
                <w:rFonts w:hint="eastAsia" w:ascii="宋体" w:hAnsi="宋体" w:cs="宋体"/>
                <w:bCs/>
                <w:color w:val="auto"/>
                <w:szCs w:val="21"/>
                <w:highlight w:val="none"/>
              </w:rPr>
              <w:t>慢性病（肿瘤）报告卡功能</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lang w:val="en-US" w:eastAsia="zh-CN"/>
              </w:rPr>
              <w:t>1</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rPr>
              <w:t>弹框时机</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rPr>
              <w:t>肿瘤报告卡的弹框提醒触发时间，调整为病案科完成病历归档后再弹出，提醒医生填报报告卡</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lang w:val="en-US" w:eastAsia="zh-CN"/>
              </w:rPr>
              <w:t>2</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rPr>
              <w:t>修改保存功能</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rPr>
              <w:t>电子病历系统 → 专科菜单 → 慢性病报告卡管理，当前无法对报告卡进行修改和保存</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lang w:val="en-US" w:eastAsia="zh-CN"/>
              </w:rPr>
              <w:t>3</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rPr>
              <w:t>导出功能调整电子病历系统 → 专科菜单 → 慢性病报告卡管理 → 导出Excel，导出格式按提供的Excel模板进行调整。</w:t>
            </w:r>
          </w:p>
          <w:p w14:paraId="63DA0530">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ind w:left="440" w:leftChars="0" w:hanging="440" w:firstLineChars="0"/>
              <w:jc w:val="left"/>
              <w:textAlignment w:val="auto"/>
              <w:rPr>
                <w:rFonts w:hint="eastAsia" w:ascii="Calibri" w:hAnsi="Calibri" w:eastAsia="宋体" w:cs="Times New Roman"/>
                <w:kern w:val="2"/>
                <w:sz w:val="21"/>
                <w:szCs w:val="24"/>
                <w:lang w:val="en-US" w:eastAsia="zh-CN" w:bidi="ar-SA"/>
              </w:rPr>
            </w:pPr>
            <w:r>
              <w:rPr>
                <w:rFonts w:hint="eastAsia" w:ascii="Calibri" w:hAnsi="Calibri" w:eastAsia="宋体" w:cs="Times New Roman"/>
                <w:kern w:val="2"/>
                <w:sz w:val="21"/>
                <w:szCs w:val="24"/>
                <w:lang w:val="en-US" w:eastAsia="zh-CN" w:bidi="ar-SA"/>
              </w:rPr>
              <w:t>支持新增出生缺陷报告卡（样式及交互参照传染病报告卡模式）。报告卡内容填写后需经审核，审核通过后自动对接并上传至深圳市妇幼保健管理系统中的出生缺陷个案报告卡模块。</w:t>
            </w:r>
          </w:p>
        </w:tc>
      </w:tr>
    </w:tbl>
    <w:p w14:paraId="5E3CEE09">
      <w:pPr>
        <w:bidi w:val="0"/>
      </w:pPr>
    </w:p>
    <w:p w14:paraId="4C794492">
      <w:pPr>
        <w:pStyle w:val="4"/>
        <w:bidi w:val="0"/>
      </w:pPr>
      <w:bookmarkStart w:id="26" w:name="_Toc23885"/>
      <w:bookmarkStart w:id="27" w:name="_Toc24801"/>
      <w:bookmarkStart w:id="28" w:name="_Toc20308"/>
      <w:bookmarkStart w:id="29" w:name="_Toc11705"/>
      <w:bookmarkStart w:id="30" w:name="_Toc9225"/>
      <w:r>
        <w:rPr>
          <w:rFonts w:hint="eastAsia"/>
        </w:rPr>
        <w:t>护士工作站</w:t>
      </w:r>
      <w:bookmarkEnd w:id="26"/>
      <w:bookmarkEnd w:id="27"/>
      <w:bookmarkEnd w:id="28"/>
      <w:bookmarkEnd w:id="29"/>
      <w:bookmarkEnd w:id="30"/>
    </w:p>
    <w:tbl>
      <w:tblPr>
        <w:tblStyle w:val="46"/>
        <w:tblW w:w="99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6"/>
        <w:gridCol w:w="1200"/>
        <w:gridCol w:w="14"/>
        <w:gridCol w:w="7899"/>
      </w:tblGrid>
      <w:tr w14:paraId="3CDF4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Align w:val="center"/>
          </w:tcPr>
          <w:p w14:paraId="1F091E1D">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r>
              <w:rPr>
                <w:rFonts w:hint="eastAsia" w:ascii="宋体" w:hAnsi="宋体" w:cs="宋体"/>
                <w:color w:val="auto"/>
                <w:kern w:val="0"/>
                <w:sz w:val="21"/>
                <w:szCs w:val="21"/>
                <w:highlight w:val="none"/>
              </w:rPr>
              <w:t>需求名称</w:t>
            </w:r>
          </w:p>
        </w:tc>
        <w:tc>
          <w:tcPr>
            <w:tcW w:w="1200" w:type="dxa"/>
            <w:vAlign w:val="center"/>
          </w:tcPr>
          <w:p w14:paraId="1D99555D">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序号</w:t>
            </w:r>
          </w:p>
        </w:tc>
        <w:tc>
          <w:tcPr>
            <w:tcW w:w="7913" w:type="dxa"/>
            <w:gridSpan w:val="2"/>
            <w:vAlign w:val="center"/>
          </w:tcPr>
          <w:p w14:paraId="75C4D31F">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需求描述</w:t>
            </w:r>
          </w:p>
        </w:tc>
      </w:tr>
      <w:tr w14:paraId="0A6F8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restart"/>
            <w:vAlign w:val="center"/>
          </w:tcPr>
          <w:p w14:paraId="2AE23C3C">
            <w:pPr>
              <w:keepNext w:val="0"/>
              <w:keepLines w:val="0"/>
              <w:pageBreakBefore w:val="0"/>
              <w:numPr>
                <w:ilvl w:val="0"/>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sz w:val="21"/>
                <w:szCs w:val="21"/>
                <w:highlight w:val="none"/>
              </w:rPr>
            </w:pPr>
            <w:r>
              <w:rPr>
                <w:rFonts w:hint="eastAsia" w:ascii="宋体" w:hAnsi="宋体" w:cs="宋体"/>
                <w:color w:val="auto"/>
                <w:sz w:val="21"/>
                <w:szCs w:val="21"/>
                <w:highlight w:val="none"/>
              </w:rPr>
              <w:t>护士工作站</w:t>
            </w:r>
          </w:p>
        </w:tc>
        <w:tc>
          <w:tcPr>
            <w:tcW w:w="9113" w:type="dxa"/>
            <w:gridSpan w:val="3"/>
            <w:vAlign w:val="center"/>
          </w:tcPr>
          <w:p w14:paraId="505B7343">
            <w:pPr>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jc w:val="left"/>
              <w:textAlignment w:val="auto"/>
              <w:rPr>
                <w:color w:val="auto"/>
                <w:sz w:val="21"/>
                <w:szCs w:val="21"/>
                <w:highlight w:val="none"/>
                <w:shd w:val="clear" w:color="auto" w:fill="92D050"/>
              </w:rPr>
            </w:pPr>
            <w:r>
              <w:rPr>
                <w:rFonts w:hint="eastAsia" w:ascii="宋体" w:hAnsi="宋体" w:cs="宋体"/>
                <w:color w:val="auto"/>
                <w:kern w:val="0"/>
                <w:sz w:val="21"/>
                <w:szCs w:val="21"/>
                <w:highlight w:val="none"/>
                <w:shd w:val="clear" w:color="auto"/>
              </w:rPr>
              <w:t>病区系统框架</w:t>
            </w:r>
          </w:p>
        </w:tc>
      </w:tr>
      <w:tr w14:paraId="3DECB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33E71F28">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restart"/>
            <w:vAlign w:val="center"/>
          </w:tcPr>
          <w:p w14:paraId="6CBF17B0">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病区系统框架</w:t>
            </w:r>
          </w:p>
        </w:tc>
        <w:tc>
          <w:tcPr>
            <w:tcW w:w="7899" w:type="dxa"/>
            <w:vAlign w:val="center"/>
          </w:tcPr>
          <w:p w14:paraId="1761F43A">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提供“一体化”病区护士站，包括业务一体、界面一体、数据一体、资源一体；</w:t>
            </w:r>
          </w:p>
        </w:tc>
      </w:tr>
      <w:tr w14:paraId="1161A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886" w:type="dxa"/>
            <w:vMerge w:val="continue"/>
            <w:vAlign w:val="center"/>
          </w:tcPr>
          <w:p w14:paraId="7400F923">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5BE38DB9">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7935D71D">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支持业务一体：集成医嘱管理、护理管理、移动护理等所有护理功能，护士在一个病区系统中便可完所有护理业务，改变以往多系统操作的离散情况，充分体现了“业务一体”的设计原则；</w:t>
            </w:r>
          </w:p>
        </w:tc>
      </w:tr>
      <w:tr w14:paraId="51454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0" w:hRule="atLeast"/>
          <w:jc w:val="center"/>
        </w:trPr>
        <w:tc>
          <w:tcPr>
            <w:tcW w:w="886" w:type="dxa"/>
            <w:vMerge w:val="continue"/>
            <w:vAlign w:val="center"/>
          </w:tcPr>
          <w:p w14:paraId="03364B2B">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2F1AB991">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4482ECAB">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界面一体：提供业务消息“一体化”处理界面、医嘱执行“一体化”操作界面、单病人业务“一体化”操作界面、多病人业务“一体化”操作界面、病区撤回“一体化”操作界面、未完成工作“一体化”处理界面、护理管理“一体化”操作界面、检验管理“一体化”操作界面、用血管理“一体化”操作界面，在一体化界面通过Tab页面切换方式达到业务模块快速切换的目的，改变以往多界面操作的离散情况，充分体现了“界面一体”的设计原则；</w:t>
            </w:r>
          </w:p>
        </w:tc>
      </w:tr>
      <w:tr w14:paraId="7D2E7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3" w:hRule="atLeast"/>
          <w:jc w:val="center"/>
        </w:trPr>
        <w:tc>
          <w:tcPr>
            <w:tcW w:w="886" w:type="dxa"/>
            <w:vMerge w:val="continue"/>
            <w:vAlign w:val="center"/>
          </w:tcPr>
          <w:p w14:paraId="4E53C86C">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5F73CC24">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358CD2DF">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数据一体：提供住院医生站、手麻管理系统、检验管理系统、医技预约系统、医技收费系统、移动护理系统等等接口，消除信息孤岛，支撑护理业务的互联互通，以横向一体化的模式逐步提高护理服务连续性和协同覆盖能力；</w:t>
            </w:r>
          </w:p>
        </w:tc>
      </w:tr>
      <w:tr w14:paraId="68461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67BFF9D9">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1D18195B">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52570640">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支持资源一体：类似于办公OA,将系统通知消息、系统业务消息、业务协作消息集成在一个界面，便于护士查询。</w:t>
            </w:r>
          </w:p>
        </w:tc>
      </w:tr>
      <w:tr w14:paraId="0CDC7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886" w:type="dxa"/>
            <w:vMerge w:val="continue"/>
            <w:vAlign w:val="center"/>
          </w:tcPr>
          <w:p w14:paraId="0141B2FA">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4D151152">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5FF0BF4C">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支持病人视图集成在单病人业务“一体化”操作界面上，可快速选择在区病人、待结病人、出区病人、他科病人和出院病人进行操作，根据每个视图病人的权限操作对应单病人业务。</w:t>
            </w:r>
          </w:p>
        </w:tc>
      </w:tr>
      <w:tr w14:paraId="1F469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719AF512">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9113" w:type="dxa"/>
            <w:gridSpan w:val="3"/>
            <w:vAlign w:val="center"/>
          </w:tcPr>
          <w:p w14:paraId="342B8C51">
            <w:pPr>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jc w:val="left"/>
              <w:textAlignment w:val="auto"/>
              <w:rPr>
                <w:color w:val="auto"/>
                <w:sz w:val="21"/>
                <w:szCs w:val="21"/>
                <w:highlight w:val="none"/>
                <w:shd w:val="clear" w:color="auto" w:fill="92D050"/>
              </w:rPr>
            </w:pPr>
            <w:r>
              <w:rPr>
                <w:rFonts w:hint="eastAsia" w:ascii="宋体" w:hAnsi="宋体" w:cs="宋体"/>
                <w:color w:val="auto"/>
                <w:kern w:val="0"/>
                <w:sz w:val="21"/>
                <w:szCs w:val="21"/>
                <w:highlight w:val="none"/>
                <w:shd w:val="clear" w:color="auto"/>
              </w:rPr>
              <w:t>消息提醒与处理</w:t>
            </w:r>
          </w:p>
        </w:tc>
      </w:tr>
      <w:tr w14:paraId="1BCAB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886" w:type="dxa"/>
            <w:vMerge w:val="continue"/>
            <w:vAlign w:val="center"/>
          </w:tcPr>
          <w:p w14:paraId="782AA55C">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restart"/>
            <w:vAlign w:val="center"/>
          </w:tcPr>
          <w:p w14:paraId="0A1AB71A">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消息提醒与</w:t>
            </w:r>
            <w:r>
              <w:rPr>
                <w:rFonts w:hint="eastAsia" w:ascii="宋体" w:hAnsi="宋体"/>
                <w:color w:val="auto"/>
                <w:sz w:val="21"/>
                <w:szCs w:val="21"/>
                <w:highlight w:val="none"/>
              </w:rPr>
              <w:t>处理</w:t>
            </w:r>
          </w:p>
        </w:tc>
        <w:tc>
          <w:tcPr>
            <w:tcW w:w="7899" w:type="dxa"/>
            <w:vAlign w:val="center"/>
          </w:tcPr>
          <w:p w14:paraId="278A8DD0">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提供业务消息“一体化”处理界面，在一体化界面通过Tab页面切换到业务流转、业务待办、业务异常的消息提醒页面，护士可快速处理所有提醒业务；</w:t>
            </w:r>
          </w:p>
        </w:tc>
      </w:tr>
      <w:tr w14:paraId="6C09D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3" w:hRule="atLeast"/>
          <w:jc w:val="center"/>
        </w:trPr>
        <w:tc>
          <w:tcPr>
            <w:tcW w:w="886" w:type="dxa"/>
            <w:vMerge w:val="continue"/>
            <w:vAlign w:val="center"/>
          </w:tcPr>
          <w:p w14:paraId="1E0D3FF3">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0AD684C6">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421DF82D">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提供病人在不同科室之间流转业务的申请提醒，包括病人入院确认、病人科室转出确认、病人科室转入接收、换病区申请、换病区接收、他科治疗申请、他科治疗接收、待通知出院、病区会诊申请、病区会诊接收，支持对提醒业务的直接处理功能；</w:t>
            </w:r>
          </w:p>
        </w:tc>
      </w:tr>
      <w:tr w14:paraId="5BA85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886" w:type="dxa"/>
            <w:vMerge w:val="continue"/>
            <w:vAlign w:val="center"/>
          </w:tcPr>
          <w:p w14:paraId="465E525E">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7CD6AEC7">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3F9186B9">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提供病区护士的待办事务提醒，包括待复核医嘱、待检查指引单打印、待退药处理、待退费处理、待催款、待皮试、已转科病人待完成、已换病区病人待完成，支持对提醒业务的直接处理功能；</w:t>
            </w:r>
          </w:p>
        </w:tc>
      </w:tr>
      <w:tr w14:paraId="5E04E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747CE8C6">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10A27B83">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7989AF29">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提供病区护士的异常事务提醒，指各类超过设定指标范围产生的异常值，需要人员马上处理的事件；</w:t>
            </w:r>
          </w:p>
        </w:tc>
      </w:tr>
      <w:tr w14:paraId="7B166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886" w:type="dxa"/>
            <w:vMerge w:val="continue"/>
            <w:vAlign w:val="center"/>
          </w:tcPr>
          <w:p w14:paraId="1FACADCA">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15EF5810">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7429728E">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支持异常流程提醒，包括医嘱复核异常（护理系统对接医保控费、物价管理，）、转科异常、换病区异常、他科治疗异常、待退药异常、待退费异常、待皮试异常、已转科异常；</w:t>
            </w:r>
          </w:p>
        </w:tc>
      </w:tr>
      <w:tr w14:paraId="0C0CB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062577E8">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2B9B59A4">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2EB9E90A">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支持异常事件提醒，包括检验危急值提醒、检查危急值提醒、药品提交被退回、医技提交被退回、体征记录异常。</w:t>
            </w:r>
          </w:p>
        </w:tc>
      </w:tr>
      <w:tr w14:paraId="01218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5FD7BACD">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9113" w:type="dxa"/>
            <w:gridSpan w:val="3"/>
            <w:vAlign w:val="center"/>
          </w:tcPr>
          <w:p w14:paraId="4B3863C4">
            <w:pPr>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jc w:val="left"/>
              <w:textAlignment w:val="auto"/>
              <w:rPr>
                <w:color w:val="auto"/>
                <w:sz w:val="21"/>
                <w:szCs w:val="21"/>
                <w:highlight w:val="none"/>
                <w:shd w:val="clear" w:color="auto" w:fill="92D050"/>
              </w:rPr>
            </w:pPr>
            <w:r>
              <w:rPr>
                <w:rFonts w:hint="eastAsia" w:ascii="宋体" w:hAnsi="宋体" w:cs="宋体"/>
                <w:color w:val="auto"/>
                <w:kern w:val="0"/>
                <w:sz w:val="21"/>
                <w:szCs w:val="21"/>
                <w:highlight w:val="none"/>
                <w:shd w:val="clear" w:color="auto"/>
              </w:rPr>
              <w:t>床位管理</w:t>
            </w:r>
          </w:p>
        </w:tc>
      </w:tr>
      <w:tr w14:paraId="2165B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40628E6B">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restart"/>
            <w:vAlign w:val="center"/>
          </w:tcPr>
          <w:p w14:paraId="69F027B7">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床位管理</w:t>
            </w:r>
          </w:p>
        </w:tc>
        <w:tc>
          <w:tcPr>
            <w:tcW w:w="7899" w:type="dxa"/>
            <w:vAlign w:val="center"/>
          </w:tcPr>
          <w:p w14:paraId="1B6C91F6">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支持床位费自动累加，可按半天累加，12点前入院，按1天床位费计算，12点后入院按半天床位费计算；</w:t>
            </w:r>
          </w:p>
        </w:tc>
      </w:tr>
      <w:tr w14:paraId="46E3A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886" w:type="dxa"/>
            <w:vMerge w:val="continue"/>
            <w:vAlign w:val="center"/>
          </w:tcPr>
          <w:p w14:paraId="6D3C14EF">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1E0F019E">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7F7E6CE8">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支持床位病人的搜索功用，可按全部、空床、病人，出院，过敏，护理级别，科室，病情过滤功能，提供不同的床位（或病人）展视视图；</w:t>
            </w:r>
          </w:p>
        </w:tc>
      </w:tr>
      <w:tr w14:paraId="6451F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15A5AF55">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0C9C47A4">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39457490">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支持根据病案号、床号、病人姓名等条件精确定位病人；</w:t>
            </w:r>
          </w:p>
        </w:tc>
      </w:tr>
      <w:tr w14:paraId="6FFD3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40C47B79">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2BAAABA1">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425306D0">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支持床位细卡、床位简卡及病人列表展示，三种展示形式患者信息，方便护士通过不同维护查看与使用主界面；</w:t>
            </w:r>
          </w:p>
        </w:tc>
      </w:tr>
      <w:tr w14:paraId="4D01B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0B62146A">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466D9F87">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644F79F7">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床位根据显示分辨率自动调整部局，按床位显示床号进行排序；</w:t>
            </w:r>
          </w:p>
        </w:tc>
      </w:tr>
      <w:tr w14:paraId="21929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05F99188">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5F9BE03E">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2F6BC7A4">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支持普通床位、加床、虚床、婴儿床（空床不显示）管理；</w:t>
            </w:r>
          </w:p>
        </w:tc>
      </w:tr>
      <w:tr w14:paraId="66B9A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0031FB9B">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668331DF">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35F9ABF6">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支持对床位的状态管理、备注信息管理、管床医生设置、管床护士设置；</w:t>
            </w:r>
          </w:p>
        </w:tc>
      </w:tr>
      <w:tr w14:paraId="487D1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24EE3082">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055CDE04">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125FC8BE">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支持展示患者诊断、费用、手术情况，母婴联系电话与状态，入区、入科时间，过敏信息等，方便护士进行了解。</w:t>
            </w:r>
          </w:p>
        </w:tc>
      </w:tr>
      <w:tr w14:paraId="1831B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76DFACFB">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555373A7">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71A12A21">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支持床位色条自定义维护，并可指定优先级顺序，如空床白色，出院灰色，包床深灰色，危重病人浅红；</w:t>
            </w:r>
          </w:p>
        </w:tc>
      </w:tr>
      <w:tr w14:paraId="787A3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3" w:hRule="atLeast"/>
          <w:jc w:val="center"/>
        </w:trPr>
        <w:tc>
          <w:tcPr>
            <w:tcW w:w="886" w:type="dxa"/>
            <w:vMerge w:val="continue"/>
            <w:vAlign w:val="center"/>
          </w:tcPr>
          <w:p w14:paraId="655C7656">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0FC6B0C2">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78179CA3">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护士站支持床卡图标灵活配置，支持床位卡上护理标志（一级护理、二级护理、三级护理、特级护理），过敏药物标志，转科标志，入院诊断标志，出院结算标志、新生儿标志等图标自定义维护，支持与三方对接显示定制图标。</w:t>
            </w:r>
          </w:p>
        </w:tc>
      </w:tr>
      <w:tr w14:paraId="3B8BA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10A7BFB9">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675CDAF4">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03E75D50">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支持直接拖拽床位进行转床，包床、退床、换床等操作，方便快捷；</w:t>
            </w:r>
          </w:p>
        </w:tc>
      </w:tr>
      <w:tr w14:paraId="3A14C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1C74EE57">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6D572579">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0DAE8E4C">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支持通过床卡直接打印患者腕带；</w:t>
            </w:r>
          </w:p>
        </w:tc>
      </w:tr>
      <w:tr w14:paraId="2DCC2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48D92648">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32EA6FB0">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5B148DF2">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护士站支持母亲进行转床时，婴儿床位联动更新。</w:t>
            </w:r>
          </w:p>
        </w:tc>
      </w:tr>
      <w:tr w14:paraId="65FDC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7C4116DE">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9113" w:type="dxa"/>
            <w:gridSpan w:val="3"/>
            <w:vAlign w:val="center"/>
          </w:tcPr>
          <w:p w14:paraId="68A8C455">
            <w:pPr>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jc w:val="left"/>
              <w:textAlignment w:val="auto"/>
              <w:rPr>
                <w:color w:val="auto"/>
                <w:sz w:val="21"/>
                <w:szCs w:val="21"/>
                <w:highlight w:val="none"/>
              </w:rPr>
            </w:pPr>
            <w:r>
              <w:rPr>
                <w:rFonts w:hint="eastAsia" w:ascii="宋体" w:hAnsi="宋体" w:cs="宋体"/>
                <w:color w:val="auto"/>
                <w:kern w:val="0"/>
                <w:sz w:val="21"/>
                <w:szCs w:val="21"/>
                <w:highlight w:val="none"/>
              </w:rPr>
              <w:t>医嘱复核</w:t>
            </w:r>
          </w:p>
        </w:tc>
      </w:tr>
      <w:tr w14:paraId="7F922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0A42187D">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restart"/>
            <w:vAlign w:val="center"/>
          </w:tcPr>
          <w:p w14:paraId="43B1E8BC">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医嘱</w:t>
            </w:r>
            <w:r>
              <w:rPr>
                <w:rFonts w:hint="eastAsia" w:ascii="宋体" w:hAnsi="宋体"/>
                <w:color w:val="auto"/>
                <w:sz w:val="21"/>
                <w:szCs w:val="21"/>
                <w:highlight w:val="none"/>
              </w:rPr>
              <w:t>复核</w:t>
            </w:r>
          </w:p>
        </w:tc>
        <w:tc>
          <w:tcPr>
            <w:tcW w:w="7899" w:type="dxa"/>
            <w:vAlign w:val="center"/>
          </w:tcPr>
          <w:p w14:paraId="728CB3D5">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支持单病人复核和多病人集中复核功能；</w:t>
            </w:r>
          </w:p>
        </w:tc>
      </w:tr>
      <w:tr w14:paraId="52DB9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58AD5720">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4F18ECF6">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18CA7E4E">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支持对医生医嘱复核和护嘱复核功能；</w:t>
            </w:r>
          </w:p>
        </w:tc>
      </w:tr>
      <w:tr w14:paraId="1F908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886" w:type="dxa"/>
            <w:vMerge w:val="continue"/>
            <w:vAlign w:val="center"/>
          </w:tcPr>
          <w:p w14:paraId="26AF2532">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02263FE4">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021E8252">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支持向护士展示所关心的各类不同角度的医嘱列表：未复核医嘱、已复核医嘱、有效医嘱、变动医嘱、问题医嘱等</w:t>
            </w:r>
          </w:p>
        </w:tc>
      </w:tr>
      <w:tr w14:paraId="5066A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57B1EA30">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7874BDFF">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362433C4">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 xml:space="preserve">支持预停医嘱同时进行签署复核、停嘱复核或到停止日期再停嘱复核； </w:t>
            </w:r>
          </w:p>
        </w:tc>
      </w:tr>
      <w:tr w14:paraId="7AD9E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13032B08">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2E8AA241">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2A067865">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支持新嘱复核、停嘱复核、作废复核，作废医嘱复核需判断医嘱执行状态，可根据状态进行不同的处理；</w:t>
            </w:r>
          </w:p>
        </w:tc>
      </w:tr>
      <w:tr w14:paraId="0EF83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497A6D66">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414D1FAB">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5A5BC086">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支持对已复核医嘱取消复核功能，取消复核需判断医嘱执行状态，根据状态进行不同的处理；</w:t>
            </w:r>
          </w:p>
        </w:tc>
      </w:tr>
      <w:tr w14:paraId="0CA78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059C7B68">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7856C39F">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2FF3C976">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支持待复核医嘱退回医生站功能，已复核先取消再退回，未复核直接退回医生；</w:t>
            </w:r>
          </w:p>
        </w:tc>
      </w:tr>
      <w:tr w14:paraId="3278F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35F47F33">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643E0999">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69657306">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支持待复核医嘱相关申请单、报告单查询功能；</w:t>
            </w:r>
          </w:p>
        </w:tc>
      </w:tr>
      <w:tr w14:paraId="522A2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323954F2">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62F8725E">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680108CC">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支持药品发送、检查提交、检验条码打印功能集成在医嘱复核界面上；</w:t>
            </w:r>
          </w:p>
        </w:tc>
      </w:tr>
      <w:tr w14:paraId="29C22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886" w:type="dxa"/>
            <w:vMerge w:val="continue"/>
            <w:vAlign w:val="center"/>
          </w:tcPr>
          <w:p w14:paraId="2C3603FA">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333D17E4">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020994B8">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支持护士为待复核医嘱新增附加医嘱服务功能，附加项目可随时停止，并可新增新的附加项目记费。附加项目的频次可不同于主医嘱的频次，附加项目通过后台设置自动按规则计算自动附加；</w:t>
            </w:r>
          </w:p>
        </w:tc>
      </w:tr>
      <w:tr w14:paraId="23914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3F7A7A99">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145DAC7B">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10B0ED72">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支持医嘱附加项目的确认审核功能，审核过的附加项目可自动产生待记费的费用计划；</w:t>
            </w:r>
          </w:p>
        </w:tc>
      </w:tr>
      <w:tr w14:paraId="41853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886" w:type="dxa"/>
            <w:vMerge w:val="continue"/>
            <w:vAlign w:val="center"/>
          </w:tcPr>
          <w:p w14:paraId="631CAA31">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7B7A447D">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1D55A66E">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支持医嘱计划管理功能，医嘱复核时自动产生若干天的医嘱计划，或由Autorun工具每天定时自动生成若干天医嘱计划；</w:t>
            </w:r>
          </w:p>
        </w:tc>
      </w:tr>
      <w:tr w14:paraId="35CA6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886" w:type="dxa"/>
            <w:vMerge w:val="continue"/>
            <w:vAlign w:val="center"/>
          </w:tcPr>
          <w:p w14:paraId="1E0F1E51">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0816E580">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062FB471">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支持医嘱精细化管理，针对不同状态的医嘱计划可进行退药退费，计划作废，取消作废、计划记费、计划提交、计划备注相关操作；</w:t>
            </w:r>
          </w:p>
        </w:tc>
      </w:tr>
      <w:tr w14:paraId="04770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0D12C422">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47574B90">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230298E4">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支持已复核医嘱费用查询功能，可进行退药退费处理；</w:t>
            </w:r>
          </w:p>
        </w:tc>
      </w:tr>
      <w:tr w14:paraId="1DBF7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1784C4FF">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5343DCD3">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5ADDD165">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支持待复核医嘱明细查询功能，按药品、检查、检验、手术等医嘱开立医疗单模式显示；</w:t>
            </w:r>
          </w:p>
        </w:tc>
      </w:tr>
      <w:tr w14:paraId="4899B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886" w:type="dxa"/>
            <w:vMerge w:val="continue"/>
            <w:vAlign w:val="center"/>
          </w:tcPr>
          <w:p w14:paraId="50D0CE61">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7D3ABD9A">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0584F82C">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支持医嘱过滤功能，可按长期/临时，已开嘱/已停嘱/已作废，未复核/已复核/变动医嘱/问题医嘱，所有/今日，医嘱/护嘱条件过滤；</w:t>
            </w:r>
          </w:p>
        </w:tc>
      </w:tr>
      <w:tr w14:paraId="1B2A5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886" w:type="dxa"/>
            <w:vMerge w:val="continue"/>
            <w:vAlign w:val="center"/>
          </w:tcPr>
          <w:p w14:paraId="6C5766BF">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79580FCF">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5FFE1732">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支持待复核医嘱状态标识功能，包括紧急医嘱，出院带药，嘱托医嘱，附加费用医嘱，会诊医嘱，手术，转科，申请单，草药方，待审核医嘱；</w:t>
            </w:r>
          </w:p>
        </w:tc>
      </w:tr>
      <w:tr w14:paraId="000AE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4A145E17">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0C08368B">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25F3CA35">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支持待复核高危药品医嘱；</w:t>
            </w:r>
          </w:p>
        </w:tc>
      </w:tr>
      <w:tr w14:paraId="0D763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886" w:type="dxa"/>
            <w:vMerge w:val="continue"/>
            <w:vAlign w:val="center"/>
          </w:tcPr>
          <w:p w14:paraId="3576A576">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6D4A2554">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3E05B0F7">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支持待复核皮试药品医嘱用实心三角形显示，“未皮试”（红色），“免皮试”（蓝色），“阳性”（红色），阴性“（蓝色）；</w:t>
            </w:r>
          </w:p>
        </w:tc>
      </w:tr>
      <w:tr w14:paraId="5B720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290BD76D">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66118ACD">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6C1E2839">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支持附加项目的单人审核、批量集中审核，可查询已审批，未审批数据，查看审核人、审核时间；</w:t>
            </w:r>
          </w:p>
        </w:tc>
      </w:tr>
      <w:tr w14:paraId="25269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886" w:type="dxa"/>
            <w:vMerge w:val="continue"/>
            <w:vAlign w:val="center"/>
          </w:tcPr>
          <w:p w14:paraId="3CFD026E">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035360D3">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70B85468">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进行医嘱停嘱复核时，大于医嘱停嘱时间的已发药、已记费的计划，会自动生成退药退费单。护士进行医嘱作废复核时，已发药、已记费的计划，会自动生成退药退费单，方便护士进行核对与退药退费；</w:t>
            </w:r>
          </w:p>
        </w:tc>
      </w:tr>
      <w:tr w14:paraId="18CD5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50222436">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70145C16">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6A4F87E3">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支持抗菌药物管理，复核时进行未送检提醒。</w:t>
            </w:r>
          </w:p>
        </w:tc>
      </w:tr>
      <w:tr w14:paraId="62484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3C235DE4">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9113" w:type="dxa"/>
            <w:gridSpan w:val="3"/>
            <w:vAlign w:val="center"/>
          </w:tcPr>
          <w:p w14:paraId="67845327">
            <w:pPr>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jc w:val="left"/>
              <w:textAlignment w:val="auto"/>
              <w:rPr>
                <w:color w:val="auto"/>
                <w:sz w:val="21"/>
                <w:szCs w:val="21"/>
                <w:highlight w:val="none"/>
                <w:shd w:val="clear" w:color="auto" w:fill="92D050"/>
              </w:rPr>
            </w:pPr>
            <w:r>
              <w:rPr>
                <w:rFonts w:hint="eastAsia" w:ascii="宋体" w:hAnsi="宋体" w:cs="宋体"/>
                <w:color w:val="auto"/>
                <w:kern w:val="0"/>
                <w:sz w:val="21"/>
                <w:szCs w:val="21"/>
                <w:highlight w:val="none"/>
                <w:shd w:val="clear" w:color="auto"/>
              </w:rPr>
              <w:t>护嘱录入</w:t>
            </w:r>
          </w:p>
        </w:tc>
      </w:tr>
      <w:tr w14:paraId="3A31B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66192093">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restart"/>
            <w:vAlign w:val="center"/>
          </w:tcPr>
          <w:p w14:paraId="22AFB1CC">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护嘱录入</w:t>
            </w:r>
          </w:p>
        </w:tc>
        <w:tc>
          <w:tcPr>
            <w:tcW w:w="7899" w:type="dxa"/>
            <w:vAlign w:val="center"/>
          </w:tcPr>
          <w:p w14:paraId="50F0BCE2">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支持护嘱录入是否使用可参数化设置，医院根据实际情况选择使用；</w:t>
            </w:r>
          </w:p>
        </w:tc>
      </w:tr>
      <w:tr w14:paraId="5E870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681F786C">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45BB51BA">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59DD951A">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支持护嘱录入药品权限设置，可配置有权限录入的药品护嘱。</w:t>
            </w:r>
          </w:p>
        </w:tc>
      </w:tr>
      <w:tr w14:paraId="452D9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703AE089">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9113" w:type="dxa"/>
            <w:gridSpan w:val="3"/>
            <w:vAlign w:val="center"/>
          </w:tcPr>
          <w:p w14:paraId="28D4ED36">
            <w:pPr>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jc w:val="left"/>
              <w:textAlignment w:val="auto"/>
              <w:rPr>
                <w:color w:val="auto"/>
                <w:sz w:val="21"/>
                <w:szCs w:val="21"/>
                <w:highlight w:val="none"/>
              </w:rPr>
            </w:pPr>
            <w:r>
              <w:rPr>
                <w:rFonts w:hint="eastAsia" w:ascii="宋体" w:hAnsi="宋体" w:cs="宋体"/>
                <w:color w:val="auto"/>
                <w:kern w:val="0"/>
                <w:sz w:val="21"/>
                <w:szCs w:val="21"/>
                <w:highlight w:val="none"/>
              </w:rPr>
              <w:t>医嘱执行</w:t>
            </w:r>
          </w:p>
        </w:tc>
      </w:tr>
      <w:tr w14:paraId="0B2F2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886" w:type="dxa"/>
            <w:vMerge w:val="continue"/>
            <w:vAlign w:val="center"/>
          </w:tcPr>
          <w:p w14:paraId="06757699">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restart"/>
            <w:vAlign w:val="center"/>
          </w:tcPr>
          <w:p w14:paraId="2FB62442">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医嘱执行</w:t>
            </w:r>
          </w:p>
        </w:tc>
        <w:tc>
          <w:tcPr>
            <w:tcW w:w="7899" w:type="dxa"/>
            <w:vAlign w:val="center"/>
          </w:tcPr>
          <w:p w14:paraId="70D0D1A1">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支持医嘱执行“一体化”操作界面，在一体化界面通过Tab页面切换到药品发送、医技提交、医嘱记费的医嘱执行大类页面，改变以往多窗口操作的离散情况；</w:t>
            </w:r>
          </w:p>
        </w:tc>
      </w:tr>
      <w:tr w14:paraId="13868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886" w:type="dxa"/>
            <w:vMerge w:val="continue"/>
            <w:vAlign w:val="center"/>
          </w:tcPr>
          <w:p w14:paraId="65DEAAB1">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0BD8668D">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49F6818A">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支持医嘱一键执行功能，不区分医嘱执行大类将药品发送、医技提交、医嘱记费功能集成在一个界面上，通过一键执行快速处理所有业务；</w:t>
            </w:r>
          </w:p>
        </w:tc>
      </w:tr>
      <w:tr w14:paraId="02D93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886" w:type="dxa"/>
            <w:vMerge w:val="continue"/>
            <w:vAlign w:val="center"/>
          </w:tcPr>
          <w:p w14:paraId="5C8C7FFA">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2F29910C">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4FC2C5D0">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支持单病人医嘱执行和多病人集中执行功能，支持单人药品发送、医技单人提交、单人医嘱记费，也支持集中药品发送、医技集中提交、医嘱集中记费；</w:t>
            </w:r>
          </w:p>
        </w:tc>
      </w:tr>
      <w:tr w14:paraId="34191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886" w:type="dxa"/>
            <w:vMerge w:val="continue"/>
            <w:vAlign w:val="center"/>
          </w:tcPr>
          <w:p w14:paraId="00E60602">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2A89F442">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12CFE772">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支持医嘱精细化管理，通过执行医嘱计划可跟踪到每条医嘱的执行状态，如药品医嘱，什么时候被发送、发药、执行或退药，一定程度上达到医嘱闭环管理的效果；</w:t>
            </w:r>
          </w:p>
        </w:tc>
      </w:tr>
      <w:tr w14:paraId="181AF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271BB4D4">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720CEA21">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24EC5E19">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支持病区医嘱执行清单的打印功能，如药品发送清单、医嘱记费清单；</w:t>
            </w:r>
          </w:p>
        </w:tc>
      </w:tr>
      <w:tr w14:paraId="6E50B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886" w:type="dxa"/>
            <w:vMerge w:val="continue"/>
            <w:vAlign w:val="center"/>
          </w:tcPr>
          <w:p w14:paraId="5097B78A">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252312FD">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37FCBACC">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支持医嘱执行欠费控制，控制等级分为不控制、提示、欠费前冻结和欠费后冻结，在药品发送、医技提交、医嘱记费时进行欠费控制；</w:t>
            </w:r>
          </w:p>
        </w:tc>
      </w:tr>
      <w:tr w14:paraId="3B9D1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886" w:type="dxa"/>
            <w:vMerge w:val="continue"/>
            <w:vAlign w:val="center"/>
          </w:tcPr>
          <w:p w14:paraId="2297B71E">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59AD2F0A">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0FF0E924">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支持领药发送，按领药方式、医嘱类别（普通医嘱、长期医嘱、临时医嘱、急诊医嘱、出院带药）和发药药房检索领药明细；</w:t>
            </w:r>
          </w:p>
        </w:tc>
      </w:tr>
      <w:tr w14:paraId="371AA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886" w:type="dxa"/>
            <w:vMerge w:val="continue"/>
            <w:vAlign w:val="center"/>
          </w:tcPr>
          <w:p w14:paraId="3D1FE03C">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1112ABDE">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212F79C1">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支持领药发送，支持根据所提交药品的领药明细生成领药汇总，支持领药预发送功能，将N天的药品医嘱一起发送；</w:t>
            </w:r>
          </w:p>
        </w:tc>
      </w:tr>
      <w:tr w14:paraId="219D3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886" w:type="dxa"/>
            <w:vMerge w:val="continue"/>
            <w:vAlign w:val="center"/>
          </w:tcPr>
          <w:p w14:paraId="1606E769">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76A3686B">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721A364B">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支持领药发送，支持缺药替换功能，缺药(禁用)药品可用不同规格，或不同产地的同种药品替换，可替换同一服务项目的药品；支持库存缺药、药品禁用、病人欠费标识功能；</w:t>
            </w:r>
          </w:p>
        </w:tc>
      </w:tr>
      <w:tr w14:paraId="6FA15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6CEA2909">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7C3259CA">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41DC19CA">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支持领药发送，支持病区三级药房，发药属性为病区发药的药品医嘱在三级药房发药；</w:t>
            </w:r>
          </w:p>
        </w:tc>
      </w:tr>
      <w:tr w14:paraId="2288A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5492EE7B">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2D9DA9F0">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26CF2B1C">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支持医技提交，支持按医技项目进行提交；</w:t>
            </w:r>
          </w:p>
        </w:tc>
      </w:tr>
      <w:tr w14:paraId="22F4B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886" w:type="dxa"/>
            <w:vMerge w:val="continue"/>
            <w:vAlign w:val="center"/>
          </w:tcPr>
          <w:p w14:paraId="41120EE7">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5F54BF2A">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12446129">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支持项目记费，支持按项目归类选择，支持显示是医嘱费用或是附加费用；支持根据所提交项目明细生成所提交项目汇总。</w:t>
            </w:r>
          </w:p>
        </w:tc>
      </w:tr>
      <w:tr w14:paraId="22085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886" w:type="dxa"/>
            <w:vMerge w:val="continue"/>
            <w:vAlign w:val="center"/>
          </w:tcPr>
          <w:p w14:paraId="240FF0EA">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7A8B8E6C">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7E7AC1CE">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支持临床执行，支持与移动护理PDA关联，存储临床执行操作，显示实际执行时间；支持页面选择计划后登记执行操作；</w:t>
            </w:r>
          </w:p>
        </w:tc>
      </w:tr>
      <w:tr w14:paraId="744B8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1CCCF8E8">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07B63F16">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440AB490">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支持登记为不执行、输液开始、输液巡视、输液结束、注射开始、注射结束、临床执行等不同状态；</w:t>
            </w:r>
          </w:p>
        </w:tc>
      </w:tr>
      <w:tr w14:paraId="549B9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7082A783">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064C8936">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3E8310D9">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支持护士代替医生执行，可先选择医生工号，记录为医生执行，并记录操作人；</w:t>
            </w:r>
          </w:p>
        </w:tc>
      </w:tr>
      <w:tr w14:paraId="5B214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50980DCD">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2274A640">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6B133CFF">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支持验证执行人员与确认人员为同一人；</w:t>
            </w:r>
          </w:p>
        </w:tc>
      </w:tr>
      <w:tr w14:paraId="02B59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6BE0E5B1">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06293659">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1D8E6F8B">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支持医嘱临床执行维护功能，可为不同病区定制临床执行数据显示范围；</w:t>
            </w:r>
          </w:p>
        </w:tc>
      </w:tr>
      <w:tr w14:paraId="4FE4F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49A2E9B4">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679597E6">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07C90A2D">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支持医嘱临床执行查询，支持修改临床执行时间、临床执行人员；</w:t>
            </w:r>
          </w:p>
        </w:tc>
      </w:tr>
      <w:tr w14:paraId="2AC4F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3FEEC9A3">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0BF8BA91">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1EB3A5BB">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支持临床执行时联动收费功能。</w:t>
            </w:r>
          </w:p>
        </w:tc>
      </w:tr>
      <w:tr w14:paraId="54BF6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10CFFA2C">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9113" w:type="dxa"/>
            <w:gridSpan w:val="3"/>
            <w:vAlign w:val="center"/>
          </w:tcPr>
          <w:p w14:paraId="4C87D754">
            <w:pPr>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jc w:val="left"/>
              <w:textAlignment w:val="auto"/>
              <w:rPr>
                <w:color w:val="auto"/>
                <w:sz w:val="21"/>
                <w:szCs w:val="21"/>
                <w:highlight w:val="none"/>
                <w:shd w:val="clear" w:color="auto" w:fill="92D050"/>
              </w:rPr>
            </w:pPr>
            <w:r>
              <w:rPr>
                <w:rFonts w:hint="eastAsia" w:ascii="宋体" w:hAnsi="宋体" w:cs="宋体"/>
                <w:color w:val="auto"/>
                <w:kern w:val="0"/>
                <w:sz w:val="21"/>
                <w:szCs w:val="21"/>
                <w:highlight w:val="none"/>
                <w:shd w:val="clear" w:color="auto"/>
              </w:rPr>
              <w:t>药品管理</w:t>
            </w:r>
          </w:p>
        </w:tc>
      </w:tr>
      <w:tr w14:paraId="6F560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886" w:type="dxa"/>
            <w:vMerge w:val="continue"/>
            <w:vAlign w:val="center"/>
          </w:tcPr>
          <w:p w14:paraId="2AFF547A">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restart"/>
            <w:vAlign w:val="center"/>
          </w:tcPr>
          <w:p w14:paraId="6D4EBFE3">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药品管理</w:t>
            </w:r>
          </w:p>
        </w:tc>
        <w:tc>
          <w:tcPr>
            <w:tcW w:w="7899" w:type="dxa"/>
            <w:vAlign w:val="center"/>
          </w:tcPr>
          <w:p w14:paraId="58FB8910">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支持退药申请-&gt;退药审核-&gt;退药发送的退药流程管理，如包药、静配不能退药的药品，根据参数配置需走退药审核流程；</w:t>
            </w:r>
          </w:p>
        </w:tc>
      </w:tr>
      <w:tr w14:paraId="3DA12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886" w:type="dxa"/>
            <w:vMerge w:val="continue"/>
            <w:vAlign w:val="center"/>
          </w:tcPr>
          <w:p w14:paraId="56643C2A">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21B3C4DF">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1336DB2E">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支持除外其它药品退药，可直接发送药房，提供单病人退药申请和多病人退药申请功能，单人退药处理可以按医嘱、费用日期、记费日期、药品进行退药；</w:t>
            </w:r>
          </w:p>
        </w:tc>
      </w:tr>
      <w:tr w14:paraId="66F0D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886" w:type="dxa"/>
            <w:vMerge w:val="continue"/>
            <w:vAlign w:val="center"/>
          </w:tcPr>
          <w:p w14:paraId="227477E2">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45683C0A">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66D65C5D">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支持多人退药处理根据药品名称、费用日期查询病区可退药信息，再按姓名、床号、住院号快速定位到病人进行退药；</w:t>
            </w:r>
          </w:p>
        </w:tc>
      </w:tr>
      <w:tr w14:paraId="6E76D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03FB5159">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3D451545">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1BE327B4">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支持单病人退药发送和多病人退药集中发送，可打印退药汇总单(多病人)；</w:t>
            </w:r>
          </w:p>
        </w:tc>
      </w:tr>
      <w:tr w14:paraId="3C3F3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5D1F2944">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2413F683">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6906DD1A">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支持手工填写退药申请单，或者停嘱、作废医嘱时系统自动生成退药申请单；</w:t>
            </w:r>
          </w:p>
        </w:tc>
      </w:tr>
      <w:tr w14:paraId="3E43F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2DA1C49E">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12D2E90E">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314EEAEE">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支持退药冲抵功能，病区护士退药提交后无需将实物药品退回，在下次药房领药时自动冲抵实物未退回药品；</w:t>
            </w:r>
          </w:p>
        </w:tc>
      </w:tr>
      <w:tr w14:paraId="2BAB4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42920F33">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0A6FB6FB">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756C423A">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支持退药申请原因填写；</w:t>
            </w:r>
          </w:p>
        </w:tc>
      </w:tr>
      <w:tr w14:paraId="4A231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135D7565">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1F569C4C">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322F69EA">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支持退药审核未过原因填写；</w:t>
            </w:r>
          </w:p>
        </w:tc>
      </w:tr>
      <w:tr w14:paraId="02EE1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4555B79E">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6CC87A63">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6AFDDAD8">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针对本病区的特殊药品类型包含麻醉精神类型的药物的发药记录、领药记录进行登记管理；</w:t>
            </w:r>
          </w:p>
        </w:tc>
      </w:tr>
      <w:tr w14:paraId="13FE8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48EE5C6D">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2FCDDC2D">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0DAF6CC1">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支持镇痛泵残余液处理登记管理。</w:t>
            </w:r>
          </w:p>
        </w:tc>
      </w:tr>
      <w:tr w14:paraId="1E001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58AF3B3C">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9113" w:type="dxa"/>
            <w:gridSpan w:val="3"/>
            <w:vAlign w:val="center"/>
          </w:tcPr>
          <w:p w14:paraId="77B83DA2">
            <w:pPr>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jc w:val="left"/>
              <w:textAlignment w:val="auto"/>
              <w:rPr>
                <w:color w:val="auto"/>
                <w:sz w:val="21"/>
                <w:szCs w:val="21"/>
                <w:highlight w:val="none"/>
                <w:shd w:val="clear" w:color="auto" w:fill="92D050"/>
              </w:rPr>
            </w:pPr>
            <w:r>
              <w:rPr>
                <w:rFonts w:hint="eastAsia" w:ascii="宋体" w:hAnsi="宋体" w:cs="宋体"/>
                <w:color w:val="auto"/>
                <w:kern w:val="0"/>
                <w:sz w:val="21"/>
                <w:szCs w:val="21"/>
                <w:highlight w:val="none"/>
                <w:shd w:val="clear" w:color="auto"/>
              </w:rPr>
              <w:t>医技提交</w:t>
            </w:r>
          </w:p>
        </w:tc>
      </w:tr>
      <w:tr w14:paraId="564FC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0E1F3BBB">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Align w:val="center"/>
          </w:tcPr>
          <w:p w14:paraId="626BCFCF">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医技提交</w:t>
            </w:r>
          </w:p>
        </w:tc>
        <w:tc>
          <w:tcPr>
            <w:tcW w:w="7899" w:type="dxa"/>
            <w:vAlign w:val="center"/>
          </w:tcPr>
          <w:p w14:paraId="0D58FB01">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r>
              <w:rPr>
                <w:rFonts w:hint="eastAsia"/>
                <w:color w:val="auto"/>
                <w:sz w:val="21"/>
                <w:szCs w:val="21"/>
                <w:highlight w:val="none"/>
              </w:rPr>
              <w:t>支持按医技项目进行提交。</w:t>
            </w:r>
          </w:p>
        </w:tc>
      </w:tr>
      <w:tr w14:paraId="403C0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158387D8">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9113" w:type="dxa"/>
            <w:gridSpan w:val="3"/>
            <w:vAlign w:val="center"/>
          </w:tcPr>
          <w:p w14:paraId="4D772E0B">
            <w:pPr>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jc w:val="left"/>
              <w:textAlignment w:val="auto"/>
              <w:rPr>
                <w:color w:val="auto"/>
                <w:sz w:val="21"/>
                <w:szCs w:val="21"/>
                <w:highlight w:val="none"/>
                <w:shd w:val="clear" w:color="auto" w:fill="92D050"/>
              </w:rPr>
            </w:pPr>
            <w:r>
              <w:rPr>
                <w:rFonts w:hint="eastAsia" w:ascii="宋体" w:hAnsi="宋体" w:cs="宋体"/>
                <w:color w:val="auto"/>
                <w:kern w:val="0"/>
                <w:sz w:val="21"/>
                <w:szCs w:val="21"/>
                <w:highlight w:val="none"/>
                <w:shd w:val="clear" w:color="auto"/>
              </w:rPr>
              <w:t>项目记费</w:t>
            </w:r>
          </w:p>
        </w:tc>
      </w:tr>
      <w:tr w14:paraId="2BEF5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5AB3CD9A">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restart"/>
            <w:vAlign w:val="center"/>
          </w:tcPr>
          <w:p w14:paraId="55E1DA1D">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项目记费</w:t>
            </w:r>
          </w:p>
        </w:tc>
        <w:tc>
          <w:tcPr>
            <w:tcW w:w="7899" w:type="dxa"/>
            <w:vAlign w:val="center"/>
          </w:tcPr>
          <w:p w14:paraId="4A422F05">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提供附加项目审核与自动计费两种模式；</w:t>
            </w:r>
          </w:p>
        </w:tc>
      </w:tr>
      <w:tr w14:paraId="56FFC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787996F0">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13E0761D">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56BD857F">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提供项目医嘱记费，且支持对其附加项目进行记费；</w:t>
            </w:r>
          </w:p>
        </w:tc>
      </w:tr>
      <w:tr w14:paraId="57E00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077096A0">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2DBC7FCC">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701D4518">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提供药品附加记费，且支持根据所记费药品附加明细生成药品附加汇总；</w:t>
            </w:r>
          </w:p>
        </w:tc>
      </w:tr>
      <w:tr w14:paraId="43BC2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12A48846">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371DF7BC">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02AC7889">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提供嘱托附加记费，将患者特殊医嘱的附加费用计入患者账户中；</w:t>
            </w:r>
          </w:p>
        </w:tc>
      </w:tr>
      <w:tr w14:paraId="739C1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64C2AD90">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2AA4EE14">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1BAC7534">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支持根据所提交项目明细生成所提交项目汇总。</w:t>
            </w:r>
          </w:p>
        </w:tc>
      </w:tr>
      <w:tr w14:paraId="4F85B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682111DA">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9113" w:type="dxa"/>
            <w:gridSpan w:val="3"/>
            <w:vAlign w:val="center"/>
          </w:tcPr>
          <w:p w14:paraId="2D46DE97">
            <w:pPr>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jc w:val="left"/>
              <w:textAlignment w:val="auto"/>
              <w:rPr>
                <w:color w:val="auto"/>
                <w:sz w:val="21"/>
                <w:szCs w:val="21"/>
                <w:highlight w:val="none"/>
                <w:shd w:val="clear" w:color="auto" w:fill="92D050"/>
              </w:rPr>
            </w:pPr>
            <w:r>
              <w:rPr>
                <w:rFonts w:hint="eastAsia" w:ascii="宋体" w:hAnsi="宋体" w:cs="宋体"/>
                <w:color w:val="auto"/>
                <w:kern w:val="0"/>
                <w:sz w:val="21"/>
                <w:szCs w:val="21"/>
                <w:highlight w:val="none"/>
                <w:shd w:val="clear" w:color="auto"/>
              </w:rPr>
              <w:t>退补费处理</w:t>
            </w:r>
          </w:p>
        </w:tc>
      </w:tr>
      <w:tr w14:paraId="055CA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0C47C0A6">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restart"/>
            <w:vAlign w:val="center"/>
          </w:tcPr>
          <w:p w14:paraId="6E231203">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退补费处理</w:t>
            </w:r>
          </w:p>
        </w:tc>
        <w:tc>
          <w:tcPr>
            <w:tcW w:w="7899" w:type="dxa"/>
            <w:vAlign w:val="center"/>
          </w:tcPr>
          <w:p w14:paraId="66E87BAA">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支持[申请退费]和[直接退费]2种模式，申请退费需走退费审核流程，直接退费则直接执行即可；</w:t>
            </w:r>
          </w:p>
        </w:tc>
      </w:tr>
      <w:tr w14:paraId="66506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39FD9A87">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714DACDE">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2A000D05">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支持根据医嘱的停嘱、作废自动生成退费退药单；支持单人退补费处理和多人退补费处理；</w:t>
            </w:r>
          </w:p>
        </w:tc>
      </w:tr>
      <w:tr w14:paraId="53A8E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6D5F75E4">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1163D893">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4A3B8203">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支持单人退补费处理可以按医嘱、费用日期、记费日期、项目进行退费；</w:t>
            </w:r>
          </w:p>
        </w:tc>
      </w:tr>
      <w:tr w14:paraId="322AB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886" w:type="dxa"/>
            <w:vMerge w:val="continue"/>
            <w:vAlign w:val="center"/>
          </w:tcPr>
          <w:p w14:paraId="50868D66">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7F7778EF">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0F1019AF">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支持多人退补费处理根据项目名称、费用日期查询病区可退费信息，再按姓名、床号、住院号快速定位到病人进行退补费；</w:t>
            </w:r>
          </w:p>
        </w:tc>
      </w:tr>
      <w:tr w14:paraId="0F4C6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29530A6F">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15A64C44">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620202FF">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支持护士可以批量进行多个费用的补费，且支持使用模版补费；</w:t>
            </w:r>
          </w:p>
        </w:tc>
      </w:tr>
      <w:tr w14:paraId="22672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4BD16AB3">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63921A8B">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48E2D055">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支持手工填写退费申请单，或者停嘱时系统自动生成退费申请单；</w:t>
            </w:r>
          </w:p>
        </w:tc>
      </w:tr>
      <w:tr w14:paraId="776C4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4A045D69">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33B27EF0">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1DB3FBF6">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支持对系统自动产生的退费单；</w:t>
            </w:r>
          </w:p>
        </w:tc>
      </w:tr>
      <w:tr w14:paraId="377DF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6B9DDF73">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0DFD9B69">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160A4E3D">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支持将审核通过的退费单进行集中发送；</w:t>
            </w:r>
          </w:p>
        </w:tc>
      </w:tr>
      <w:tr w14:paraId="006C2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2F11FF9B">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368A2D02">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266B262A">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支持退费申请原因填写，提供常见原因供护士选择，也可直接录入。</w:t>
            </w:r>
          </w:p>
        </w:tc>
      </w:tr>
      <w:tr w14:paraId="16BE9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2B0F6078">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9113" w:type="dxa"/>
            <w:gridSpan w:val="3"/>
            <w:vAlign w:val="center"/>
          </w:tcPr>
          <w:p w14:paraId="0BF434ED">
            <w:pPr>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jc w:val="left"/>
              <w:textAlignment w:val="auto"/>
              <w:rPr>
                <w:color w:val="auto"/>
                <w:sz w:val="21"/>
                <w:szCs w:val="21"/>
                <w:highlight w:val="none"/>
                <w:shd w:val="clear" w:color="auto" w:fill="92D050"/>
              </w:rPr>
            </w:pPr>
            <w:r>
              <w:rPr>
                <w:rFonts w:hint="eastAsia" w:ascii="宋体" w:hAnsi="宋体" w:cs="宋体"/>
                <w:color w:val="auto"/>
                <w:kern w:val="0"/>
                <w:sz w:val="21"/>
                <w:szCs w:val="21"/>
                <w:highlight w:val="none"/>
                <w:shd w:val="clear" w:color="auto"/>
              </w:rPr>
              <w:t>病区撤回</w:t>
            </w:r>
          </w:p>
        </w:tc>
      </w:tr>
      <w:tr w14:paraId="083A2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886" w:type="dxa"/>
            <w:vMerge w:val="continue"/>
            <w:vAlign w:val="center"/>
          </w:tcPr>
          <w:p w14:paraId="72BA6D02">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restart"/>
            <w:vAlign w:val="center"/>
          </w:tcPr>
          <w:p w14:paraId="6F810F3C">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病区撤回</w:t>
            </w:r>
          </w:p>
        </w:tc>
        <w:tc>
          <w:tcPr>
            <w:tcW w:w="7899" w:type="dxa"/>
            <w:vAlign w:val="center"/>
          </w:tcPr>
          <w:p w14:paraId="6CDB49A1">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支持病区撤回“一体化”操作界面，在一体化界面通过Tab页面切换到药品发送撤回、医技提交退回页面，改变以往多窗口操作的离散情况；</w:t>
            </w:r>
          </w:p>
        </w:tc>
      </w:tr>
      <w:tr w14:paraId="30108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886" w:type="dxa"/>
            <w:vMerge w:val="continue"/>
            <w:vAlign w:val="center"/>
          </w:tcPr>
          <w:p w14:paraId="36A9F8D0">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3DD8B575">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7D45625D">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bookmarkStart w:id="31" w:name="RANGE!C96"/>
            <w:r>
              <w:rPr>
                <w:rFonts w:hint="eastAsia" w:ascii="宋体" w:hAnsi="宋体" w:cs="宋体"/>
                <w:bCs/>
                <w:color w:val="auto"/>
                <w:sz w:val="21"/>
                <w:szCs w:val="21"/>
                <w:highlight w:val="none"/>
              </w:rPr>
              <w:t>支持领药发送撤回、退药发送撤回，可按发送日期、医嘱类型(普通用药、急诊用药、出院带药)、发送药房、撤回类型(领药/退药)、处理状态检索发送记录；</w:t>
            </w:r>
            <w:bookmarkEnd w:id="31"/>
          </w:p>
        </w:tc>
      </w:tr>
      <w:tr w14:paraId="23300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760FCEDC">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09795E77">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1054F177">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支持按发送记录、发送药品明细进行撤回；支持按检查科室、检查项目进行退回。</w:t>
            </w:r>
          </w:p>
        </w:tc>
      </w:tr>
      <w:tr w14:paraId="0EBBF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6B153ADF">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9113" w:type="dxa"/>
            <w:gridSpan w:val="3"/>
            <w:vAlign w:val="center"/>
          </w:tcPr>
          <w:p w14:paraId="294E4D50">
            <w:pPr>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jc w:val="left"/>
              <w:textAlignment w:val="auto"/>
              <w:rPr>
                <w:color w:val="auto"/>
                <w:sz w:val="21"/>
                <w:szCs w:val="21"/>
                <w:highlight w:val="none"/>
                <w:shd w:val="clear" w:color="auto" w:fill="92D050"/>
              </w:rPr>
            </w:pPr>
            <w:r>
              <w:rPr>
                <w:rFonts w:hint="eastAsia" w:ascii="宋体" w:hAnsi="宋体" w:cs="宋体"/>
                <w:color w:val="auto"/>
                <w:kern w:val="0"/>
                <w:sz w:val="21"/>
                <w:szCs w:val="21"/>
                <w:highlight w:val="none"/>
                <w:shd w:val="clear" w:color="auto"/>
              </w:rPr>
              <w:t>医嘱卡片</w:t>
            </w:r>
          </w:p>
        </w:tc>
      </w:tr>
      <w:tr w14:paraId="04868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235BCFF6">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restart"/>
            <w:vAlign w:val="center"/>
          </w:tcPr>
          <w:p w14:paraId="5A46DE81">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医嘱卡片</w:t>
            </w:r>
          </w:p>
        </w:tc>
        <w:tc>
          <w:tcPr>
            <w:tcW w:w="7899" w:type="dxa"/>
            <w:vAlign w:val="center"/>
          </w:tcPr>
          <w:p w14:paraId="4218BF26">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支持按随机卡片、固定卡片、执行单3种形式生成医嘱卡片；</w:t>
            </w:r>
          </w:p>
        </w:tc>
      </w:tr>
      <w:tr w14:paraId="605A7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886" w:type="dxa"/>
            <w:vMerge w:val="continue"/>
            <w:vAlign w:val="center"/>
          </w:tcPr>
          <w:p w14:paraId="39892E68">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41C5C3C0">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2160882B">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口服卡、注射卡、静滴卡、饮食卡、输液巡视卡、临时医嘱卡片和其他卡片；医嘱卡片是大小标签（规格和打印样式均可自定），医嘱执行单是报表，满足护士日常工作所需，固定卡片，可实现医嘱卡片一码多刷。</w:t>
            </w:r>
          </w:p>
        </w:tc>
      </w:tr>
      <w:tr w14:paraId="2EA7E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3DFB7291">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79731A82">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26757A23">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支持固定卡片拆分打印，某组医嘱大于设置的行数，系统自动把多余的内容打印到另一张卡片中；</w:t>
            </w:r>
          </w:p>
        </w:tc>
      </w:tr>
      <w:tr w14:paraId="1DE3B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30DA0F69">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7A95C428">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5D90E5B9">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支持按执行科室、按患者生成医嘱卡片；</w:t>
            </w:r>
          </w:p>
        </w:tc>
      </w:tr>
      <w:tr w14:paraId="5E191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4D2A6AB3">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2961DEE0">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525EFE91">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支持医嘱卡片使用报表工具进行自定义设计功能；</w:t>
            </w:r>
          </w:p>
        </w:tc>
      </w:tr>
      <w:tr w14:paraId="03BCA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1D934235">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43D8B77D">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2A91E765">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支持按日次多张卡片的方式生成医嘱卡片，即药品或费用每天使用几次，就打印几张卡片，并且用编号进行标示；</w:t>
            </w:r>
          </w:p>
        </w:tc>
      </w:tr>
      <w:tr w14:paraId="42DF1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38B8F3B5">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087DFE4A">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16A350C5">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支持按明日、今日、自定义日期筛选医嘱卡片打印内容并进行打印；</w:t>
            </w:r>
          </w:p>
        </w:tc>
      </w:tr>
      <w:tr w14:paraId="56FF4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7B7AD27A">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55972005">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151F70FB">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支持一键打印，按患者床号进行逐个患者打印。</w:t>
            </w:r>
          </w:p>
        </w:tc>
      </w:tr>
      <w:tr w14:paraId="38B0A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7A1D082A">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9113" w:type="dxa"/>
            <w:gridSpan w:val="3"/>
            <w:vAlign w:val="center"/>
          </w:tcPr>
          <w:p w14:paraId="796F691A">
            <w:pPr>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jc w:val="left"/>
              <w:textAlignment w:val="auto"/>
              <w:rPr>
                <w:color w:val="auto"/>
                <w:sz w:val="21"/>
                <w:szCs w:val="21"/>
                <w:highlight w:val="none"/>
                <w:shd w:val="clear" w:color="auto" w:fill="92D050"/>
              </w:rPr>
            </w:pPr>
            <w:r>
              <w:rPr>
                <w:rFonts w:hint="eastAsia" w:ascii="宋体" w:hAnsi="宋体" w:cs="宋体"/>
                <w:color w:val="auto"/>
                <w:kern w:val="0"/>
                <w:sz w:val="21"/>
                <w:szCs w:val="21"/>
                <w:highlight w:val="none"/>
                <w:shd w:val="clear" w:color="auto"/>
              </w:rPr>
              <w:t>申请单管理</w:t>
            </w:r>
          </w:p>
        </w:tc>
      </w:tr>
      <w:tr w14:paraId="6F625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886" w:type="dxa"/>
            <w:vMerge w:val="continue"/>
            <w:vAlign w:val="center"/>
          </w:tcPr>
          <w:p w14:paraId="2605D118">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Align w:val="center"/>
          </w:tcPr>
          <w:p w14:paraId="4FD46505">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申请单管理</w:t>
            </w:r>
          </w:p>
        </w:tc>
        <w:tc>
          <w:tcPr>
            <w:tcW w:w="7899" w:type="dxa"/>
            <w:vAlign w:val="center"/>
          </w:tcPr>
          <w:p w14:paraId="6ACE30FA">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r>
              <w:rPr>
                <w:rFonts w:hint="eastAsia"/>
                <w:color w:val="auto"/>
                <w:sz w:val="21"/>
                <w:szCs w:val="21"/>
                <w:highlight w:val="none"/>
              </w:rPr>
              <w:t>支持单病人检查单管理、多病人检查单集中管理；支持指引单打印、预约单打印、检查预约及取消、提交与退回检查单、申请单的查询。</w:t>
            </w:r>
          </w:p>
        </w:tc>
      </w:tr>
      <w:tr w14:paraId="6F942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6FFFE632">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9113" w:type="dxa"/>
            <w:gridSpan w:val="3"/>
            <w:vAlign w:val="center"/>
          </w:tcPr>
          <w:p w14:paraId="3A325080">
            <w:pPr>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jc w:val="left"/>
              <w:textAlignment w:val="auto"/>
              <w:rPr>
                <w:color w:val="auto"/>
                <w:sz w:val="21"/>
                <w:szCs w:val="21"/>
                <w:highlight w:val="none"/>
                <w:shd w:val="clear" w:color="auto" w:fill="92D050"/>
              </w:rPr>
            </w:pPr>
            <w:r>
              <w:rPr>
                <w:rFonts w:hint="eastAsia" w:ascii="宋体" w:hAnsi="宋体" w:cs="宋体"/>
                <w:color w:val="auto"/>
                <w:kern w:val="0"/>
                <w:sz w:val="21"/>
                <w:szCs w:val="21"/>
                <w:highlight w:val="none"/>
                <w:shd w:val="clear" w:color="auto"/>
              </w:rPr>
              <w:t>他科治疗</w:t>
            </w:r>
          </w:p>
        </w:tc>
      </w:tr>
      <w:tr w14:paraId="635FC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0CB901DC">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restart"/>
            <w:vAlign w:val="center"/>
          </w:tcPr>
          <w:p w14:paraId="08CB39C3">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他科治疗</w:t>
            </w:r>
          </w:p>
        </w:tc>
        <w:tc>
          <w:tcPr>
            <w:tcW w:w="7899" w:type="dxa"/>
            <w:vAlign w:val="center"/>
          </w:tcPr>
          <w:p w14:paraId="60CD3059">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支持他科治疗申请列表和他科治疗接收列表；</w:t>
            </w:r>
          </w:p>
        </w:tc>
      </w:tr>
      <w:tr w14:paraId="74249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0ADE6F77">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6A3AFFD1">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28872502">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支持原科室取消他科申请的功能；</w:t>
            </w:r>
          </w:p>
        </w:tc>
      </w:tr>
      <w:tr w14:paraId="0AAD4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0EF09DE0">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44A2B729">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51E1DCC8">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支持治疗科室退回申请并填写退回原因，提供常见原因供护士选择，也可直接录入；</w:t>
            </w:r>
          </w:p>
        </w:tc>
      </w:tr>
      <w:tr w14:paraId="6F858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886" w:type="dxa"/>
            <w:vMerge w:val="continue"/>
            <w:vAlign w:val="center"/>
          </w:tcPr>
          <w:p w14:paraId="411E2143">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309A2E1D">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177A4FA7">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支持他科治疗时原科室护士仍可以正常操作该患者所有功能，包括护嘱录入、医嘱卡片、退药申请、退费申请、医嘱执行、未完成工作；</w:t>
            </w:r>
          </w:p>
        </w:tc>
      </w:tr>
      <w:tr w14:paraId="478B3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6AAB6BCC">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183A4F26">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757F3ACC">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支持他科治疗时原科室医生仍可以录入医嘱，书写病历。</w:t>
            </w:r>
          </w:p>
        </w:tc>
      </w:tr>
      <w:tr w14:paraId="4CC51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886" w:type="dxa"/>
            <w:vMerge w:val="continue"/>
            <w:vAlign w:val="center"/>
          </w:tcPr>
          <w:p w14:paraId="55EC45C0">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1AE68DDB">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3089B104">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具有他科包床权限（可配置）的病区，护士可以直接利用【他科包床】功能将需要他科治疗的病人一键拉入本病区，便于妇产类医院分娩室这类特殊科室快捷处理病人流转。</w:t>
            </w:r>
          </w:p>
        </w:tc>
      </w:tr>
      <w:tr w14:paraId="11EA4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29DBF9A8">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15D37FF5">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725A4171">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可以查看本病区已接收的他科病人，查询这些病人本病区未完成工作，其他病区未完成工作。</w:t>
            </w:r>
          </w:p>
        </w:tc>
      </w:tr>
      <w:tr w14:paraId="6B88F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10A04EF6">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9113" w:type="dxa"/>
            <w:gridSpan w:val="3"/>
            <w:vAlign w:val="center"/>
          </w:tcPr>
          <w:p w14:paraId="2598E2E2">
            <w:pPr>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jc w:val="left"/>
              <w:textAlignment w:val="auto"/>
              <w:rPr>
                <w:color w:val="auto"/>
                <w:sz w:val="21"/>
                <w:szCs w:val="21"/>
                <w:highlight w:val="none"/>
                <w:shd w:val="clear" w:color="auto" w:fill="92D050"/>
              </w:rPr>
            </w:pPr>
            <w:r>
              <w:rPr>
                <w:rFonts w:hint="eastAsia" w:ascii="宋体" w:hAnsi="宋体" w:cs="宋体"/>
                <w:color w:val="auto"/>
                <w:kern w:val="0"/>
                <w:sz w:val="21"/>
                <w:szCs w:val="21"/>
                <w:highlight w:val="none"/>
                <w:shd w:val="clear" w:color="auto"/>
              </w:rPr>
              <w:t>转科治疗</w:t>
            </w:r>
          </w:p>
        </w:tc>
      </w:tr>
      <w:tr w14:paraId="7755E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3684D5DB">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restart"/>
            <w:vAlign w:val="center"/>
          </w:tcPr>
          <w:p w14:paraId="32BF7CC6">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转科治疗</w:t>
            </w:r>
          </w:p>
        </w:tc>
        <w:tc>
          <w:tcPr>
            <w:tcW w:w="7899" w:type="dxa"/>
            <w:vAlign w:val="center"/>
          </w:tcPr>
          <w:p w14:paraId="6D32C90D">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支持本病区转科和跨病区转科；</w:t>
            </w:r>
          </w:p>
        </w:tc>
      </w:tr>
      <w:tr w14:paraId="5E74C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6D3B2555">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14D38CD1">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32D87897">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提供转科治疗申请列表和转科治疗接收列表；</w:t>
            </w:r>
          </w:p>
        </w:tc>
      </w:tr>
      <w:tr w14:paraId="63EFD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49826438">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65D84FA1">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67A0C4C1">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支持转出科室取消转科申请的功能；</w:t>
            </w:r>
          </w:p>
        </w:tc>
      </w:tr>
      <w:tr w14:paraId="383CC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74A963AE">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441A7C3E">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09A6E82A">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支持转入科室退回申请并填写退回原因，提供常见原因供护士选择，也可直接录入；</w:t>
            </w:r>
          </w:p>
        </w:tc>
      </w:tr>
      <w:tr w14:paraId="7F9B6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4708C443">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542EBD09">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64CE9FC3">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支持转前医生可以继续操作患者转科前的未完成业务，但不能进行开嘱停嘱操作；</w:t>
            </w:r>
          </w:p>
        </w:tc>
      </w:tr>
      <w:tr w14:paraId="0B5DB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11D9CD5C">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77F576CE">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0AF924EA">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支持有未完成业务病人的转科控制，需停嘱后才可进行转科处理。</w:t>
            </w:r>
          </w:p>
        </w:tc>
      </w:tr>
      <w:tr w14:paraId="31E40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2C58D64F">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9113" w:type="dxa"/>
            <w:gridSpan w:val="3"/>
            <w:vAlign w:val="center"/>
          </w:tcPr>
          <w:p w14:paraId="5DDDA4C8">
            <w:pPr>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jc w:val="left"/>
              <w:textAlignment w:val="auto"/>
              <w:rPr>
                <w:color w:val="auto"/>
                <w:sz w:val="21"/>
                <w:szCs w:val="21"/>
                <w:highlight w:val="none"/>
              </w:rPr>
            </w:pPr>
            <w:r>
              <w:rPr>
                <w:rFonts w:hint="eastAsia" w:ascii="宋体" w:hAnsi="宋体" w:cs="宋体"/>
                <w:color w:val="auto"/>
                <w:kern w:val="0"/>
                <w:sz w:val="21"/>
                <w:szCs w:val="21"/>
                <w:highlight w:val="none"/>
                <w:shd w:val="clear" w:color="auto"/>
              </w:rPr>
              <w:t>换病区管理</w:t>
            </w:r>
          </w:p>
        </w:tc>
      </w:tr>
      <w:tr w14:paraId="22CAF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020F4695">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restart"/>
            <w:vAlign w:val="center"/>
          </w:tcPr>
          <w:p w14:paraId="16921600">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换病区管理</w:t>
            </w:r>
          </w:p>
        </w:tc>
        <w:tc>
          <w:tcPr>
            <w:tcW w:w="7899" w:type="dxa"/>
            <w:vAlign w:val="center"/>
          </w:tcPr>
          <w:p w14:paraId="0C656007">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支持临床病区之间的换病区操作；</w:t>
            </w:r>
          </w:p>
        </w:tc>
      </w:tr>
      <w:tr w14:paraId="57404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6D3F202A">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3CC1F15A">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5322B905">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换病区接收时，可以看到患者在原病区的未完成工作，接收后，相关计划会自动转到新病区可继续工作。</w:t>
            </w:r>
          </w:p>
        </w:tc>
      </w:tr>
      <w:tr w14:paraId="1DE74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46A1BFAF">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4CC46F70">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6308BAB6">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支持日间病区换到临床病区的操作；</w:t>
            </w:r>
          </w:p>
        </w:tc>
      </w:tr>
      <w:tr w14:paraId="4985C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56A5C7CA">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11EAB268">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74D41993">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支持住院准备中心换到临床病区的操作；</w:t>
            </w:r>
          </w:p>
        </w:tc>
      </w:tr>
      <w:tr w14:paraId="19B39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254A7B9B">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5AAF15D1">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29AAF166">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支持临床病区换到住院准备中心的操作。</w:t>
            </w:r>
          </w:p>
        </w:tc>
      </w:tr>
      <w:tr w14:paraId="511D1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20F11C27">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705BBEE1">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02A1840E">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护士站支持进行母亲转病区时，是否带领婴儿联动转病区，若带领跟随，则联动一起转病区。</w:t>
            </w:r>
          </w:p>
        </w:tc>
      </w:tr>
      <w:tr w14:paraId="076FC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1E130344">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9113" w:type="dxa"/>
            <w:gridSpan w:val="3"/>
            <w:vAlign w:val="center"/>
          </w:tcPr>
          <w:p w14:paraId="2EA8282F">
            <w:pPr>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jc w:val="left"/>
              <w:textAlignment w:val="auto"/>
              <w:rPr>
                <w:color w:val="auto"/>
                <w:sz w:val="21"/>
                <w:szCs w:val="21"/>
                <w:highlight w:val="none"/>
                <w:shd w:val="clear" w:color="auto" w:fill="92D050"/>
              </w:rPr>
            </w:pPr>
            <w:r>
              <w:rPr>
                <w:rFonts w:hint="eastAsia" w:ascii="宋体" w:hAnsi="宋体" w:cs="宋体"/>
                <w:color w:val="auto"/>
                <w:kern w:val="0"/>
                <w:sz w:val="21"/>
                <w:szCs w:val="21"/>
                <w:highlight w:val="none"/>
                <w:shd w:val="clear" w:color="auto"/>
              </w:rPr>
              <w:t>催款管理</w:t>
            </w:r>
          </w:p>
        </w:tc>
      </w:tr>
      <w:tr w14:paraId="3FEA2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886" w:type="dxa"/>
            <w:vMerge w:val="continue"/>
            <w:vAlign w:val="center"/>
          </w:tcPr>
          <w:p w14:paraId="19A50673">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restart"/>
            <w:vAlign w:val="center"/>
          </w:tcPr>
          <w:p w14:paraId="69396CAD">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催款管理</w:t>
            </w:r>
          </w:p>
        </w:tc>
        <w:tc>
          <w:tcPr>
            <w:tcW w:w="7899" w:type="dxa"/>
            <w:vAlign w:val="center"/>
          </w:tcPr>
          <w:p w14:paraId="1C7DD6E9">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支持护士打印催款清单催促相应患者及时缴款；</w:t>
            </w:r>
          </w:p>
        </w:tc>
      </w:tr>
      <w:tr w14:paraId="7B2FA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886" w:type="dxa"/>
            <w:vMerge w:val="continue"/>
            <w:vAlign w:val="center"/>
          </w:tcPr>
          <w:p w14:paraId="602114DB">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2D6DB4D0">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40AF9FFF">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支持多种信息化催款途径，如：短信、微信、电子床头卡等。</w:t>
            </w:r>
          </w:p>
        </w:tc>
      </w:tr>
      <w:tr w14:paraId="0ED6D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054568EB">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9113" w:type="dxa"/>
            <w:gridSpan w:val="3"/>
            <w:vAlign w:val="center"/>
          </w:tcPr>
          <w:p w14:paraId="2DB5DA32">
            <w:pPr>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jc w:val="left"/>
              <w:textAlignment w:val="auto"/>
              <w:rPr>
                <w:color w:val="auto"/>
                <w:sz w:val="21"/>
                <w:szCs w:val="21"/>
                <w:highlight w:val="none"/>
                <w:shd w:val="clear" w:color="auto" w:fill="92D050"/>
              </w:rPr>
            </w:pPr>
            <w:r>
              <w:rPr>
                <w:rFonts w:hint="eastAsia" w:ascii="宋体" w:hAnsi="宋体" w:cs="宋体"/>
                <w:color w:val="auto"/>
                <w:kern w:val="0"/>
                <w:sz w:val="21"/>
                <w:szCs w:val="21"/>
                <w:highlight w:val="none"/>
                <w:shd w:val="clear" w:color="auto"/>
              </w:rPr>
              <w:t>病人药箱</w:t>
            </w:r>
          </w:p>
        </w:tc>
      </w:tr>
      <w:tr w14:paraId="77048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19B3014E">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Align w:val="center"/>
          </w:tcPr>
          <w:p w14:paraId="0E2B2392">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病人药箱</w:t>
            </w:r>
          </w:p>
        </w:tc>
        <w:tc>
          <w:tcPr>
            <w:tcW w:w="7899" w:type="dxa"/>
            <w:vAlign w:val="center"/>
          </w:tcPr>
          <w:p w14:paraId="6A7CDC6B">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r>
              <w:rPr>
                <w:rFonts w:hint="eastAsia"/>
                <w:color w:val="auto"/>
                <w:sz w:val="21"/>
                <w:szCs w:val="21"/>
                <w:highlight w:val="none"/>
              </w:rPr>
              <w:t>支持</w:t>
            </w:r>
            <w:r>
              <w:rPr>
                <w:rFonts w:hint="eastAsia" w:ascii="宋体" w:hAnsi="宋体" w:cs="宋体"/>
                <w:bCs/>
                <w:color w:val="auto"/>
                <w:sz w:val="21"/>
                <w:szCs w:val="21"/>
                <w:highlight w:val="none"/>
              </w:rPr>
              <w:t>自备</w:t>
            </w:r>
            <w:r>
              <w:rPr>
                <w:rFonts w:hint="eastAsia"/>
                <w:color w:val="auto"/>
                <w:sz w:val="21"/>
                <w:szCs w:val="21"/>
                <w:highlight w:val="none"/>
              </w:rPr>
              <w:t>药管理、大包装管理(病区发药药房是大包装，临床输入用小包装)、整量发药管理(如胰岛素)。</w:t>
            </w:r>
          </w:p>
        </w:tc>
      </w:tr>
      <w:tr w14:paraId="7B905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66C38CC2">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9113" w:type="dxa"/>
            <w:gridSpan w:val="3"/>
            <w:vAlign w:val="center"/>
          </w:tcPr>
          <w:p w14:paraId="431DCEA6">
            <w:pPr>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jc w:val="left"/>
              <w:textAlignment w:val="auto"/>
              <w:rPr>
                <w:color w:val="auto"/>
                <w:sz w:val="21"/>
                <w:szCs w:val="21"/>
                <w:highlight w:val="none"/>
                <w:shd w:val="clear" w:color="auto" w:fill="92D050"/>
              </w:rPr>
            </w:pPr>
            <w:r>
              <w:rPr>
                <w:rFonts w:hint="eastAsia" w:ascii="宋体" w:hAnsi="宋体" w:cs="宋体"/>
                <w:color w:val="auto"/>
                <w:kern w:val="0"/>
                <w:sz w:val="21"/>
                <w:szCs w:val="21"/>
                <w:highlight w:val="none"/>
                <w:shd w:val="clear" w:color="auto"/>
              </w:rPr>
              <w:t>未完成工作</w:t>
            </w:r>
          </w:p>
        </w:tc>
      </w:tr>
      <w:tr w14:paraId="06741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886" w:type="dxa"/>
            <w:vMerge w:val="continue"/>
            <w:vAlign w:val="center"/>
          </w:tcPr>
          <w:p w14:paraId="464EF3AB">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restart"/>
            <w:vAlign w:val="center"/>
          </w:tcPr>
          <w:p w14:paraId="70A5FE45">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未完成工作</w:t>
            </w:r>
          </w:p>
        </w:tc>
        <w:tc>
          <w:tcPr>
            <w:tcW w:w="7899" w:type="dxa"/>
            <w:vAlign w:val="center"/>
          </w:tcPr>
          <w:p w14:paraId="4260CA22">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提供住院患者未完成工作“一体化”处理界面，可处理未复核医嘱、发药未提交、退药未提交、医技未提交、未记费、记费未确认、退费未确认等未完成工作，通过Tab页面切换到相关业务进行操作；</w:t>
            </w:r>
          </w:p>
        </w:tc>
      </w:tr>
      <w:tr w14:paraId="33C73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86" w:type="dxa"/>
            <w:vMerge w:val="continue"/>
            <w:vAlign w:val="center"/>
          </w:tcPr>
          <w:p w14:paraId="5F19A5A1">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0DB7B5E3">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5CCD23BE">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支持已转病区患者未完成工作、手术室未完成工作，他科治疗患者未完成工作。</w:t>
            </w:r>
          </w:p>
        </w:tc>
      </w:tr>
      <w:tr w14:paraId="45E13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36983B9D">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9113" w:type="dxa"/>
            <w:gridSpan w:val="3"/>
            <w:vAlign w:val="center"/>
          </w:tcPr>
          <w:p w14:paraId="51579202">
            <w:pPr>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jc w:val="left"/>
              <w:textAlignment w:val="auto"/>
              <w:rPr>
                <w:color w:val="auto"/>
                <w:sz w:val="21"/>
                <w:szCs w:val="21"/>
                <w:highlight w:val="none"/>
                <w:shd w:val="clear" w:color="auto" w:fill="92D050"/>
              </w:rPr>
            </w:pPr>
            <w:r>
              <w:rPr>
                <w:rFonts w:hint="eastAsia" w:ascii="宋体" w:hAnsi="宋体" w:cs="宋体"/>
                <w:color w:val="auto"/>
                <w:kern w:val="0"/>
                <w:sz w:val="21"/>
                <w:szCs w:val="21"/>
                <w:highlight w:val="none"/>
                <w:shd w:val="clear" w:color="auto"/>
              </w:rPr>
              <w:t>出院处理</w:t>
            </w:r>
          </w:p>
        </w:tc>
      </w:tr>
      <w:tr w14:paraId="31BEF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886" w:type="dxa"/>
            <w:vMerge w:val="continue"/>
            <w:vAlign w:val="center"/>
          </w:tcPr>
          <w:p w14:paraId="79F2CD65">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restart"/>
            <w:vAlign w:val="center"/>
          </w:tcPr>
          <w:p w14:paraId="34D7BBE4">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出院处理</w:t>
            </w:r>
          </w:p>
        </w:tc>
        <w:tc>
          <w:tcPr>
            <w:tcW w:w="7899" w:type="dxa"/>
            <w:vAlign w:val="center"/>
          </w:tcPr>
          <w:p w14:paraId="3FA24037">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支持有未完成业务病人的出院控制，若患者存在医嘱未停、未提交、未执行，手术申请未安排，手术记录未完成等业务没完成，则需完成或停嘱后才能通知出院；未完成任务可依据项目要求配置限制出院的条件。</w:t>
            </w:r>
          </w:p>
        </w:tc>
      </w:tr>
      <w:tr w14:paraId="22A91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886" w:type="dxa"/>
            <w:vMerge w:val="continue"/>
            <w:vAlign w:val="center"/>
          </w:tcPr>
          <w:p w14:paraId="2A6277B7">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1444324B">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3BB685D2">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支持通知出院时成人、婴儿多页未完成业务单独显示；</w:t>
            </w:r>
          </w:p>
        </w:tc>
      </w:tr>
      <w:tr w14:paraId="04A82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886" w:type="dxa"/>
            <w:vMerge w:val="continue"/>
            <w:vAlign w:val="center"/>
          </w:tcPr>
          <w:p w14:paraId="7D3151C2">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32C605C1">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4980107A">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支持通知出院后自动腾空患者床位；</w:t>
            </w:r>
          </w:p>
        </w:tc>
      </w:tr>
      <w:tr w14:paraId="2FF65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86" w:type="dxa"/>
            <w:vMerge w:val="continue"/>
            <w:vAlign w:val="center"/>
          </w:tcPr>
          <w:p w14:paraId="138421FE">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59BE81A9">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2921976F">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支持取消通知出院后提示是否退回原床位；</w:t>
            </w:r>
          </w:p>
        </w:tc>
      </w:tr>
      <w:tr w14:paraId="0FF3F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886" w:type="dxa"/>
            <w:vMerge w:val="continue"/>
            <w:vAlign w:val="center"/>
          </w:tcPr>
          <w:p w14:paraId="58A9ACF1">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0FD0F51F">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06C677FD">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支持护士查询出院病人的费用账卡、医嘱、病历。</w:t>
            </w:r>
          </w:p>
        </w:tc>
      </w:tr>
      <w:tr w14:paraId="6854E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36F081F2">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9113" w:type="dxa"/>
            <w:gridSpan w:val="3"/>
            <w:vAlign w:val="center"/>
          </w:tcPr>
          <w:p w14:paraId="219DCE01">
            <w:pPr>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jc w:val="left"/>
              <w:textAlignment w:val="auto"/>
              <w:rPr>
                <w:color w:val="auto"/>
                <w:sz w:val="21"/>
                <w:szCs w:val="21"/>
                <w:highlight w:val="none"/>
                <w:shd w:val="clear" w:color="auto" w:fill="92D050"/>
              </w:rPr>
            </w:pPr>
            <w:r>
              <w:rPr>
                <w:rFonts w:hint="eastAsia" w:ascii="宋体" w:hAnsi="宋体" w:cs="宋体"/>
                <w:color w:val="auto"/>
                <w:kern w:val="0"/>
                <w:sz w:val="21"/>
                <w:szCs w:val="21"/>
                <w:highlight w:val="none"/>
                <w:shd w:val="clear" w:color="auto"/>
              </w:rPr>
              <w:t>病区三级药房</w:t>
            </w:r>
          </w:p>
        </w:tc>
      </w:tr>
      <w:tr w14:paraId="585B7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4D81A8C3">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Align w:val="center"/>
          </w:tcPr>
          <w:p w14:paraId="4B28AB09">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病区三级药房</w:t>
            </w:r>
          </w:p>
        </w:tc>
        <w:tc>
          <w:tcPr>
            <w:tcW w:w="7899" w:type="dxa"/>
            <w:vAlign w:val="center"/>
          </w:tcPr>
          <w:p w14:paraId="7E0C65FE">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r>
              <w:rPr>
                <w:rFonts w:hint="eastAsia"/>
                <w:color w:val="auto"/>
                <w:sz w:val="21"/>
                <w:szCs w:val="21"/>
                <w:highlight w:val="none"/>
              </w:rPr>
              <w:t>支持本病区药品出入库管理，医嘱发药处理，盘点处理，月底过帐，收支查询及本病区三级药房的初始化等功能。</w:t>
            </w:r>
          </w:p>
          <w:p w14:paraId="75ECA40D">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支持按照备用药品、消耗性药品发起科室领用申请。消耗性药品不入库、不增加库存。备用药品入库时按实际领用数量增加库存。</w:t>
            </w:r>
          </w:p>
        </w:tc>
      </w:tr>
      <w:tr w14:paraId="4304B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082EAC9F">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9113" w:type="dxa"/>
            <w:gridSpan w:val="3"/>
            <w:vAlign w:val="center"/>
          </w:tcPr>
          <w:p w14:paraId="182BCF57">
            <w:pPr>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jc w:val="left"/>
              <w:textAlignment w:val="auto"/>
              <w:rPr>
                <w:color w:val="auto"/>
                <w:sz w:val="21"/>
                <w:szCs w:val="21"/>
                <w:highlight w:val="none"/>
                <w:shd w:val="clear" w:color="auto" w:fill="92D050"/>
              </w:rPr>
            </w:pPr>
            <w:r>
              <w:rPr>
                <w:rFonts w:hint="eastAsia" w:ascii="宋体" w:hAnsi="宋体" w:cs="宋体"/>
                <w:color w:val="auto"/>
                <w:kern w:val="0"/>
                <w:sz w:val="21"/>
                <w:szCs w:val="21"/>
                <w:highlight w:val="none"/>
                <w:shd w:val="clear" w:color="auto"/>
              </w:rPr>
              <w:t>病区三级库房</w:t>
            </w:r>
          </w:p>
        </w:tc>
      </w:tr>
      <w:tr w14:paraId="59A54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886" w:type="dxa"/>
            <w:vMerge w:val="continue"/>
            <w:vAlign w:val="center"/>
          </w:tcPr>
          <w:p w14:paraId="7144234D">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restart"/>
            <w:vAlign w:val="center"/>
          </w:tcPr>
          <w:p w14:paraId="26A14547">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病区三级库房</w:t>
            </w:r>
          </w:p>
        </w:tc>
        <w:tc>
          <w:tcPr>
            <w:tcW w:w="7899" w:type="dxa"/>
            <w:vAlign w:val="center"/>
          </w:tcPr>
          <w:p w14:paraId="49568FF5">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支持本病区医用耗材出入库管理，消耗管理，盘点处理，月底过帐，收支查询及本病区三级库房的初始化等功能；</w:t>
            </w:r>
          </w:p>
        </w:tc>
      </w:tr>
      <w:tr w14:paraId="7DDCA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886" w:type="dxa"/>
            <w:vMerge w:val="continue"/>
            <w:vAlign w:val="center"/>
          </w:tcPr>
          <w:p w14:paraId="4120238A">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1E30ECC9">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61CB2B3A">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支持本病区医用耗材实耗实销管理，医嘱执行时自动减库存。</w:t>
            </w:r>
          </w:p>
        </w:tc>
      </w:tr>
      <w:tr w14:paraId="786DC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605BD765">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9113" w:type="dxa"/>
            <w:gridSpan w:val="3"/>
            <w:vAlign w:val="center"/>
          </w:tcPr>
          <w:p w14:paraId="5A28796A">
            <w:pPr>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jc w:val="left"/>
              <w:textAlignment w:val="auto"/>
              <w:rPr>
                <w:color w:val="auto"/>
                <w:sz w:val="21"/>
                <w:szCs w:val="21"/>
                <w:highlight w:val="none"/>
                <w:shd w:val="clear" w:color="auto" w:fill="92D050"/>
              </w:rPr>
            </w:pPr>
            <w:r>
              <w:rPr>
                <w:rFonts w:hint="eastAsia" w:ascii="宋体" w:hAnsi="宋体" w:cs="宋体"/>
                <w:color w:val="auto"/>
                <w:kern w:val="0"/>
                <w:sz w:val="21"/>
                <w:szCs w:val="21"/>
                <w:highlight w:val="none"/>
                <w:shd w:val="clear" w:color="auto"/>
              </w:rPr>
              <w:t>护理管理</w:t>
            </w:r>
          </w:p>
        </w:tc>
      </w:tr>
      <w:tr w14:paraId="5A2A4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886" w:type="dxa"/>
            <w:vMerge w:val="continue"/>
            <w:vAlign w:val="center"/>
          </w:tcPr>
          <w:p w14:paraId="4A9B090F">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restart"/>
            <w:vAlign w:val="center"/>
          </w:tcPr>
          <w:p w14:paraId="5BCEF135">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护理管理</w:t>
            </w:r>
          </w:p>
        </w:tc>
        <w:tc>
          <w:tcPr>
            <w:tcW w:w="7899" w:type="dxa"/>
            <w:vAlign w:val="center"/>
          </w:tcPr>
          <w:p w14:paraId="657EE90E">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支持与护理系统做无缝接口，将护理管理业务接入到病区护士站系统；</w:t>
            </w:r>
          </w:p>
        </w:tc>
      </w:tr>
      <w:tr w14:paraId="2E558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886" w:type="dxa"/>
            <w:vMerge w:val="continue"/>
            <w:vAlign w:val="center"/>
          </w:tcPr>
          <w:p w14:paraId="161B8614">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25C15705">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3E6E69B6">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提供护理管理“一体化”操作界面，在一体化界面通过Tab页面切换到护理计划、护理评估、护理记录、健康宣教、护理焦点、护理路径、体征记录、不良事件等页面，改变以往多窗口操作的离散情况；</w:t>
            </w:r>
          </w:p>
        </w:tc>
      </w:tr>
      <w:tr w14:paraId="3E37B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886" w:type="dxa"/>
            <w:vMerge w:val="continue"/>
            <w:vAlign w:val="center"/>
          </w:tcPr>
          <w:p w14:paraId="73B28B5C">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0972A244">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53F3197B">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支持与移动护理系统做无缝接口，实现数据互联互通。</w:t>
            </w:r>
          </w:p>
        </w:tc>
      </w:tr>
      <w:tr w14:paraId="25C8B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459885C6">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9113" w:type="dxa"/>
            <w:gridSpan w:val="3"/>
            <w:vAlign w:val="center"/>
          </w:tcPr>
          <w:p w14:paraId="209F0B86">
            <w:pPr>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jc w:val="left"/>
              <w:textAlignment w:val="auto"/>
              <w:rPr>
                <w:color w:val="auto"/>
                <w:sz w:val="21"/>
                <w:szCs w:val="21"/>
                <w:highlight w:val="none"/>
                <w:shd w:val="clear" w:color="auto" w:fill="92D050"/>
              </w:rPr>
            </w:pPr>
            <w:r>
              <w:rPr>
                <w:rFonts w:hint="eastAsia" w:ascii="宋体" w:hAnsi="宋体" w:cs="宋体"/>
                <w:color w:val="auto"/>
                <w:kern w:val="0"/>
                <w:sz w:val="21"/>
                <w:szCs w:val="21"/>
                <w:highlight w:val="none"/>
                <w:shd w:val="clear" w:color="auto"/>
              </w:rPr>
              <w:t>检验管理</w:t>
            </w:r>
          </w:p>
        </w:tc>
      </w:tr>
      <w:tr w14:paraId="20F4E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886" w:type="dxa"/>
            <w:vMerge w:val="continue"/>
            <w:vAlign w:val="center"/>
          </w:tcPr>
          <w:p w14:paraId="5170D31D">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restart"/>
            <w:vAlign w:val="center"/>
          </w:tcPr>
          <w:p w14:paraId="61EFD400">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检验管理</w:t>
            </w:r>
          </w:p>
        </w:tc>
        <w:tc>
          <w:tcPr>
            <w:tcW w:w="7899" w:type="dxa"/>
            <w:vAlign w:val="center"/>
          </w:tcPr>
          <w:p w14:paraId="1270AE60">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支持与检验(LIS)做无缝接口，将检验管理业务接入到病区护士站系统；</w:t>
            </w:r>
          </w:p>
        </w:tc>
      </w:tr>
      <w:tr w14:paraId="3BF12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4E623006">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52593E7D">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417CD06F">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提供检验管理“一体化”操作界面，在一体化界面通过Tab页面切换到条码生成、打印，标本采集、运送、交接等页面，改变以往多窗口操作的离散情况；</w:t>
            </w:r>
          </w:p>
        </w:tc>
      </w:tr>
      <w:tr w14:paraId="33D2E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886" w:type="dxa"/>
            <w:vMerge w:val="continue"/>
            <w:vAlign w:val="center"/>
          </w:tcPr>
          <w:p w14:paraId="447C3534">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41CBEA12">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33474C82">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支持与移动护理系统做无缝接口，实现数据互联互通。</w:t>
            </w:r>
          </w:p>
        </w:tc>
      </w:tr>
      <w:tr w14:paraId="53684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1671A4E3">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9113" w:type="dxa"/>
            <w:gridSpan w:val="3"/>
            <w:vAlign w:val="center"/>
          </w:tcPr>
          <w:p w14:paraId="3077BFD8">
            <w:pPr>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jc w:val="left"/>
              <w:textAlignment w:val="auto"/>
              <w:rPr>
                <w:color w:val="auto"/>
                <w:sz w:val="21"/>
                <w:szCs w:val="21"/>
                <w:highlight w:val="none"/>
                <w:shd w:val="clear" w:color="auto" w:fill="92D050"/>
              </w:rPr>
            </w:pPr>
            <w:r>
              <w:rPr>
                <w:rFonts w:hint="eastAsia" w:ascii="宋体" w:hAnsi="宋体" w:cs="宋体"/>
                <w:color w:val="auto"/>
                <w:kern w:val="0"/>
                <w:sz w:val="21"/>
                <w:szCs w:val="21"/>
                <w:highlight w:val="none"/>
                <w:shd w:val="clear" w:color="auto"/>
              </w:rPr>
              <w:t>用血管理</w:t>
            </w:r>
          </w:p>
        </w:tc>
      </w:tr>
      <w:tr w14:paraId="107AD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86" w:type="dxa"/>
            <w:vMerge w:val="continue"/>
            <w:vAlign w:val="center"/>
          </w:tcPr>
          <w:p w14:paraId="6AAE2751">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restart"/>
            <w:vAlign w:val="center"/>
          </w:tcPr>
          <w:p w14:paraId="27E88AAB">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用血管理</w:t>
            </w:r>
          </w:p>
        </w:tc>
        <w:tc>
          <w:tcPr>
            <w:tcW w:w="7899" w:type="dxa"/>
            <w:vAlign w:val="center"/>
          </w:tcPr>
          <w:p w14:paraId="242C9627">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支持与血库管理系统做无缝接口，将用血管理业务接入到病区护士站系统；</w:t>
            </w:r>
          </w:p>
        </w:tc>
      </w:tr>
      <w:tr w14:paraId="7A1B2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886" w:type="dxa"/>
            <w:vMerge w:val="continue"/>
            <w:vAlign w:val="center"/>
          </w:tcPr>
          <w:p w14:paraId="19DE3724">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6890176B">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2C24351F">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提供用血管理“一体化”操作界面，在一体化界面通过Tab页面切换到输血标本条码生成、打印，输血标本采集确认，标本送出及接收，血液领取及接收，病区输血等页面，改变以往多窗口操作的离散情况；</w:t>
            </w:r>
          </w:p>
        </w:tc>
      </w:tr>
      <w:tr w14:paraId="291CA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86" w:type="dxa"/>
            <w:vMerge w:val="continue"/>
            <w:vAlign w:val="center"/>
          </w:tcPr>
          <w:p w14:paraId="76B531A5">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59E716F3">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22399CA0">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支持与移动护理系统做无缝接口，实现数据互联互通。</w:t>
            </w:r>
          </w:p>
        </w:tc>
      </w:tr>
      <w:tr w14:paraId="143F3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7111D7F7">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9113" w:type="dxa"/>
            <w:gridSpan w:val="3"/>
            <w:vAlign w:val="center"/>
          </w:tcPr>
          <w:p w14:paraId="4775E66B">
            <w:pPr>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jc w:val="left"/>
              <w:textAlignment w:val="auto"/>
              <w:rPr>
                <w:color w:val="auto"/>
                <w:sz w:val="21"/>
                <w:szCs w:val="21"/>
                <w:highlight w:val="none"/>
                <w:shd w:val="clear" w:color="auto" w:fill="92D050"/>
              </w:rPr>
            </w:pPr>
            <w:r>
              <w:rPr>
                <w:rFonts w:hint="eastAsia" w:ascii="宋体" w:hAnsi="宋体" w:cs="宋体"/>
                <w:color w:val="auto"/>
                <w:kern w:val="0"/>
                <w:sz w:val="21"/>
                <w:szCs w:val="21"/>
                <w:highlight w:val="none"/>
                <w:shd w:val="clear" w:color="auto"/>
              </w:rPr>
              <w:t>病人信息管理</w:t>
            </w:r>
          </w:p>
        </w:tc>
      </w:tr>
      <w:tr w14:paraId="477C7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886" w:type="dxa"/>
            <w:vMerge w:val="continue"/>
            <w:vAlign w:val="center"/>
          </w:tcPr>
          <w:p w14:paraId="3AA8BF45">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restart"/>
            <w:vAlign w:val="center"/>
          </w:tcPr>
          <w:p w14:paraId="6AA773BE">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病人信息管理</w:t>
            </w:r>
          </w:p>
        </w:tc>
        <w:tc>
          <w:tcPr>
            <w:tcW w:w="7899" w:type="dxa"/>
            <w:vAlign w:val="center"/>
          </w:tcPr>
          <w:p w14:paraId="46CC31C9">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提供病人基本信息(就诊信息、费用信息、临床信息、诊断信息)，过敏信息，住院信息管理；</w:t>
            </w:r>
          </w:p>
        </w:tc>
      </w:tr>
      <w:tr w14:paraId="021DA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886" w:type="dxa"/>
            <w:vMerge w:val="continue"/>
            <w:vAlign w:val="center"/>
          </w:tcPr>
          <w:p w14:paraId="6FBC3B42">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57C4E993">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419718C0">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支持护士手工录入病人信息，也支持从医生站或护理系统中自动获取病人信息。</w:t>
            </w:r>
          </w:p>
        </w:tc>
      </w:tr>
      <w:tr w14:paraId="395B2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609A6DFA">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9113" w:type="dxa"/>
            <w:gridSpan w:val="3"/>
            <w:vAlign w:val="center"/>
          </w:tcPr>
          <w:p w14:paraId="061E8EDB">
            <w:pPr>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jc w:val="left"/>
              <w:textAlignment w:val="auto"/>
              <w:rPr>
                <w:color w:val="auto"/>
                <w:sz w:val="21"/>
                <w:szCs w:val="21"/>
                <w:highlight w:val="none"/>
                <w:shd w:val="clear" w:color="auto" w:fill="92D050"/>
              </w:rPr>
            </w:pPr>
            <w:r>
              <w:rPr>
                <w:rFonts w:hint="eastAsia" w:ascii="宋体" w:hAnsi="宋体" w:cs="宋体"/>
                <w:color w:val="auto"/>
                <w:kern w:val="0"/>
                <w:sz w:val="21"/>
                <w:szCs w:val="21"/>
                <w:highlight w:val="none"/>
                <w:shd w:val="clear" w:color="auto"/>
              </w:rPr>
              <w:t>费用账卡</w:t>
            </w:r>
          </w:p>
        </w:tc>
      </w:tr>
      <w:tr w14:paraId="49CE1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86" w:type="dxa"/>
            <w:vMerge w:val="continue"/>
            <w:vAlign w:val="center"/>
          </w:tcPr>
          <w:p w14:paraId="56D07573">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restart"/>
            <w:vAlign w:val="center"/>
          </w:tcPr>
          <w:p w14:paraId="0DFCE0AA">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费用账卡</w:t>
            </w:r>
          </w:p>
        </w:tc>
        <w:tc>
          <w:tcPr>
            <w:tcW w:w="7899" w:type="dxa"/>
            <w:vAlign w:val="center"/>
          </w:tcPr>
          <w:p w14:paraId="7B27EBBB">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支持全、成人、婴儿多页账卡单独显示；支持病人帐卡中费用明细的打印功能；</w:t>
            </w:r>
          </w:p>
        </w:tc>
      </w:tr>
      <w:tr w14:paraId="0330C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886" w:type="dxa"/>
            <w:vMerge w:val="continue"/>
            <w:vAlign w:val="center"/>
          </w:tcPr>
          <w:p w14:paraId="64B32115">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3C3783CF">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56B5640C">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支持预览病人住院账户时可查看病人的换床记录；</w:t>
            </w:r>
          </w:p>
        </w:tc>
      </w:tr>
      <w:tr w14:paraId="07F99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886" w:type="dxa"/>
            <w:vMerge w:val="continue"/>
            <w:vAlign w:val="center"/>
          </w:tcPr>
          <w:p w14:paraId="7D98020F">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3F05B156">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73477A43">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支持预览病人住院账户时可查看病人的缴款记录；</w:t>
            </w:r>
          </w:p>
        </w:tc>
      </w:tr>
      <w:tr w14:paraId="4F1C6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886" w:type="dxa"/>
            <w:vMerge w:val="continue"/>
            <w:vAlign w:val="center"/>
          </w:tcPr>
          <w:p w14:paraId="2044FA36">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4DADE0E6">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38A88350">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支持预览病人住院账户时可查询打印病人当前的结算发票；</w:t>
            </w:r>
          </w:p>
        </w:tc>
      </w:tr>
      <w:tr w14:paraId="7264C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886" w:type="dxa"/>
            <w:vMerge w:val="continue"/>
            <w:vAlign w:val="center"/>
          </w:tcPr>
          <w:p w14:paraId="713624D3">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7E18B213">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3021BD43">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支持预览病人住院账户时可查询打印病人的费用清单，支持明细格式、汇总格式、医嘱格式和其他格式4种查询方式；</w:t>
            </w:r>
          </w:p>
        </w:tc>
      </w:tr>
      <w:tr w14:paraId="7B2B2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886" w:type="dxa"/>
            <w:vMerge w:val="continue"/>
            <w:vAlign w:val="center"/>
          </w:tcPr>
          <w:p w14:paraId="6794E34A">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2CA68C5F">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60C344FA">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hint="eastAsia" w:ascii="宋体" w:hAnsi="宋体" w:cs="宋体"/>
                <w:bCs/>
                <w:color w:val="auto"/>
                <w:sz w:val="21"/>
                <w:szCs w:val="21"/>
                <w:highlight w:val="none"/>
              </w:rPr>
            </w:pPr>
            <w:r>
              <w:rPr>
                <w:rFonts w:hint="eastAsia" w:ascii="宋体" w:hAnsi="宋体" w:cs="宋体"/>
                <w:bCs/>
                <w:color w:val="auto"/>
                <w:szCs w:val="21"/>
                <w:highlight w:val="none"/>
                <w:lang w:val="en-US" w:eastAsia="zh-CN"/>
              </w:rPr>
              <w:t>支持</w:t>
            </w:r>
            <w:r>
              <w:rPr>
                <w:rFonts w:hint="eastAsia" w:ascii="宋体" w:hAnsi="宋体" w:cs="宋体"/>
                <w:bCs/>
                <w:color w:val="auto"/>
                <w:szCs w:val="21"/>
                <w:highlight w:val="none"/>
              </w:rPr>
              <w:t>分段结算（跨年度中途结算、无待遇分段、医疗损害按项目结算）</w:t>
            </w:r>
            <w:r>
              <w:rPr>
                <w:rFonts w:hint="eastAsia" w:ascii="宋体" w:hAnsi="宋体" w:cs="宋体"/>
                <w:bCs/>
                <w:color w:val="auto"/>
                <w:szCs w:val="21"/>
                <w:highlight w:val="none"/>
                <w:lang w:eastAsia="zh-CN"/>
              </w:rPr>
              <w:t>；</w:t>
            </w:r>
          </w:p>
        </w:tc>
      </w:tr>
      <w:tr w14:paraId="5D055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886" w:type="dxa"/>
            <w:vMerge w:val="continue"/>
            <w:vAlign w:val="center"/>
          </w:tcPr>
          <w:p w14:paraId="0FC8C613">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117636E9">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5BE9689F">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支持预览病人住院账户时，若是医保病人，可查看病人的大保清单。</w:t>
            </w:r>
          </w:p>
        </w:tc>
      </w:tr>
      <w:tr w14:paraId="03481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22B2A719">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9113" w:type="dxa"/>
            <w:gridSpan w:val="3"/>
            <w:vAlign w:val="center"/>
          </w:tcPr>
          <w:p w14:paraId="64EAA434">
            <w:pPr>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jc w:val="left"/>
              <w:textAlignment w:val="auto"/>
              <w:rPr>
                <w:color w:val="auto"/>
                <w:sz w:val="21"/>
                <w:szCs w:val="21"/>
                <w:highlight w:val="none"/>
                <w:shd w:val="clear" w:color="auto" w:fill="92D050"/>
              </w:rPr>
            </w:pPr>
            <w:r>
              <w:rPr>
                <w:rFonts w:hint="eastAsia" w:ascii="宋体" w:hAnsi="宋体" w:cs="宋体"/>
                <w:color w:val="auto"/>
                <w:kern w:val="0"/>
                <w:sz w:val="21"/>
                <w:szCs w:val="21"/>
                <w:highlight w:val="none"/>
                <w:shd w:val="clear" w:color="auto"/>
              </w:rPr>
              <w:t>病区查询</w:t>
            </w:r>
          </w:p>
        </w:tc>
      </w:tr>
      <w:tr w14:paraId="21C07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886" w:type="dxa"/>
            <w:vMerge w:val="continue"/>
            <w:vAlign w:val="center"/>
          </w:tcPr>
          <w:p w14:paraId="5813A4BC">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restart"/>
            <w:vAlign w:val="center"/>
          </w:tcPr>
          <w:p w14:paraId="387D50EF">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病区查询</w:t>
            </w:r>
          </w:p>
        </w:tc>
        <w:tc>
          <w:tcPr>
            <w:tcW w:w="7899" w:type="dxa"/>
            <w:vAlign w:val="center"/>
          </w:tcPr>
          <w:p w14:paraId="47E9B195">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支持医嘱单查询，支持修改执行时间，修订数据；</w:t>
            </w:r>
          </w:p>
        </w:tc>
      </w:tr>
      <w:tr w14:paraId="330C9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886" w:type="dxa"/>
            <w:vMerge w:val="continue"/>
            <w:vAlign w:val="center"/>
          </w:tcPr>
          <w:p w14:paraId="07A61D2E">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4" w:type="dxa"/>
            <w:gridSpan w:val="2"/>
            <w:vMerge w:val="continue"/>
            <w:vAlign w:val="center"/>
          </w:tcPr>
          <w:p w14:paraId="78D44EDD">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899" w:type="dxa"/>
            <w:vAlign w:val="center"/>
          </w:tcPr>
          <w:p w14:paraId="1DF77431">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支持医嘱查询、病历查询、已发送药品查询、发药退药查询、冲抵药品查询、病区工作日志查询、病区退费查询、病区收入核算、病区历史病人查询等等。</w:t>
            </w:r>
          </w:p>
        </w:tc>
      </w:tr>
      <w:tr w14:paraId="48A70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886" w:type="dxa"/>
            <w:vAlign w:val="center"/>
          </w:tcPr>
          <w:p w14:paraId="30D68AC1">
            <w:pPr>
              <w:keepNext w:val="0"/>
              <w:keepLines w:val="0"/>
              <w:pageBreakBefore w:val="0"/>
              <w:numPr>
                <w:ilvl w:val="0"/>
                <w:numId w:val="0"/>
              </w:numPr>
              <w:kinsoku/>
              <w:wordWrap/>
              <w:overflowPunct/>
              <w:topLinePunct w:val="0"/>
              <w:autoSpaceDE/>
              <w:autoSpaceDN/>
              <w:bidi w:val="0"/>
              <w:adjustRightInd w:val="0"/>
              <w:snapToGrid w:val="0"/>
              <w:spacing w:line="360" w:lineRule="auto"/>
              <w:ind w:left="425" w:hanging="425"/>
              <w:jc w:val="left"/>
              <w:textAlignment w:val="auto"/>
              <w:rPr>
                <w:rFonts w:ascii="宋体" w:hAnsi="宋体" w:cs="宋体"/>
                <w:color w:val="auto"/>
                <w:sz w:val="21"/>
                <w:szCs w:val="21"/>
                <w:highlight w:val="none"/>
              </w:rPr>
            </w:pPr>
          </w:p>
        </w:tc>
        <w:tc>
          <w:tcPr>
            <w:tcW w:w="1214" w:type="dxa"/>
            <w:gridSpan w:val="2"/>
            <w:vAlign w:val="center"/>
          </w:tcPr>
          <w:p w14:paraId="08BB141A">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临床路径</w:t>
            </w:r>
          </w:p>
        </w:tc>
        <w:tc>
          <w:tcPr>
            <w:tcW w:w="7899" w:type="dxa"/>
            <w:vAlign w:val="center"/>
          </w:tcPr>
          <w:p w14:paraId="28519122">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hint="eastAsia" w:ascii="宋体" w:hAnsi="宋体" w:cs="宋体"/>
                <w:bCs/>
                <w:color w:val="auto"/>
                <w:sz w:val="21"/>
                <w:szCs w:val="21"/>
                <w:highlight w:val="none"/>
              </w:rPr>
            </w:pPr>
            <w:r>
              <w:rPr>
                <w:rFonts w:hint="eastAsia" w:ascii="宋体" w:hAnsi="宋体" w:cs="宋体"/>
                <w:bCs/>
                <w:color w:val="auto"/>
                <w:sz w:val="21"/>
                <w:szCs w:val="21"/>
                <w:highlight w:val="none"/>
              </w:rPr>
              <w:t>对临床路径患者进行标记显示，并支持临床路径患者护理任务的执行确认。</w:t>
            </w:r>
          </w:p>
        </w:tc>
      </w:tr>
    </w:tbl>
    <w:p w14:paraId="232E40F2">
      <w:pPr>
        <w:rPr>
          <w:color w:val="auto"/>
          <w:highlight w:val="none"/>
        </w:rPr>
      </w:pPr>
    </w:p>
    <w:p w14:paraId="3ADBB4D7">
      <w:pPr>
        <w:rPr>
          <w:color w:val="auto"/>
          <w:highlight w:val="none"/>
        </w:rPr>
      </w:pPr>
    </w:p>
    <w:p w14:paraId="65B5B3C8">
      <w:pPr>
        <w:pStyle w:val="4"/>
        <w:numPr>
          <w:ilvl w:val="2"/>
          <w:numId w:val="1"/>
        </w:numPr>
        <w:spacing w:before="0" w:after="0" w:line="360" w:lineRule="auto"/>
        <w:ind w:left="567" w:hanging="567"/>
        <w:rPr>
          <w:color w:val="auto"/>
          <w:sz w:val="24"/>
          <w:highlight w:val="none"/>
        </w:rPr>
      </w:pPr>
      <w:bookmarkStart w:id="32" w:name="_Toc18957"/>
      <w:bookmarkStart w:id="33" w:name="_Toc11371"/>
      <w:bookmarkStart w:id="34" w:name="_Toc30615"/>
      <w:bookmarkStart w:id="35" w:name="_Toc1716"/>
      <w:bookmarkStart w:id="36" w:name="_Toc12005"/>
      <w:r>
        <w:rPr>
          <w:rFonts w:hint="eastAsia" w:eastAsia="宋体"/>
          <w:color w:val="auto"/>
          <w:kern w:val="2"/>
          <w:sz w:val="24"/>
          <w:szCs w:val="24"/>
          <w:highlight w:val="none"/>
        </w:rPr>
        <w:t>药库系统</w:t>
      </w:r>
      <w:bookmarkEnd w:id="32"/>
      <w:bookmarkEnd w:id="33"/>
      <w:bookmarkEnd w:id="34"/>
      <w:bookmarkEnd w:id="35"/>
      <w:bookmarkEnd w:id="36"/>
    </w:p>
    <w:tbl>
      <w:tblPr>
        <w:tblStyle w:val="46"/>
        <w:tblW w:w="99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7"/>
        <w:gridCol w:w="1341"/>
        <w:gridCol w:w="7850"/>
      </w:tblGrid>
      <w:tr w14:paraId="3F448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767" w:type="dxa"/>
            <w:vAlign w:val="center"/>
          </w:tcPr>
          <w:p w14:paraId="74A2FD43">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color w:val="auto"/>
                <w:szCs w:val="21"/>
                <w:highlight w:val="none"/>
              </w:rPr>
            </w:pPr>
            <w:r>
              <w:rPr>
                <w:rFonts w:hint="eastAsia" w:ascii="宋体" w:hAnsi="宋体" w:cs="宋体"/>
                <w:color w:val="auto"/>
                <w:kern w:val="0"/>
                <w:szCs w:val="21"/>
                <w:highlight w:val="none"/>
              </w:rPr>
              <w:t>需求名称</w:t>
            </w:r>
          </w:p>
        </w:tc>
        <w:tc>
          <w:tcPr>
            <w:tcW w:w="1341" w:type="dxa"/>
            <w:vAlign w:val="center"/>
          </w:tcPr>
          <w:p w14:paraId="70EE1B64">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2"/>
                <w:szCs w:val="22"/>
                <w:highlight w:val="none"/>
              </w:rPr>
            </w:pPr>
            <w:r>
              <w:rPr>
                <w:rFonts w:hint="eastAsia" w:ascii="宋体" w:hAnsi="宋体" w:cs="宋体"/>
                <w:color w:val="auto"/>
                <w:kern w:val="0"/>
                <w:szCs w:val="21"/>
                <w:highlight w:val="none"/>
              </w:rPr>
              <w:t>序号</w:t>
            </w:r>
          </w:p>
        </w:tc>
        <w:tc>
          <w:tcPr>
            <w:tcW w:w="7850" w:type="dxa"/>
            <w:vAlign w:val="center"/>
          </w:tcPr>
          <w:p w14:paraId="353835B6">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2"/>
                <w:szCs w:val="22"/>
                <w:highlight w:val="none"/>
              </w:rPr>
            </w:pPr>
            <w:r>
              <w:rPr>
                <w:rFonts w:hint="eastAsia" w:ascii="宋体" w:hAnsi="宋体" w:cs="宋体"/>
                <w:color w:val="auto"/>
                <w:kern w:val="0"/>
                <w:szCs w:val="21"/>
                <w:highlight w:val="none"/>
              </w:rPr>
              <w:t>需求描述</w:t>
            </w:r>
          </w:p>
        </w:tc>
      </w:tr>
      <w:tr w14:paraId="75DA5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9958" w:type="dxa"/>
            <w:gridSpan w:val="3"/>
            <w:vAlign w:val="center"/>
          </w:tcPr>
          <w:p w14:paraId="57B8D110">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color w:val="auto"/>
                <w:szCs w:val="21"/>
                <w:highlight w:val="none"/>
              </w:rPr>
            </w:pPr>
            <w:r>
              <w:rPr>
                <w:rFonts w:hint="eastAsia" w:ascii="宋体" w:hAnsi="宋体" w:cs="宋体"/>
                <w:color w:val="auto"/>
                <w:szCs w:val="21"/>
                <w:highlight w:val="none"/>
              </w:rPr>
              <w:t>药库系统需满足以下日常业务工作：药品采购、入库、财务验收、付款处理、出库、调价、盘点、月结、药品属性维护、用药规则维护、公告编辑推送、药品使用限制维护，相应的信息系统需求包括但不限于以下内容。</w:t>
            </w:r>
          </w:p>
        </w:tc>
      </w:tr>
      <w:tr w14:paraId="2111E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767" w:type="dxa"/>
            <w:vMerge w:val="restart"/>
            <w:vAlign w:val="center"/>
          </w:tcPr>
          <w:p w14:paraId="0C2F91B8">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color w:val="auto"/>
                <w:szCs w:val="21"/>
                <w:highlight w:val="none"/>
              </w:rPr>
            </w:pPr>
            <w:r>
              <w:rPr>
                <w:rFonts w:hint="eastAsia" w:ascii="宋体" w:hAnsi="宋体" w:cs="宋体"/>
                <w:color w:val="auto"/>
                <w:szCs w:val="21"/>
                <w:highlight w:val="none"/>
              </w:rPr>
              <w:t>药库</w:t>
            </w:r>
          </w:p>
        </w:tc>
        <w:tc>
          <w:tcPr>
            <w:tcW w:w="9191" w:type="dxa"/>
            <w:gridSpan w:val="2"/>
            <w:vAlign w:val="center"/>
          </w:tcPr>
          <w:p w14:paraId="5B6CA31D">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r>
              <w:rPr>
                <w:rFonts w:hint="eastAsia" w:ascii="宋体" w:hAnsi="宋体" w:cs="宋体"/>
                <w:color w:val="auto"/>
                <w:sz w:val="22"/>
                <w:szCs w:val="22"/>
                <w:highlight w:val="none"/>
              </w:rPr>
              <w:t>药品采购</w:t>
            </w:r>
          </w:p>
        </w:tc>
      </w:tr>
      <w:tr w14:paraId="62AA6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2" w:hRule="atLeast"/>
          <w:jc w:val="center"/>
        </w:trPr>
        <w:tc>
          <w:tcPr>
            <w:tcW w:w="767" w:type="dxa"/>
            <w:vMerge w:val="continue"/>
            <w:vAlign w:val="center"/>
          </w:tcPr>
          <w:p w14:paraId="7AAC91AC">
            <w:pPr>
              <w:keepNext w:val="0"/>
              <w:keepLines w:val="0"/>
              <w:pageBreakBefore w:val="0"/>
              <w:widowControl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Cs w:val="21"/>
                <w:highlight w:val="none"/>
              </w:rPr>
            </w:pPr>
          </w:p>
        </w:tc>
        <w:tc>
          <w:tcPr>
            <w:tcW w:w="1341" w:type="dxa"/>
            <w:vAlign w:val="center"/>
          </w:tcPr>
          <w:p w14:paraId="195508CF">
            <w:pPr>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r>
              <w:rPr>
                <w:rFonts w:hint="eastAsia" w:ascii="宋体" w:hAnsi="宋体" w:cs="宋体"/>
                <w:color w:val="auto"/>
                <w:sz w:val="22"/>
                <w:szCs w:val="22"/>
                <w:highlight w:val="none"/>
              </w:rPr>
              <w:t>药品采购</w:t>
            </w:r>
          </w:p>
        </w:tc>
        <w:tc>
          <w:tcPr>
            <w:tcW w:w="7850" w:type="dxa"/>
            <w:vAlign w:val="center"/>
          </w:tcPr>
          <w:p w14:paraId="68460CBC">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提供药品采购闭环管理流程：从采购计划编制、审批到采购订单生成、执行再到采购入库、财务验收、付款处理的药品采购全过程管理。</w:t>
            </w:r>
          </w:p>
          <w:p w14:paraId="7164A691">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提供手动或智能采购规则自动生成采购订单功能；智能规则包括且不限于参考药品当前库存数量、高低储标准、上月入出库情况、药房发药数量编制药品采购计划功能；</w:t>
            </w:r>
          </w:p>
          <w:p w14:paraId="7C4F85BA">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提供按药品类别、药品库位、药品ABC类条件筛选需要编制采购计划的药品。</w:t>
            </w:r>
          </w:p>
          <w:p w14:paraId="082BDA2C">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支持按照国家相关规定，可以与集采、统采等平台对接，提供采购订单在线上传到供应链平台功能。</w:t>
            </w:r>
          </w:p>
          <w:p w14:paraId="758EC548">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支持定向出库功能，采购入库后，直接将药品出库给指定库存，无需单独进行出库操作。</w:t>
            </w:r>
          </w:p>
          <w:p w14:paraId="2801A90C">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维护集采药品属性，维护集采药品执行周期、任务量，支持根据全院入库数量计算集采药品采购执行进度（采购执行进度=入库数量/任务量*100%），集采药品使用执行进度（使用执行进度=全院使用量/任务量*100%）。</w:t>
            </w:r>
          </w:p>
          <w:p w14:paraId="0A548F8B">
            <w:pPr>
              <w:keepNext w:val="0"/>
              <w:keepLines w:val="0"/>
              <w:pageBreakBefore w:val="0"/>
              <w:widowControl w:val="0"/>
              <w:numPr>
                <w:ilvl w:val="0"/>
                <w:numId w:val="16"/>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集采药品可根据任务量生成月度采购计划（如采购周期12个月，集采药品月度采购计划=任务量/12），当月首次生成采购订单的需求数量若小于集采月度采购计划数量，则按集采月度采购计划数量生成采购订单；若当月首次生成采购订单的需求数量大于集采月度采购计划数量，则按需求数量生成采购订单。</w:t>
            </w:r>
            <w:r>
              <w:rPr>
                <w:rFonts w:hint="eastAsia"/>
                <w:color w:val="auto"/>
                <w:highlight w:val="none"/>
              </w:rPr>
              <w:t>（再沟通确定是否 可以定制开发）</w:t>
            </w:r>
          </w:p>
        </w:tc>
      </w:tr>
      <w:tr w14:paraId="1EFA6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767" w:type="dxa"/>
            <w:vMerge w:val="continue"/>
            <w:vAlign w:val="center"/>
          </w:tcPr>
          <w:p w14:paraId="17B61E3C">
            <w:pPr>
              <w:keepNext w:val="0"/>
              <w:keepLines w:val="0"/>
              <w:pageBreakBefore w:val="0"/>
              <w:widowControl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Cs w:val="21"/>
                <w:highlight w:val="none"/>
              </w:rPr>
            </w:pPr>
          </w:p>
        </w:tc>
        <w:tc>
          <w:tcPr>
            <w:tcW w:w="9191" w:type="dxa"/>
            <w:gridSpan w:val="2"/>
            <w:vAlign w:val="center"/>
          </w:tcPr>
          <w:p w14:paraId="3294B816">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5.2</w:t>
            </w:r>
            <w:r>
              <w:rPr>
                <w:rFonts w:hint="eastAsia" w:ascii="宋体" w:hAnsi="宋体" w:cs="宋体"/>
                <w:color w:val="auto"/>
                <w:sz w:val="22"/>
                <w:szCs w:val="22"/>
                <w:highlight w:val="none"/>
              </w:rPr>
              <w:t>药品入库</w:t>
            </w:r>
          </w:p>
        </w:tc>
      </w:tr>
      <w:tr w14:paraId="76BFC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6" w:hRule="atLeast"/>
          <w:jc w:val="center"/>
        </w:trPr>
        <w:tc>
          <w:tcPr>
            <w:tcW w:w="767" w:type="dxa"/>
            <w:vMerge w:val="continue"/>
            <w:vAlign w:val="center"/>
          </w:tcPr>
          <w:p w14:paraId="0FAC7512">
            <w:pPr>
              <w:keepNext w:val="0"/>
              <w:keepLines w:val="0"/>
              <w:pageBreakBefore w:val="0"/>
              <w:widowControl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Cs w:val="21"/>
                <w:highlight w:val="none"/>
              </w:rPr>
            </w:pPr>
          </w:p>
        </w:tc>
        <w:tc>
          <w:tcPr>
            <w:tcW w:w="1341" w:type="dxa"/>
            <w:vAlign w:val="center"/>
          </w:tcPr>
          <w:p w14:paraId="6DF2A0C6">
            <w:pPr>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r>
              <w:rPr>
                <w:rFonts w:hint="eastAsia" w:ascii="宋体" w:hAnsi="宋体" w:cs="宋体"/>
                <w:color w:val="auto"/>
                <w:sz w:val="22"/>
                <w:szCs w:val="22"/>
                <w:highlight w:val="none"/>
              </w:rPr>
              <w:t>药品入库</w:t>
            </w:r>
          </w:p>
        </w:tc>
        <w:tc>
          <w:tcPr>
            <w:tcW w:w="7850" w:type="dxa"/>
            <w:vAlign w:val="center"/>
          </w:tcPr>
          <w:p w14:paraId="253A32BB">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基于货到票到（正常入库）、货到票未到（挂账入库）、票到货未到（不能入库，仅支持单据编制）三种购入方式对已采购的药品进行入库管理，并支持手工新增采购入库单、引入采购计划单自动生成采购入库单、引入采购订单自动生成采购入库单、引入智能链收货平台订单（此处智能链指本需求书27.1.18部分）按发票号自动生成采购入库单（包括中、西药库）等功能；</w:t>
            </w:r>
          </w:p>
          <w:p w14:paraId="3B23669A">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szCs w:val="21"/>
              </w:rPr>
              <w:t>支持多种入库方式。1）采购入库：药品采购入库，可以支持手工输入药品，也可以扫描配送单二维码自动加载数据入库。2）调拨入库：药库与药库之间调拨入库。3）建账入库：系统库存初始化入库。4）返库入库：退回给药库后的入库；5）其他入库：这些入库类型可以根据每个药库情况按需配置：1、纠错入库；2、返库入库：药房申请，方法出库到药房，药房拒绝入库。</w:t>
            </w:r>
          </w:p>
          <w:p w14:paraId="24B51BF5">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支持如赠送、自制、盘盈等除采购入库外的其它入库业务；</w:t>
            </w:r>
          </w:p>
          <w:p w14:paraId="3105C1D7">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支持根据库房盘盈数据自动生成盘盈入库单；</w:t>
            </w:r>
          </w:p>
          <w:p w14:paraId="506D5D59">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药品入库下的其它入库，支持同时按照多种单位进行入库操作；</w:t>
            </w:r>
          </w:p>
          <w:p w14:paraId="034777CE">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支持同厂家药品按批号、按效期分批次入库管理业务，并提供采购入库冲红功能，对于已经财务验收的入库单进行退回，以满足业务流程的双向管理；</w:t>
            </w:r>
          </w:p>
          <w:p w14:paraId="760FDA2C">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支持PDA端进行上述入库操作，扫描条码加载单据数据，通过扫描药品码进行入库实物核验，在PDA端完成采购入库操作。</w:t>
            </w:r>
          </w:p>
          <w:p w14:paraId="3E89A4A1">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当入库方式是“智能链收货平台订单入库”时，支持从智能链平台同时获取入库药品的追溯码，若首次入库时追溯码未获取完全，后续需定时从智能链发送请求获取追溯码。（现有功能，但未开发相关界面，无法提供截图；追溯码的需求仅针对西药库，下同，药学部提供智能链接口文档）</w:t>
            </w:r>
          </w:p>
          <w:p w14:paraId="746F82F5">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入库界面可显示追溯码获取状态，包括药品通用名、药品数量、追溯码数量，若追溯码数量小于药品数量，该条目显示为红色（定制化开发）</w:t>
            </w:r>
            <w:r>
              <w:rPr>
                <w:rFonts w:hint="eastAsia" w:ascii="宋体" w:hAnsi="宋体" w:cs="宋体"/>
                <w:bCs/>
                <w:color w:val="auto"/>
                <w:szCs w:val="21"/>
                <w:highlight w:val="none"/>
                <w:lang w:eastAsia="zh-CN"/>
              </w:rPr>
              <w:t>。</w:t>
            </w:r>
          </w:p>
          <w:p w14:paraId="529D93A5">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药品入库追溯码人工采集与核对，采集界面录入发票号后可显示出相应入库记录，点击该记录对应药品即可开始采集该药追溯码，采集界面支持同时采集超过50盒药品，采集时需要自动按照追溯码规则（核验规则为：至少为20位，只能为数字或者字母，不能全为英文字母，不能包含特殊字符、汉字、空格）进行核验，不符合规则的数据不可保存。保存完成后，自动与智能链平台获取的相应药品追溯码进行核对，并显示核对结果，结果包括：1、一致；2、不一致：是指人工采集的追溯码不在智能链获取的追溯码范围内，此结果要显示出具体的追溯码和药品名称。</w:t>
            </w:r>
          </w:p>
          <w:p w14:paraId="10DCD4DC">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入库阶段获取药品追溯码后系统自动执行上传医保平台（现有功能，但未开发相关界面，无法提供截图）</w:t>
            </w:r>
          </w:p>
          <w:p w14:paraId="3E4E41F4">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入库信息新增一列“近1年效期药品”，近1年效期药品是指药品有效期减去入库日期小于365天，若无近效期药品，显示为“无”，若有近效期药品，需要显示药品名称，且为红色字体（定制化开发），进行确认入库时，再次弹框“含有近效期药品，是否入库”，选择是，执行入库，选择否，不入库。</w:t>
            </w:r>
          </w:p>
          <w:p w14:paraId="1E70F721">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按发票号入库时若出现重复发票号，弹框提醒。</w:t>
            </w:r>
          </w:p>
          <w:p w14:paraId="2A315064">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入库界面增加“待验收”按钮，点击“待验收”，药品视为“待验收”状态，除待验收药品统计报表（见5.9.2）外，其余报表不统计该状态药品；在入库界面筛选条件增加“验收状态”，可筛选“待验收”药品。（定制化开发）</w:t>
            </w:r>
          </w:p>
        </w:tc>
      </w:tr>
      <w:tr w14:paraId="35633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767" w:type="dxa"/>
            <w:vMerge w:val="continue"/>
            <w:vAlign w:val="center"/>
          </w:tcPr>
          <w:p w14:paraId="73FE8D4D">
            <w:pPr>
              <w:keepNext w:val="0"/>
              <w:keepLines w:val="0"/>
              <w:pageBreakBefore w:val="0"/>
              <w:widowControl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Cs w:val="21"/>
                <w:highlight w:val="none"/>
              </w:rPr>
            </w:pPr>
          </w:p>
        </w:tc>
        <w:tc>
          <w:tcPr>
            <w:tcW w:w="9191" w:type="dxa"/>
            <w:gridSpan w:val="2"/>
            <w:vAlign w:val="center"/>
          </w:tcPr>
          <w:p w14:paraId="365D4427">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r>
              <w:rPr>
                <w:rFonts w:hint="eastAsia" w:ascii="宋体" w:hAnsi="宋体" w:cs="宋体"/>
                <w:color w:val="auto"/>
                <w:sz w:val="22"/>
                <w:szCs w:val="22"/>
                <w:highlight w:val="none"/>
              </w:rPr>
              <w:t>财务验收</w:t>
            </w:r>
          </w:p>
        </w:tc>
      </w:tr>
      <w:tr w14:paraId="230C6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jc w:val="center"/>
        </w:trPr>
        <w:tc>
          <w:tcPr>
            <w:tcW w:w="767" w:type="dxa"/>
            <w:vMerge w:val="continue"/>
            <w:vAlign w:val="center"/>
          </w:tcPr>
          <w:p w14:paraId="042FBB1E">
            <w:pPr>
              <w:keepNext w:val="0"/>
              <w:keepLines w:val="0"/>
              <w:pageBreakBefore w:val="0"/>
              <w:widowControl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Cs w:val="21"/>
                <w:highlight w:val="none"/>
              </w:rPr>
            </w:pPr>
          </w:p>
        </w:tc>
        <w:tc>
          <w:tcPr>
            <w:tcW w:w="1341" w:type="dxa"/>
            <w:vAlign w:val="center"/>
          </w:tcPr>
          <w:p w14:paraId="02D64942">
            <w:pPr>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2"/>
                <w:szCs w:val="22"/>
                <w:highlight w:val="none"/>
              </w:rPr>
            </w:pPr>
            <w:r>
              <w:rPr>
                <w:rFonts w:hint="eastAsia" w:ascii="宋体" w:hAnsi="宋体" w:cs="宋体"/>
                <w:color w:val="auto"/>
                <w:sz w:val="22"/>
                <w:szCs w:val="22"/>
                <w:highlight w:val="none"/>
              </w:rPr>
              <w:t>财务验收</w:t>
            </w:r>
          </w:p>
        </w:tc>
        <w:tc>
          <w:tcPr>
            <w:tcW w:w="7850" w:type="dxa"/>
            <w:vAlign w:val="center"/>
          </w:tcPr>
          <w:p w14:paraId="0A7E7901">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支持选择单张入库单据或同一家供货单位集中验收，并支持未财务验收药品出库时自动产生平账记录，以冲抵药品实际购入进货价格和出库进货价格差；</w:t>
            </w:r>
          </w:p>
          <w:p w14:paraId="1AC20D74">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持PDA端扫描随货联或者发票号，对药品的外观、包装、数量进行质量验收操作。</w:t>
            </w:r>
          </w:p>
        </w:tc>
      </w:tr>
      <w:tr w14:paraId="4B50F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767" w:type="dxa"/>
            <w:vMerge w:val="continue"/>
            <w:vAlign w:val="center"/>
          </w:tcPr>
          <w:p w14:paraId="1498226B">
            <w:pPr>
              <w:keepNext w:val="0"/>
              <w:keepLines w:val="0"/>
              <w:pageBreakBefore w:val="0"/>
              <w:widowControl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Cs w:val="21"/>
                <w:highlight w:val="none"/>
              </w:rPr>
            </w:pPr>
          </w:p>
        </w:tc>
        <w:tc>
          <w:tcPr>
            <w:tcW w:w="9191" w:type="dxa"/>
            <w:gridSpan w:val="2"/>
            <w:vAlign w:val="center"/>
          </w:tcPr>
          <w:p w14:paraId="1A54718B">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r>
              <w:rPr>
                <w:rFonts w:hint="eastAsia" w:ascii="宋体" w:hAnsi="宋体" w:cs="宋体"/>
                <w:color w:val="auto"/>
                <w:sz w:val="22"/>
                <w:szCs w:val="22"/>
                <w:highlight w:val="none"/>
              </w:rPr>
              <w:t>药品养护</w:t>
            </w:r>
          </w:p>
        </w:tc>
      </w:tr>
      <w:tr w14:paraId="167F3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767" w:type="dxa"/>
            <w:vMerge w:val="continue"/>
            <w:vAlign w:val="center"/>
          </w:tcPr>
          <w:p w14:paraId="01FD74E1">
            <w:pPr>
              <w:keepNext w:val="0"/>
              <w:keepLines w:val="0"/>
              <w:pageBreakBefore w:val="0"/>
              <w:widowControl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Cs w:val="21"/>
                <w:highlight w:val="none"/>
              </w:rPr>
            </w:pPr>
          </w:p>
        </w:tc>
        <w:tc>
          <w:tcPr>
            <w:tcW w:w="1341" w:type="dxa"/>
            <w:vAlign w:val="center"/>
          </w:tcPr>
          <w:p w14:paraId="165A667A">
            <w:pPr>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r>
              <w:rPr>
                <w:rFonts w:hint="eastAsia" w:ascii="宋体" w:hAnsi="宋体" w:cs="宋体"/>
                <w:color w:val="auto"/>
                <w:sz w:val="22"/>
                <w:szCs w:val="22"/>
                <w:highlight w:val="none"/>
              </w:rPr>
              <w:t>药品养护</w:t>
            </w:r>
          </w:p>
        </w:tc>
        <w:tc>
          <w:tcPr>
            <w:tcW w:w="7850" w:type="dxa"/>
            <w:vAlign w:val="center"/>
          </w:tcPr>
          <w:p w14:paraId="15B177C5">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r>
              <w:rPr>
                <w:rFonts w:hint="eastAsia" w:ascii="宋体" w:hAnsi="宋体" w:cs="宋体"/>
                <w:color w:val="auto"/>
                <w:highlight w:val="none"/>
              </w:rPr>
              <w:t>提供</w:t>
            </w:r>
            <w:r>
              <w:rPr>
                <w:rFonts w:hint="eastAsia" w:ascii="宋体" w:hAnsi="宋体" w:cs="宋体"/>
                <w:bCs/>
                <w:color w:val="auto"/>
                <w:szCs w:val="21"/>
                <w:highlight w:val="none"/>
              </w:rPr>
              <w:t>药品</w:t>
            </w:r>
            <w:r>
              <w:rPr>
                <w:rFonts w:hint="eastAsia" w:ascii="宋体" w:hAnsi="宋体" w:cs="宋体"/>
                <w:color w:val="auto"/>
                <w:highlight w:val="none"/>
              </w:rPr>
              <w:t>养护功能，并支持对药品养护定期管理。</w:t>
            </w:r>
          </w:p>
        </w:tc>
      </w:tr>
      <w:tr w14:paraId="0A88E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767" w:type="dxa"/>
            <w:vMerge w:val="continue"/>
            <w:vAlign w:val="center"/>
          </w:tcPr>
          <w:p w14:paraId="1A1FBC16">
            <w:pPr>
              <w:keepNext w:val="0"/>
              <w:keepLines w:val="0"/>
              <w:pageBreakBefore w:val="0"/>
              <w:widowControl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Cs w:val="21"/>
                <w:highlight w:val="none"/>
              </w:rPr>
            </w:pPr>
          </w:p>
        </w:tc>
        <w:tc>
          <w:tcPr>
            <w:tcW w:w="9191" w:type="dxa"/>
            <w:gridSpan w:val="2"/>
            <w:vAlign w:val="center"/>
          </w:tcPr>
          <w:p w14:paraId="3C78C9ED">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r>
              <w:rPr>
                <w:rFonts w:hint="eastAsia" w:ascii="宋体" w:hAnsi="宋体" w:cs="宋体"/>
                <w:color w:val="auto"/>
                <w:sz w:val="22"/>
                <w:szCs w:val="22"/>
                <w:highlight w:val="none"/>
              </w:rPr>
              <w:t>付款处理</w:t>
            </w:r>
          </w:p>
        </w:tc>
      </w:tr>
      <w:tr w14:paraId="52A65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6" w:hRule="atLeast"/>
          <w:jc w:val="center"/>
        </w:trPr>
        <w:tc>
          <w:tcPr>
            <w:tcW w:w="767" w:type="dxa"/>
            <w:vMerge w:val="continue"/>
            <w:vAlign w:val="center"/>
          </w:tcPr>
          <w:p w14:paraId="502589AE">
            <w:pPr>
              <w:keepNext w:val="0"/>
              <w:keepLines w:val="0"/>
              <w:pageBreakBefore w:val="0"/>
              <w:widowControl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Cs w:val="21"/>
                <w:highlight w:val="none"/>
              </w:rPr>
            </w:pPr>
          </w:p>
        </w:tc>
        <w:tc>
          <w:tcPr>
            <w:tcW w:w="1341" w:type="dxa"/>
            <w:vAlign w:val="center"/>
          </w:tcPr>
          <w:p w14:paraId="3A693BEC">
            <w:pPr>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r>
              <w:rPr>
                <w:rFonts w:hint="eastAsia" w:ascii="宋体" w:hAnsi="宋体" w:cs="宋体"/>
                <w:color w:val="auto"/>
                <w:sz w:val="22"/>
                <w:szCs w:val="22"/>
                <w:highlight w:val="none"/>
              </w:rPr>
              <w:t>付款处理</w:t>
            </w:r>
          </w:p>
        </w:tc>
        <w:tc>
          <w:tcPr>
            <w:tcW w:w="7850" w:type="dxa"/>
            <w:vAlign w:val="center"/>
          </w:tcPr>
          <w:p w14:paraId="1132E826">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支持按供货商付款，同一供货商的所有的单据集中付款；</w:t>
            </w:r>
          </w:p>
          <w:p w14:paraId="4CDFFBB9">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szCs w:val="21"/>
              </w:rPr>
            </w:pPr>
            <w:r>
              <w:rPr>
                <w:rFonts w:hint="eastAsia" w:ascii="宋体" w:hAnsi="宋体" w:cs="宋体"/>
                <w:bCs/>
                <w:szCs w:val="21"/>
              </w:rPr>
              <w:t>单据上账核对：部分医院采购入库和上账是分开的角色，入库完成之后上账是会计在做的（根据人员角色权限进行设置）</w:t>
            </w:r>
          </w:p>
          <w:p w14:paraId="341B1EE4">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szCs w:val="21"/>
              </w:rPr>
              <w:t>生成付款通知单：1）提供按照时间和供应商的维度查询期间内的所有采购入库和采购退货的单据并生成付款通知单；2）提供付款单详细对账凭单打印用于和投标人的对账；3）提供发票录入。</w:t>
            </w:r>
          </w:p>
          <w:p w14:paraId="187FD1C7">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支持按采购入库单据付款，同一张采购单上的药品集中付款；</w:t>
            </w:r>
          </w:p>
          <w:p w14:paraId="70751182">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支持按发票付款，同一张单据上同一发票上的药品集中付款。</w:t>
            </w:r>
          </w:p>
          <w:p w14:paraId="7DA09341">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color w:val="auto"/>
                <w:sz w:val="22"/>
                <w:szCs w:val="22"/>
                <w:highlight w:val="none"/>
              </w:rPr>
              <w:t>支持全部付款、输入付款、部分金额分摊三种付款方式。</w:t>
            </w:r>
          </w:p>
          <w:p w14:paraId="29FB0C25">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szCs w:val="21"/>
              </w:rPr>
              <w:t>付款状态查询：提供已入库未付款、已入库已付款等多种查询。</w:t>
            </w:r>
          </w:p>
          <w:p w14:paraId="51F70B63">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“按发票付款”增加筛选条件“按集采属性付款”，药品集采属性支持通过药品属性自主维护，选择“集采”，只统计集采药品的发票，选择“非集采”，只统计非集采药品的发票。</w:t>
            </w:r>
          </w:p>
        </w:tc>
      </w:tr>
      <w:tr w14:paraId="14F38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6" w:hRule="atLeast"/>
          <w:jc w:val="center"/>
        </w:trPr>
        <w:tc>
          <w:tcPr>
            <w:tcW w:w="767" w:type="dxa"/>
            <w:vMerge w:val="continue"/>
            <w:vAlign w:val="center"/>
          </w:tcPr>
          <w:p w14:paraId="79E1F936">
            <w:pPr>
              <w:keepNext w:val="0"/>
              <w:keepLines w:val="0"/>
              <w:pageBreakBefore w:val="0"/>
              <w:widowControl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Cs w:val="21"/>
                <w:highlight w:val="none"/>
              </w:rPr>
            </w:pPr>
          </w:p>
        </w:tc>
        <w:tc>
          <w:tcPr>
            <w:tcW w:w="1341" w:type="dxa"/>
            <w:vAlign w:val="center"/>
          </w:tcPr>
          <w:p w14:paraId="0C76EDDD">
            <w:pPr>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jc w:val="left"/>
              <w:textAlignment w:val="auto"/>
              <w:rPr>
                <w:rFonts w:hint="eastAsia" w:ascii="宋体" w:hAnsi="宋体" w:cs="宋体"/>
                <w:color w:val="auto"/>
                <w:kern w:val="0"/>
                <w:szCs w:val="21"/>
                <w:highlight w:val="none"/>
              </w:rPr>
            </w:pPr>
            <w:r>
              <w:rPr>
                <w:rFonts w:ascii="Segoe UI" w:hAnsi="Segoe UI" w:eastAsia="Segoe UI" w:cs="Segoe UI"/>
                <w:i w:val="0"/>
                <w:iCs w:val="0"/>
                <w:caps w:val="0"/>
                <w:color w:val="800080"/>
                <w:spacing w:val="0"/>
                <w:sz w:val="21"/>
                <w:szCs w:val="21"/>
                <w:shd w:val="clear" w:fill="FFFFFF"/>
              </w:rPr>
              <w:t>对接药品和医用耗材招采管理子系统结算模块</w:t>
            </w:r>
          </w:p>
        </w:tc>
        <w:tc>
          <w:tcPr>
            <w:tcW w:w="7850" w:type="dxa"/>
            <w:vAlign w:val="center"/>
          </w:tcPr>
          <w:p w14:paraId="2C106914">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hint="eastAsia" w:ascii="宋体" w:hAnsi="宋体" w:cs="宋体"/>
                <w:bCs/>
                <w:color w:val="auto"/>
                <w:szCs w:val="21"/>
                <w:highlight w:val="none"/>
              </w:rPr>
            </w:pPr>
            <w:r>
              <w:rPr>
                <w:rFonts w:hint="eastAsia" w:ascii="宋体" w:hAnsi="宋体" w:eastAsia="宋体" w:cs="宋体"/>
                <w:i w:val="0"/>
                <w:iCs w:val="0"/>
                <w:caps w:val="0"/>
                <w:color w:val="auto"/>
                <w:spacing w:val="0"/>
                <w:sz w:val="22"/>
                <w:szCs w:val="22"/>
                <w:highlight w:val="none"/>
                <w:shd w:val="clear" w:fill="auto"/>
              </w:rPr>
              <w:t>支持自动更新和汇总招采子系统结算模块生成的预结算单，并默认为“未支付”状态。</w:t>
            </w:r>
          </w:p>
          <w:p w14:paraId="0999C318">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hint="eastAsia" w:ascii="宋体" w:hAnsi="宋体" w:cs="宋体"/>
                <w:bCs/>
                <w:color w:val="auto"/>
                <w:szCs w:val="21"/>
                <w:highlight w:val="none"/>
              </w:rPr>
            </w:pPr>
            <w:r>
              <w:rPr>
                <w:rFonts w:hint="eastAsia" w:ascii="宋体" w:hAnsi="宋体" w:eastAsia="宋体" w:cs="宋体"/>
                <w:i w:val="0"/>
                <w:iCs w:val="0"/>
                <w:caps w:val="0"/>
                <w:color w:val="auto"/>
                <w:spacing w:val="0"/>
                <w:sz w:val="22"/>
                <w:szCs w:val="22"/>
                <w:highlight w:val="none"/>
                <w:shd w:val="clear" w:fill="auto"/>
              </w:rPr>
              <w:t>系统自动根据发票号关联财务已审核的发票，逐项比对药品名称、规格、单价、数量、总金额、配送企业，不一致者标记为“支付异常”。</w:t>
            </w:r>
          </w:p>
          <w:p w14:paraId="5482EAD5">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hint="eastAsia" w:ascii="宋体" w:hAnsi="宋体" w:cs="宋体"/>
                <w:bCs/>
                <w:color w:val="auto"/>
                <w:szCs w:val="21"/>
                <w:highlight w:val="none"/>
              </w:rPr>
            </w:pPr>
            <w:r>
              <w:rPr>
                <w:rFonts w:hint="eastAsia" w:ascii="宋体" w:hAnsi="宋体" w:eastAsia="宋体" w:cs="宋体"/>
                <w:i w:val="0"/>
                <w:iCs w:val="0"/>
                <w:caps w:val="0"/>
                <w:color w:val="auto"/>
                <w:spacing w:val="0"/>
                <w:sz w:val="22"/>
                <w:szCs w:val="22"/>
                <w:highlight w:val="none"/>
                <w:shd w:val="clear" w:fill="auto"/>
              </w:rPr>
              <w:t>支持勾选支付单（提供全选框），点击“确认”按钮，相应支付单标记为“已支付”，并向招采子系统返回确认支付结果。</w:t>
            </w:r>
          </w:p>
          <w:p w14:paraId="23758A6C">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hint="eastAsia" w:ascii="宋体" w:hAnsi="宋体" w:cs="宋体"/>
                <w:bCs/>
                <w:color w:val="auto"/>
                <w:szCs w:val="21"/>
                <w:highlight w:val="none"/>
              </w:rPr>
            </w:pPr>
            <w:r>
              <w:rPr>
                <w:rFonts w:hint="eastAsia" w:ascii="宋体" w:hAnsi="宋体" w:eastAsia="宋体" w:cs="宋体"/>
                <w:i w:val="0"/>
                <w:iCs w:val="0"/>
                <w:caps w:val="0"/>
                <w:color w:val="auto"/>
                <w:spacing w:val="0"/>
                <w:sz w:val="22"/>
                <w:szCs w:val="22"/>
                <w:highlight w:val="none"/>
                <w:shd w:val="clear" w:fill="auto"/>
              </w:rPr>
              <w:t>支持按配送企业、支付状态筛选和导出。</w:t>
            </w:r>
          </w:p>
        </w:tc>
      </w:tr>
      <w:tr w14:paraId="2F64A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767" w:type="dxa"/>
            <w:vMerge w:val="continue"/>
            <w:vAlign w:val="center"/>
          </w:tcPr>
          <w:p w14:paraId="303C1240">
            <w:pPr>
              <w:keepNext w:val="0"/>
              <w:keepLines w:val="0"/>
              <w:pageBreakBefore w:val="0"/>
              <w:widowControl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Cs w:val="21"/>
                <w:highlight w:val="none"/>
              </w:rPr>
            </w:pPr>
          </w:p>
        </w:tc>
        <w:tc>
          <w:tcPr>
            <w:tcW w:w="9191" w:type="dxa"/>
            <w:gridSpan w:val="2"/>
            <w:vAlign w:val="center"/>
          </w:tcPr>
          <w:p w14:paraId="16B8CA23">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r>
              <w:rPr>
                <w:rFonts w:hint="eastAsia" w:ascii="宋体" w:hAnsi="宋体" w:cs="宋体"/>
                <w:color w:val="auto"/>
                <w:sz w:val="22"/>
                <w:szCs w:val="22"/>
                <w:highlight w:val="none"/>
              </w:rPr>
              <w:t>药品出库</w:t>
            </w:r>
          </w:p>
        </w:tc>
      </w:tr>
      <w:tr w14:paraId="4B3E0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1" w:hRule="atLeast"/>
          <w:jc w:val="center"/>
        </w:trPr>
        <w:tc>
          <w:tcPr>
            <w:tcW w:w="767" w:type="dxa"/>
            <w:vMerge w:val="continue"/>
            <w:vAlign w:val="center"/>
          </w:tcPr>
          <w:p w14:paraId="0D83E55B">
            <w:pPr>
              <w:keepNext w:val="0"/>
              <w:keepLines w:val="0"/>
              <w:pageBreakBefore w:val="0"/>
              <w:widowControl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Cs w:val="21"/>
                <w:highlight w:val="none"/>
              </w:rPr>
            </w:pPr>
          </w:p>
        </w:tc>
        <w:tc>
          <w:tcPr>
            <w:tcW w:w="1341" w:type="dxa"/>
            <w:vAlign w:val="center"/>
          </w:tcPr>
          <w:p w14:paraId="293AE450">
            <w:pPr>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r>
              <w:rPr>
                <w:rFonts w:hint="eastAsia" w:ascii="宋体" w:hAnsi="宋体" w:cs="宋体"/>
                <w:color w:val="auto"/>
                <w:sz w:val="22"/>
                <w:szCs w:val="22"/>
                <w:highlight w:val="none"/>
              </w:rPr>
              <w:t>药品出库</w:t>
            </w:r>
          </w:p>
        </w:tc>
        <w:tc>
          <w:tcPr>
            <w:tcW w:w="7850" w:type="dxa"/>
            <w:vAlign w:val="center"/>
          </w:tcPr>
          <w:p w14:paraId="2B3D4F4C">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支持对药房进行出库处理，并基于出库类型不同，除通过引入入库单自动生成库房出库信息、手工选择批次、库存性质进行出库等正常出库方式之外，</w:t>
            </w:r>
          </w:p>
          <w:p w14:paraId="127AD35F">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highlight w:val="none"/>
              </w:rPr>
              <w:t>支持多种出库方式。1）发放出库：根据其他药房机构的申请单出库。2）库存调拨：有多种类型支持药库与药库、药房与药房之间的调拨关系。3）采购退货：药品退回给供应商。4）其他出库：这些出库类型可以根据每个药库情况按需配置：1、纠错出库；2、报损出库。</w:t>
            </w:r>
          </w:p>
          <w:p w14:paraId="17BFBC57">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支持药品报损、科室领用、盘亏出库等其他出库业务，并对同一厂家不同批次的药品按效期/库存数量出库，按效期分为早先出、迟先出，按库存数量分为大先出、小先出等业务流程操作。</w:t>
            </w:r>
          </w:p>
          <w:p w14:paraId="50DEEA06">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提供跨机构跨院区库房出库功能</w:t>
            </w:r>
            <w:r>
              <w:rPr>
                <w:rFonts w:hint="eastAsia" w:ascii="宋体" w:hAnsi="宋体" w:cs="宋体"/>
                <w:bCs/>
                <w:color w:val="auto"/>
                <w:szCs w:val="21"/>
                <w:highlight w:val="none"/>
                <w:lang w:eastAsia="zh-CN"/>
              </w:rPr>
              <w:t>。</w:t>
            </w:r>
          </w:p>
          <w:p w14:paraId="60015E7A">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药品出库追溯码采集，支持同时采集超过50盒药品，采集时需要自动按照追溯码规则（核验规则为：至少为20位，只能为数字或者字母，不能全为英文字母，不能包含特殊字符、汉字、空格）进行核验，不符合规则的数据不可保存。保存完成后按照设定时间段内自动上传医保平台。</w:t>
            </w:r>
          </w:p>
        </w:tc>
      </w:tr>
      <w:tr w14:paraId="2AE3C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767" w:type="dxa"/>
            <w:vMerge w:val="continue"/>
            <w:vAlign w:val="center"/>
          </w:tcPr>
          <w:p w14:paraId="2A354491">
            <w:pPr>
              <w:keepNext w:val="0"/>
              <w:keepLines w:val="0"/>
              <w:pageBreakBefore w:val="0"/>
              <w:widowControl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Cs w:val="21"/>
                <w:highlight w:val="none"/>
              </w:rPr>
            </w:pPr>
          </w:p>
        </w:tc>
        <w:tc>
          <w:tcPr>
            <w:tcW w:w="9191" w:type="dxa"/>
            <w:gridSpan w:val="2"/>
            <w:vAlign w:val="center"/>
          </w:tcPr>
          <w:p w14:paraId="043C10D6">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r>
              <w:rPr>
                <w:rFonts w:hint="eastAsia" w:ascii="宋体" w:hAnsi="宋体" w:cs="宋体"/>
                <w:color w:val="auto"/>
                <w:sz w:val="22"/>
                <w:szCs w:val="22"/>
                <w:highlight w:val="none"/>
              </w:rPr>
              <w:t>调价管理</w:t>
            </w:r>
          </w:p>
        </w:tc>
      </w:tr>
      <w:tr w14:paraId="56646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5" w:hRule="atLeast"/>
          <w:jc w:val="center"/>
        </w:trPr>
        <w:tc>
          <w:tcPr>
            <w:tcW w:w="767" w:type="dxa"/>
            <w:vMerge w:val="continue"/>
            <w:vAlign w:val="center"/>
          </w:tcPr>
          <w:p w14:paraId="2334C5FB">
            <w:pPr>
              <w:keepNext w:val="0"/>
              <w:keepLines w:val="0"/>
              <w:pageBreakBefore w:val="0"/>
              <w:widowControl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Cs w:val="21"/>
                <w:highlight w:val="none"/>
              </w:rPr>
            </w:pPr>
          </w:p>
        </w:tc>
        <w:tc>
          <w:tcPr>
            <w:tcW w:w="1341" w:type="dxa"/>
            <w:vAlign w:val="center"/>
          </w:tcPr>
          <w:p w14:paraId="5914806D">
            <w:pPr>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r>
              <w:rPr>
                <w:rFonts w:hint="eastAsia" w:ascii="宋体" w:hAnsi="宋体" w:cs="宋体"/>
                <w:color w:val="auto"/>
                <w:sz w:val="22"/>
                <w:szCs w:val="22"/>
                <w:highlight w:val="none"/>
              </w:rPr>
              <w:t>调价管理</w:t>
            </w:r>
          </w:p>
        </w:tc>
        <w:tc>
          <w:tcPr>
            <w:tcW w:w="7850" w:type="dxa"/>
            <w:vAlign w:val="center"/>
          </w:tcPr>
          <w:p w14:paraId="6D34531C">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szCs w:val="21"/>
              </w:rPr>
              <w:t>提供提交批文、调价时间、药品信息价格录入进行定时调价或即时调价。</w:t>
            </w:r>
          </w:p>
          <w:p w14:paraId="6B1F3FC1">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支持两种调价方式：零售价调价、进货价调价。</w:t>
            </w:r>
          </w:p>
          <w:p w14:paraId="36D45856">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支持通过即时与定时两种调节方式对药品价格进行更改。</w:t>
            </w:r>
          </w:p>
          <w:p w14:paraId="6C1DBB87">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ascii="Segoe UI" w:hAnsi="Segoe UI" w:eastAsia="Segoe UI" w:cs="Segoe UI"/>
                <w:i w:val="0"/>
                <w:iCs w:val="0"/>
                <w:caps w:val="0"/>
                <w:color w:val="800080"/>
                <w:spacing w:val="0"/>
                <w:sz w:val="21"/>
                <w:szCs w:val="21"/>
                <w:shd w:val="clear" w:fill="FFFFFF"/>
              </w:rPr>
              <w:t>调价时，调价库存自动剔除已收费未配方的药品。</w:t>
            </w:r>
          </w:p>
          <w:p w14:paraId="5FFB775F">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支持对单一出入口进行调价，例如仅对药库或仅对药房或病区三级药房进行药品调价，亦可支持对全部出入口调价，同时调价管理支持国家调价和企业调价两种类型，提供调价明细报表和已收未配调价报表。</w:t>
            </w:r>
          </w:p>
          <w:p w14:paraId="1972B34C">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支持同步调价，如进销零差价的药品，支持调整零售价时，同步调整进价。</w:t>
            </w:r>
          </w:p>
        </w:tc>
      </w:tr>
      <w:tr w14:paraId="0A969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767" w:type="dxa"/>
            <w:vMerge w:val="continue"/>
            <w:vAlign w:val="center"/>
          </w:tcPr>
          <w:p w14:paraId="34CDF2F0">
            <w:pPr>
              <w:keepNext w:val="0"/>
              <w:keepLines w:val="0"/>
              <w:pageBreakBefore w:val="0"/>
              <w:widowControl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Cs w:val="21"/>
                <w:highlight w:val="none"/>
              </w:rPr>
            </w:pPr>
          </w:p>
        </w:tc>
        <w:tc>
          <w:tcPr>
            <w:tcW w:w="9191" w:type="dxa"/>
            <w:gridSpan w:val="2"/>
            <w:vAlign w:val="center"/>
          </w:tcPr>
          <w:p w14:paraId="7052EE5A">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r>
              <w:rPr>
                <w:rFonts w:hint="eastAsia" w:ascii="宋体" w:hAnsi="宋体" w:cs="宋体"/>
                <w:color w:val="auto"/>
                <w:sz w:val="22"/>
                <w:szCs w:val="22"/>
                <w:highlight w:val="none"/>
              </w:rPr>
              <w:t>药品盘点</w:t>
            </w:r>
          </w:p>
        </w:tc>
      </w:tr>
      <w:tr w14:paraId="5B582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7" w:type="dxa"/>
            <w:vMerge w:val="continue"/>
            <w:vAlign w:val="center"/>
          </w:tcPr>
          <w:p w14:paraId="3F88772A">
            <w:pPr>
              <w:keepNext w:val="0"/>
              <w:keepLines w:val="0"/>
              <w:pageBreakBefore w:val="0"/>
              <w:widowControl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Cs w:val="21"/>
                <w:highlight w:val="none"/>
              </w:rPr>
            </w:pPr>
          </w:p>
        </w:tc>
        <w:tc>
          <w:tcPr>
            <w:tcW w:w="1341" w:type="dxa"/>
            <w:vAlign w:val="center"/>
          </w:tcPr>
          <w:p w14:paraId="4B142DD0">
            <w:pPr>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r>
              <w:rPr>
                <w:rFonts w:hint="eastAsia" w:ascii="宋体" w:hAnsi="宋体" w:cs="宋体"/>
                <w:color w:val="auto"/>
                <w:sz w:val="22"/>
                <w:szCs w:val="22"/>
                <w:highlight w:val="none"/>
              </w:rPr>
              <w:t>药品盘点</w:t>
            </w:r>
          </w:p>
        </w:tc>
        <w:tc>
          <w:tcPr>
            <w:tcW w:w="7850" w:type="dxa"/>
            <w:vAlign w:val="center"/>
          </w:tcPr>
          <w:p w14:paraId="4A2FC001">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支持分类、分库位、分批次、分包装进行盘点；</w:t>
            </w:r>
          </w:p>
          <w:p w14:paraId="3E7DAAFF">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支持按最小包装进行盘点；</w:t>
            </w:r>
          </w:p>
          <w:p w14:paraId="37FBC70C">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支持当前库房无库存药品盘点；</w:t>
            </w:r>
          </w:p>
          <w:p w14:paraId="64C688E5">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支持单人或多人盘点；</w:t>
            </w:r>
          </w:p>
          <w:p w14:paraId="3B89F474">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支持抽样盘点；</w:t>
            </w:r>
          </w:p>
          <w:p w14:paraId="76173902">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支持盘点录入时实盘库存直接复制账面库存。</w:t>
            </w:r>
          </w:p>
          <w:p w14:paraId="37EE0141">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支持自动产生盘盈入库单、盘亏出库单</w:t>
            </w:r>
            <w:r>
              <w:rPr>
                <w:rFonts w:hint="eastAsia" w:ascii="宋体" w:hAnsi="宋体" w:cs="宋体"/>
                <w:bCs/>
                <w:color w:val="auto"/>
                <w:szCs w:val="21"/>
                <w:highlight w:val="none"/>
                <w:lang w:eastAsia="zh-CN"/>
              </w:rPr>
              <w:t>，</w:t>
            </w:r>
            <w:r>
              <w:rPr>
                <w:rFonts w:hint="eastAsia" w:ascii="宋体" w:hAnsi="宋体" w:cs="宋体"/>
                <w:bCs/>
                <w:szCs w:val="21"/>
                <w:highlight w:val="none"/>
              </w:rPr>
              <w:t>支持通过生成盘点单，录入实物库存后提交生成盘点盈亏统计。</w:t>
            </w:r>
            <w:r>
              <w:rPr>
                <w:rFonts w:hint="eastAsia" w:ascii="宋体" w:hAnsi="宋体" w:cs="宋体"/>
                <w:bCs/>
                <w:szCs w:val="21"/>
                <w:highlight w:val="none"/>
                <w:lang w:val="en-US" w:eastAsia="zh-CN"/>
              </w:rPr>
              <w:t>提交后，点击“调整库存”按钮，可完成库存调整。“调整库存”功能支持个性化授权管理，授权的账户可操作调整库存，未授权的账户不允许调整库存。</w:t>
            </w:r>
          </w:p>
          <w:p w14:paraId="4B482734">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支持盘点过程中进行发退药，并在最终的汇总单上体现出发退药的数量，通过计算盘点过程中发退药数量之和，利用盘前数量和发退药数量相加，再和实盘数量进行比较后计算出盘盈盘亏数值。</w:t>
            </w:r>
          </w:p>
          <w:p w14:paraId="0BECF97C">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支持PDA端进行盘点录入，多人或单人在PDA端同时盘点录入。</w:t>
            </w:r>
          </w:p>
        </w:tc>
      </w:tr>
      <w:tr w14:paraId="70CA9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767" w:type="dxa"/>
            <w:vMerge w:val="continue"/>
            <w:vAlign w:val="center"/>
          </w:tcPr>
          <w:p w14:paraId="1F639EB6">
            <w:pPr>
              <w:keepNext w:val="0"/>
              <w:keepLines w:val="0"/>
              <w:pageBreakBefore w:val="0"/>
              <w:widowControl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Cs w:val="21"/>
                <w:highlight w:val="none"/>
              </w:rPr>
            </w:pPr>
          </w:p>
        </w:tc>
        <w:tc>
          <w:tcPr>
            <w:tcW w:w="9191" w:type="dxa"/>
            <w:gridSpan w:val="2"/>
            <w:vAlign w:val="center"/>
          </w:tcPr>
          <w:p w14:paraId="285B99FE">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r>
              <w:rPr>
                <w:rFonts w:hint="eastAsia" w:ascii="宋体" w:hAnsi="宋体" w:cs="宋体"/>
                <w:color w:val="auto"/>
                <w:sz w:val="22"/>
                <w:szCs w:val="22"/>
                <w:highlight w:val="none"/>
              </w:rPr>
              <w:t>库房管理查询</w:t>
            </w:r>
          </w:p>
        </w:tc>
      </w:tr>
      <w:tr w14:paraId="2D20C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jc w:val="center"/>
        </w:trPr>
        <w:tc>
          <w:tcPr>
            <w:tcW w:w="767" w:type="dxa"/>
            <w:vMerge w:val="continue"/>
            <w:vAlign w:val="center"/>
          </w:tcPr>
          <w:p w14:paraId="09DC2617">
            <w:pPr>
              <w:keepNext w:val="0"/>
              <w:keepLines w:val="0"/>
              <w:pageBreakBefore w:val="0"/>
              <w:widowControl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Cs w:val="21"/>
                <w:highlight w:val="none"/>
              </w:rPr>
            </w:pPr>
          </w:p>
        </w:tc>
        <w:tc>
          <w:tcPr>
            <w:tcW w:w="1341" w:type="dxa"/>
            <w:vAlign w:val="center"/>
          </w:tcPr>
          <w:p w14:paraId="7644674B">
            <w:pPr>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库房月结</w:t>
            </w:r>
          </w:p>
        </w:tc>
        <w:tc>
          <w:tcPr>
            <w:tcW w:w="7850" w:type="dxa"/>
            <w:vAlign w:val="center"/>
          </w:tcPr>
          <w:p w14:paraId="31B778C7">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支持自定义月结日统计，对初次月结日未初始建账日期，以后每月的月结起始时间就是上次月结的月结终止时间。</w:t>
            </w:r>
          </w:p>
          <w:p w14:paraId="767B0E81">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支持月结前自动判断库房业务是否完成功能，如调价单、入库单、出库单是否确认，也支持取消月结，取消月结必须从最后一个月结月份逐月取消，不能跳月取消月结。</w:t>
            </w:r>
          </w:p>
        </w:tc>
      </w:tr>
      <w:tr w14:paraId="2E7F6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1" w:hRule="atLeast"/>
          <w:jc w:val="center"/>
        </w:trPr>
        <w:tc>
          <w:tcPr>
            <w:tcW w:w="767" w:type="dxa"/>
            <w:vMerge w:val="continue"/>
            <w:vAlign w:val="center"/>
          </w:tcPr>
          <w:p w14:paraId="6A106905">
            <w:pPr>
              <w:keepNext w:val="0"/>
              <w:keepLines w:val="0"/>
              <w:pageBreakBefore w:val="0"/>
              <w:widowControl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Cs w:val="21"/>
                <w:highlight w:val="none"/>
              </w:rPr>
            </w:pPr>
          </w:p>
        </w:tc>
        <w:tc>
          <w:tcPr>
            <w:tcW w:w="1341" w:type="dxa"/>
            <w:vAlign w:val="center"/>
          </w:tcPr>
          <w:p w14:paraId="7B5F18DC">
            <w:pPr>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库房查询</w:t>
            </w:r>
          </w:p>
        </w:tc>
        <w:tc>
          <w:tcPr>
            <w:tcW w:w="7850" w:type="dxa"/>
            <w:vAlign w:val="center"/>
          </w:tcPr>
          <w:p w14:paraId="72F99BA9">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提供多维度查询功能，例如各药库与全院药品库存查询，以及采购历史、会计账簿、保管员账簿、财务月报、收发存表、采购销售分析、失效药品查询、基本药物统计、特殊药品统计、抗生素统计等统计查询功能。</w:t>
            </w:r>
          </w:p>
          <w:p w14:paraId="282677E5">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支持总院、分院多个药库统一或者分开管理模式。</w:t>
            </w:r>
          </w:p>
          <w:p w14:paraId="657F0092">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系统记账标准提供进货价格、批发价格、零售价格三种方式</w:t>
            </w:r>
          </w:p>
          <w:p w14:paraId="22026223">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支持财务账和实物账的分开处理，对应账簿分别为会计账簿与保管员账簿。</w:t>
            </w:r>
          </w:p>
          <w:p w14:paraId="56BE9AF1">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增加待验收药品统计报表，可按验收时间、发票地点、药品类型（西药、中成药、中草药）查询“</w:t>
            </w:r>
            <w:r>
              <w:rPr>
                <w:rFonts w:hint="eastAsia" w:ascii="宋体" w:hAnsi="宋体" w:cs="宋体"/>
                <w:bCs/>
                <w:color w:val="auto"/>
                <w:szCs w:val="21"/>
                <w:highlight w:val="none"/>
                <w:lang w:eastAsia="zh-CN"/>
              </w:rPr>
              <w:t>待验收</w:t>
            </w:r>
            <w:r>
              <w:rPr>
                <w:rFonts w:hint="eastAsia" w:ascii="宋体" w:hAnsi="宋体" w:cs="宋体"/>
                <w:bCs/>
                <w:color w:val="auto"/>
                <w:szCs w:val="21"/>
                <w:highlight w:val="none"/>
              </w:rPr>
              <w:t>”药品，需要显示药品院内ID、通用名、商品名、规格、生产厂家、</w:t>
            </w:r>
            <w:r>
              <w:rPr>
                <w:rFonts w:hint="eastAsia" w:ascii="宋体" w:hAnsi="宋体" w:cs="宋体"/>
                <w:bCs/>
                <w:color w:val="auto"/>
                <w:szCs w:val="21"/>
                <w:highlight w:val="none"/>
                <w:lang w:eastAsia="zh-CN"/>
              </w:rPr>
              <w:t>待验收</w:t>
            </w:r>
            <w:r>
              <w:rPr>
                <w:rFonts w:hint="eastAsia" w:ascii="宋体" w:hAnsi="宋体" w:cs="宋体"/>
                <w:bCs/>
                <w:color w:val="auto"/>
                <w:szCs w:val="21"/>
                <w:highlight w:val="none"/>
              </w:rPr>
              <w:t>数量、实时库存数量、验收时间。</w:t>
            </w:r>
          </w:p>
        </w:tc>
      </w:tr>
      <w:tr w14:paraId="2FCB6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1" w:hRule="atLeast"/>
          <w:jc w:val="center"/>
        </w:trPr>
        <w:tc>
          <w:tcPr>
            <w:tcW w:w="767" w:type="dxa"/>
            <w:vMerge w:val="continue"/>
            <w:vAlign w:val="center"/>
          </w:tcPr>
          <w:p w14:paraId="3FE5377F">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color w:val="auto"/>
                <w:szCs w:val="21"/>
                <w:highlight w:val="none"/>
              </w:rPr>
            </w:pPr>
          </w:p>
        </w:tc>
        <w:tc>
          <w:tcPr>
            <w:tcW w:w="1341" w:type="dxa"/>
            <w:vAlign w:val="center"/>
          </w:tcPr>
          <w:p w14:paraId="19EBAD18">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r>
              <w:rPr>
                <w:rFonts w:hint="eastAsia" w:ascii="宋体" w:hAnsi="宋体" w:cs="宋体"/>
                <w:color w:val="auto"/>
                <w:szCs w:val="21"/>
                <w:highlight w:val="none"/>
              </w:rPr>
              <w:t>合理用药维护功能</w:t>
            </w:r>
          </w:p>
        </w:tc>
        <w:tc>
          <w:tcPr>
            <w:tcW w:w="7850" w:type="dxa"/>
            <w:vAlign w:val="center"/>
          </w:tcPr>
          <w:p w14:paraId="32364509">
            <w:pPr>
              <w:keepNext w:val="0"/>
              <w:keepLines w:val="0"/>
              <w:pageBreakBefore w:val="0"/>
              <w:widowControl w:val="0"/>
              <w:numPr>
                <w:ilvl w:val="0"/>
                <w:numId w:val="17"/>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color w:val="auto"/>
                <w:szCs w:val="21"/>
                <w:highlight w:val="none"/>
              </w:rPr>
            </w:pPr>
            <w:r>
              <w:rPr>
                <w:rFonts w:hint="eastAsia" w:ascii="宋体" w:hAnsi="宋体" w:cs="宋体"/>
                <w:color w:val="auto"/>
                <w:szCs w:val="21"/>
                <w:highlight w:val="none"/>
              </w:rPr>
              <w:t>支持维护药品最大单次用量、最小单次用量、最大用药频次、最小用药频次，及相对应的柔性、刚性拦截功能，在医师开具医嘱时进行拦截，例如A药设置最大用量为1g，刚性拦截，医师开具1.2g时不能提交医嘱。</w:t>
            </w:r>
          </w:p>
          <w:p w14:paraId="3634CAE7">
            <w:pPr>
              <w:keepNext w:val="0"/>
              <w:keepLines w:val="0"/>
              <w:pageBreakBefore w:val="0"/>
              <w:widowControl w:val="0"/>
              <w:numPr>
                <w:ilvl w:val="0"/>
                <w:numId w:val="17"/>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color w:val="auto"/>
                <w:szCs w:val="21"/>
                <w:highlight w:val="none"/>
              </w:rPr>
            </w:pPr>
            <w:r>
              <w:rPr>
                <w:rFonts w:hint="eastAsia" w:ascii="宋体" w:hAnsi="宋体" w:cs="宋体"/>
                <w:color w:val="auto"/>
                <w:szCs w:val="21"/>
                <w:highlight w:val="none"/>
              </w:rPr>
              <w:t>支持维护药品溶媒，及相对应的柔性、刚性拦截功能，在医师开具医嘱时进行拦截（合理用药系统提供接口给HIS），例如A药设置溶媒为氯化钠注射液，柔性拦截，医师若开具葡糖糖注射液为溶媒，弹框提醒，但医师可继续点击下一步提交医嘱。</w:t>
            </w:r>
          </w:p>
          <w:p w14:paraId="3C303F8B">
            <w:pPr>
              <w:keepNext w:val="0"/>
              <w:keepLines w:val="0"/>
              <w:pageBreakBefore w:val="0"/>
              <w:widowControl w:val="0"/>
              <w:numPr>
                <w:ilvl w:val="0"/>
                <w:numId w:val="17"/>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color w:val="auto"/>
                <w:szCs w:val="21"/>
                <w:highlight w:val="none"/>
              </w:rPr>
            </w:pPr>
            <w:r>
              <w:rPr>
                <w:rFonts w:hint="eastAsia" w:ascii="宋体" w:hAnsi="宋体" w:cs="宋体"/>
                <w:color w:val="auto"/>
                <w:szCs w:val="21"/>
                <w:highlight w:val="none"/>
              </w:rPr>
              <w:t>支持维护同类药品重复用药设置，及相对应的柔性、刚性拦截功能，在医师开具医嘱时进行拦截，例如将A、B药设置为同类药品，刚性拦截，同一患者在3天内开具A、B药时，不可提交医嘱。</w:t>
            </w:r>
          </w:p>
          <w:p w14:paraId="7530835C">
            <w:pPr>
              <w:keepNext w:val="0"/>
              <w:keepLines w:val="0"/>
              <w:pageBreakBefore w:val="0"/>
              <w:widowControl w:val="0"/>
              <w:numPr>
                <w:ilvl w:val="0"/>
                <w:numId w:val="17"/>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color w:val="auto"/>
                <w:szCs w:val="21"/>
                <w:highlight w:val="none"/>
              </w:rPr>
            </w:pPr>
            <w:r>
              <w:rPr>
                <w:rFonts w:hint="eastAsia" w:ascii="宋体" w:hAnsi="宋体" w:cs="宋体"/>
                <w:color w:val="auto"/>
                <w:szCs w:val="21"/>
                <w:highlight w:val="none"/>
              </w:rPr>
              <w:t>支持维护药品特殊用药人群（年龄、孕妇、哺乳期、肝功能、肾功能），及相对应的柔性、刚性拦截功能，例如A药设置年龄低于5岁、刚性拦截，则医师为4岁患者开具A药时，不可提交医嘱。</w:t>
            </w:r>
          </w:p>
        </w:tc>
      </w:tr>
      <w:tr w14:paraId="0D454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jc w:val="center"/>
        </w:trPr>
        <w:tc>
          <w:tcPr>
            <w:tcW w:w="767" w:type="dxa"/>
            <w:vMerge w:val="continue"/>
            <w:vAlign w:val="center"/>
          </w:tcPr>
          <w:p w14:paraId="1DBC309C">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color w:val="auto"/>
                <w:szCs w:val="21"/>
                <w:highlight w:val="none"/>
              </w:rPr>
            </w:pPr>
          </w:p>
        </w:tc>
        <w:tc>
          <w:tcPr>
            <w:tcW w:w="1341" w:type="dxa"/>
            <w:vAlign w:val="center"/>
          </w:tcPr>
          <w:p w14:paraId="124835B2">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r>
              <w:rPr>
                <w:rFonts w:hint="eastAsia" w:ascii="宋体" w:hAnsi="宋体" w:cs="宋体"/>
                <w:color w:val="auto"/>
                <w:szCs w:val="21"/>
                <w:highlight w:val="none"/>
              </w:rPr>
              <w:t>病区三级库房设置、查询</w:t>
            </w:r>
          </w:p>
        </w:tc>
        <w:tc>
          <w:tcPr>
            <w:tcW w:w="7850" w:type="dxa"/>
            <w:vAlign w:val="center"/>
          </w:tcPr>
          <w:p w14:paraId="07A949CD">
            <w:pPr>
              <w:keepNext w:val="0"/>
              <w:keepLines w:val="0"/>
              <w:pageBreakBefore w:val="0"/>
              <w:widowControl w:val="0"/>
              <w:numPr>
                <w:ilvl w:val="0"/>
                <w:numId w:val="17"/>
              </w:numPr>
              <w:tabs>
                <w:tab w:val="left" w:pos="525"/>
                <w:tab w:val="left" w:pos="630"/>
              </w:tabs>
              <w:kinsoku/>
              <w:wordWrap/>
              <w:overflowPunct/>
              <w:topLinePunct w:val="0"/>
              <w:autoSpaceDE/>
              <w:autoSpaceDN/>
              <w:bidi w:val="0"/>
              <w:adjustRightInd w:val="0"/>
              <w:snapToGrid w:val="0"/>
              <w:spacing w:line="360" w:lineRule="auto"/>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支持查询病区三级库房实时库存、收支明细（见4.22 病区三级库房部分），需要查询的明细包括：药品通用名、商品名、规格、库存数量、出库数量、入库数量，可按病区、日期、药品类型（西药、中成药、中草药）进行统计。</w:t>
            </w:r>
          </w:p>
          <w:p w14:paraId="7143BC7A">
            <w:pPr>
              <w:keepNext w:val="0"/>
              <w:keepLines w:val="0"/>
              <w:pageBreakBefore w:val="0"/>
              <w:widowControl w:val="0"/>
              <w:numPr>
                <w:ilvl w:val="0"/>
                <w:numId w:val="17"/>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color w:val="auto"/>
                <w:szCs w:val="21"/>
                <w:highlight w:val="none"/>
              </w:rPr>
            </w:pPr>
            <w:r>
              <w:rPr>
                <w:rFonts w:hint="eastAsia" w:ascii="宋体" w:hAnsi="宋体" w:cs="宋体"/>
                <w:color w:val="auto"/>
                <w:szCs w:val="21"/>
                <w:highlight w:val="none"/>
              </w:rPr>
              <w:t>支持按照备用药品、消耗性药品确认科室领用申请和发起主动出库。出库时，药品库存均按申领数量进行扣减。（见2.21.1病区三级药房）</w:t>
            </w:r>
          </w:p>
          <w:p w14:paraId="1ED14C3C">
            <w:pPr>
              <w:keepNext w:val="0"/>
              <w:keepLines w:val="0"/>
              <w:pageBreakBefore w:val="0"/>
              <w:widowControl w:val="0"/>
              <w:numPr>
                <w:ilvl w:val="0"/>
                <w:numId w:val="17"/>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color w:val="auto"/>
                <w:szCs w:val="21"/>
                <w:highlight w:val="none"/>
              </w:rPr>
            </w:pPr>
            <w:r>
              <w:rPr>
                <w:rFonts w:hint="eastAsia" w:ascii="宋体" w:hAnsi="宋体" w:cs="宋体"/>
                <w:color w:val="auto"/>
                <w:szCs w:val="21"/>
                <w:highlight w:val="none"/>
              </w:rPr>
              <w:t>支持设置</w:t>
            </w:r>
            <w:r>
              <w:rPr>
                <w:rFonts w:hint="eastAsia" w:ascii="宋体" w:hAnsi="宋体" w:cs="宋体"/>
                <w:bCs/>
                <w:color w:val="auto"/>
                <w:szCs w:val="21"/>
                <w:highlight w:val="none"/>
              </w:rPr>
              <w:t>病区三级库房备用药库存基数（库存上限）功能。</w:t>
            </w:r>
          </w:p>
        </w:tc>
      </w:tr>
      <w:tr w14:paraId="01D85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767" w:type="dxa"/>
            <w:vMerge w:val="continue"/>
            <w:vAlign w:val="center"/>
          </w:tcPr>
          <w:p w14:paraId="5836DE56">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color w:val="auto"/>
                <w:szCs w:val="21"/>
                <w:highlight w:val="none"/>
              </w:rPr>
            </w:pPr>
          </w:p>
        </w:tc>
        <w:tc>
          <w:tcPr>
            <w:tcW w:w="1341" w:type="dxa"/>
            <w:vAlign w:val="center"/>
          </w:tcPr>
          <w:p w14:paraId="5C682D19">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r>
              <w:rPr>
                <w:rFonts w:hint="eastAsia" w:ascii="宋体" w:hAnsi="宋体" w:cs="宋体"/>
                <w:color w:val="auto"/>
                <w:szCs w:val="21"/>
                <w:highlight w:val="none"/>
              </w:rPr>
              <w:t>公告编辑推送功能</w:t>
            </w:r>
          </w:p>
        </w:tc>
        <w:tc>
          <w:tcPr>
            <w:tcW w:w="7850" w:type="dxa"/>
            <w:vAlign w:val="center"/>
          </w:tcPr>
          <w:p w14:paraId="0F9C1E7E">
            <w:pPr>
              <w:keepNext w:val="0"/>
              <w:keepLines w:val="0"/>
              <w:pageBreakBefore w:val="0"/>
              <w:widowControl w:val="0"/>
              <w:numPr>
                <w:ilvl w:val="0"/>
                <w:numId w:val="17"/>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color w:val="auto"/>
                <w:szCs w:val="21"/>
                <w:highlight w:val="none"/>
              </w:rPr>
            </w:pPr>
            <w:r>
              <w:rPr>
                <w:rFonts w:hint="eastAsia" w:ascii="宋体" w:hAnsi="宋体" w:cs="宋体"/>
                <w:bCs/>
                <w:color w:val="auto"/>
                <w:szCs w:val="21"/>
                <w:highlight w:val="none"/>
              </w:rPr>
              <w:t>支持药库发送消息公告，可选择推送至医师站或护士站，可设置保留天数。医师站或护士站首页可收到消息推送。</w:t>
            </w:r>
          </w:p>
        </w:tc>
      </w:tr>
      <w:tr w14:paraId="7A42E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767" w:type="dxa"/>
            <w:vMerge w:val="restart"/>
            <w:vAlign w:val="center"/>
          </w:tcPr>
          <w:p w14:paraId="6AAEB5AE">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color w:val="auto"/>
                <w:szCs w:val="21"/>
                <w:highlight w:val="none"/>
              </w:rPr>
            </w:pPr>
          </w:p>
        </w:tc>
        <w:tc>
          <w:tcPr>
            <w:tcW w:w="1341" w:type="dxa"/>
            <w:vAlign w:val="center"/>
          </w:tcPr>
          <w:p w14:paraId="1FC6C692">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药品使用限制条件维护</w:t>
            </w:r>
          </w:p>
        </w:tc>
        <w:tc>
          <w:tcPr>
            <w:tcW w:w="7850" w:type="dxa"/>
            <w:vAlign w:val="center"/>
          </w:tcPr>
          <w:p w14:paraId="71FB4506">
            <w:pPr>
              <w:keepNext w:val="0"/>
              <w:keepLines w:val="0"/>
              <w:pageBreakBefore w:val="0"/>
              <w:widowControl w:val="0"/>
              <w:numPr>
                <w:ilvl w:val="0"/>
                <w:numId w:val="17"/>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支持对药品设置同时或单独限制科室、限制职称、限制患者、限制门诊/住院、限制医生，设置后满足条件方可开具药品医嘱，不满足条件不可开具。</w:t>
            </w:r>
          </w:p>
          <w:p w14:paraId="493C9D6D">
            <w:pPr>
              <w:keepNext w:val="0"/>
              <w:keepLines w:val="0"/>
              <w:pageBreakBefore w:val="0"/>
              <w:widowControl w:val="0"/>
              <w:numPr>
                <w:ilvl w:val="0"/>
                <w:numId w:val="17"/>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支持对具体医师设置某一时间范围内药品使用数量，在设置时间内开具数量达到额度后不可再开具</w:t>
            </w:r>
          </w:p>
        </w:tc>
      </w:tr>
      <w:tr w14:paraId="1014B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767" w:type="dxa"/>
            <w:vMerge w:val="continue"/>
            <w:vAlign w:val="center"/>
          </w:tcPr>
          <w:p w14:paraId="4706551D">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color w:val="auto"/>
                <w:szCs w:val="21"/>
                <w:highlight w:val="none"/>
              </w:rPr>
            </w:pPr>
          </w:p>
        </w:tc>
        <w:tc>
          <w:tcPr>
            <w:tcW w:w="9191" w:type="dxa"/>
            <w:gridSpan w:val="2"/>
            <w:vAlign w:val="center"/>
          </w:tcPr>
          <w:p w14:paraId="3E0D5EE2">
            <w:pPr>
              <w:keepNext w:val="0"/>
              <w:keepLines w:val="0"/>
              <w:pageBreakBefore w:val="0"/>
              <w:widowControl w:val="0"/>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药品属性维护</w:t>
            </w:r>
          </w:p>
        </w:tc>
      </w:tr>
      <w:tr w14:paraId="236FE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767" w:type="dxa"/>
            <w:vMerge w:val="continue"/>
            <w:vAlign w:val="center"/>
          </w:tcPr>
          <w:p w14:paraId="62AC7524">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color w:val="auto"/>
                <w:szCs w:val="21"/>
                <w:highlight w:val="none"/>
              </w:rPr>
            </w:pPr>
          </w:p>
        </w:tc>
        <w:tc>
          <w:tcPr>
            <w:tcW w:w="9191" w:type="dxa"/>
            <w:gridSpan w:val="2"/>
            <w:vAlign w:val="center"/>
          </w:tcPr>
          <w:p w14:paraId="6057A72D">
            <w:pPr>
              <w:keepNext w:val="0"/>
              <w:keepLines w:val="0"/>
              <w:pageBreakBefore w:val="0"/>
              <w:widowControl w:val="0"/>
              <w:numPr>
                <w:ilvl w:val="0"/>
                <w:numId w:val="18"/>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szCs w:val="21"/>
              </w:rPr>
            </w:pPr>
            <w:r>
              <w:rPr>
                <w:rFonts w:hint="eastAsia" w:ascii="宋体" w:hAnsi="宋体" w:cs="宋体"/>
                <w:szCs w:val="21"/>
              </w:rPr>
              <w:t>药品分类管理，提供药品多维度分类管理。</w:t>
            </w:r>
          </w:p>
          <w:p w14:paraId="1DB54643">
            <w:pPr>
              <w:keepNext w:val="0"/>
              <w:keepLines w:val="0"/>
              <w:pageBreakBefore w:val="0"/>
              <w:widowControl w:val="0"/>
              <w:numPr>
                <w:ilvl w:val="0"/>
                <w:numId w:val="18"/>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szCs w:val="21"/>
              </w:rPr>
            </w:pPr>
            <w:r>
              <w:rPr>
                <w:rFonts w:hint="eastAsia" w:ascii="宋体" w:hAnsi="宋体" w:cs="宋体"/>
                <w:szCs w:val="21"/>
              </w:rPr>
              <w:t>药品基本信息字典：提供药品基本信息字典、药品别名、药品多级包装单位、价格、图片等信息维护。</w:t>
            </w:r>
          </w:p>
          <w:p w14:paraId="4E5534CE">
            <w:pPr>
              <w:keepNext w:val="0"/>
              <w:keepLines w:val="0"/>
              <w:pageBreakBefore w:val="0"/>
              <w:widowControl w:val="0"/>
              <w:numPr>
                <w:ilvl w:val="0"/>
                <w:numId w:val="18"/>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szCs w:val="21"/>
              </w:rPr>
            </w:pPr>
            <w:r>
              <w:rPr>
                <w:rFonts w:hint="eastAsia" w:ascii="宋体" w:hAnsi="宋体" w:cs="宋体"/>
                <w:szCs w:val="21"/>
              </w:rPr>
              <w:t>支持维护药品扩展属性：基于统计维度的扩展属性维护，可根据医院管理需求制定，如基药标识、辅助药品标识、GMP标识、中标药品标识、带量采购标识等等。</w:t>
            </w:r>
          </w:p>
          <w:p w14:paraId="35D7B314">
            <w:pPr>
              <w:keepNext w:val="0"/>
              <w:keepLines w:val="0"/>
              <w:pageBreakBefore w:val="0"/>
              <w:widowControl w:val="0"/>
              <w:numPr>
                <w:ilvl w:val="0"/>
                <w:numId w:val="18"/>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szCs w:val="21"/>
              </w:rPr>
            </w:pPr>
            <w:r>
              <w:rPr>
                <w:rFonts w:hint="eastAsia" w:ascii="宋体" w:hAnsi="宋体" w:cs="宋体"/>
                <w:szCs w:val="21"/>
              </w:rPr>
              <w:t>药品流程管理属性：基于流程管理维度的扩展属性标识，可根据医院管理需求制定，如口服药标识、静配药标识、抗肿瘤药品标识、大液体标识。</w:t>
            </w:r>
          </w:p>
          <w:p w14:paraId="2EFDE3DA">
            <w:pPr>
              <w:keepNext w:val="0"/>
              <w:keepLines w:val="0"/>
              <w:pageBreakBefore w:val="0"/>
              <w:widowControl w:val="0"/>
              <w:numPr>
                <w:ilvl w:val="0"/>
                <w:numId w:val="18"/>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szCs w:val="21"/>
              </w:rPr>
            </w:pPr>
            <w:r>
              <w:rPr>
                <w:rFonts w:hint="eastAsia" w:ascii="宋体" w:hAnsi="宋体" w:cs="宋体"/>
                <w:szCs w:val="21"/>
              </w:rPr>
              <w:t>大包装与发药剂量关系维护：处方或者摆药时用于胰岛素，软膏剂等药品的计算药量算法。</w:t>
            </w:r>
          </w:p>
          <w:p w14:paraId="5D1AF703">
            <w:pPr>
              <w:keepNext w:val="0"/>
              <w:keepLines w:val="0"/>
              <w:pageBreakBefore w:val="0"/>
              <w:widowControl w:val="0"/>
              <w:numPr>
                <w:ilvl w:val="0"/>
                <w:numId w:val="18"/>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szCs w:val="21"/>
              </w:rPr>
            </w:pPr>
            <w:r>
              <w:rPr>
                <w:rFonts w:hint="eastAsia" w:ascii="宋体" w:hAnsi="宋体" w:cs="宋体"/>
                <w:szCs w:val="21"/>
              </w:rPr>
              <w:t>药品拆零维护及其他特殊剂量转换维护。</w:t>
            </w:r>
          </w:p>
          <w:p w14:paraId="6E831F9B">
            <w:pPr>
              <w:keepNext w:val="0"/>
              <w:keepLines w:val="0"/>
              <w:pageBreakBefore w:val="0"/>
              <w:widowControl w:val="0"/>
              <w:numPr>
                <w:ilvl w:val="0"/>
                <w:numId w:val="18"/>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szCs w:val="21"/>
              </w:rPr>
            </w:pPr>
            <w:r>
              <w:rPr>
                <w:rFonts w:hint="eastAsia" w:ascii="宋体" w:hAnsi="宋体" w:cs="宋体"/>
                <w:szCs w:val="21"/>
              </w:rPr>
              <w:t>药品库管分类：提供药库多个库管管理的维护。</w:t>
            </w:r>
          </w:p>
          <w:p w14:paraId="37605E44">
            <w:pPr>
              <w:keepNext w:val="0"/>
              <w:keepLines w:val="0"/>
              <w:pageBreakBefore w:val="0"/>
              <w:widowControl w:val="0"/>
              <w:numPr>
                <w:ilvl w:val="0"/>
                <w:numId w:val="18"/>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szCs w:val="21"/>
              </w:rPr>
            </w:pPr>
            <w:r>
              <w:rPr>
                <w:rFonts w:hint="eastAsia" w:ascii="宋体" w:hAnsi="宋体" w:cs="宋体"/>
                <w:szCs w:val="21"/>
              </w:rPr>
              <w:t>药品库存属性定义：用于维护当前药库的药品是否可供，以及货位号等信息的维护。</w:t>
            </w:r>
          </w:p>
          <w:p w14:paraId="070D3258">
            <w:pPr>
              <w:keepNext w:val="0"/>
              <w:keepLines w:val="0"/>
              <w:pageBreakBefore w:val="0"/>
              <w:widowControl w:val="0"/>
              <w:numPr>
                <w:ilvl w:val="0"/>
                <w:numId w:val="18"/>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szCs w:val="21"/>
              </w:rPr>
            </w:pPr>
            <w:r>
              <w:rPr>
                <w:rFonts w:hint="eastAsia" w:ascii="宋体" w:hAnsi="宋体" w:cs="宋体"/>
                <w:szCs w:val="21"/>
              </w:rPr>
              <w:t>药品科室权限维护：提供科室用药限制维护，特殊类型的药品，限制个别科室或者医生个人的开立。</w:t>
            </w:r>
          </w:p>
          <w:p w14:paraId="20511311">
            <w:pPr>
              <w:keepNext w:val="0"/>
              <w:keepLines w:val="0"/>
              <w:pageBreakBefore w:val="0"/>
              <w:widowControl w:val="0"/>
              <w:numPr>
                <w:ilvl w:val="0"/>
                <w:numId w:val="18"/>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szCs w:val="21"/>
              </w:rPr>
            </w:pPr>
            <w:r>
              <w:rPr>
                <w:rFonts w:hint="eastAsia" w:ascii="宋体" w:hAnsi="宋体" w:cs="宋体"/>
                <w:szCs w:val="21"/>
              </w:rPr>
              <w:t>呆滞药品查询：支持查询药房一段时间内没有出入库记录的药品。</w:t>
            </w:r>
          </w:p>
          <w:p w14:paraId="61553662">
            <w:pPr>
              <w:keepNext w:val="0"/>
              <w:keepLines w:val="0"/>
              <w:pageBreakBefore w:val="0"/>
              <w:widowControl w:val="0"/>
              <w:numPr>
                <w:ilvl w:val="0"/>
                <w:numId w:val="18"/>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szCs w:val="21"/>
              </w:rPr>
            </w:pPr>
            <w:r>
              <w:rPr>
                <w:rFonts w:hint="eastAsia" w:ascii="宋体" w:hAnsi="宋体" w:cs="宋体"/>
                <w:szCs w:val="21"/>
              </w:rPr>
              <w:t>药品效期查询：支持查询时间段内近效期药品</w:t>
            </w:r>
          </w:p>
          <w:p w14:paraId="252D63C8">
            <w:pPr>
              <w:keepNext w:val="0"/>
              <w:keepLines w:val="0"/>
              <w:pageBreakBefore w:val="0"/>
              <w:widowControl w:val="0"/>
              <w:numPr>
                <w:ilvl w:val="0"/>
                <w:numId w:val="18"/>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color w:val="auto"/>
                <w:szCs w:val="21"/>
                <w:highlight w:val="none"/>
              </w:rPr>
            </w:pPr>
            <w:r>
              <w:rPr>
                <w:rFonts w:hint="eastAsia" w:ascii="宋体" w:hAnsi="宋体" w:cs="宋体"/>
                <w:szCs w:val="21"/>
              </w:rPr>
              <w:t>生产厂家/产地字典：提供生产厂家/产地字典的维护。</w:t>
            </w:r>
          </w:p>
          <w:p w14:paraId="74549E91">
            <w:pPr>
              <w:keepNext w:val="0"/>
              <w:keepLines w:val="0"/>
              <w:pageBreakBefore w:val="0"/>
              <w:widowControl w:val="0"/>
              <w:numPr>
                <w:ilvl w:val="0"/>
                <w:numId w:val="18"/>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color w:val="auto"/>
                <w:szCs w:val="21"/>
                <w:highlight w:val="none"/>
              </w:rPr>
            </w:pPr>
            <w:r>
              <w:rPr>
                <w:rFonts w:hint="eastAsia" w:ascii="宋体" w:hAnsi="宋体" w:cs="宋体"/>
                <w:color w:val="auto"/>
                <w:szCs w:val="21"/>
                <w:highlight w:val="none"/>
              </w:rPr>
              <w:t>支持维护通用名、商品名、剂型、剂量、单位、售价、医保控制级别、状态、本位码、批准文号、拆零追溯码次数（定制开发增加个字段）等信息，并可维护不同的附加属性</w:t>
            </w:r>
          </w:p>
          <w:p w14:paraId="1CF03E3C">
            <w:pPr>
              <w:keepNext w:val="0"/>
              <w:keepLines w:val="0"/>
              <w:pageBreakBefore w:val="0"/>
              <w:widowControl w:val="0"/>
              <w:numPr>
                <w:ilvl w:val="0"/>
                <w:numId w:val="18"/>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color w:val="auto"/>
                <w:szCs w:val="21"/>
                <w:highlight w:val="none"/>
              </w:rPr>
            </w:pPr>
            <w:r>
              <w:rPr>
                <w:rFonts w:hint="eastAsia" w:ascii="宋体" w:hAnsi="宋体" w:cs="宋体"/>
                <w:color w:val="auto"/>
                <w:szCs w:val="21"/>
                <w:highlight w:val="none"/>
              </w:rPr>
              <w:t>支持产地、剂量、用法用量、用药频率、包装单位等的维护</w:t>
            </w:r>
          </w:p>
          <w:p w14:paraId="210F9F97">
            <w:pPr>
              <w:keepNext w:val="0"/>
              <w:keepLines w:val="0"/>
              <w:pageBreakBefore w:val="0"/>
              <w:widowControl w:val="0"/>
              <w:numPr>
                <w:ilvl w:val="0"/>
                <w:numId w:val="18"/>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color w:val="auto"/>
                <w:szCs w:val="21"/>
                <w:highlight w:val="none"/>
              </w:rPr>
            </w:pPr>
            <w:r>
              <w:rPr>
                <w:rFonts w:hint="eastAsia" w:ascii="宋体" w:hAnsi="宋体" w:cs="宋体"/>
                <w:color w:val="auto"/>
                <w:szCs w:val="21"/>
                <w:highlight w:val="none"/>
              </w:rPr>
              <w:t>支持科室领用药品维护、组套药品维护、抗菌药物DDD值维护、皮试药品维护等</w:t>
            </w:r>
          </w:p>
          <w:p w14:paraId="317BA2C9">
            <w:pPr>
              <w:keepNext w:val="0"/>
              <w:keepLines w:val="0"/>
              <w:pageBreakBefore w:val="0"/>
              <w:widowControl w:val="0"/>
              <w:numPr>
                <w:ilvl w:val="0"/>
                <w:numId w:val="18"/>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color w:val="auto"/>
                <w:szCs w:val="21"/>
                <w:highlight w:val="none"/>
              </w:rPr>
            </w:pPr>
            <w:r>
              <w:rPr>
                <w:rFonts w:hint="eastAsia" w:ascii="宋体" w:hAnsi="宋体" w:cs="宋体"/>
                <w:color w:val="auto"/>
                <w:szCs w:val="21"/>
                <w:highlight w:val="none"/>
              </w:rPr>
              <w:t>支持用药交代维护，且与药房打印的用药交代说明书相关联</w:t>
            </w:r>
          </w:p>
          <w:p w14:paraId="49C31C37">
            <w:pPr>
              <w:keepNext w:val="0"/>
              <w:keepLines w:val="0"/>
              <w:pageBreakBefore w:val="0"/>
              <w:widowControl w:val="0"/>
              <w:numPr>
                <w:ilvl w:val="0"/>
                <w:numId w:val="18"/>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color w:val="auto"/>
                <w:szCs w:val="21"/>
                <w:highlight w:val="none"/>
              </w:rPr>
              <w:t>支持“双通道”、“深圳市电子处方”、“互联网医院”等处方流转平台的药品品种维护</w:t>
            </w:r>
          </w:p>
        </w:tc>
      </w:tr>
      <w:tr w14:paraId="54847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767" w:type="dxa"/>
            <w:vMerge w:val="restart"/>
            <w:vAlign w:val="center"/>
          </w:tcPr>
          <w:p w14:paraId="35A3DEAF">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color w:val="auto"/>
                <w:szCs w:val="21"/>
                <w:highlight w:val="none"/>
              </w:rPr>
            </w:pPr>
          </w:p>
        </w:tc>
        <w:tc>
          <w:tcPr>
            <w:tcW w:w="1341" w:type="dxa"/>
            <w:vAlign w:val="center"/>
          </w:tcPr>
          <w:p w14:paraId="579B5545">
            <w:pPr>
              <w:keepNext w:val="0"/>
              <w:keepLines w:val="0"/>
              <w:pageBreakBefore w:val="0"/>
              <w:widowControl w:val="0"/>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color w:val="auto"/>
                <w:highlight w:val="none"/>
              </w:rPr>
            </w:pPr>
            <w:r>
              <w:rPr>
                <w:rFonts w:hint="eastAsia" w:ascii="宋体" w:hAnsi="宋体" w:cs="宋体"/>
                <w:color w:val="auto"/>
                <w:highlight w:val="none"/>
              </w:rPr>
              <w:t>招标信息维护</w:t>
            </w:r>
          </w:p>
        </w:tc>
        <w:tc>
          <w:tcPr>
            <w:tcW w:w="7850" w:type="dxa"/>
            <w:vAlign w:val="center"/>
          </w:tcPr>
          <w:p w14:paraId="114110BC">
            <w:pPr>
              <w:keepNext w:val="0"/>
              <w:keepLines w:val="0"/>
              <w:pageBreakBefore w:val="0"/>
              <w:widowControl w:val="0"/>
              <w:numPr>
                <w:ilvl w:val="0"/>
                <w:numId w:val="18"/>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color w:val="auto"/>
                <w:highlight w:val="none"/>
              </w:rPr>
            </w:pPr>
            <w:r>
              <w:rPr>
                <w:rFonts w:hint="eastAsia" w:ascii="宋体" w:hAnsi="宋体" w:cs="宋体"/>
                <w:color w:val="auto"/>
                <w:highlight w:val="none"/>
              </w:rPr>
              <w:t>支持维护药品进价、售价、产地、来源、开始时间、终止时间、包装量</w:t>
            </w:r>
          </w:p>
        </w:tc>
      </w:tr>
      <w:tr w14:paraId="24568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jc w:val="center"/>
        </w:trPr>
        <w:tc>
          <w:tcPr>
            <w:tcW w:w="767" w:type="dxa"/>
            <w:vMerge w:val="continue"/>
            <w:vAlign w:val="center"/>
          </w:tcPr>
          <w:p w14:paraId="65C21177">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color w:val="auto"/>
                <w:szCs w:val="21"/>
                <w:highlight w:val="none"/>
              </w:rPr>
            </w:pPr>
          </w:p>
        </w:tc>
        <w:tc>
          <w:tcPr>
            <w:tcW w:w="1341" w:type="dxa"/>
            <w:vAlign w:val="center"/>
          </w:tcPr>
          <w:p w14:paraId="5BF3DF24">
            <w:pPr>
              <w:keepNext w:val="0"/>
              <w:keepLines w:val="0"/>
              <w:pageBreakBefore w:val="0"/>
              <w:widowControl w:val="0"/>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color w:val="auto"/>
                <w:highlight w:val="none"/>
              </w:rPr>
            </w:pPr>
            <w:r>
              <w:rPr>
                <w:rFonts w:hint="eastAsia" w:ascii="宋体" w:hAnsi="宋体" w:cs="宋体"/>
                <w:color w:val="auto"/>
                <w:highlight w:val="none"/>
              </w:rPr>
              <w:t>药品停用功能维护</w:t>
            </w:r>
          </w:p>
        </w:tc>
        <w:tc>
          <w:tcPr>
            <w:tcW w:w="7850" w:type="dxa"/>
            <w:vAlign w:val="center"/>
          </w:tcPr>
          <w:p w14:paraId="41D60839">
            <w:pPr>
              <w:keepNext w:val="0"/>
              <w:keepLines w:val="0"/>
              <w:pageBreakBefore w:val="0"/>
              <w:widowControl w:val="0"/>
              <w:numPr>
                <w:ilvl w:val="0"/>
                <w:numId w:val="18"/>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color w:val="auto"/>
                <w:highlight w:val="none"/>
              </w:rPr>
            </w:pPr>
            <w:r>
              <w:rPr>
                <w:rFonts w:hint="eastAsia" w:ascii="宋体" w:hAnsi="宋体" w:cs="宋体"/>
                <w:color w:val="auto"/>
                <w:highlight w:val="none"/>
              </w:rPr>
              <w:t>支持修改药品状态，设置为“停用”后，相当于作废状态，不可执行出库、入库等操作，医师端不可开具</w:t>
            </w:r>
          </w:p>
        </w:tc>
      </w:tr>
      <w:tr w14:paraId="2B965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5" w:hRule="atLeast"/>
          <w:jc w:val="center"/>
        </w:trPr>
        <w:tc>
          <w:tcPr>
            <w:tcW w:w="767" w:type="dxa"/>
            <w:vMerge w:val="continue"/>
            <w:vAlign w:val="center"/>
          </w:tcPr>
          <w:p w14:paraId="0318ECC5">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color w:val="auto"/>
                <w:szCs w:val="21"/>
                <w:highlight w:val="none"/>
              </w:rPr>
            </w:pPr>
          </w:p>
        </w:tc>
        <w:tc>
          <w:tcPr>
            <w:tcW w:w="1341" w:type="dxa"/>
            <w:vAlign w:val="center"/>
          </w:tcPr>
          <w:p w14:paraId="460E4199">
            <w:pPr>
              <w:keepNext w:val="0"/>
              <w:keepLines w:val="0"/>
              <w:pageBreakBefore w:val="0"/>
              <w:widowControl w:val="0"/>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color w:val="auto"/>
                <w:highlight w:val="none"/>
              </w:rPr>
            </w:pPr>
            <w:r>
              <w:rPr>
                <w:rFonts w:hint="eastAsia" w:ascii="宋体" w:hAnsi="宋体" w:cs="宋体"/>
                <w:color w:val="auto"/>
                <w:highlight w:val="none"/>
              </w:rPr>
              <w:t>报表统计</w:t>
            </w:r>
          </w:p>
        </w:tc>
        <w:tc>
          <w:tcPr>
            <w:tcW w:w="7850" w:type="dxa"/>
            <w:vAlign w:val="center"/>
          </w:tcPr>
          <w:p w14:paraId="3A4A0C5C">
            <w:pPr>
              <w:keepNext w:val="0"/>
              <w:keepLines w:val="0"/>
              <w:pageBreakBefore w:val="0"/>
              <w:widowControl w:val="0"/>
              <w:numPr>
                <w:ilvl w:val="0"/>
                <w:numId w:val="18"/>
              </w:numPr>
              <w:kinsoku/>
              <w:wordWrap/>
              <w:overflowPunct/>
              <w:topLinePunct w:val="0"/>
              <w:autoSpaceDE/>
              <w:autoSpaceDN/>
              <w:bidi w:val="0"/>
              <w:adjustRightInd w:val="0"/>
              <w:snapToGrid w:val="0"/>
              <w:spacing w:line="360" w:lineRule="auto"/>
              <w:jc w:val="left"/>
              <w:textAlignment w:val="auto"/>
              <w:rPr>
                <w:rFonts w:ascii="宋体" w:hAnsi="宋体" w:cs="宋体"/>
                <w:color w:val="auto"/>
                <w:highlight w:val="none"/>
              </w:rPr>
            </w:pPr>
            <w:r>
              <w:rPr>
                <w:rFonts w:hint="eastAsia" w:ascii="宋体" w:hAnsi="宋体" w:cs="宋体"/>
                <w:color w:val="auto"/>
                <w:highlight w:val="none"/>
              </w:rPr>
              <w:t>支持统计出入库明细按金额查询、药库按时间查询、药库入出库按分类查询、药库入出库按金额查询、药库出库按部门分类报表、按部门查询出库记录、药库药品金额支付明细表、入库各类明细报表、出库各类明细报表、支出各类明细报表、调价各类明细报表</w:t>
            </w:r>
            <w:r>
              <w:rPr>
                <w:rFonts w:ascii="Segoe UI" w:hAnsi="Segoe UI" w:eastAsia="Segoe UI" w:cs="Segoe UI"/>
                <w:i w:val="0"/>
                <w:iCs w:val="0"/>
                <w:caps w:val="0"/>
                <w:color w:val="800080"/>
                <w:spacing w:val="0"/>
                <w:sz w:val="21"/>
                <w:szCs w:val="21"/>
                <w:shd w:val="clear" w:fill="FFFFFF"/>
              </w:rPr>
              <w:t>、已收未配调价报表</w:t>
            </w:r>
            <w:r>
              <w:rPr>
                <w:rFonts w:hint="eastAsia" w:ascii="宋体" w:hAnsi="宋体" w:cs="宋体"/>
                <w:color w:val="auto"/>
                <w:highlight w:val="none"/>
              </w:rPr>
              <w:t>等，且报表均可导出、打印。</w:t>
            </w:r>
          </w:p>
          <w:p w14:paraId="27F61617">
            <w:pPr>
              <w:keepNext w:val="0"/>
              <w:keepLines w:val="0"/>
              <w:pageBreakBefore w:val="0"/>
              <w:widowControl w:val="0"/>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color w:val="auto"/>
                <w:highlight w:val="none"/>
              </w:rPr>
            </w:pPr>
            <w:r>
              <w:rPr>
                <w:rFonts w:hint="eastAsia" w:ascii="宋体" w:hAnsi="宋体" w:cs="宋体"/>
                <w:color w:val="auto"/>
                <w:highlight w:val="none"/>
              </w:rPr>
              <w:t>按时间查询</w:t>
            </w:r>
          </w:p>
          <w:p w14:paraId="338BC887">
            <w:pPr>
              <w:keepNext w:val="0"/>
              <w:keepLines w:val="0"/>
              <w:pageBreakBefore w:val="0"/>
              <w:widowControl w:val="0"/>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color w:val="auto"/>
                <w:highlight w:val="none"/>
              </w:rPr>
            </w:pPr>
            <w:r>
              <w:rPr>
                <w:rFonts w:hint="eastAsia" w:ascii="宋体" w:hAnsi="宋体" w:cs="宋体"/>
                <w:color w:val="auto"/>
                <w:highlight w:val="none"/>
              </w:rPr>
              <w:t>出入库按金额查询</w:t>
            </w:r>
          </w:p>
          <w:p w14:paraId="3C6AA438">
            <w:pPr>
              <w:keepNext w:val="0"/>
              <w:keepLines w:val="0"/>
              <w:pageBreakBefore w:val="0"/>
              <w:widowControl w:val="0"/>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color w:val="auto"/>
                <w:highlight w:val="none"/>
              </w:rPr>
            </w:pPr>
            <w:r>
              <w:rPr>
                <w:rFonts w:hint="eastAsia" w:ascii="宋体" w:hAnsi="宋体" w:cs="宋体"/>
                <w:color w:val="auto"/>
                <w:highlight w:val="none"/>
              </w:rPr>
              <w:t>按部门查询出入库记录</w:t>
            </w:r>
          </w:p>
          <w:p w14:paraId="5BCB71D9">
            <w:pPr>
              <w:keepNext w:val="0"/>
              <w:keepLines w:val="0"/>
              <w:pageBreakBefore w:val="0"/>
              <w:widowControl w:val="0"/>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color w:val="auto"/>
                <w:highlight w:val="none"/>
              </w:rPr>
            </w:pPr>
            <w:r>
              <w:rPr>
                <w:rFonts w:hint="eastAsia" w:ascii="宋体" w:hAnsi="宋体" w:cs="宋体"/>
                <w:color w:val="auto"/>
                <w:highlight w:val="none"/>
              </w:rPr>
              <w:t>入出库各类明细报表</w:t>
            </w:r>
          </w:p>
        </w:tc>
      </w:tr>
      <w:tr w14:paraId="4272F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1" w:hRule="atLeast"/>
          <w:jc w:val="center"/>
        </w:trPr>
        <w:tc>
          <w:tcPr>
            <w:tcW w:w="767" w:type="dxa"/>
            <w:vMerge w:val="continue"/>
            <w:vAlign w:val="center"/>
          </w:tcPr>
          <w:p w14:paraId="61EA7279">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color w:val="auto"/>
                <w:szCs w:val="21"/>
                <w:highlight w:val="none"/>
              </w:rPr>
            </w:pPr>
          </w:p>
        </w:tc>
        <w:tc>
          <w:tcPr>
            <w:tcW w:w="1341" w:type="dxa"/>
            <w:vAlign w:val="center"/>
          </w:tcPr>
          <w:p w14:paraId="3AC63C5F">
            <w:pPr>
              <w:keepNext w:val="0"/>
              <w:keepLines w:val="0"/>
              <w:pageBreakBefore w:val="0"/>
              <w:widowControl w:val="0"/>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color w:val="auto"/>
                <w:highlight w:val="none"/>
              </w:rPr>
            </w:pPr>
            <w:r>
              <w:rPr>
                <w:rFonts w:hint="eastAsia" w:ascii="宋体" w:hAnsi="宋体" w:cs="宋体"/>
                <w:color w:val="auto"/>
                <w:highlight w:val="none"/>
              </w:rPr>
              <w:t>药品库存量查询</w:t>
            </w:r>
          </w:p>
        </w:tc>
        <w:tc>
          <w:tcPr>
            <w:tcW w:w="7850" w:type="dxa"/>
            <w:vAlign w:val="center"/>
          </w:tcPr>
          <w:p w14:paraId="6527445D">
            <w:pPr>
              <w:keepNext w:val="0"/>
              <w:keepLines w:val="0"/>
              <w:pageBreakBefore w:val="0"/>
              <w:widowControl w:val="0"/>
              <w:numPr>
                <w:ilvl w:val="0"/>
                <w:numId w:val="18"/>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color w:val="auto"/>
                <w:highlight w:val="none"/>
              </w:rPr>
            </w:pPr>
            <w:r>
              <w:rPr>
                <w:rFonts w:hint="eastAsia" w:ascii="宋体" w:hAnsi="宋体" w:cs="宋体"/>
                <w:color w:val="auto"/>
                <w:highlight w:val="none"/>
              </w:rPr>
              <w:t>可按照药品类型（西药、中成药、饮片、配方颗粒、破壁饮片）统计实时库存量</w:t>
            </w:r>
          </w:p>
        </w:tc>
      </w:tr>
      <w:tr w14:paraId="051F4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7" w:hRule="atLeast"/>
          <w:jc w:val="center"/>
        </w:trPr>
        <w:tc>
          <w:tcPr>
            <w:tcW w:w="767" w:type="dxa"/>
            <w:vAlign w:val="center"/>
          </w:tcPr>
          <w:p w14:paraId="1A49D4B3">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color w:val="auto"/>
                <w:szCs w:val="21"/>
                <w:highlight w:val="none"/>
              </w:rPr>
            </w:pPr>
          </w:p>
        </w:tc>
        <w:tc>
          <w:tcPr>
            <w:tcW w:w="1341" w:type="dxa"/>
            <w:vAlign w:val="center"/>
          </w:tcPr>
          <w:p w14:paraId="641FD21F">
            <w:pPr>
              <w:keepNext w:val="0"/>
              <w:keepLines w:val="0"/>
              <w:pageBreakBefore w:val="0"/>
              <w:widowControl w:val="0"/>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color w:val="auto"/>
                <w:highlight w:val="none"/>
              </w:rPr>
            </w:pPr>
            <w:r>
              <w:rPr>
                <w:rFonts w:hint="eastAsia" w:ascii="宋体" w:hAnsi="宋体" w:cs="宋体"/>
                <w:color w:val="auto"/>
                <w:highlight w:val="none"/>
              </w:rPr>
              <w:t>临购药品使用限制维护</w:t>
            </w:r>
          </w:p>
        </w:tc>
        <w:tc>
          <w:tcPr>
            <w:tcW w:w="7850" w:type="dxa"/>
            <w:vAlign w:val="center"/>
          </w:tcPr>
          <w:p w14:paraId="5CAAE241">
            <w:pPr>
              <w:keepNext w:val="0"/>
              <w:keepLines w:val="0"/>
              <w:pageBreakBefore w:val="0"/>
              <w:widowControl w:val="0"/>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color w:val="auto"/>
                <w:highlight w:val="none"/>
              </w:rPr>
            </w:pPr>
            <w:r>
              <w:rPr>
                <w:rFonts w:hint="eastAsia" w:ascii="宋体" w:hAnsi="宋体" w:cs="宋体"/>
                <w:color w:val="auto"/>
                <w:szCs w:val="21"/>
                <w:highlight w:val="none"/>
              </w:rPr>
              <w:t>1、提供可维护界面并可导出成EXECL表格。包含：门诊卡号/住院号（手输）、YPID（手输）、通用名（自动显示）、厂家（自动显示）、规格（自动显示）、使用区域（选择框：门诊/病区/全院）、可使用最小单位数量（手输，整数）、已使用最小单位数量（系统实时自动计算）、状态（选择框：正常/停用）</w:t>
            </w:r>
            <w:r>
              <w:rPr>
                <w:rFonts w:hint="eastAsia" w:ascii="宋体" w:hAnsi="宋体" w:cs="宋体"/>
                <w:color w:val="auto"/>
                <w:szCs w:val="21"/>
                <w:highlight w:val="none"/>
              </w:rPr>
              <w:br w:type="textWrapping"/>
            </w:r>
            <w:r>
              <w:rPr>
                <w:rFonts w:hint="eastAsia" w:ascii="宋体" w:hAnsi="宋体" w:cs="宋体"/>
                <w:color w:val="auto"/>
                <w:szCs w:val="21"/>
                <w:highlight w:val="none"/>
              </w:rPr>
              <w:t>2、设置停用键，可停用1中的整条信息。设置搜索框，包括搜索门诊卡号/住院号、YPID、通用名、使用区域、状态。</w:t>
            </w:r>
            <w:r>
              <w:rPr>
                <w:rFonts w:hint="eastAsia" w:ascii="宋体" w:hAnsi="宋体" w:cs="宋体"/>
                <w:color w:val="auto"/>
                <w:szCs w:val="21"/>
                <w:highlight w:val="none"/>
              </w:rPr>
              <w:br w:type="textWrapping"/>
            </w:r>
            <w:r>
              <w:rPr>
                <w:rFonts w:hint="eastAsia" w:ascii="宋体" w:hAnsi="宋体" w:cs="宋体"/>
                <w:color w:val="auto"/>
                <w:szCs w:val="21"/>
                <w:highlight w:val="none"/>
              </w:rPr>
              <w:t>3、当某药品的YPID在open-his中维护且状态为正常时，该药品仅能由维护的门诊卡号或住院号开具。其他患者选择该药时提示：XX药品属于临购药品，专人专用，如需使用，请走OA-药品临时采购申请。</w:t>
            </w:r>
            <w:r>
              <w:rPr>
                <w:rFonts w:hint="eastAsia" w:ascii="宋体" w:hAnsi="宋体" w:cs="宋体"/>
                <w:color w:val="auto"/>
                <w:szCs w:val="21"/>
                <w:highlight w:val="none"/>
              </w:rPr>
              <w:br w:type="textWrapping"/>
            </w:r>
            <w:r>
              <w:rPr>
                <w:rFonts w:hint="eastAsia" w:ascii="宋体" w:hAnsi="宋体" w:cs="宋体"/>
                <w:color w:val="auto"/>
                <w:szCs w:val="21"/>
                <w:highlight w:val="none"/>
              </w:rPr>
              <w:t>4、当申请患者的可使用最小单位数量＜已使用最小单位数量，该患者再次收费时，不可收费并提示：该患者已使用完申请数量，请医生再次申请临购。</w:t>
            </w:r>
          </w:p>
        </w:tc>
      </w:tr>
      <w:tr w14:paraId="5AF23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atLeast"/>
          <w:jc w:val="center"/>
        </w:trPr>
        <w:tc>
          <w:tcPr>
            <w:tcW w:w="767" w:type="dxa"/>
            <w:vAlign w:val="center"/>
          </w:tcPr>
          <w:p w14:paraId="026A3191">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color w:val="auto"/>
                <w:szCs w:val="21"/>
                <w:highlight w:val="none"/>
              </w:rPr>
            </w:pPr>
          </w:p>
        </w:tc>
        <w:tc>
          <w:tcPr>
            <w:tcW w:w="1341" w:type="dxa"/>
            <w:vAlign w:val="center"/>
          </w:tcPr>
          <w:p w14:paraId="23479A88">
            <w:pPr>
              <w:keepNext w:val="0"/>
              <w:keepLines w:val="0"/>
              <w:pageBreakBefore w:val="0"/>
              <w:widowControl w:val="0"/>
              <w:tabs>
                <w:tab w:val="left" w:pos="525"/>
                <w:tab w:val="left" w:pos="630"/>
              </w:tabs>
              <w:kinsoku/>
              <w:wordWrap/>
              <w:overflowPunct/>
              <w:topLinePunct w:val="0"/>
              <w:autoSpaceDE/>
              <w:autoSpaceDN/>
              <w:bidi w:val="0"/>
              <w:adjustRightInd w:val="0"/>
              <w:snapToGrid w:val="0"/>
              <w:spacing w:line="360" w:lineRule="auto"/>
              <w:jc w:val="left"/>
              <w:textAlignment w:val="auto"/>
              <w:rPr>
                <w:rFonts w:hint="eastAsia" w:ascii="宋体" w:hAnsi="宋体" w:cs="宋体"/>
                <w:color w:val="auto"/>
                <w:highlight w:val="none"/>
              </w:rPr>
            </w:pPr>
            <w:r>
              <w:rPr>
                <w:rFonts w:hint="eastAsia" w:ascii="宋体" w:hAnsi="宋体" w:cs="宋体"/>
                <w:lang w:val="en-US" w:eastAsia="zh-CN"/>
              </w:rPr>
              <w:t>抗菌药药师调剂权限维护功能</w:t>
            </w:r>
          </w:p>
        </w:tc>
        <w:tc>
          <w:tcPr>
            <w:tcW w:w="7850" w:type="dxa"/>
            <w:vAlign w:val="center"/>
          </w:tcPr>
          <w:p w14:paraId="5CC20DB1">
            <w:pPr>
              <w:keepNext w:val="0"/>
              <w:keepLines w:val="0"/>
              <w:pageBreakBefore w:val="0"/>
              <w:widowControl w:val="0"/>
              <w:numPr>
                <w:ilvl w:val="0"/>
                <w:numId w:val="18"/>
              </w:numPr>
              <w:tabs>
                <w:tab w:val="left" w:pos="525"/>
                <w:tab w:val="left" w:pos="630"/>
              </w:tabs>
              <w:kinsoku/>
              <w:wordWrap/>
              <w:overflowPunct/>
              <w:topLinePunct w:val="0"/>
              <w:autoSpaceDE/>
              <w:autoSpaceDN/>
              <w:bidi w:val="0"/>
              <w:adjustRightInd w:val="0"/>
              <w:snapToGrid w:val="0"/>
              <w:spacing w:line="360" w:lineRule="auto"/>
              <w:ind w:left="420" w:leftChars="0" w:hanging="420" w:firstLineChars="0"/>
              <w:jc w:val="left"/>
              <w:textAlignment w:val="auto"/>
              <w:rPr>
                <w:rFonts w:hint="eastAsia" w:ascii="宋体" w:hAnsi="宋体" w:cs="宋体"/>
                <w:color w:val="auto"/>
                <w:szCs w:val="21"/>
                <w:highlight w:val="none"/>
              </w:rPr>
            </w:pPr>
            <w:r>
              <w:rPr>
                <w:rFonts w:hint="eastAsia" w:ascii="宋体" w:hAnsi="宋体" w:cs="宋体"/>
                <w:szCs w:val="21"/>
                <w:lang w:val="en-US" w:eastAsia="zh-CN"/>
              </w:rPr>
              <w:t>支持药师抗菌药调剂分级权限维护功能，系统设置药师非限制使用级、限制使用级、特殊使用级抗菌药物相应调剂权限后，药师方可对门急诊、住院不同等级的抗菌药进行调配、发药操作。</w:t>
            </w:r>
          </w:p>
        </w:tc>
      </w:tr>
    </w:tbl>
    <w:p w14:paraId="15506EB8">
      <w:pPr>
        <w:rPr>
          <w:color w:val="auto"/>
          <w:highlight w:val="none"/>
        </w:rPr>
      </w:pPr>
    </w:p>
    <w:p w14:paraId="4D9F5BAC">
      <w:pPr>
        <w:rPr>
          <w:color w:val="auto"/>
          <w:highlight w:val="none"/>
        </w:rPr>
      </w:pPr>
    </w:p>
    <w:p w14:paraId="758CA3C8">
      <w:pPr>
        <w:pStyle w:val="4"/>
        <w:numPr>
          <w:ilvl w:val="2"/>
          <w:numId w:val="1"/>
        </w:numPr>
        <w:spacing w:before="0" w:after="0" w:line="360" w:lineRule="auto"/>
        <w:ind w:left="567" w:hanging="567"/>
        <w:rPr>
          <w:color w:val="auto"/>
          <w:sz w:val="24"/>
          <w:highlight w:val="none"/>
        </w:rPr>
      </w:pPr>
      <w:bookmarkStart w:id="37" w:name="_Toc22297"/>
      <w:bookmarkStart w:id="38" w:name="_Toc21331"/>
      <w:bookmarkStart w:id="39" w:name="_Toc24734"/>
      <w:bookmarkStart w:id="40" w:name="_Toc9588"/>
      <w:bookmarkStart w:id="41" w:name="_Toc5132"/>
      <w:r>
        <w:rPr>
          <w:rFonts w:hint="eastAsia" w:eastAsia="宋体"/>
          <w:color w:val="auto"/>
          <w:kern w:val="2"/>
          <w:sz w:val="24"/>
          <w:szCs w:val="24"/>
          <w:highlight w:val="none"/>
        </w:rPr>
        <w:t>门诊药房系统</w:t>
      </w:r>
      <w:bookmarkEnd w:id="37"/>
      <w:bookmarkEnd w:id="38"/>
      <w:bookmarkEnd w:id="39"/>
      <w:bookmarkEnd w:id="40"/>
      <w:bookmarkEnd w:id="41"/>
    </w:p>
    <w:tbl>
      <w:tblPr>
        <w:tblStyle w:val="46"/>
        <w:tblW w:w="96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0"/>
        <w:gridCol w:w="1443"/>
        <w:gridCol w:w="7706"/>
      </w:tblGrid>
      <w:tr w14:paraId="05E51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851" w:type="dxa"/>
            <w:vAlign w:val="center"/>
          </w:tcPr>
          <w:p w14:paraId="6F4B6DD9">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r>
              <w:rPr>
                <w:rFonts w:hint="eastAsia" w:ascii="宋体" w:hAnsi="宋体" w:cs="宋体"/>
                <w:color w:val="auto"/>
                <w:kern w:val="0"/>
                <w:sz w:val="21"/>
                <w:szCs w:val="21"/>
                <w:highlight w:val="none"/>
              </w:rPr>
              <w:t>需求名称</w:t>
            </w:r>
          </w:p>
        </w:tc>
        <w:tc>
          <w:tcPr>
            <w:tcW w:w="1091" w:type="dxa"/>
            <w:vAlign w:val="center"/>
          </w:tcPr>
          <w:p w14:paraId="5C77B9DD">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r>
              <w:rPr>
                <w:rFonts w:hint="eastAsia" w:ascii="宋体" w:hAnsi="宋体" w:cs="宋体"/>
                <w:color w:val="auto"/>
                <w:kern w:val="0"/>
                <w:sz w:val="21"/>
                <w:szCs w:val="21"/>
                <w:highlight w:val="none"/>
              </w:rPr>
              <w:t>序号</w:t>
            </w:r>
          </w:p>
        </w:tc>
        <w:tc>
          <w:tcPr>
            <w:tcW w:w="7737" w:type="dxa"/>
            <w:vAlign w:val="center"/>
          </w:tcPr>
          <w:p w14:paraId="57C5EF88">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r>
              <w:rPr>
                <w:rFonts w:hint="eastAsia" w:ascii="宋体" w:hAnsi="宋体" w:cs="宋体"/>
                <w:color w:val="auto"/>
                <w:kern w:val="0"/>
                <w:sz w:val="21"/>
                <w:szCs w:val="21"/>
                <w:highlight w:val="none"/>
              </w:rPr>
              <w:t>需求描述</w:t>
            </w:r>
          </w:p>
        </w:tc>
      </w:tr>
      <w:tr w14:paraId="12688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9679" w:type="dxa"/>
            <w:gridSpan w:val="3"/>
            <w:vAlign w:val="center"/>
          </w:tcPr>
          <w:p w14:paraId="2DD1CFFE">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r>
              <w:rPr>
                <w:rFonts w:hint="eastAsia" w:ascii="宋体" w:hAnsi="宋体" w:cs="宋体"/>
                <w:color w:val="auto"/>
                <w:sz w:val="21"/>
                <w:szCs w:val="21"/>
                <w:highlight w:val="none"/>
              </w:rPr>
              <w:t>门诊药房系统需满足以下日常业务工作：发药、退药、药品出入库、药品盘点、库存禁用、药品日月结、库房查询、麻精电子病历、</w:t>
            </w:r>
            <w:r>
              <w:rPr>
                <w:rFonts w:hint="eastAsia" w:ascii="宋体" w:hAnsi="宋体" w:cs="宋体"/>
                <w:sz w:val="21"/>
                <w:szCs w:val="21"/>
              </w:rPr>
              <w:t>处方审核、报到机报到、</w:t>
            </w:r>
            <w:r>
              <w:rPr>
                <w:rFonts w:hint="eastAsia" w:ascii="宋体" w:hAnsi="宋体" w:cs="宋体"/>
                <w:color w:val="auto"/>
                <w:sz w:val="21"/>
                <w:szCs w:val="21"/>
                <w:highlight w:val="none"/>
              </w:rPr>
              <w:t>各类药品统计报表、药品属性维护，相应的信息系统需求包括但不限于以下内容。</w:t>
            </w:r>
          </w:p>
        </w:tc>
      </w:tr>
      <w:tr w14:paraId="1E91D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851" w:type="dxa"/>
            <w:vMerge w:val="restart"/>
            <w:vAlign w:val="center"/>
          </w:tcPr>
          <w:p w14:paraId="5E3FDFF3">
            <w:pPr>
              <w:keepNext w:val="0"/>
              <w:keepLines w:val="0"/>
              <w:pageBreakBefore w:val="0"/>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sz w:val="21"/>
                <w:szCs w:val="21"/>
                <w:highlight w:val="none"/>
              </w:rPr>
            </w:pPr>
            <w:r>
              <w:rPr>
                <w:rFonts w:hint="eastAsia" w:ascii="宋体" w:hAnsi="宋体" w:cs="宋体"/>
                <w:color w:val="auto"/>
                <w:sz w:val="21"/>
                <w:szCs w:val="21"/>
                <w:highlight w:val="none"/>
              </w:rPr>
              <w:t>门诊药房系统</w:t>
            </w:r>
          </w:p>
        </w:tc>
        <w:tc>
          <w:tcPr>
            <w:tcW w:w="8828" w:type="dxa"/>
            <w:gridSpan w:val="2"/>
            <w:vAlign w:val="center"/>
          </w:tcPr>
          <w:p w14:paraId="5C6BFF27">
            <w:pPr>
              <w:keepNext w:val="0"/>
              <w:keepLines w:val="0"/>
              <w:pageBreakBefore w:val="0"/>
              <w:numPr>
                <w:ilvl w:val="1"/>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r>
              <w:rPr>
                <w:rFonts w:hint="eastAsia" w:ascii="宋体" w:hAnsi="宋体" w:cs="宋体"/>
                <w:color w:val="auto"/>
                <w:sz w:val="21"/>
                <w:szCs w:val="21"/>
                <w:highlight w:val="none"/>
              </w:rPr>
              <w:t>门诊药房系统</w:t>
            </w:r>
          </w:p>
        </w:tc>
      </w:tr>
      <w:tr w14:paraId="448FC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1" w:type="dxa"/>
            <w:vMerge w:val="continue"/>
            <w:vAlign w:val="center"/>
          </w:tcPr>
          <w:p w14:paraId="1A8964C8">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091" w:type="dxa"/>
            <w:vAlign w:val="center"/>
          </w:tcPr>
          <w:p w14:paraId="433DE254">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r>
              <w:rPr>
                <w:rFonts w:hint="eastAsia" w:ascii="宋体" w:hAnsi="宋体" w:cs="宋体"/>
                <w:color w:val="auto"/>
                <w:sz w:val="21"/>
                <w:szCs w:val="21"/>
                <w:highlight w:val="none"/>
              </w:rPr>
              <w:t>门诊药房系统</w:t>
            </w:r>
          </w:p>
        </w:tc>
        <w:tc>
          <w:tcPr>
            <w:tcW w:w="7737" w:type="dxa"/>
            <w:vAlign w:val="center"/>
          </w:tcPr>
          <w:p w14:paraId="2491B47D">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支持智能分窗策略，按照指定药房下开启的窗口，进行剩余量最小分配或者平均分配策略；</w:t>
            </w:r>
          </w:p>
          <w:p w14:paraId="1B298A4D">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支持特殊处方灵活分配到指定窗口，如代煎处方、快递处方、精麻处方、毒性处方可以分配到配置的指定窗口；支持根据处方中药品数量分配窗口，例如处方中药品总数量小于5，可分配至自助取药机窗口。</w:t>
            </w:r>
          </w:p>
          <w:p w14:paraId="47CC7DF2">
            <w:pPr>
              <w:keepNext w:val="0"/>
              <w:keepLines w:val="0"/>
              <w:pageBreakBefore w:val="0"/>
              <w:widowControl/>
              <w:numPr>
                <w:ilvl w:val="0"/>
                <w:numId w:val="12"/>
              </w:numPr>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sz w:val="21"/>
                <w:szCs w:val="21"/>
                <w:highlight w:val="none"/>
              </w:rPr>
              <w:t>支持可扫手机条形码、电子医保凭证发药。</w:t>
            </w:r>
            <w:r>
              <w:rPr>
                <w:rFonts w:hint="eastAsia" w:ascii="宋体" w:hAnsi="宋体" w:cs="宋体"/>
                <w:sz w:val="21"/>
                <w:szCs w:val="21"/>
                <w:highlight w:val="none"/>
                <w:lang w:val="en-US" w:eastAsia="zh-CN"/>
              </w:rPr>
              <w:t>支持根据发药窗口自主维护用药交代打印功能，包括自动、手动</w:t>
            </w:r>
            <w:r>
              <w:rPr>
                <w:rFonts w:hint="eastAsia" w:ascii="宋体" w:hAnsi="宋体" w:cs="宋体"/>
                <w:sz w:val="21"/>
                <w:szCs w:val="21"/>
                <w:highlight w:val="none"/>
              </w:rPr>
              <w:t>，包括用药剂量、频次、药品名称。</w:t>
            </w:r>
          </w:p>
          <w:p w14:paraId="21C26DF6">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支持特定开单科室开立的处方分配到指定窗口，如急诊科开立、发热门诊开立等，分配到药房下的特定窗口；</w:t>
            </w:r>
          </w:p>
          <w:p w14:paraId="2FD51EE6">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支持设置药房下的默认窗口，如药房下所有窗口都已关闭，可以分配到默认窗口；</w:t>
            </w:r>
          </w:p>
          <w:p w14:paraId="039F071E">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bookmarkStart w:id="42" w:name="RANGE!E8"/>
            <w:r>
              <w:rPr>
                <w:rFonts w:hint="eastAsia" w:ascii="宋体" w:hAnsi="宋体" w:cs="宋体"/>
                <w:bCs/>
                <w:color w:val="auto"/>
                <w:sz w:val="21"/>
                <w:szCs w:val="21"/>
                <w:highlight w:val="none"/>
              </w:rPr>
              <w:t>支持基于多院区多机构管理，提供跨院区、跨药房发药模式；</w:t>
            </w:r>
          </w:p>
          <w:bookmarkEnd w:id="42"/>
          <w:p w14:paraId="76B2A015">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支持在药房发药管理中，对西药、成药、草药分药房发药或者在一个药房内发药；</w:t>
            </w:r>
          </w:p>
          <w:p w14:paraId="194631CA">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支持发药工作站和发药窗口关联功能，智能化、规则化管理当前发药窗口；</w:t>
            </w:r>
          </w:p>
          <w:p w14:paraId="171FC8FF">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支持按药房设置是否需要患者签到后再进行发药处理；</w:t>
            </w:r>
          </w:p>
          <w:p w14:paraId="32B4E4F0">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直接发药、配药发药、配药核对三种基础模式，对于中医药等特殊发药流程，提供草药自煎药、医院加工（医院代煎或制膏）、外部加工（外部公司进行煎药或制膏）三种取药流程，以满足医院特殊流程需求；</w:t>
            </w:r>
          </w:p>
          <w:p w14:paraId="24A88723">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sz w:val="21"/>
                <w:szCs w:val="21"/>
              </w:rPr>
            </w:pPr>
            <w:r>
              <w:rPr>
                <w:rFonts w:hint="eastAsia" w:ascii="宋体" w:hAnsi="宋体" w:cs="宋体"/>
                <w:bCs/>
                <w:sz w:val="21"/>
                <w:szCs w:val="21"/>
              </w:rPr>
              <w:t>中药代煎汤剂：支持该类处方登记患者取药的地址和电话等信息。支持该类处方确认发药后，及时准确地将处方信息传送至中药代煎系统。支持该类处方实时查询中药代煎汤剂煎药状态、物流配送状态。支持通过统一消息系统向患者推送药品物流状态、药品服用信息等。支持后台自动打印发药单，支持按权限提供补打功能。</w:t>
            </w:r>
          </w:p>
          <w:p w14:paraId="70551517">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sz w:val="21"/>
                <w:szCs w:val="21"/>
              </w:rPr>
            </w:pPr>
            <w:r>
              <w:rPr>
                <w:rFonts w:hint="eastAsia" w:ascii="宋体" w:hAnsi="宋体" w:cs="宋体"/>
                <w:bCs/>
                <w:sz w:val="21"/>
                <w:szCs w:val="21"/>
              </w:rPr>
              <w:t>麻醉药品、第一类精神药品：支持药房对麻醉药品、第一类精神药品进行精细化的专项管理，能实现信息化的专人管理、基数管理、专用处方管理、专用使用登记册管理、专用账册管理。</w:t>
            </w:r>
          </w:p>
          <w:p w14:paraId="0B1714B9">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sz w:val="21"/>
                <w:szCs w:val="21"/>
              </w:rPr>
            </w:pPr>
            <w:r>
              <w:rPr>
                <w:rFonts w:hint="eastAsia" w:ascii="宋体" w:hAnsi="宋体" w:cs="宋体"/>
                <w:bCs/>
                <w:sz w:val="21"/>
                <w:szCs w:val="21"/>
              </w:rPr>
              <w:t>其他特殊管理药品：支持药房对其他特殊管理药品的的专项管理，能实现信息化的基数管理、专用处方管理、专用使用登记册管理、专用账册管理。</w:t>
            </w:r>
          </w:p>
          <w:p w14:paraId="74617A82">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sz w:val="21"/>
                <w:szCs w:val="21"/>
              </w:rPr>
              <w:t>整合药品健康助手功能，发药后通过移动端向患者微信推送用法用量注意事项等药嘱单。</w:t>
            </w:r>
          </w:p>
          <w:p w14:paraId="37D95119">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支持对处方分计划发药或者一起发药，如多次输液类处方，支持按次发药或者一起发药；</w:t>
            </w:r>
          </w:p>
          <w:p w14:paraId="1A109F5C">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支持门诊配送药品集中处理功能，对可能在多个药房的患者药品进行统一配送管理；</w:t>
            </w:r>
          </w:p>
          <w:p w14:paraId="24A4C70C">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支持与外部代煎或物流公司对接，做到待煎药或制膏的批量发药、批量配送功能，如在在外部公司来取处方时批量发药、对接第三方物流进行处方配送；</w:t>
            </w:r>
          </w:p>
          <w:p w14:paraId="07410607">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支持在发药核对管理中，通过扫描病人的条形码发药处理、支持账户病人刷卡定位发药处理、支持按发票号码对一整张发票的所有处方进行发药处理；</w:t>
            </w:r>
          </w:p>
          <w:p w14:paraId="48BBC4D6">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支持在发药票据打印中，发药前打印、发药后打印、不打印三种处方打印方式、支持口服卡、输液单、处方笺的自动打印；</w:t>
            </w:r>
          </w:p>
          <w:p w14:paraId="0D55BD86">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支持扫药品码发药；</w:t>
            </w:r>
          </w:p>
          <w:p w14:paraId="194C7C89">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在发药流程质管环节中，通过与合理用药系统对接，对用药审查对用药禁忌、并发症、不良反应药物情况等用药安全情况进行质控。并基于过敏药物管理制度，对未皮试或皮试阳性、缺药等异常处方发药进行额外控制；</w:t>
            </w:r>
          </w:p>
          <w:p w14:paraId="3BAFE8AF">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支持发药前校验患者是否存在待收费处方，如果存在给出对应的提醒。</w:t>
            </w:r>
          </w:p>
          <w:p w14:paraId="5F06EE22">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r>
              <w:rPr>
                <w:rFonts w:hint="eastAsia" w:ascii="宋体" w:hAnsi="宋体" w:cs="宋体"/>
                <w:bCs/>
                <w:color w:val="auto"/>
                <w:sz w:val="21"/>
                <w:szCs w:val="21"/>
                <w:highlight w:val="none"/>
              </w:rPr>
              <w:t>配方窗口维护功能（仅针对中药房）：</w:t>
            </w:r>
            <w:r>
              <w:rPr>
                <w:rFonts w:hint="eastAsia" w:ascii="宋体" w:hAnsi="宋体" w:cs="宋体"/>
                <w:color w:val="auto"/>
                <w:sz w:val="21"/>
                <w:szCs w:val="21"/>
                <w:highlight w:val="none"/>
              </w:rPr>
              <w:t>点击【新增】增加一条窗口记录，填写窗口代码、窗口门窗、窗口打印名称、窗口开放时间，【单元名称】选择窗口对应的单元，【状态标志】选择窗口的配药模式，【班次】选择窗口开放的班次信息。“打印”勾选表示配方发药时要打印处方、说明书、条码，“打印**提示”勾选表示在打印前会弹窗提示是否要打印。【配方与发药是否相同】勾选表示配方发药为同一个人。</w:t>
            </w:r>
          </w:p>
        </w:tc>
      </w:tr>
      <w:tr w14:paraId="7CCC0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851" w:type="dxa"/>
            <w:vMerge w:val="continue"/>
            <w:vAlign w:val="center"/>
          </w:tcPr>
          <w:p w14:paraId="7CD9E534">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8828" w:type="dxa"/>
            <w:gridSpan w:val="2"/>
            <w:vAlign w:val="center"/>
          </w:tcPr>
          <w:p w14:paraId="2CABCBBD">
            <w:pPr>
              <w:keepNext w:val="0"/>
              <w:keepLines w:val="0"/>
              <w:pageBreakBefore w:val="0"/>
              <w:numPr>
                <w:ilvl w:val="1"/>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r>
              <w:rPr>
                <w:rFonts w:hint="eastAsia" w:ascii="宋体" w:hAnsi="宋体" w:cs="宋体"/>
                <w:color w:val="auto"/>
                <w:sz w:val="21"/>
                <w:szCs w:val="21"/>
                <w:highlight w:val="none"/>
              </w:rPr>
              <w:t>门诊配药</w:t>
            </w:r>
          </w:p>
        </w:tc>
      </w:tr>
      <w:tr w14:paraId="2F7F2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1" w:hRule="atLeast"/>
          <w:jc w:val="center"/>
        </w:trPr>
        <w:tc>
          <w:tcPr>
            <w:tcW w:w="851" w:type="dxa"/>
            <w:vMerge w:val="continue"/>
            <w:vAlign w:val="center"/>
          </w:tcPr>
          <w:p w14:paraId="52FCD654">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091" w:type="dxa"/>
            <w:vAlign w:val="center"/>
          </w:tcPr>
          <w:p w14:paraId="0D73D86E">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r>
              <w:rPr>
                <w:rFonts w:hint="eastAsia" w:ascii="宋体" w:hAnsi="宋体" w:cs="宋体"/>
                <w:color w:val="auto"/>
                <w:sz w:val="21"/>
                <w:szCs w:val="21"/>
                <w:highlight w:val="none"/>
              </w:rPr>
              <w:t>门诊配药</w:t>
            </w:r>
          </w:p>
        </w:tc>
        <w:tc>
          <w:tcPr>
            <w:tcW w:w="7737" w:type="dxa"/>
            <w:vAlign w:val="center"/>
          </w:tcPr>
          <w:p w14:paraId="3660E612">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支持基于多院区多机构管理，提供跨院区、跨药房配药模式，其中跨药房配药应支持门诊代配住院药房药品，消耗的库存计入发药药房；</w:t>
            </w:r>
          </w:p>
          <w:p w14:paraId="0601AD66">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在门诊配药模式中，支持无系统管理配药、系统管理配药两种配药模式；在配药流程中，支持配药核对功能，配药核对后才算配药完成；</w:t>
            </w:r>
          </w:p>
          <w:p w14:paraId="06D7D724">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在配药队列管理中，支持多人配药，收费后智能化分配配药策略（如平均分配，剩余量较小等分配规则）；支持配药员设置工作/休息状态以应对突发状况；</w:t>
            </w:r>
          </w:p>
          <w:p w14:paraId="1CB51B2D">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支持取消配药，未配药处方可以转移到其他工作中的配药人；</w:t>
            </w:r>
          </w:p>
          <w:p w14:paraId="64E4EFE3">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在配药核对管理中，支持账户病人刷卡定位配药及通过扫描病人的条形码进行定位配药；</w:t>
            </w:r>
          </w:p>
          <w:p w14:paraId="32ED8BCC">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在配药质管中，支持基于药品使用准则，对未皮试或皮试阳性等异常处方配药的额外控制功能。</w:t>
            </w:r>
          </w:p>
          <w:p w14:paraId="621DF496">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门诊配药界面增加“配药状态”查询条件，选择“已配药”，可查询显示已配处方，选择“未配药”，可查询未配处方。</w:t>
            </w:r>
          </w:p>
          <w:p w14:paraId="6E0EDCCB">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配药界面增加“打印处方”功能，处方模板可自定义设置。</w:t>
            </w:r>
          </w:p>
          <w:p w14:paraId="0598EF4A">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配药界面扫描药品追溯码（支持同时采集</w:t>
            </w:r>
            <w:r>
              <w:rPr>
                <w:rFonts w:hint="eastAsia" w:ascii="宋体" w:hAnsi="宋体" w:cs="宋体"/>
                <w:color w:val="auto"/>
                <w:kern w:val="0"/>
                <w:sz w:val="21"/>
                <w:szCs w:val="21"/>
                <w:highlight w:val="none"/>
              </w:rPr>
              <w:t>≥30盒药品</w:t>
            </w:r>
            <w:r>
              <w:rPr>
                <w:rFonts w:hint="eastAsia" w:ascii="宋体" w:hAnsi="宋体" w:cs="宋体"/>
                <w:bCs/>
                <w:color w:val="auto"/>
                <w:sz w:val="21"/>
                <w:szCs w:val="21"/>
                <w:highlight w:val="none"/>
              </w:rPr>
              <w:t>），采集后自动校验：包括药品品种、数量是否准确，药品是否在有效期内，校验结果以不同颜色区分，如绿色为准确。若采集的追溯码无法与药品对应，可由人工选择追溯码对应的药品</w:t>
            </w:r>
            <w:r>
              <w:rPr>
                <w:rFonts w:hint="eastAsia"/>
                <w:color w:val="auto"/>
                <w:sz w:val="21"/>
                <w:szCs w:val="21"/>
                <w:highlight w:val="none"/>
              </w:rPr>
              <w:t>（定制化开发）</w:t>
            </w:r>
          </w:p>
          <w:p w14:paraId="4D64E2A8">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发药采集的追溯码需在发药当日上传医保平台（医保平台3505接口）和广东省集中式社会保险信息系统。</w:t>
            </w:r>
          </w:p>
          <w:p w14:paraId="02CE11A3">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拆零药品追溯码发药随机赋码：支持提前采集保存拆零药品追溯码，发药时拆零药品的追溯码由系统随机从保存的追溯码获取，无需手动扫码。</w:t>
            </w:r>
          </w:p>
          <w:p w14:paraId="07707CB7">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支持通过PDA采集发药追溯码。（定制化开发）</w:t>
            </w:r>
          </w:p>
          <w:p w14:paraId="4151FBC1">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sz w:val="21"/>
                <w:szCs w:val="21"/>
              </w:rPr>
            </w:pPr>
            <w:r>
              <w:rPr>
                <w:rFonts w:hint="eastAsia" w:ascii="宋体" w:hAnsi="宋体" w:cs="宋体"/>
                <w:bCs/>
                <w:color w:val="auto"/>
                <w:sz w:val="21"/>
                <w:szCs w:val="21"/>
                <w:highlight w:val="none"/>
              </w:rPr>
              <w:t>配药界面显示审方系统审核结果，审核结果嵌入配方界面集成显示，不以弹框形式显示，审核的结果需要包含：</w:t>
            </w:r>
            <w:r>
              <w:rPr>
                <w:rFonts w:hint="eastAsia" w:ascii="宋体" w:hAnsi="宋体" w:cs="宋体"/>
                <w:color w:val="auto"/>
                <w:sz w:val="21"/>
                <w:szCs w:val="21"/>
                <w:highlight w:val="none"/>
              </w:rPr>
              <w:t>具体问题、问题药品、不合理用药类型、审方药师干预结果。</w:t>
            </w:r>
          </w:p>
          <w:p w14:paraId="583E9AF5">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sz w:val="21"/>
                <w:szCs w:val="21"/>
                <w:lang w:val="en-US" w:eastAsia="zh-CN"/>
              </w:rPr>
              <w:t>发药界面可以打印用法说明清单，若患者当日有多张处方，所有当日发药的处方合并在一张用法说明清单上</w:t>
            </w:r>
            <w:r>
              <w:rPr>
                <w:rFonts w:hint="eastAsia" w:ascii="宋体" w:hAnsi="宋体" w:cs="宋体"/>
                <w:sz w:val="21"/>
                <w:szCs w:val="21"/>
                <w:lang w:eastAsia="zh-CN"/>
              </w:rPr>
              <w:t>，</w:t>
            </w:r>
            <w:r>
              <w:rPr>
                <w:rFonts w:hint="eastAsia" w:ascii="宋体" w:hAnsi="宋体" w:cs="宋体"/>
                <w:sz w:val="21"/>
                <w:szCs w:val="21"/>
                <w:lang w:val="en-US" w:eastAsia="zh-CN"/>
              </w:rPr>
              <w:t>清单需要显示的内容包括：二维码、处方号、取药窗口、患者姓名、就诊科室、性别、年龄、联系电话、诊断、药品通用名、药品商品名、药品规格、药品数量、药品用法、药品位置、药品备注、门诊药房电话、温馨提示“请您仔细核对药品，药品发出后非质量问题不退换。用药请遵医嘱和药品说明书，如有不适立即就医”</w:t>
            </w:r>
            <w:r>
              <w:rPr>
                <w:rFonts w:hint="eastAsia" w:ascii="宋体" w:hAnsi="宋体" w:cs="宋体"/>
                <w:sz w:val="21"/>
                <w:szCs w:val="21"/>
                <w:lang w:eastAsia="zh-CN"/>
              </w:rPr>
              <w:t>，</w:t>
            </w:r>
            <w:r>
              <w:rPr>
                <w:rFonts w:hint="eastAsia" w:ascii="宋体" w:hAnsi="宋体" w:cs="宋体"/>
                <w:sz w:val="21"/>
                <w:szCs w:val="21"/>
                <w:lang w:val="en-US" w:eastAsia="zh-CN"/>
              </w:rPr>
              <w:t>患者扫描清单上的二维码，可以显示清单上的所有内容，每个药品旁有语音播报按钮、药品用药教育视频链接</w:t>
            </w:r>
            <w:r>
              <w:rPr>
                <w:rFonts w:hint="eastAsia" w:ascii="宋体" w:hAnsi="宋体" w:cs="宋体"/>
                <w:sz w:val="21"/>
                <w:szCs w:val="21"/>
                <w:lang w:eastAsia="zh-CN"/>
              </w:rPr>
              <w:t>，</w:t>
            </w:r>
            <w:r>
              <w:rPr>
                <w:rFonts w:hint="eastAsia" w:ascii="宋体" w:hAnsi="宋体" w:cs="宋体"/>
                <w:sz w:val="21"/>
                <w:szCs w:val="21"/>
                <w:lang w:val="en-US" w:eastAsia="zh-CN"/>
              </w:rPr>
              <w:t>点击语音播报，可播报药品用法，点击视频链接，可跳转至相应视频，药品的视频链接由药学部提供</w:t>
            </w:r>
            <w:r>
              <w:rPr>
                <w:rFonts w:hint="eastAsia" w:ascii="宋体" w:hAnsi="宋体" w:cs="宋体"/>
                <w:sz w:val="21"/>
                <w:szCs w:val="21"/>
                <w:lang w:eastAsia="zh-CN"/>
              </w:rPr>
              <w:t>。</w:t>
            </w:r>
          </w:p>
          <w:p w14:paraId="6424AFBD">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color w:val="auto"/>
                <w:sz w:val="21"/>
                <w:szCs w:val="21"/>
                <w:highlight w:val="none"/>
              </w:rPr>
              <w:t>草药处方登记功能：刷就诊卡/医保卡选择需要登记的处方——勾选【是否代煎】（若医生收取了煎药费则右边信息栏会用红字标出收取了几次煎药费），勾选是的代煎处方，右上角显示“煎”字——系统显示出登记时间——点击【保存】自动打印条码给病人。（定制化开发）</w:t>
            </w:r>
          </w:p>
          <w:p w14:paraId="7AEFC0C8">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color w:val="auto"/>
                <w:sz w:val="21"/>
                <w:szCs w:val="21"/>
                <w:highlight w:val="none"/>
              </w:rPr>
              <w:t>草药处方发药：已登记的草药处方，显示在已登记草药处方界面，首次进入需要填写配方人员工号，点击【刷新】或者按【F12】按配药时间先后弹出处方——点击【发药确认】进行配方确认——点击【打印条码】打印贴在药袋上的条码。勾选了代煎的处方，可扫描条码进行煎药确认。有“窗口确认”功能，扫描条码，病人名字可出现在显示屏，播报“请xx到xx窗口取药”，同时发送短信给患者。有“取药确认”功能，扫描条码后，视为取药完成，显示屏名字消失。</w:t>
            </w:r>
          </w:p>
          <w:p w14:paraId="426A8318">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color w:val="auto"/>
                <w:sz w:val="21"/>
                <w:szCs w:val="21"/>
                <w:highlight w:val="none"/>
              </w:rPr>
              <w:t>门诊中药房代配住院中药处方：支持输入处方号进行单张处方配方；支持显示代配处方列表，多选进行配方，代配处方列表可有“已配方”、“未配方”进行快速筛选。</w:t>
            </w:r>
          </w:p>
          <w:p w14:paraId="198A4F49">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color w:val="auto"/>
                <w:sz w:val="21"/>
                <w:szCs w:val="21"/>
                <w:highlight w:val="none"/>
              </w:rPr>
              <w:t>草药处方配方界面增加“代煎标签”打印功能，每张处方包括内标签、外标签，模板见下图。</w:t>
            </w:r>
          </w:p>
          <w:p w14:paraId="350BCABD">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r>
              <w:rPr>
                <w:rFonts w:hint="eastAsia" w:ascii="宋体" w:hAnsi="宋体" w:cs="宋体"/>
                <w:color w:val="auto"/>
                <w:sz w:val="21"/>
                <w:szCs w:val="21"/>
                <w:highlight w:val="none"/>
              </w:rPr>
              <w:t>医师开具医嘱时填写的备注需在发药界面显示，打印出的纸质处方也需显示。</w:t>
            </w:r>
          </w:p>
          <w:p w14:paraId="71CEDBCE">
            <w:pPr>
              <w:keepNext w:val="0"/>
              <w:keepLines w:val="0"/>
              <w:pageBreakBefore w:val="0"/>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r>
              <w:rPr>
                <w:rFonts w:hint="eastAsia" w:ascii="宋体" w:hAnsi="宋体" w:cs="宋体"/>
                <w:color w:val="auto"/>
                <w:sz w:val="21"/>
                <w:szCs w:val="21"/>
                <w:highlight w:val="none"/>
              </w:rPr>
              <w:t>草药处方登记</w:t>
            </w:r>
          </w:p>
          <w:p w14:paraId="404FFC3A">
            <w:pPr>
              <w:keepNext w:val="0"/>
              <w:keepLines w:val="0"/>
              <w:pageBreakBefore w:val="0"/>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r>
              <w:rPr>
                <w:rFonts w:hint="eastAsia" w:ascii="宋体" w:hAnsi="宋体" w:cs="宋体"/>
                <w:color w:val="auto"/>
                <w:sz w:val="21"/>
                <w:szCs w:val="21"/>
                <w:highlight w:val="none"/>
              </w:rPr>
              <w:t>草药处方配方</w:t>
            </w:r>
          </w:p>
          <w:p w14:paraId="6F941283">
            <w:pPr>
              <w:keepNext w:val="0"/>
              <w:keepLines w:val="0"/>
              <w:pageBreakBefore w:val="0"/>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r>
              <w:rPr>
                <w:rFonts w:hint="eastAsia" w:ascii="宋体" w:hAnsi="宋体" w:cs="宋体"/>
                <w:color w:val="auto"/>
                <w:sz w:val="21"/>
                <w:szCs w:val="21"/>
                <w:highlight w:val="none"/>
              </w:rPr>
              <w:t>门诊代配住院中药处方</w:t>
            </w:r>
          </w:p>
          <w:p w14:paraId="7D5E2058">
            <w:pPr>
              <w:keepNext w:val="0"/>
              <w:keepLines w:val="0"/>
              <w:pageBreakBefore w:val="0"/>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r>
              <w:rPr>
                <w:rFonts w:hint="eastAsia" w:ascii="宋体" w:hAnsi="宋体" w:cs="宋体"/>
                <w:color w:val="auto"/>
                <w:sz w:val="21"/>
                <w:szCs w:val="21"/>
                <w:highlight w:val="none"/>
              </w:rPr>
              <w:t>草药处方标签</w:t>
            </w:r>
          </w:p>
        </w:tc>
      </w:tr>
      <w:tr w14:paraId="5FA68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851" w:type="dxa"/>
            <w:vMerge w:val="continue"/>
            <w:vAlign w:val="center"/>
          </w:tcPr>
          <w:p w14:paraId="56DF8236">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8828" w:type="dxa"/>
            <w:gridSpan w:val="2"/>
            <w:vAlign w:val="center"/>
          </w:tcPr>
          <w:p w14:paraId="668C26C9">
            <w:pPr>
              <w:keepNext w:val="0"/>
              <w:keepLines w:val="0"/>
              <w:pageBreakBefore w:val="0"/>
              <w:numPr>
                <w:ilvl w:val="1"/>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r>
              <w:rPr>
                <w:rFonts w:hint="eastAsia" w:ascii="宋体" w:hAnsi="宋体" w:cs="宋体"/>
                <w:color w:val="auto"/>
                <w:sz w:val="21"/>
                <w:szCs w:val="21"/>
                <w:highlight w:val="none"/>
              </w:rPr>
              <w:t>门诊退药</w:t>
            </w:r>
          </w:p>
        </w:tc>
      </w:tr>
      <w:tr w14:paraId="0DF81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7" w:hRule="atLeast"/>
          <w:jc w:val="center"/>
        </w:trPr>
        <w:tc>
          <w:tcPr>
            <w:tcW w:w="851" w:type="dxa"/>
            <w:vMerge w:val="continue"/>
            <w:vAlign w:val="center"/>
          </w:tcPr>
          <w:p w14:paraId="6F0AE6CC">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091" w:type="dxa"/>
            <w:vAlign w:val="center"/>
          </w:tcPr>
          <w:p w14:paraId="50FCB996">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r>
              <w:rPr>
                <w:rFonts w:hint="eastAsia" w:ascii="宋体" w:hAnsi="宋体" w:cs="宋体"/>
                <w:color w:val="auto"/>
                <w:sz w:val="21"/>
                <w:szCs w:val="21"/>
                <w:highlight w:val="none"/>
              </w:rPr>
              <w:t>门诊退药</w:t>
            </w:r>
          </w:p>
        </w:tc>
        <w:tc>
          <w:tcPr>
            <w:tcW w:w="7737" w:type="dxa"/>
            <w:vAlign w:val="center"/>
          </w:tcPr>
          <w:p w14:paraId="3FBA5DD9">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sz w:val="21"/>
                <w:szCs w:val="21"/>
              </w:rPr>
              <w:t>支持门诊退药，退药流程支持医院管理要求，包括不限于药房审核，可拒绝可接受。</w:t>
            </w:r>
          </w:p>
          <w:p w14:paraId="0AD8C559">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按照退药的数量和种类，支持部分退药或全部退药，部分退药后作废原已发药数据并生成新发药数据，作废的已发药数据系统需自动获取原来发药时采集的追溯码，上传医保平台销售退货接口（3506接口）</w:t>
            </w:r>
            <w:r>
              <w:rPr>
                <w:rStyle w:val="48"/>
                <w:rFonts w:hint="eastAsia" w:ascii="宋体" w:hAnsi="宋体" w:eastAsia="宋体" w:cs="宋体"/>
                <w:b w:val="0"/>
                <w:bCs/>
                <w:i w:val="0"/>
                <w:iCs w:val="0"/>
                <w:caps w:val="0"/>
                <w:color w:val="auto"/>
                <w:spacing w:val="0"/>
                <w:sz w:val="21"/>
                <w:szCs w:val="21"/>
                <w:highlight w:val="none"/>
                <w:shd w:val="clear" w:fill="FFFFFF"/>
              </w:rPr>
              <w:t>和广东省集中式社会保险信息系统的药品退货接口</w:t>
            </w:r>
            <w:r>
              <w:rPr>
                <w:rFonts w:hint="eastAsia" w:ascii="宋体" w:hAnsi="宋体" w:cs="宋体"/>
                <w:bCs/>
                <w:color w:val="auto"/>
                <w:sz w:val="21"/>
                <w:szCs w:val="21"/>
                <w:highlight w:val="none"/>
              </w:rPr>
              <w:t>；生成的新发药数据系统需自动获取原来发药时采集的追溯码，由人工选择需要重新上传医保平台销售接口的追溯码（3505接口）</w:t>
            </w:r>
            <w:r>
              <w:rPr>
                <w:rStyle w:val="48"/>
                <w:rFonts w:hint="eastAsia" w:ascii="宋体" w:hAnsi="宋体" w:eastAsia="宋体" w:cs="宋体"/>
                <w:b w:val="0"/>
                <w:bCs/>
                <w:i w:val="0"/>
                <w:iCs w:val="0"/>
                <w:caps w:val="0"/>
                <w:color w:val="auto"/>
                <w:spacing w:val="0"/>
                <w:sz w:val="21"/>
                <w:szCs w:val="21"/>
                <w:highlight w:val="none"/>
                <w:shd w:val="clear" w:fill="FFFFFF"/>
              </w:rPr>
              <w:t>和广东省集中式社会保险信息系统的药品销售接口的追溯码</w:t>
            </w:r>
            <w:r>
              <w:rPr>
                <w:rFonts w:hint="eastAsia" w:ascii="宋体" w:hAnsi="宋体" w:cs="宋体"/>
                <w:bCs/>
                <w:color w:val="auto"/>
                <w:sz w:val="21"/>
                <w:szCs w:val="21"/>
                <w:highlight w:val="none"/>
              </w:rPr>
              <w:t>；全部退药后作废原发药数据，系统需自动获取原来发药时采集的追溯码，上传医保平台销售退货接口（3506接口）</w:t>
            </w:r>
            <w:r>
              <w:rPr>
                <w:rStyle w:val="48"/>
                <w:rFonts w:hint="eastAsia" w:ascii="宋体" w:hAnsi="宋体" w:eastAsia="宋体" w:cs="宋体"/>
                <w:b w:val="0"/>
                <w:bCs/>
                <w:i w:val="0"/>
                <w:iCs w:val="0"/>
                <w:caps w:val="0"/>
                <w:color w:val="auto"/>
                <w:spacing w:val="0"/>
                <w:sz w:val="21"/>
                <w:szCs w:val="21"/>
                <w:highlight w:val="none"/>
                <w:shd w:val="clear" w:fill="FFFFFF"/>
              </w:rPr>
              <w:t>和广东省集中式社会保险信息系统</w:t>
            </w:r>
            <w:r>
              <w:rPr>
                <w:rFonts w:hint="eastAsia" w:ascii="宋体" w:hAnsi="宋体" w:cs="宋体"/>
                <w:bCs/>
                <w:color w:val="auto"/>
                <w:sz w:val="21"/>
                <w:szCs w:val="21"/>
                <w:highlight w:val="none"/>
              </w:rPr>
              <w:t>；</w:t>
            </w:r>
          </w:p>
          <w:p w14:paraId="6201589C">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sz w:val="21"/>
                <w:szCs w:val="21"/>
              </w:rPr>
            </w:pPr>
            <w:r>
              <w:rPr>
                <w:rFonts w:hint="eastAsia" w:ascii="宋体" w:hAnsi="宋体" w:cs="宋体"/>
                <w:bCs/>
                <w:color w:val="auto"/>
                <w:sz w:val="21"/>
                <w:szCs w:val="21"/>
                <w:highlight w:val="none"/>
              </w:rPr>
              <w:t>在退药核对中，支持通过扫描病人的条形码查找病人的退药数据，进行退药处理；</w:t>
            </w:r>
          </w:p>
          <w:p w14:paraId="28B4E916">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sz w:val="21"/>
                <w:szCs w:val="21"/>
                <w:lang w:eastAsia="zh-CN"/>
              </w:rPr>
              <w:t>在退药核对中，支持通过扫描药品追溯码查找病人</w:t>
            </w:r>
            <w:r>
              <w:rPr>
                <w:rFonts w:hint="eastAsia" w:ascii="宋体" w:hAnsi="宋体" w:cs="宋体"/>
                <w:bCs/>
                <w:sz w:val="21"/>
                <w:szCs w:val="21"/>
                <w:lang w:val="en-US" w:eastAsia="zh-CN"/>
              </w:rPr>
              <w:t>相应的发药处方</w:t>
            </w:r>
            <w:r>
              <w:rPr>
                <w:rFonts w:hint="eastAsia" w:ascii="宋体" w:hAnsi="宋体" w:cs="宋体"/>
                <w:bCs/>
                <w:sz w:val="21"/>
                <w:szCs w:val="21"/>
                <w:lang w:eastAsia="zh-CN"/>
              </w:rPr>
              <w:t>，进行退药处理；</w:t>
            </w:r>
          </w:p>
          <w:p w14:paraId="05EEDB3C">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支持一卡通账户病人刷卡定位退药操作；</w:t>
            </w:r>
          </w:p>
          <w:p w14:paraId="0FC3229D">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支持通过扫描病人的条形码查找病人未退费的退药数据，并进行取消退药处理；</w:t>
            </w:r>
          </w:p>
          <w:p w14:paraId="4267FDB2">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支持多次退药后的取消退药操作；</w:t>
            </w:r>
          </w:p>
          <w:p w14:paraId="6F05F914">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系统支持取消发药操作，取消发药后的处方再进入发药窗口，可继续发药；</w:t>
            </w:r>
          </w:p>
          <w:p w14:paraId="66531552">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支持通过扫描病人的条形码查找病人的取消发药数据，并进行取消发药处理。</w:t>
            </w:r>
          </w:p>
          <w:p w14:paraId="0F1D7105">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r>
              <w:rPr>
                <w:rFonts w:hint="eastAsia" w:ascii="宋体" w:hAnsi="宋体" w:cs="宋体"/>
                <w:bCs/>
                <w:color w:val="auto"/>
                <w:sz w:val="21"/>
                <w:szCs w:val="21"/>
                <w:highlight w:val="none"/>
              </w:rPr>
              <w:t>增加“退药原因”选项，选项可事先设置常用原因后供选择，也可人工输入原因，需选择“退药原因”后才可完成退药操作。</w:t>
            </w:r>
          </w:p>
        </w:tc>
      </w:tr>
      <w:tr w14:paraId="4F820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851" w:type="dxa"/>
            <w:vMerge w:val="continue"/>
            <w:vAlign w:val="center"/>
          </w:tcPr>
          <w:p w14:paraId="6A116506">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8828" w:type="dxa"/>
            <w:gridSpan w:val="2"/>
            <w:vAlign w:val="center"/>
          </w:tcPr>
          <w:p w14:paraId="5435CCAF">
            <w:pPr>
              <w:keepNext w:val="0"/>
              <w:keepLines w:val="0"/>
              <w:pageBreakBefore w:val="0"/>
              <w:numPr>
                <w:ilvl w:val="1"/>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r>
              <w:rPr>
                <w:rFonts w:hint="eastAsia" w:ascii="宋体" w:hAnsi="宋体" w:cs="宋体"/>
                <w:color w:val="auto"/>
                <w:sz w:val="21"/>
                <w:szCs w:val="21"/>
                <w:highlight w:val="none"/>
              </w:rPr>
              <w:t>处方审核</w:t>
            </w:r>
          </w:p>
        </w:tc>
      </w:tr>
      <w:tr w14:paraId="70B0C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851" w:type="dxa"/>
            <w:vMerge w:val="continue"/>
            <w:vAlign w:val="center"/>
          </w:tcPr>
          <w:p w14:paraId="4F23D1D3">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091" w:type="dxa"/>
            <w:vMerge w:val="restart"/>
            <w:vAlign w:val="center"/>
          </w:tcPr>
          <w:p w14:paraId="0F79F6E8">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r>
              <w:rPr>
                <w:rFonts w:hint="eastAsia" w:ascii="宋体" w:hAnsi="宋体" w:cs="宋体"/>
                <w:color w:val="auto"/>
                <w:sz w:val="21"/>
                <w:szCs w:val="21"/>
                <w:highlight w:val="none"/>
              </w:rPr>
              <w:t>处方审核</w:t>
            </w:r>
          </w:p>
        </w:tc>
        <w:tc>
          <w:tcPr>
            <w:tcW w:w="7737" w:type="dxa"/>
            <w:vAlign w:val="center"/>
          </w:tcPr>
          <w:p w14:paraId="75D173E1">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支持人工审核和自动审核两种模式。人工审核由药师审核，自动审核通过合理用药接口由系统自动完成。</w:t>
            </w:r>
          </w:p>
        </w:tc>
      </w:tr>
      <w:tr w14:paraId="430FC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51" w:type="dxa"/>
            <w:vMerge w:val="continue"/>
            <w:vAlign w:val="center"/>
          </w:tcPr>
          <w:p w14:paraId="277CDF98">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091" w:type="dxa"/>
            <w:vMerge w:val="continue"/>
            <w:vAlign w:val="center"/>
          </w:tcPr>
          <w:p w14:paraId="09D7A673">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737" w:type="dxa"/>
            <w:vAlign w:val="center"/>
          </w:tcPr>
          <w:p w14:paraId="109D8751">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支持批量审核操作，一键通过所有待审核处方，并提供审核未通过常见原因，便于医师选择，最后支持审核通过、审核未通过处方重新审核功能。</w:t>
            </w:r>
          </w:p>
        </w:tc>
      </w:tr>
      <w:tr w14:paraId="006F5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851" w:type="dxa"/>
            <w:vMerge w:val="continue"/>
            <w:vAlign w:val="center"/>
          </w:tcPr>
          <w:p w14:paraId="16821F89">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8828" w:type="dxa"/>
            <w:gridSpan w:val="2"/>
            <w:vAlign w:val="center"/>
          </w:tcPr>
          <w:p w14:paraId="3F5B94D0">
            <w:pPr>
              <w:keepNext w:val="0"/>
              <w:keepLines w:val="0"/>
              <w:pageBreakBefore w:val="0"/>
              <w:numPr>
                <w:ilvl w:val="1"/>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r>
              <w:rPr>
                <w:rFonts w:hint="eastAsia" w:ascii="宋体" w:hAnsi="宋体" w:cs="宋体"/>
                <w:color w:val="auto"/>
                <w:sz w:val="21"/>
                <w:szCs w:val="21"/>
                <w:highlight w:val="none"/>
              </w:rPr>
              <w:t>费用管理（收费权限需关闭，药房不执行收费操作）</w:t>
            </w:r>
          </w:p>
        </w:tc>
      </w:tr>
      <w:tr w14:paraId="4CA6E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851" w:type="dxa"/>
            <w:vMerge w:val="continue"/>
            <w:vAlign w:val="center"/>
          </w:tcPr>
          <w:p w14:paraId="18495D3D">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091" w:type="dxa"/>
            <w:vMerge w:val="restart"/>
            <w:vAlign w:val="center"/>
          </w:tcPr>
          <w:p w14:paraId="21915A07">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r>
              <w:rPr>
                <w:rFonts w:hint="eastAsia" w:ascii="宋体" w:hAnsi="宋体" w:cs="宋体"/>
                <w:color w:val="auto"/>
                <w:sz w:val="21"/>
                <w:szCs w:val="21"/>
                <w:highlight w:val="none"/>
              </w:rPr>
              <w:t>费用管理</w:t>
            </w:r>
          </w:p>
        </w:tc>
        <w:tc>
          <w:tcPr>
            <w:tcW w:w="7737" w:type="dxa"/>
            <w:vAlign w:val="center"/>
          </w:tcPr>
          <w:p w14:paraId="52B8A0C8">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支持在药房下对未付费的患者进行结算处理；</w:t>
            </w:r>
          </w:p>
        </w:tc>
      </w:tr>
      <w:tr w14:paraId="7F94A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851" w:type="dxa"/>
            <w:vMerge w:val="continue"/>
            <w:vAlign w:val="center"/>
          </w:tcPr>
          <w:p w14:paraId="219A6903">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091" w:type="dxa"/>
            <w:vMerge w:val="continue"/>
            <w:vAlign w:val="center"/>
          </w:tcPr>
          <w:p w14:paraId="4B9055B8">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p>
        </w:tc>
        <w:tc>
          <w:tcPr>
            <w:tcW w:w="7737" w:type="dxa"/>
            <w:vAlign w:val="center"/>
          </w:tcPr>
          <w:p w14:paraId="6ECA5985">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支持对草药的代煎费在药房进行补收费或者退费。</w:t>
            </w:r>
          </w:p>
        </w:tc>
      </w:tr>
      <w:tr w14:paraId="7BCCF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851" w:type="dxa"/>
            <w:vMerge w:val="continue"/>
            <w:vAlign w:val="center"/>
          </w:tcPr>
          <w:p w14:paraId="67691DD4">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8828" w:type="dxa"/>
            <w:gridSpan w:val="2"/>
            <w:vAlign w:val="center"/>
          </w:tcPr>
          <w:p w14:paraId="1FA445F4">
            <w:pPr>
              <w:keepNext w:val="0"/>
              <w:keepLines w:val="0"/>
              <w:pageBreakBefore w:val="0"/>
              <w:numPr>
                <w:ilvl w:val="1"/>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r>
              <w:rPr>
                <w:rFonts w:hint="eastAsia" w:ascii="宋体" w:hAnsi="宋体" w:cs="宋体"/>
                <w:color w:val="auto"/>
                <w:sz w:val="21"/>
                <w:szCs w:val="21"/>
                <w:highlight w:val="none"/>
              </w:rPr>
              <w:t>药品申领</w:t>
            </w:r>
          </w:p>
        </w:tc>
      </w:tr>
      <w:tr w14:paraId="5B4C4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1" w:hRule="atLeast"/>
          <w:jc w:val="center"/>
        </w:trPr>
        <w:tc>
          <w:tcPr>
            <w:tcW w:w="851" w:type="dxa"/>
            <w:vMerge w:val="continue"/>
            <w:vAlign w:val="center"/>
          </w:tcPr>
          <w:p w14:paraId="3D6878CA">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091" w:type="dxa"/>
            <w:vAlign w:val="center"/>
          </w:tcPr>
          <w:p w14:paraId="2814A5A1">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r>
              <w:rPr>
                <w:rFonts w:hint="eastAsia" w:ascii="宋体" w:hAnsi="宋体" w:cs="宋体"/>
                <w:color w:val="auto"/>
                <w:sz w:val="21"/>
                <w:szCs w:val="21"/>
                <w:highlight w:val="none"/>
              </w:rPr>
              <w:t>药品申领</w:t>
            </w:r>
          </w:p>
        </w:tc>
        <w:tc>
          <w:tcPr>
            <w:tcW w:w="7737" w:type="dxa"/>
            <w:vAlign w:val="center"/>
          </w:tcPr>
          <w:p w14:paraId="734FEA22">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sz w:val="21"/>
                <w:szCs w:val="21"/>
              </w:rPr>
            </w:pPr>
            <w:r>
              <w:rPr>
                <w:rFonts w:hint="eastAsia" w:ascii="宋体" w:hAnsi="宋体" w:cs="宋体"/>
                <w:bCs/>
                <w:sz w:val="21"/>
                <w:szCs w:val="21"/>
              </w:rPr>
              <w:t>支持药品出入库扫码记录，形成闭环管理。</w:t>
            </w:r>
          </w:p>
          <w:p w14:paraId="5BD6135C">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sz w:val="21"/>
                <w:szCs w:val="21"/>
              </w:rPr>
            </w:pPr>
            <w:r>
              <w:rPr>
                <w:rFonts w:hint="eastAsia" w:ascii="宋体" w:hAnsi="宋体" w:cs="宋体"/>
                <w:bCs/>
                <w:sz w:val="21"/>
                <w:szCs w:val="21"/>
              </w:rPr>
              <w:t>药品请领计划：有多种生成药房药品请领申请计划的方式：1)按时间段药品消耗取整。2)直接取时间段内药品消耗。3)按库存高低限量。4)按高低限量-库存的方式做计划。5)手工输入药品计划数量方式。</w:t>
            </w:r>
          </w:p>
          <w:p w14:paraId="095BD885">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sz w:val="21"/>
                <w:szCs w:val="21"/>
              </w:rPr>
              <w:t>药品请领计划申请撤销：可以查询药品申请记录，可以对已提交未出库的申请单进行作废。</w:t>
            </w:r>
          </w:p>
          <w:p w14:paraId="42AA9BDD">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支持库存调拨、科室领用、主动出库三种药品申领业务。不同药房间的库存调拨，支持目标库房在确认环节修改调拨数量，目标库房确认同意后方可完成入库。</w:t>
            </w:r>
          </w:p>
          <w:p w14:paraId="529A1E9A">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提供库房申领、库房退药、库房出库的集中处理界面，集中处理当前库房的</w:t>
            </w:r>
            <w:r>
              <w:rPr>
                <w:rStyle w:val="48"/>
                <w:rFonts w:hint="eastAsia" w:ascii="宋体" w:hAnsi="宋体" w:eastAsia="宋体" w:cs="宋体"/>
                <w:b w:val="0"/>
                <w:bCs/>
                <w:i w:val="0"/>
                <w:iCs w:val="0"/>
                <w:caps w:val="0"/>
                <w:color w:val="auto"/>
                <w:spacing w:val="0"/>
                <w:sz w:val="21"/>
                <w:szCs w:val="21"/>
                <w:highlight w:val="none"/>
                <w:shd w:val="clear" w:fill="FFFFFF"/>
              </w:rPr>
              <w:t>调拨入库、</w:t>
            </w:r>
            <w:r>
              <w:rPr>
                <w:rFonts w:hint="eastAsia" w:ascii="宋体" w:hAnsi="宋体" w:cs="宋体"/>
                <w:bCs/>
                <w:color w:val="auto"/>
                <w:sz w:val="21"/>
                <w:szCs w:val="21"/>
                <w:highlight w:val="none"/>
              </w:rPr>
              <w:t>主动申领入库、申领退药入库和被动出库入库业务，及当前库房的被动申领出库、申领退药出库和主动出库业务。</w:t>
            </w:r>
          </w:p>
          <w:p w14:paraId="6BB47040">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支持通过引入当前库房药品信息、低储药品自动生成库房申领信息；</w:t>
            </w:r>
          </w:p>
          <w:p w14:paraId="6C55EDD5">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支持通过引入目标库房的入库单据自动生成库房申领信息；</w:t>
            </w:r>
          </w:p>
          <w:p w14:paraId="3C1C3FDD">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支持通过选择当前库房某段时间的药品消耗自动生成库房申领信息，药品消耗包括发药、其它出库、调拨出库、申领退库；</w:t>
            </w:r>
          </w:p>
          <w:p w14:paraId="37D9AEFC">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支持通过引入目标库房的申领单自动生成库房申领退库信息；</w:t>
            </w:r>
          </w:p>
          <w:p w14:paraId="1D8D0BD3">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支持通过申请库房的入库单据自动生成库房出库信息。</w:t>
            </w:r>
          </w:p>
          <w:p w14:paraId="60965CC9">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sz w:val="21"/>
                <w:szCs w:val="21"/>
              </w:rPr>
            </w:pPr>
            <w:r>
              <w:rPr>
                <w:rFonts w:hint="eastAsia" w:ascii="宋体" w:hAnsi="宋体" w:cs="宋体"/>
                <w:bCs/>
                <w:sz w:val="21"/>
                <w:szCs w:val="21"/>
              </w:rPr>
              <w:t>周转库设置：设置药房周转库药品的高低储、是否可供、货位、库管分类。</w:t>
            </w:r>
          </w:p>
          <w:p w14:paraId="44A3034F">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sz w:val="21"/>
                <w:szCs w:val="21"/>
              </w:rPr>
              <w:t>在药房药品管理信息展示国家医保编码。</w:t>
            </w:r>
          </w:p>
          <w:p w14:paraId="46962AD0">
            <w:pPr>
              <w:keepNext w:val="0"/>
              <w:keepLines w:val="0"/>
              <w:pageBreakBefore w:val="0"/>
              <w:numPr>
                <w:ilvl w:val="0"/>
                <w:numId w:val="19"/>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r>
              <w:rPr>
                <w:rFonts w:hint="eastAsia" w:ascii="宋体" w:hAnsi="宋体" w:cs="宋体"/>
                <w:bCs/>
                <w:color w:val="auto"/>
                <w:sz w:val="21"/>
                <w:szCs w:val="21"/>
                <w:highlight w:val="none"/>
              </w:rPr>
              <w:t>仅针对中药房：请领药品：</w:t>
            </w:r>
            <w:r>
              <w:rPr>
                <w:rFonts w:hint="eastAsia" w:ascii="宋体" w:hAnsi="宋体" w:cs="宋体"/>
                <w:color w:val="auto"/>
                <w:sz w:val="21"/>
                <w:szCs w:val="21"/>
                <w:highlight w:val="none"/>
              </w:rPr>
              <w:t>点击【</w:t>
            </w:r>
            <w:r>
              <w:rPr>
                <w:rFonts w:hint="eastAsia" w:ascii="宋体" w:hAnsi="宋体" w:cs="宋体"/>
                <w:color w:val="auto"/>
                <w:sz w:val="21"/>
                <w:szCs w:val="21"/>
                <w:highlight w:val="none"/>
                <w:u w:val="single"/>
              </w:rPr>
              <w:t>G</w:t>
            </w:r>
            <w:r>
              <w:rPr>
                <w:rFonts w:hint="eastAsia" w:ascii="宋体" w:hAnsi="宋体" w:cs="宋体"/>
                <w:color w:val="auto"/>
                <w:sz w:val="21"/>
                <w:szCs w:val="21"/>
                <w:highlight w:val="none"/>
              </w:rPr>
              <w:t>.常规管理】—【</w:t>
            </w:r>
            <w:r>
              <w:rPr>
                <w:rFonts w:hint="eastAsia" w:ascii="宋体" w:hAnsi="宋体" w:cs="宋体"/>
                <w:color w:val="auto"/>
                <w:sz w:val="21"/>
                <w:szCs w:val="21"/>
                <w:highlight w:val="none"/>
                <w:u w:val="single"/>
              </w:rPr>
              <w:t>1</w:t>
            </w:r>
            <w:r>
              <w:rPr>
                <w:rFonts w:hint="eastAsia" w:ascii="宋体" w:hAnsi="宋体" w:cs="宋体"/>
                <w:color w:val="auto"/>
                <w:sz w:val="21"/>
                <w:szCs w:val="21"/>
                <w:highlight w:val="none"/>
              </w:rPr>
              <w:t>.开写申请单】—【新增】—【输入药品简码】—【双击或确定选择药品】—【输入“请领数”】—【保存】</w:t>
            </w:r>
          </w:p>
          <w:p w14:paraId="6FCA6A34">
            <w:pPr>
              <w:keepNext w:val="0"/>
              <w:keepLines w:val="0"/>
              <w:pageBreakBefore w:val="0"/>
              <w:numPr>
                <w:ilvl w:val="0"/>
                <w:numId w:val="19"/>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r>
              <w:rPr>
                <w:rFonts w:hint="eastAsia" w:ascii="宋体" w:hAnsi="宋体" w:cs="宋体"/>
                <w:color w:val="auto"/>
                <w:sz w:val="21"/>
                <w:szCs w:val="21"/>
                <w:highlight w:val="none"/>
              </w:rPr>
              <w:t>仅针对中药房：药房间调拨：点击【</w:t>
            </w:r>
            <w:r>
              <w:rPr>
                <w:rFonts w:hint="eastAsia" w:ascii="宋体" w:hAnsi="宋体" w:cs="宋体"/>
                <w:color w:val="auto"/>
                <w:sz w:val="21"/>
                <w:szCs w:val="21"/>
                <w:highlight w:val="none"/>
                <w:u w:val="single"/>
              </w:rPr>
              <w:t>G</w:t>
            </w:r>
            <w:r>
              <w:rPr>
                <w:rFonts w:hint="eastAsia" w:ascii="宋体" w:hAnsi="宋体" w:cs="宋体"/>
                <w:color w:val="auto"/>
                <w:sz w:val="21"/>
                <w:szCs w:val="21"/>
                <w:highlight w:val="none"/>
              </w:rPr>
              <w:t>.常规管理】—【</w:t>
            </w:r>
            <w:r>
              <w:rPr>
                <w:rFonts w:hint="eastAsia" w:ascii="宋体" w:hAnsi="宋体" w:cs="宋体"/>
                <w:color w:val="auto"/>
                <w:sz w:val="21"/>
                <w:szCs w:val="21"/>
                <w:highlight w:val="none"/>
                <w:u w:val="single"/>
              </w:rPr>
              <w:t>8</w:t>
            </w:r>
            <w:r>
              <w:rPr>
                <w:rFonts w:hint="eastAsia" w:ascii="宋体" w:hAnsi="宋体" w:cs="宋体"/>
                <w:color w:val="auto"/>
                <w:sz w:val="21"/>
                <w:szCs w:val="21"/>
                <w:highlight w:val="none"/>
              </w:rPr>
              <w:t>.药房调拨在用药品出库】—【选择药房】选择要调拨的药房—【新增】调拨的药品—填写实发数量—【保存】出库成功。</w:t>
            </w:r>
          </w:p>
          <w:p w14:paraId="021A2A24">
            <w:pPr>
              <w:keepNext w:val="0"/>
              <w:keepLines w:val="0"/>
              <w:pageBreakBefore w:val="0"/>
              <w:numPr>
                <w:ilvl w:val="0"/>
                <w:numId w:val="19"/>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r>
              <w:rPr>
                <w:rFonts w:hint="eastAsia" w:ascii="宋体" w:hAnsi="宋体" w:cs="宋体"/>
                <w:color w:val="auto"/>
                <w:sz w:val="21"/>
                <w:szCs w:val="21"/>
                <w:highlight w:val="none"/>
              </w:rPr>
              <w:t>仅针对中药房不同药房单元：单元间请领：点击【</w:t>
            </w:r>
            <w:r>
              <w:rPr>
                <w:rFonts w:hint="eastAsia" w:ascii="宋体" w:hAnsi="宋体" w:cs="宋体"/>
                <w:color w:val="auto"/>
                <w:sz w:val="21"/>
                <w:szCs w:val="21"/>
                <w:highlight w:val="none"/>
                <w:u w:val="single"/>
              </w:rPr>
              <w:t>G</w:t>
            </w:r>
            <w:r>
              <w:rPr>
                <w:rFonts w:hint="eastAsia" w:ascii="宋体" w:hAnsi="宋体" w:cs="宋体"/>
                <w:color w:val="auto"/>
                <w:sz w:val="21"/>
                <w:szCs w:val="21"/>
                <w:highlight w:val="none"/>
              </w:rPr>
              <w:t>.常规管理】—【</w:t>
            </w:r>
            <w:r>
              <w:rPr>
                <w:rFonts w:hint="eastAsia" w:ascii="宋体" w:hAnsi="宋体" w:cs="宋体"/>
                <w:color w:val="auto"/>
                <w:sz w:val="21"/>
                <w:szCs w:val="21"/>
                <w:highlight w:val="none"/>
                <w:u w:val="single"/>
              </w:rPr>
              <w:t>C</w:t>
            </w:r>
            <w:r>
              <w:rPr>
                <w:rFonts w:hint="eastAsia" w:ascii="宋体" w:hAnsi="宋体" w:cs="宋体"/>
                <w:color w:val="auto"/>
                <w:sz w:val="21"/>
                <w:szCs w:val="21"/>
                <w:highlight w:val="none"/>
              </w:rPr>
              <w:t>.单元间请领】—选择给药的药房—【新增】需要请领的药品—填写申请数量—【保存】后药品入库成功，药房库存量增加，同时给药药房的库存量直接减少。</w:t>
            </w:r>
          </w:p>
          <w:p w14:paraId="70ECA486">
            <w:pPr>
              <w:keepNext w:val="0"/>
              <w:keepLines w:val="0"/>
              <w:pageBreakBefore w:val="0"/>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r>
              <w:rPr>
                <w:rFonts w:hint="eastAsia" w:ascii="宋体" w:hAnsi="宋体" w:cs="宋体"/>
                <w:color w:val="auto"/>
                <w:sz w:val="21"/>
                <w:szCs w:val="21"/>
                <w:highlight w:val="none"/>
              </w:rPr>
              <w:t>请领药品</w:t>
            </w:r>
          </w:p>
          <w:p w14:paraId="5974A797">
            <w:pPr>
              <w:keepNext w:val="0"/>
              <w:keepLines w:val="0"/>
              <w:pageBreakBefore w:val="0"/>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r>
              <w:rPr>
                <w:rFonts w:hint="eastAsia" w:ascii="宋体" w:hAnsi="宋体" w:cs="宋体"/>
                <w:color w:val="auto"/>
                <w:sz w:val="21"/>
                <w:szCs w:val="21"/>
                <w:highlight w:val="none"/>
              </w:rPr>
              <w:t>药房间调拨</w:t>
            </w:r>
          </w:p>
          <w:p w14:paraId="485A262E">
            <w:pPr>
              <w:keepNext w:val="0"/>
              <w:keepLines w:val="0"/>
              <w:pageBreakBefore w:val="0"/>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color w:val="auto"/>
                <w:sz w:val="21"/>
                <w:szCs w:val="21"/>
                <w:highlight w:val="none"/>
              </w:rPr>
              <w:t>单元间请领</w:t>
            </w:r>
          </w:p>
        </w:tc>
      </w:tr>
      <w:tr w14:paraId="2DE1B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851" w:type="dxa"/>
            <w:vMerge w:val="continue"/>
            <w:vAlign w:val="center"/>
          </w:tcPr>
          <w:p w14:paraId="0DA7BEF5">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8828" w:type="dxa"/>
            <w:gridSpan w:val="2"/>
            <w:vAlign w:val="center"/>
          </w:tcPr>
          <w:p w14:paraId="78E0ECB6">
            <w:pPr>
              <w:keepNext w:val="0"/>
              <w:keepLines w:val="0"/>
              <w:pageBreakBefore w:val="0"/>
              <w:numPr>
                <w:ilvl w:val="1"/>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bookmarkStart w:id="43" w:name="OLE_LINK5"/>
            <w:r>
              <w:rPr>
                <w:rFonts w:hint="eastAsia" w:ascii="宋体" w:hAnsi="宋体" w:cs="宋体"/>
                <w:color w:val="auto"/>
                <w:sz w:val="21"/>
                <w:szCs w:val="21"/>
                <w:highlight w:val="none"/>
              </w:rPr>
              <w:t>药品入库</w:t>
            </w:r>
            <w:bookmarkEnd w:id="43"/>
          </w:p>
        </w:tc>
      </w:tr>
      <w:tr w14:paraId="404B2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1" w:type="dxa"/>
            <w:vMerge w:val="continue"/>
            <w:vAlign w:val="center"/>
          </w:tcPr>
          <w:p w14:paraId="799480D5">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091" w:type="dxa"/>
            <w:vAlign w:val="center"/>
          </w:tcPr>
          <w:p w14:paraId="486F7096">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r>
              <w:rPr>
                <w:rFonts w:hint="eastAsia" w:ascii="宋体" w:hAnsi="宋体" w:cs="宋体"/>
                <w:color w:val="auto"/>
                <w:sz w:val="21"/>
                <w:szCs w:val="21"/>
                <w:highlight w:val="none"/>
              </w:rPr>
              <w:t>药品入库</w:t>
            </w:r>
          </w:p>
        </w:tc>
        <w:tc>
          <w:tcPr>
            <w:tcW w:w="7737" w:type="dxa"/>
            <w:vAlign w:val="center"/>
          </w:tcPr>
          <w:p w14:paraId="37977F8B">
            <w:pPr>
              <w:pStyle w:val="85"/>
              <w:keepNext w:val="0"/>
              <w:keepLines w:val="0"/>
              <w:pageBreakBefore w:val="0"/>
              <w:numPr>
                <w:ilvl w:val="0"/>
                <w:numId w:val="12"/>
              </w:numPr>
              <w:kinsoku/>
              <w:wordWrap/>
              <w:overflowPunct/>
              <w:topLinePunct w:val="0"/>
              <w:autoSpaceDE/>
              <w:autoSpaceDN/>
              <w:bidi w:val="0"/>
              <w:adjustRightInd w:val="0"/>
              <w:snapToGrid w:val="0"/>
              <w:spacing w:line="360" w:lineRule="auto"/>
              <w:ind w:left="440" w:firstLineChars="0"/>
              <w:jc w:val="left"/>
              <w:textAlignment w:val="auto"/>
              <w:rPr>
                <w:rFonts w:ascii="宋体" w:hAnsi="宋体" w:cs="宋体"/>
                <w:bCs/>
                <w:sz w:val="21"/>
                <w:szCs w:val="21"/>
              </w:rPr>
            </w:pPr>
            <w:r>
              <w:rPr>
                <w:rFonts w:hint="eastAsia" w:ascii="宋体" w:hAnsi="宋体" w:cs="宋体"/>
                <w:bCs/>
                <w:sz w:val="21"/>
                <w:szCs w:val="21"/>
              </w:rPr>
              <w:t>支持采购入库、调拨入库、建账入库、返库入库、其他入库（包括1、纠错入库；2、返库入库）等多种药品申领业务。不同药房间的库存调拨，支持目标库房在确认环节修改调拨数量，需要目标库房确认同意后方可完成入库。</w:t>
            </w:r>
          </w:p>
          <w:p w14:paraId="11DBC10A">
            <w:pPr>
              <w:keepNext w:val="0"/>
              <w:keepLines w:val="0"/>
              <w:pageBreakBefore w:val="0"/>
              <w:kinsoku/>
              <w:wordWrap/>
              <w:overflowPunct/>
              <w:topLinePunct w:val="0"/>
              <w:autoSpaceDE/>
              <w:autoSpaceDN/>
              <w:bidi w:val="0"/>
              <w:adjustRightInd w:val="0"/>
              <w:snapToGrid w:val="0"/>
              <w:spacing w:line="360" w:lineRule="auto"/>
              <w:jc w:val="left"/>
              <w:textAlignment w:val="auto"/>
              <w:rPr>
                <w:sz w:val="21"/>
                <w:szCs w:val="21"/>
              </w:rPr>
            </w:pPr>
          </w:p>
          <w:p w14:paraId="426EBE45">
            <w:pPr>
              <w:keepNext w:val="0"/>
              <w:keepLines w:val="0"/>
              <w:pageBreakBefore w:val="0"/>
              <w:numPr>
                <w:ilvl w:val="-1"/>
                <w:numId w:val="0"/>
              </w:numPr>
              <w:tabs>
                <w:tab w:val="left" w:pos="525"/>
                <w:tab w:val="left" w:pos="630"/>
              </w:tabs>
              <w:kinsoku/>
              <w:wordWrap/>
              <w:overflowPunct/>
              <w:topLinePunct w:val="0"/>
              <w:autoSpaceDE/>
              <w:autoSpaceDN/>
              <w:bidi w:val="0"/>
              <w:adjustRightInd w:val="0"/>
              <w:snapToGrid w:val="0"/>
              <w:spacing w:line="360" w:lineRule="auto"/>
              <w:ind w:left="0" w:firstLine="0"/>
              <w:jc w:val="left"/>
              <w:textAlignment w:val="auto"/>
              <w:rPr>
                <w:rFonts w:ascii="宋体" w:hAnsi="宋体" w:cs="宋体"/>
                <w:bCs/>
                <w:color w:val="auto"/>
                <w:sz w:val="21"/>
                <w:szCs w:val="21"/>
                <w:highlight w:val="none"/>
              </w:rPr>
            </w:pPr>
          </w:p>
          <w:p w14:paraId="3A6C923C">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支持如加工、自制、盘盈等除药品领用外的其它入库业务；</w:t>
            </w:r>
          </w:p>
          <w:p w14:paraId="619D6873">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支持同厂家药品按批号、按价格、按效期分批次入库管理业务；</w:t>
            </w:r>
          </w:p>
          <w:p w14:paraId="3E1F2E1F">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支持药品出库后退库操作，退库时可支持手工输入价格；</w:t>
            </w:r>
          </w:p>
          <w:p w14:paraId="16FF0D29">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支持根据库房盘盈数据自动生成盘盈入库单；</w:t>
            </w:r>
          </w:p>
          <w:p w14:paraId="5294A466">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支持其它入库时同时按照多种包装单位进行入库。</w:t>
            </w:r>
          </w:p>
          <w:p w14:paraId="07A0FFDE">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sz w:val="21"/>
                <w:szCs w:val="21"/>
              </w:rPr>
            </w:pPr>
            <w:r>
              <w:rPr>
                <w:rFonts w:hint="eastAsia" w:ascii="宋体" w:hAnsi="宋体" w:cs="宋体"/>
                <w:bCs/>
                <w:sz w:val="21"/>
                <w:szCs w:val="21"/>
              </w:rPr>
              <w:t>入库查询：查询各种入库单据详细信息。</w:t>
            </w:r>
          </w:p>
          <w:p w14:paraId="4684A3D1">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sz w:val="21"/>
                <w:szCs w:val="21"/>
              </w:rPr>
            </w:pPr>
            <w:r>
              <w:rPr>
                <w:rFonts w:hint="eastAsia" w:ascii="宋体" w:hAnsi="宋体" w:cs="宋体"/>
                <w:bCs/>
                <w:sz w:val="21"/>
                <w:szCs w:val="21"/>
              </w:rPr>
              <w:t>支持返库入库，退回给药库后的入库；</w:t>
            </w:r>
          </w:p>
          <w:p w14:paraId="698D5D4B">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sz w:val="21"/>
                <w:szCs w:val="21"/>
              </w:rPr>
            </w:pPr>
            <w:r>
              <w:rPr>
                <w:rFonts w:hint="eastAsia" w:ascii="宋体" w:hAnsi="宋体" w:cs="宋体"/>
                <w:bCs/>
                <w:sz w:val="21"/>
                <w:szCs w:val="21"/>
              </w:rPr>
              <w:t>支持药房拒绝入库。</w:t>
            </w:r>
          </w:p>
          <w:p w14:paraId="53F9908D">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sz w:val="21"/>
                <w:szCs w:val="21"/>
              </w:rPr>
              <w:t>支持入库类型可以根据每个药库情况按需配置。</w:t>
            </w:r>
          </w:p>
          <w:p w14:paraId="6485D320">
            <w:pPr>
              <w:keepNext w:val="0"/>
              <w:keepLines w:val="0"/>
              <w:pageBreakBefore w:val="0"/>
              <w:numPr>
                <w:ilvl w:val="0"/>
                <w:numId w:val="20"/>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r>
              <w:rPr>
                <w:rFonts w:hint="eastAsia" w:ascii="宋体" w:hAnsi="宋体" w:cs="宋体"/>
                <w:bCs/>
                <w:color w:val="auto"/>
                <w:sz w:val="21"/>
                <w:szCs w:val="21"/>
                <w:highlight w:val="none"/>
              </w:rPr>
              <w:t>仅针对中药房：</w:t>
            </w:r>
            <w:r>
              <w:rPr>
                <w:rFonts w:hint="eastAsia" w:ascii="宋体" w:hAnsi="宋体" w:cs="宋体"/>
                <w:color w:val="auto"/>
                <w:sz w:val="21"/>
                <w:szCs w:val="21"/>
                <w:highlight w:val="none"/>
              </w:rPr>
              <w:t>点击【</w:t>
            </w:r>
            <w:r>
              <w:rPr>
                <w:rFonts w:hint="eastAsia" w:ascii="宋体" w:hAnsi="宋体" w:cs="宋体"/>
                <w:color w:val="auto"/>
                <w:sz w:val="21"/>
                <w:szCs w:val="21"/>
                <w:highlight w:val="none"/>
                <w:u w:val="single"/>
              </w:rPr>
              <w:t>G</w:t>
            </w:r>
            <w:r>
              <w:rPr>
                <w:rFonts w:hint="eastAsia" w:ascii="宋体" w:hAnsi="宋体" w:cs="宋体"/>
                <w:color w:val="auto"/>
                <w:sz w:val="21"/>
                <w:szCs w:val="21"/>
                <w:highlight w:val="none"/>
              </w:rPr>
              <w:t>.常规管理】—【</w:t>
            </w:r>
            <w:r>
              <w:rPr>
                <w:rFonts w:hint="eastAsia" w:ascii="宋体" w:hAnsi="宋体" w:cs="宋体"/>
                <w:color w:val="auto"/>
                <w:sz w:val="21"/>
                <w:szCs w:val="21"/>
                <w:highlight w:val="none"/>
                <w:u w:val="single"/>
              </w:rPr>
              <w:t>2</w:t>
            </w:r>
            <w:r>
              <w:rPr>
                <w:rFonts w:hint="eastAsia" w:ascii="宋体" w:hAnsi="宋体" w:cs="宋体"/>
                <w:color w:val="auto"/>
                <w:sz w:val="21"/>
                <w:szCs w:val="21"/>
                <w:highlight w:val="none"/>
              </w:rPr>
              <w:t>.药房入库确认】—勾选要入库的记录—【入库】—【是】—【确定】</w:t>
            </w:r>
          </w:p>
          <w:p w14:paraId="20BD0B0A">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color w:val="auto"/>
                <w:sz w:val="21"/>
                <w:szCs w:val="21"/>
                <w:highlight w:val="none"/>
              </w:rPr>
              <w:t>注：药品入库确认界面会有四种颜色，绿色：该药品从未入库；红色：药房售价与药库价格不一样；蓝色：今天以前的请领记录；黑色：今天的请领记录</w:t>
            </w:r>
            <w:r>
              <w:rPr>
                <w:rFonts w:hint="eastAsia"/>
                <w:color w:val="auto"/>
                <w:sz w:val="21"/>
                <w:szCs w:val="21"/>
                <w:highlight w:val="none"/>
              </w:rPr>
              <w:t>（定制化开发）</w:t>
            </w:r>
          </w:p>
        </w:tc>
      </w:tr>
      <w:tr w14:paraId="487C7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851" w:type="dxa"/>
            <w:vMerge w:val="continue"/>
            <w:vAlign w:val="center"/>
          </w:tcPr>
          <w:p w14:paraId="5244103F">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8828" w:type="dxa"/>
            <w:gridSpan w:val="2"/>
            <w:vAlign w:val="center"/>
          </w:tcPr>
          <w:p w14:paraId="44F39345">
            <w:pPr>
              <w:keepNext w:val="0"/>
              <w:keepLines w:val="0"/>
              <w:pageBreakBefore w:val="0"/>
              <w:numPr>
                <w:ilvl w:val="1"/>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r>
              <w:rPr>
                <w:rFonts w:hint="eastAsia" w:ascii="宋体" w:hAnsi="宋体" w:cs="宋体"/>
                <w:color w:val="auto"/>
                <w:sz w:val="21"/>
                <w:szCs w:val="21"/>
                <w:highlight w:val="none"/>
              </w:rPr>
              <w:t>药品出库</w:t>
            </w:r>
          </w:p>
        </w:tc>
      </w:tr>
      <w:tr w14:paraId="302D4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6" w:hRule="atLeast"/>
          <w:jc w:val="center"/>
        </w:trPr>
        <w:tc>
          <w:tcPr>
            <w:tcW w:w="851" w:type="dxa"/>
            <w:vMerge w:val="continue"/>
            <w:vAlign w:val="center"/>
          </w:tcPr>
          <w:p w14:paraId="2B16167B">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091" w:type="dxa"/>
            <w:vAlign w:val="center"/>
          </w:tcPr>
          <w:p w14:paraId="7DC041B0">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r>
              <w:rPr>
                <w:rFonts w:hint="eastAsia" w:ascii="宋体" w:hAnsi="宋体" w:cs="宋体"/>
                <w:color w:val="auto"/>
                <w:sz w:val="21"/>
                <w:szCs w:val="21"/>
                <w:highlight w:val="none"/>
              </w:rPr>
              <w:t>药品出库</w:t>
            </w:r>
          </w:p>
        </w:tc>
        <w:tc>
          <w:tcPr>
            <w:tcW w:w="7737" w:type="dxa"/>
            <w:vAlign w:val="center"/>
          </w:tcPr>
          <w:p w14:paraId="4E0D9410">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w:t>
            </w:r>
            <w:r>
              <w:rPr>
                <w:rFonts w:hint="eastAsia" w:ascii="宋体" w:hAnsi="宋体" w:cs="宋体"/>
                <w:bCs/>
                <w:sz w:val="21"/>
                <w:szCs w:val="21"/>
              </w:rPr>
              <w:t>发放出库、库存调拨、采购退货、</w:t>
            </w:r>
            <w:r>
              <w:rPr>
                <w:rFonts w:hint="eastAsia" w:ascii="宋体" w:hAnsi="宋体" w:cs="宋体"/>
                <w:bCs/>
                <w:color w:val="auto"/>
                <w:sz w:val="21"/>
                <w:szCs w:val="21"/>
                <w:highlight w:val="none"/>
              </w:rPr>
              <w:t>药品报损、盘亏出库等其它出库业务。</w:t>
            </w:r>
          </w:p>
          <w:p w14:paraId="0B2203F5">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智能出库方式维护，例如按同一厂家不同批次的药品按效期/库存数量出库，按效期分为早先出、迟先出，按库存数量分为大先出、小先出等，也支持手工选择批次、库存性质进行出库，支持统计代配其他院区、其他药房的药品数量进行出库。</w:t>
            </w:r>
          </w:p>
          <w:p w14:paraId="33652543">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sz w:val="21"/>
                <w:szCs w:val="21"/>
              </w:rPr>
              <w:t>出库查询：各种出库单据查询。</w:t>
            </w:r>
          </w:p>
          <w:p w14:paraId="54DFE4B8">
            <w:pPr>
              <w:keepNext w:val="0"/>
              <w:keepLines w:val="0"/>
              <w:pageBreakBefore w:val="0"/>
              <w:numPr>
                <w:ilvl w:val="0"/>
                <w:numId w:val="21"/>
              </w:numPr>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仅针对中药房：</w:t>
            </w:r>
            <w:r>
              <w:rPr>
                <w:rFonts w:hint="eastAsia" w:ascii="宋体" w:hAnsi="宋体" w:cs="宋体"/>
                <w:color w:val="auto"/>
                <w:sz w:val="21"/>
                <w:szCs w:val="21"/>
                <w:highlight w:val="none"/>
              </w:rPr>
              <w:t>点击【</w:t>
            </w:r>
            <w:r>
              <w:rPr>
                <w:rFonts w:hint="eastAsia" w:ascii="宋体" w:hAnsi="宋体" w:cs="宋体"/>
                <w:color w:val="auto"/>
                <w:sz w:val="21"/>
                <w:szCs w:val="21"/>
                <w:highlight w:val="none"/>
                <w:u w:val="single"/>
              </w:rPr>
              <w:t>G</w:t>
            </w:r>
            <w:r>
              <w:rPr>
                <w:rFonts w:hint="eastAsia" w:ascii="宋体" w:hAnsi="宋体" w:cs="宋体"/>
                <w:color w:val="auto"/>
                <w:sz w:val="21"/>
                <w:szCs w:val="21"/>
                <w:highlight w:val="none"/>
              </w:rPr>
              <w:t>.常规管理】—【</w:t>
            </w:r>
            <w:r>
              <w:rPr>
                <w:rFonts w:hint="eastAsia" w:ascii="宋体" w:hAnsi="宋体" w:cs="宋体"/>
                <w:color w:val="auto"/>
                <w:sz w:val="21"/>
                <w:szCs w:val="21"/>
                <w:highlight w:val="none"/>
                <w:u w:val="single"/>
              </w:rPr>
              <w:t>5</w:t>
            </w:r>
            <w:r>
              <w:rPr>
                <w:rFonts w:hint="eastAsia" w:ascii="宋体" w:hAnsi="宋体" w:cs="宋体"/>
                <w:color w:val="auto"/>
                <w:sz w:val="21"/>
                <w:szCs w:val="21"/>
                <w:highlight w:val="none"/>
              </w:rPr>
              <w:t>.药房出库给单元】—选择要出库的单元—【新增】出库药品—填写出库数量—【保存】出库成功。【生成贵重药品】所有贵重药品批量生成，【批量生成药品】所有药品批量生成。</w:t>
            </w:r>
          </w:p>
        </w:tc>
      </w:tr>
      <w:tr w14:paraId="22172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851" w:type="dxa"/>
            <w:vMerge w:val="continue"/>
            <w:vAlign w:val="center"/>
          </w:tcPr>
          <w:p w14:paraId="4F656258">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8828" w:type="dxa"/>
            <w:gridSpan w:val="2"/>
            <w:vAlign w:val="center"/>
          </w:tcPr>
          <w:p w14:paraId="53546DF1">
            <w:pPr>
              <w:keepNext w:val="0"/>
              <w:keepLines w:val="0"/>
              <w:pageBreakBefore w:val="0"/>
              <w:numPr>
                <w:ilvl w:val="1"/>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r>
              <w:rPr>
                <w:rFonts w:hint="eastAsia" w:ascii="宋体" w:hAnsi="宋体" w:cs="宋体"/>
                <w:color w:val="auto"/>
                <w:sz w:val="21"/>
                <w:szCs w:val="21"/>
                <w:highlight w:val="none"/>
              </w:rPr>
              <w:t>药品盘点</w:t>
            </w:r>
          </w:p>
        </w:tc>
      </w:tr>
      <w:tr w14:paraId="39A12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8" w:hRule="atLeast"/>
          <w:jc w:val="center"/>
        </w:trPr>
        <w:tc>
          <w:tcPr>
            <w:tcW w:w="851" w:type="dxa"/>
            <w:vMerge w:val="continue"/>
            <w:vAlign w:val="center"/>
          </w:tcPr>
          <w:p w14:paraId="6111C4F0">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091" w:type="dxa"/>
            <w:vAlign w:val="center"/>
          </w:tcPr>
          <w:p w14:paraId="77B11157">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r>
              <w:rPr>
                <w:rFonts w:hint="eastAsia" w:ascii="宋体" w:hAnsi="宋体" w:cs="宋体"/>
                <w:color w:val="auto"/>
                <w:sz w:val="21"/>
                <w:szCs w:val="21"/>
                <w:highlight w:val="none"/>
              </w:rPr>
              <w:t>药品盘点</w:t>
            </w:r>
          </w:p>
        </w:tc>
        <w:tc>
          <w:tcPr>
            <w:tcW w:w="7737" w:type="dxa"/>
            <w:vAlign w:val="center"/>
          </w:tcPr>
          <w:p w14:paraId="1F833A2E">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支持分类、分库位、分批次、分包装进行盘点；</w:t>
            </w:r>
          </w:p>
          <w:p w14:paraId="3D1141DE">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支持按最小包装进行盘点；</w:t>
            </w:r>
          </w:p>
          <w:p w14:paraId="4EAFE321">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支持当前库房无库存药品盘点，对盘点单中没有的药品，盘点员可以加入药品信息进行数量录入；</w:t>
            </w:r>
          </w:p>
          <w:p w14:paraId="62126981">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支持多人盘点，盘点后需要统一盘点汇总；</w:t>
            </w:r>
          </w:p>
          <w:p w14:paraId="36E05540">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支持抽样盘点，可按种类筛选；</w:t>
            </w:r>
          </w:p>
          <w:p w14:paraId="2A067AD1">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sz w:val="21"/>
                <w:szCs w:val="21"/>
                <w:highlight w:val="none"/>
              </w:rPr>
              <w:t>通过生成盘点单，录入实物库存后提交生成盘点盈亏统计。</w:t>
            </w:r>
            <w:r>
              <w:rPr>
                <w:rFonts w:hint="eastAsia" w:ascii="宋体" w:hAnsi="宋体" w:cs="宋体"/>
                <w:bCs/>
                <w:sz w:val="21"/>
                <w:szCs w:val="21"/>
                <w:highlight w:val="none"/>
                <w:lang w:val="en-US" w:eastAsia="zh-CN"/>
              </w:rPr>
              <w:t>提交后，点击“调整库存”按钮，可完成库存调整。“调整库存”功能支持个性化授权管理，授权的账户可操作调整库存，未授权的账户不允许调整库存。</w:t>
            </w:r>
          </w:p>
          <w:p w14:paraId="080F0D9F">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支持自动产生盘盈入库单、盘亏出库单；</w:t>
            </w:r>
          </w:p>
          <w:p w14:paraId="1E07DBCD">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支持盘点录入时实盘库存直接复制账面库存功能。</w:t>
            </w:r>
          </w:p>
          <w:p w14:paraId="040877F0">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sz w:val="21"/>
                <w:szCs w:val="21"/>
              </w:rPr>
            </w:pPr>
            <w:r>
              <w:rPr>
                <w:rFonts w:hint="eastAsia" w:ascii="宋体" w:hAnsi="宋体" w:cs="宋体"/>
                <w:bCs/>
                <w:color w:val="auto"/>
                <w:sz w:val="21"/>
                <w:szCs w:val="21"/>
                <w:highlight w:val="none"/>
              </w:rPr>
              <w:t>盘点单可自定义打印：可选择是否包含通用名、商品名、规格、药品位置、药品库存量，可选择是否按位置排序、按数量排序。</w:t>
            </w:r>
          </w:p>
          <w:p w14:paraId="7148317B">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sz w:val="21"/>
                <w:szCs w:val="21"/>
                <w:lang w:eastAsia="zh-CN"/>
              </w:rPr>
              <w:t>药品盘点支持手机端和</w:t>
            </w:r>
            <w:r>
              <w:rPr>
                <w:rFonts w:hint="eastAsia" w:ascii="宋体" w:hAnsi="宋体" w:cs="宋体"/>
                <w:bCs/>
                <w:sz w:val="21"/>
                <w:szCs w:val="21"/>
                <w:lang w:val="en-US" w:eastAsia="zh-CN"/>
              </w:rPr>
              <w:t>PDA端扫码盘点，在手机端或PDA端录入的数据支持实时同步至HIS的盘点录入表，盘点录入表可按录入人员进行筛选，盘点录入表支持导出和打印，盘点录入表数据至少保存5年。</w:t>
            </w:r>
          </w:p>
          <w:p w14:paraId="38682138">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可选择日期、药品类型（西药、中成药、中草药）、药房单元统计盘点结果，并可导出打印。</w:t>
            </w:r>
          </w:p>
        </w:tc>
      </w:tr>
      <w:tr w14:paraId="00799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851" w:type="dxa"/>
            <w:vMerge w:val="continue"/>
            <w:vAlign w:val="center"/>
          </w:tcPr>
          <w:p w14:paraId="31D669BB">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8828" w:type="dxa"/>
            <w:gridSpan w:val="2"/>
            <w:vAlign w:val="center"/>
          </w:tcPr>
          <w:p w14:paraId="17C6305A">
            <w:pPr>
              <w:keepNext w:val="0"/>
              <w:keepLines w:val="0"/>
              <w:pageBreakBefore w:val="0"/>
              <w:numPr>
                <w:ilvl w:val="1"/>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r>
              <w:rPr>
                <w:rFonts w:hint="eastAsia" w:ascii="宋体" w:hAnsi="宋体" w:cs="宋体"/>
                <w:color w:val="auto"/>
                <w:sz w:val="21"/>
                <w:szCs w:val="21"/>
                <w:highlight w:val="none"/>
              </w:rPr>
              <w:t>库存禁用</w:t>
            </w:r>
          </w:p>
        </w:tc>
      </w:tr>
      <w:tr w14:paraId="307D7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51" w:type="dxa"/>
            <w:vMerge w:val="continue"/>
            <w:vAlign w:val="center"/>
          </w:tcPr>
          <w:p w14:paraId="4FFC5AC8">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091" w:type="dxa"/>
            <w:vAlign w:val="center"/>
          </w:tcPr>
          <w:p w14:paraId="01904F0D">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r>
              <w:rPr>
                <w:rFonts w:hint="eastAsia" w:ascii="宋体" w:hAnsi="宋体" w:cs="宋体"/>
                <w:color w:val="auto"/>
                <w:sz w:val="21"/>
                <w:szCs w:val="21"/>
                <w:highlight w:val="none"/>
              </w:rPr>
              <w:t>库存禁用</w:t>
            </w:r>
          </w:p>
        </w:tc>
        <w:tc>
          <w:tcPr>
            <w:tcW w:w="7737" w:type="dxa"/>
            <w:vAlign w:val="center"/>
          </w:tcPr>
          <w:p w14:paraId="65DDE107">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支持批次禁用、产地禁用、单一药品禁用等多种禁用模式，并提供取消禁用功能，便于流程管理。</w:t>
            </w:r>
          </w:p>
          <w:p w14:paraId="7B99663B">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支持允许使用某批次禁用药品功能。</w:t>
            </w:r>
          </w:p>
        </w:tc>
      </w:tr>
      <w:tr w14:paraId="2C978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851" w:type="dxa"/>
            <w:vMerge w:val="continue"/>
            <w:vAlign w:val="center"/>
          </w:tcPr>
          <w:p w14:paraId="09C36E9E">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8828" w:type="dxa"/>
            <w:gridSpan w:val="2"/>
            <w:vAlign w:val="center"/>
          </w:tcPr>
          <w:p w14:paraId="018DA843">
            <w:pPr>
              <w:keepNext w:val="0"/>
              <w:keepLines w:val="0"/>
              <w:pageBreakBefore w:val="0"/>
              <w:numPr>
                <w:ilvl w:val="1"/>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r>
              <w:rPr>
                <w:rFonts w:hint="eastAsia" w:ascii="宋体" w:hAnsi="宋体" w:cs="宋体"/>
                <w:color w:val="auto"/>
                <w:sz w:val="21"/>
                <w:szCs w:val="21"/>
                <w:highlight w:val="none"/>
              </w:rPr>
              <w:t>员工借还药</w:t>
            </w:r>
          </w:p>
        </w:tc>
      </w:tr>
      <w:tr w14:paraId="44D90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9" w:hRule="atLeast"/>
          <w:jc w:val="center"/>
        </w:trPr>
        <w:tc>
          <w:tcPr>
            <w:tcW w:w="851" w:type="dxa"/>
            <w:vMerge w:val="continue"/>
            <w:vAlign w:val="center"/>
          </w:tcPr>
          <w:p w14:paraId="48BD8BF3">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091" w:type="dxa"/>
            <w:vAlign w:val="center"/>
          </w:tcPr>
          <w:p w14:paraId="1A3204A7">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r>
              <w:rPr>
                <w:rFonts w:hint="eastAsia" w:ascii="宋体" w:hAnsi="宋体" w:cs="宋体"/>
                <w:color w:val="auto"/>
                <w:sz w:val="21"/>
                <w:szCs w:val="21"/>
                <w:highlight w:val="none"/>
              </w:rPr>
              <w:t>员工借还药</w:t>
            </w:r>
          </w:p>
        </w:tc>
        <w:tc>
          <w:tcPr>
            <w:tcW w:w="7737" w:type="dxa"/>
            <w:vAlign w:val="center"/>
          </w:tcPr>
          <w:p w14:paraId="094476E6">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kern w:val="0"/>
                <w:sz w:val="21"/>
                <w:szCs w:val="21"/>
              </w:rPr>
            </w:pPr>
            <w:r>
              <w:rPr>
                <w:rFonts w:hint="eastAsia" w:ascii="宋体" w:hAnsi="宋体" w:cs="宋体"/>
                <w:color w:val="auto"/>
                <w:sz w:val="21"/>
                <w:szCs w:val="21"/>
                <w:highlight w:val="none"/>
              </w:rPr>
              <w:t>支持员工借药、员工还药管理功能。</w:t>
            </w:r>
            <w:r>
              <w:rPr>
                <w:rFonts w:hint="eastAsia" w:ascii="宋体" w:hAnsi="宋体" w:cs="宋体"/>
                <w:color w:val="000000"/>
                <w:sz w:val="21"/>
                <w:szCs w:val="21"/>
                <w:lang w:val="en-US" w:eastAsia="zh-CN"/>
              </w:rPr>
              <w:t>借药界面支持采集、保存药品追溯码。</w:t>
            </w:r>
          </w:p>
          <w:p w14:paraId="1A9A0EC2">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r>
              <w:rPr>
                <w:rFonts w:hint="eastAsia" w:ascii="宋体" w:hAnsi="宋体" w:cs="宋体"/>
                <w:color w:val="000000"/>
                <w:sz w:val="21"/>
                <w:szCs w:val="21"/>
                <w:lang w:val="en-US" w:eastAsia="zh-CN"/>
              </w:rPr>
              <w:t>支持借药明细查询，可按时间、借药人姓名、借药人ID、发药人姓名、发药人ID、药品名称查询借药明细，明细至少要包含借药时间、借药人姓名、借药人ID、发药人姓名、发药人ID、药品通用名、药品商品名、药品规格、药品数量、药品追溯码，双击药品追溯码可复制追溯码。借药明细支持导出、打印。</w:t>
            </w:r>
          </w:p>
        </w:tc>
      </w:tr>
      <w:tr w14:paraId="6A828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851" w:type="dxa"/>
            <w:vMerge w:val="continue"/>
            <w:vAlign w:val="center"/>
          </w:tcPr>
          <w:p w14:paraId="24F72E35">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8828" w:type="dxa"/>
            <w:gridSpan w:val="2"/>
            <w:vAlign w:val="center"/>
          </w:tcPr>
          <w:p w14:paraId="1F0F96A9">
            <w:pPr>
              <w:keepNext w:val="0"/>
              <w:keepLines w:val="0"/>
              <w:pageBreakBefore w:val="0"/>
              <w:numPr>
                <w:ilvl w:val="1"/>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r>
              <w:rPr>
                <w:rFonts w:hint="eastAsia" w:ascii="宋体" w:hAnsi="宋体" w:cs="宋体"/>
                <w:color w:val="auto"/>
                <w:sz w:val="21"/>
                <w:szCs w:val="21"/>
                <w:highlight w:val="none"/>
              </w:rPr>
              <w:t>药品日结月结</w:t>
            </w:r>
          </w:p>
        </w:tc>
      </w:tr>
      <w:tr w14:paraId="12BA9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6" w:hRule="atLeast"/>
          <w:jc w:val="center"/>
        </w:trPr>
        <w:tc>
          <w:tcPr>
            <w:tcW w:w="851" w:type="dxa"/>
            <w:vMerge w:val="continue"/>
            <w:vAlign w:val="center"/>
          </w:tcPr>
          <w:p w14:paraId="451FD6BB">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091" w:type="dxa"/>
            <w:vAlign w:val="center"/>
          </w:tcPr>
          <w:p w14:paraId="72CB6D15">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r>
              <w:rPr>
                <w:rFonts w:hint="eastAsia" w:ascii="宋体" w:hAnsi="宋体" w:cs="宋体"/>
                <w:color w:val="auto"/>
                <w:sz w:val="21"/>
                <w:szCs w:val="21"/>
                <w:highlight w:val="none"/>
              </w:rPr>
              <w:t>药品日结月结</w:t>
            </w:r>
          </w:p>
        </w:tc>
        <w:tc>
          <w:tcPr>
            <w:tcW w:w="7737" w:type="dxa"/>
            <w:vAlign w:val="center"/>
          </w:tcPr>
          <w:p w14:paraId="43F938DD">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提供药品每天库存变化查询，以显示某个药品在某段时间内每天的动态库存。</w:t>
            </w:r>
          </w:p>
          <w:p w14:paraId="7D3E404B">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提供每天计算库存和实际库存不符合的药品的查询，并能查询相应的台账。</w:t>
            </w:r>
          </w:p>
          <w:p w14:paraId="7666563F">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支持特殊药品单独日结月结统计功能，如提供贵重药品、精麻毒等特殊药品日结日报功能。</w:t>
            </w:r>
          </w:p>
          <w:p w14:paraId="7A51B442">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支持自定义月结日功能，初次月结日未初始建账日期，以后每月的月结起始时间就是上次月结的月结终止时间；</w:t>
            </w:r>
          </w:p>
          <w:p w14:paraId="339E2C80">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支持月结前自动判断库房业务是否完成功能，如领药单、退药单、调拨入库单、调拨出库单以及出入库单是否确认；</w:t>
            </w:r>
          </w:p>
          <w:p w14:paraId="41CEE246">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支持取消月结，取消月结必须从最后一个月结月份逐月取消，不能跳月取消月结。</w:t>
            </w:r>
          </w:p>
        </w:tc>
      </w:tr>
      <w:tr w14:paraId="7983F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851" w:type="dxa"/>
            <w:vMerge w:val="continue"/>
            <w:vAlign w:val="center"/>
          </w:tcPr>
          <w:p w14:paraId="2D6A7000">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8828" w:type="dxa"/>
            <w:gridSpan w:val="2"/>
            <w:vAlign w:val="center"/>
          </w:tcPr>
          <w:p w14:paraId="79A95060">
            <w:pPr>
              <w:keepNext w:val="0"/>
              <w:keepLines w:val="0"/>
              <w:pageBreakBefore w:val="0"/>
              <w:numPr>
                <w:ilvl w:val="1"/>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bookmarkStart w:id="44" w:name="OLE_LINK4"/>
            <w:r>
              <w:rPr>
                <w:rFonts w:hint="eastAsia" w:ascii="宋体" w:hAnsi="宋体" w:cs="宋体"/>
                <w:color w:val="auto"/>
                <w:sz w:val="21"/>
                <w:szCs w:val="21"/>
                <w:highlight w:val="none"/>
              </w:rPr>
              <w:t>库房查询</w:t>
            </w:r>
            <w:bookmarkEnd w:id="44"/>
          </w:p>
        </w:tc>
      </w:tr>
      <w:tr w14:paraId="2A8E7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8" w:hRule="atLeast"/>
          <w:jc w:val="center"/>
        </w:trPr>
        <w:tc>
          <w:tcPr>
            <w:tcW w:w="851" w:type="dxa"/>
            <w:vMerge w:val="continue"/>
            <w:vAlign w:val="center"/>
          </w:tcPr>
          <w:p w14:paraId="40BCB4DE">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091" w:type="dxa"/>
            <w:vAlign w:val="center"/>
          </w:tcPr>
          <w:p w14:paraId="7C421610">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r>
              <w:rPr>
                <w:rFonts w:hint="eastAsia" w:ascii="宋体" w:hAnsi="宋体" w:cs="宋体"/>
                <w:color w:val="auto"/>
                <w:sz w:val="21"/>
                <w:szCs w:val="21"/>
                <w:highlight w:val="none"/>
              </w:rPr>
              <w:t>库房查询</w:t>
            </w:r>
          </w:p>
        </w:tc>
        <w:tc>
          <w:tcPr>
            <w:tcW w:w="7737" w:type="dxa"/>
            <w:vAlign w:val="center"/>
          </w:tcPr>
          <w:p w14:paraId="21417EC5">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提供药房库存、药品价格信息、门诊发药、申领历史、药房账簿，汇总月报、库存日报、失效报警、代煎药发药等基本统计查询。</w:t>
            </w:r>
          </w:p>
          <w:p w14:paraId="54369ACF">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sz w:val="21"/>
                <w:szCs w:val="21"/>
              </w:rPr>
              <w:t>实时库存查询，可支持根据需要进行权限设置，药房可以看到当前药房的实时库存。</w:t>
            </w:r>
          </w:p>
          <w:p w14:paraId="712409FA">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sz w:val="21"/>
                <w:szCs w:val="21"/>
              </w:rPr>
              <w:t>周转库设置：设置药房周转库药品的高低储、是否可供、货位、库管分类。</w:t>
            </w:r>
          </w:p>
          <w:p w14:paraId="343DA426">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提供药品有效期自动报警功能</w:t>
            </w:r>
          </w:p>
          <w:p w14:paraId="1C67A61C">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支持统计过期药品的品种数和金额，提供库存量提示功能</w:t>
            </w:r>
          </w:p>
          <w:p w14:paraId="64D17A40">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sz w:val="21"/>
                <w:szCs w:val="21"/>
              </w:rPr>
              <w:t>药品退库查询：支持查看各种退库单据详细信息。</w:t>
            </w:r>
          </w:p>
        </w:tc>
      </w:tr>
      <w:tr w14:paraId="1E9C6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851" w:type="dxa"/>
            <w:vMerge w:val="restart"/>
            <w:vAlign w:val="center"/>
          </w:tcPr>
          <w:p w14:paraId="36FBE065">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8828" w:type="dxa"/>
            <w:gridSpan w:val="2"/>
            <w:vAlign w:val="center"/>
          </w:tcPr>
          <w:p w14:paraId="270CDF8F">
            <w:pPr>
              <w:keepNext w:val="0"/>
              <w:keepLines w:val="0"/>
              <w:pageBreakBefore w:val="0"/>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退药调价损益报表</w:t>
            </w:r>
          </w:p>
        </w:tc>
      </w:tr>
      <w:tr w14:paraId="42982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851" w:type="dxa"/>
            <w:vMerge w:val="continue"/>
            <w:vAlign w:val="center"/>
          </w:tcPr>
          <w:p w14:paraId="007DDD47">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091" w:type="dxa"/>
            <w:vAlign w:val="center"/>
          </w:tcPr>
          <w:p w14:paraId="412F56A6">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r>
              <w:rPr>
                <w:rFonts w:hint="eastAsia" w:ascii="宋体" w:hAnsi="宋体" w:cs="宋体"/>
                <w:bCs/>
                <w:color w:val="auto"/>
                <w:sz w:val="21"/>
                <w:szCs w:val="21"/>
                <w:highlight w:val="none"/>
              </w:rPr>
              <w:t>退药调价损益报表</w:t>
            </w:r>
          </w:p>
        </w:tc>
        <w:tc>
          <w:tcPr>
            <w:tcW w:w="7737" w:type="dxa"/>
            <w:vAlign w:val="center"/>
          </w:tcPr>
          <w:p w14:paraId="6C305A58">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报表包含：药品通用名、药品商品名、药品规格、包装量、调前进价、调后进价、调前库存量、调价增益、调价时间，报表支持按日期、药房单元、药品类型（西药、中成药、中草药）进行统计</w:t>
            </w:r>
          </w:p>
        </w:tc>
      </w:tr>
      <w:tr w14:paraId="3FA73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851" w:type="dxa"/>
            <w:vMerge w:val="restart"/>
            <w:vAlign w:val="center"/>
          </w:tcPr>
          <w:p w14:paraId="6AF3C84A">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8828" w:type="dxa"/>
            <w:gridSpan w:val="2"/>
            <w:vAlign w:val="center"/>
          </w:tcPr>
          <w:p w14:paraId="2B10FCD1">
            <w:pPr>
              <w:keepNext w:val="0"/>
              <w:keepLines w:val="0"/>
              <w:pageBreakBefore w:val="0"/>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麻精电子病历</w:t>
            </w:r>
          </w:p>
        </w:tc>
      </w:tr>
      <w:tr w14:paraId="4438F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851" w:type="dxa"/>
            <w:vMerge w:val="continue"/>
            <w:vAlign w:val="center"/>
          </w:tcPr>
          <w:p w14:paraId="3A5C50E8">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091" w:type="dxa"/>
            <w:vAlign w:val="center"/>
          </w:tcPr>
          <w:p w14:paraId="287D1837">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r>
              <w:rPr>
                <w:rFonts w:hint="eastAsia" w:ascii="宋体" w:hAnsi="宋体" w:cs="宋体"/>
                <w:bCs/>
                <w:color w:val="auto"/>
                <w:sz w:val="21"/>
                <w:szCs w:val="21"/>
                <w:highlight w:val="none"/>
              </w:rPr>
              <w:t>麻精电子病历</w:t>
            </w:r>
          </w:p>
        </w:tc>
        <w:tc>
          <w:tcPr>
            <w:tcW w:w="7737" w:type="dxa"/>
            <w:vAlign w:val="center"/>
          </w:tcPr>
          <w:p w14:paraId="1F61AB02">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支持门诊药房可查看“麻精电子病历”（见需求2.1.1），并可在病历文书药师签名处点击签名。</w:t>
            </w:r>
          </w:p>
        </w:tc>
      </w:tr>
      <w:tr w14:paraId="482DC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851" w:type="dxa"/>
            <w:vMerge w:val="continue"/>
            <w:vAlign w:val="center"/>
          </w:tcPr>
          <w:p w14:paraId="7FF2FD03">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8828" w:type="dxa"/>
            <w:gridSpan w:val="2"/>
            <w:vAlign w:val="center"/>
          </w:tcPr>
          <w:p w14:paraId="6E782B69">
            <w:pPr>
              <w:keepNext w:val="0"/>
              <w:keepLines w:val="0"/>
              <w:pageBreakBefore w:val="0"/>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药房统计报表</w:t>
            </w:r>
          </w:p>
        </w:tc>
      </w:tr>
      <w:tr w14:paraId="4F54E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851" w:type="dxa"/>
            <w:vMerge w:val="continue"/>
            <w:vAlign w:val="center"/>
          </w:tcPr>
          <w:p w14:paraId="57DE9993">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8828" w:type="dxa"/>
            <w:gridSpan w:val="2"/>
            <w:vAlign w:val="center"/>
          </w:tcPr>
          <w:p w14:paraId="4E49F20C">
            <w:pPr>
              <w:keepNext w:val="0"/>
              <w:keepLines w:val="0"/>
              <w:pageBreakBefore w:val="0"/>
              <w:numPr>
                <w:ilvl w:val="0"/>
                <w:numId w:val="2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r>
              <w:rPr>
                <w:rFonts w:hint="eastAsia" w:ascii="宋体" w:hAnsi="宋体" w:cs="宋体"/>
                <w:color w:val="auto"/>
                <w:sz w:val="21"/>
                <w:szCs w:val="21"/>
                <w:highlight w:val="none"/>
              </w:rPr>
              <w:t>西药房工作量报表：按时间查询工作量，包含药师姓名、工号、配药处方数、配药药品数、发药处方数、发药药品数</w:t>
            </w:r>
          </w:p>
          <w:p w14:paraId="2CDA176A">
            <w:pPr>
              <w:keepNext w:val="0"/>
              <w:keepLines w:val="0"/>
              <w:pageBreakBefore w:val="0"/>
              <w:numPr>
                <w:ilvl w:val="0"/>
                <w:numId w:val="2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r>
              <w:rPr>
                <w:rFonts w:hint="eastAsia" w:ascii="宋体" w:hAnsi="宋体" w:cs="宋体"/>
                <w:color w:val="auto"/>
                <w:sz w:val="21"/>
                <w:szCs w:val="21"/>
                <w:highlight w:val="none"/>
              </w:rPr>
              <w:t>中药房工作量报表：按时间查询工作量，包含配方人员、配方味数、配方张数、配方贴数、平均配方味数、平均配方张数、发药味数、发药张数、发药贴数、平均发药味数、平均发药张数、煎药味数、煎药张数、煎药贴数。</w:t>
            </w:r>
          </w:p>
        </w:tc>
      </w:tr>
      <w:tr w14:paraId="01120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51" w:type="dxa"/>
            <w:vMerge w:val="continue"/>
            <w:vAlign w:val="center"/>
          </w:tcPr>
          <w:p w14:paraId="4C45FA74">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8828" w:type="dxa"/>
            <w:gridSpan w:val="2"/>
            <w:vAlign w:val="center"/>
          </w:tcPr>
          <w:p w14:paraId="31BB1985">
            <w:pPr>
              <w:keepNext w:val="0"/>
              <w:keepLines w:val="0"/>
              <w:pageBreakBefore w:val="0"/>
              <w:numPr>
                <w:ilvl w:val="0"/>
                <w:numId w:val="2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r>
              <w:rPr>
                <w:rFonts w:hint="eastAsia" w:ascii="宋体" w:hAnsi="宋体" w:cs="宋体"/>
                <w:color w:val="auto"/>
                <w:sz w:val="21"/>
                <w:szCs w:val="21"/>
                <w:highlight w:val="none"/>
              </w:rPr>
              <w:t>单一药品使用查询报表：支持查询某一药品使用情况，查询结果包含处方号、开单科室、患者姓名、药品数量、开单医生、发药时间、发药状态（已发药、未发药）、收费时间、报到时间、发药药师</w:t>
            </w:r>
          </w:p>
        </w:tc>
      </w:tr>
      <w:tr w14:paraId="0D007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851" w:type="dxa"/>
            <w:vMerge w:val="continue"/>
            <w:vAlign w:val="center"/>
          </w:tcPr>
          <w:p w14:paraId="4E880BA8">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0" w:type="auto"/>
            <w:gridSpan w:val="2"/>
            <w:vAlign w:val="center"/>
          </w:tcPr>
          <w:p w14:paraId="306201F5">
            <w:pPr>
              <w:keepNext w:val="0"/>
              <w:keepLines w:val="0"/>
              <w:pageBreakBefore w:val="0"/>
              <w:numPr>
                <w:ilvl w:val="0"/>
                <w:numId w:val="2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r>
              <w:rPr>
                <w:rFonts w:hint="eastAsia" w:ascii="宋体" w:hAnsi="宋体" w:cs="宋体"/>
                <w:color w:val="auto"/>
                <w:sz w:val="21"/>
                <w:szCs w:val="21"/>
                <w:highlight w:val="none"/>
              </w:rPr>
              <w:t>药房财务月报表：需包含上月结余、出库、入库、配方、报废、盘盈、盘亏、本月结余、调整金额，可根据时间、药品类型（西药、中成药、中草药）进行统计，可导出打印。</w:t>
            </w:r>
          </w:p>
        </w:tc>
      </w:tr>
      <w:tr w14:paraId="46763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851" w:type="dxa"/>
            <w:vMerge w:val="restart"/>
            <w:vAlign w:val="center"/>
          </w:tcPr>
          <w:p w14:paraId="6289382D">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0" w:type="auto"/>
            <w:gridSpan w:val="2"/>
            <w:vAlign w:val="center"/>
          </w:tcPr>
          <w:p w14:paraId="6D88A872">
            <w:pPr>
              <w:keepNext w:val="0"/>
              <w:keepLines w:val="0"/>
              <w:pageBreakBefore w:val="0"/>
              <w:numPr>
                <w:ilvl w:val="0"/>
                <w:numId w:val="2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r>
              <w:rPr>
                <w:rFonts w:hint="eastAsia" w:ascii="宋体" w:hAnsi="宋体" w:cs="宋体"/>
                <w:color w:val="auto"/>
                <w:sz w:val="21"/>
                <w:szCs w:val="21"/>
                <w:highlight w:val="none"/>
              </w:rPr>
              <w:t>单一药品退药查询报表：支持查询某一药品退药情况，查询结果包含：处方号、开单科室、患者姓名、药品数量、开单医生、发药时间、退药时间、发药药师、退药药师</w:t>
            </w:r>
          </w:p>
        </w:tc>
      </w:tr>
      <w:tr w14:paraId="2E79C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851" w:type="dxa"/>
            <w:vMerge w:val="continue"/>
            <w:vAlign w:val="center"/>
          </w:tcPr>
          <w:p w14:paraId="3873CA6C">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0" w:type="auto"/>
            <w:gridSpan w:val="2"/>
            <w:vAlign w:val="center"/>
          </w:tcPr>
          <w:p w14:paraId="0D7FD6D2">
            <w:pPr>
              <w:keepNext w:val="0"/>
              <w:keepLines w:val="0"/>
              <w:pageBreakBefore w:val="0"/>
              <w:numPr>
                <w:ilvl w:val="0"/>
                <w:numId w:val="2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r>
              <w:rPr>
                <w:rFonts w:hint="eastAsia" w:ascii="宋体" w:hAnsi="宋体" w:cs="宋体"/>
                <w:color w:val="auto"/>
                <w:sz w:val="21"/>
                <w:szCs w:val="21"/>
                <w:highlight w:val="none"/>
              </w:rPr>
              <w:t>药品使用查询报表：支持查询所有药品使用情况，查询结果包括药品ID、药品通用名、药品商品名、药品规格、药品发药量、药品退药量、药品销售金额、药品退药金额，可根据以下查询条件单独或联合进行统计：日期、开单科室、发药药房、药品类型（全部、西药、中成药、配方颗粒、中药饮片）、药品属性（全部、抗肿瘤药、抗菌药、麻醉药品、第一类精神药品、第二类精神药品、计生药品、大输液、毒性药品、贵重药品、普通药品、高警示药品）</w:t>
            </w:r>
          </w:p>
        </w:tc>
      </w:tr>
      <w:tr w14:paraId="3829C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851" w:type="dxa"/>
            <w:vMerge w:val="continue"/>
            <w:vAlign w:val="center"/>
          </w:tcPr>
          <w:p w14:paraId="714575E5">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0" w:type="auto"/>
            <w:gridSpan w:val="2"/>
            <w:vAlign w:val="center"/>
          </w:tcPr>
          <w:p w14:paraId="325D39C3">
            <w:pPr>
              <w:keepNext w:val="0"/>
              <w:keepLines w:val="0"/>
              <w:pageBreakBefore w:val="0"/>
              <w:numPr>
                <w:ilvl w:val="0"/>
                <w:numId w:val="2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r>
              <w:rPr>
                <w:rFonts w:hint="eastAsia" w:ascii="宋体" w:hAnsi="宋体" w:cs="宋体"/>
                <w:color w:val="auto"/>
                <w:sz w:val="21"/>
                <w:szCs w:val="21"/>
                <w:highlight w:val="none"/>
              </w:rPr>
              <w:t>处方查询报表：支持按以下条件单独或联合查询处方，患者姓名、收费时间、处方号、发药状态（全部、已发药、未发药、退药；中草药处方状态还包括：已煎药、已到窗口）、代煎情况（代煎、非代煎、全部；此条件仅针对中药饮片处方），处方查询界面有处方单、用药标签打印功能。</w:t>
            </w:r>
          </w:p>
          <w:p w14:paraId="67A93070">
            <w:pPr>
              <w:keepNext w:val="0"/>
              <w:keepLines w:val="0"/>
              <w:pageBreakBefore w:val="0"/>
              <w:numPr>
                <w:ilvl w:val="0"/>
                <w:numId w:val="2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r>
              <w:rPr>
                <w:rFonts w:hint="eastAsia" w:ascii="宋体" w:hAnsi="宋体" w:cs="宋体"/>
                <w:color w:val="auto"/>
                <w:sz w:val="21"/>
                <w:szCs w:val="21"/>
                <w:highlight w:val="none"/>
              </w:rPr>
              <w:t>支持长期处方统计功能,包括但不限于科室、医生、职称、长期处方数量、药品、处方金额、评估表数量、知情同意书数量。支持在计算药品费用指标，如药占比时，能将长期处方药品金额或占比排除。</w:t>
            </w:r>
          </w:p>
          <w:p w14:paraId="05A46A63">
            <w:pPr>
              <w:keepNext w:val="0"/>
              <w:keepLines w:val="0"/>
              <w:pageBreakBefore w:val="0"/>
              <w:numPr>
                <w:ilvl w:val="0"/>
                <w:numId w:val="2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r>
              <w:rPr>
                <w:rFonts w:hint="eastAsia" w:ascii="宋体" w:hAnsi="宋体" w:cs="宋体"/>
                <w:bCs/>
                <w:color w:val="auto"/>
                <w:szCs w:val="21"/>
                <w:highlight w:val="none"/>
              </w:rPr>
              <w:t>支持自定义时间段，按科室、医生、药品、患者及特殊情况开药原因等维度，分别统计余药量弹框触发情况与药品余药量情况。统计报表支持导出。系统于每季度首日自动统计上季度患者余药量，可调取余药量直接用于患者的当次处方。</w:t>
            </w:r>
          </w:p>
        </w:tc>
      </w:tr>
      <w:tr w14:paraId="40440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851" w:type="dxa"/>
            <w:vMerge w:val="continue"/>
            <w:vAlign w:val="center"/>
          </w:tcPr>
          <w:p w14:paraId="7E8C6EEF">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0" w:type="auto"/>
            <w:gridSpan w:val="2"/>
            <w:vAlign w:val="center"/>
          </w:tcPr>
          <w:p w14:paraId="7F1C518C">
            <w:pPr>
              <w:keepNext w:val="0"/>
              <w:keepLines w:val="0"/>
              <w:pageBreakBefore w:val="0"/>
              <w:numPr>
                <w:ilvl w:val="0"/>
                <w:numId w:val="2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r>
              <w:rPr>
                <w:rFonts w:hint="eastAsia" w:ascii="宋体" w:hAnsi="宋体" w:cs="宋体"/>
                <w:color w:val="auto"/>
                <w:sz w:val="21"/>
                <w:szCs w:val="21"/>
                <w:highlight w:val="none"/>
              </w:rPr>
              <w:t>代配处方查询：可根据以下查询条件单独或联合统计代配处方，日期、患者姓名、住院号、处方号、门诊号、药品</w:t>
            </w:r>
          </w:p>
        </w:tc>
      </w:tr>
      <w:tr w14:paraId="79A4A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851" w:type="dxa"/>
            <w:vMerge w:val="continue"/>
            <w:vAlign w:val="center"/>
          </w:tcPr>
          <w:p w14:paraId="649C4FB1">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0" w:type="auto"/>
            <w:gridSpan w:val="2"/>
            <w:vAlign w:val="center"/>
          </w:tcPr>
          <w:p w14:paraId="45CE7B9E">
            <w:pPr>
              <w:keepNext w:val="0"/>
              <w:keepLines w:val="0"/>
              <w:pageBreakBefore w:val="0"/>
              <w:numPr>
                <w:ilvl w:val="0"/>
                <w:numId w:val="2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r>
              <w:rPr>
                <w:rFonts w:hint="eastAsia" w:ascii="宋体" w:hAnsi="宋体" w:cs="宋体"/>
                <w:color w:val="auto"/>
                <w:sz w:val="21"/>
                <w:szCs w:val="21"/>
                <w:highlight w:val="none"/>
              </w:rPr>
              <w:t>中药代煎操作记录表：可按照日期进行统计并打印，日期、姓名、年龄、科别、剂数、门诊/住院、床号由系统自动读取，加水量支持填写、浸泡时间、煎煮时间支持单选或多选点击后自动记录时间，特殊煎煮、煎药量、锅号支持单选或多选批量填充，操作人自动记录为系统登录人。</w:t>
            </w:r>
          </w:p>
        </w:tc>
      </w:tr>
      <w:tr w14:paraId="43BEC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851" w:type="dxa"/>
            <w:vMerge w:val="continue"/>
            <w:vAlign w:val="center"/>
          </w:tcPr>
          <w:p w14:paraId="784A8B56">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0" w:type="auto"/>
            <w:gridSpan w:val="2"/>
            <w:vAlign w:val="center"/>
          </w:tcPr>
          <w:p w14:paraId="4680ECDE">
            <w:pPr>
              <w:keepNext w:val="0"/>
              <w:keepLines w:val="0"/>
              <w:pageBreakBefore w:val="0"/>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r>
              <w:rPr>
                <w:rFonts w:hint="eastAsia" w:ascii="宋体" w:hAnsi="宋体" w:cs="宋体"/>
                <w:color w:val="auto"/>
                <w:sz w:val="21"/>
                <w:szCs w:val="21"/>
                <w:highlight w:val="none"/>
              </w:rPr>
              <w:t>药品维护功能（仅针对中药房）</w:t>
            </w:r>
          </w:p>
        </w:tc>
      </w:tr>
      <w:tr w14:paraId="3290C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851" w:type="dxa"/>
            <w:vMerge w:val="continue"/>
            <w:vAlign w:val="center"/>
          </w:tcPr>
          <w:p w14:paraId="1FF3D163">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091" w:type="dxa"/>
            <w:vAlign w:val="center"/>
          </w:tcPr>
          <w:p w14:paraId="17AD5E25">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r>
              <w:rPr>
                <w:rFonts w:hint="eastAsia" w:ascii="宋体" w:hAnsi="宋体" w:cs="宋体"/>
                <w:color w:val="auto"/>
                <w:sz w:val="21"/>
                <w:szCs w:val="21"/>
                <w:highlight w:val="none"/>
              </w:rPr>
              <w:t>药品维护功能（仅针对中药房）</w:t>
            </w:r>
          </w:p>
        </w:tc>
        <w:tc>
          <w:tcPr>
            <w:tcW w:w="7737" w:type="dxa"/>
            <w:vAlign w:val="center"/>
          </w:tcPr>
          <w:p w14:paraId="496E8B9B">
            <w:pPr>
              <w:keepNext w:val="0"/>
              <w:keepLines w:val="0"/>
              <w:pageBreakBefore w:val="0"/>
              <w:numPr>
                <w:ilvl w:val="0"/>
                <w:numId w:val="22"/>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r>
              <w:rPr>
                <w:rFonts w:hint="eastAsia" w:ascii="宋体" w:hAnsi="宋体" w:cs="宋体"/>
                <w:color w:val="auto"/>
                <w:sz w:val="21"/>
                <w:szCs w:val="21"/>
                <w:highlight w:val="none"/>
              </w:rPr>
              <w:t>可维护药品可收费量（医师开药减扣的划价量）、用法用量（维护给医师开药使用的默认用法用量，其中【复用】勾选后表示该药品可由医生随意开出剂量）、【剂量维护】是医生开药时使用的最小剂量单位，必须维护。点击【新增】，填写药品常用【剂量】、【剂量值】和【剂量单位】，点击【保存】记录由红色变为黑色表示保存成功。【限量设置】门诊和住院医生可开出的最大数量，勾选“药房审批”医生开出此药品需要药品审批同意。</w:t>
            </w:r>
          </w:p>
          <w:p w14:paraId="058C9F76">
            <w:pPr>
              <w:keepNext w:val="0"/>
              <w:keepLines w:val="0"/>
              <w:pageBreakBefore w:val="0"/>
              <w:numPr>
                <w:ilvl w:val="0"/>
                <w:numId w:val="22"/>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r>
              <w:rPr>
                <w:rFonts w:hint="eastAsia" w:ascii="宋体" w:hAnsi="宋体" w:cs="宋体"/>
                <w:color w:val="auto"/>
                <w:sz w:val="21"/>
                <w:szCs w:val="21"/>
                <w:highlight w:val="none"/>
              </w:rPr>
              <w:t>可维护某些药品对指定医师禁用</w:t>
            </w:r>
          </w:p>
        </w:tc>
      </w:tr>
      <w:tr w14:paraId="6BCF7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851" w:type="dxa"/>
            <w:vAlign w:val="center"/>
          </w:tcPr>
          <w:p w14:paraId="0AFF874D">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091" w:type="dxa"/>
            <w:vAlign w:val="center"/>
          </w:tcPr>
          <w:p w14:paraId="4A1BC85A">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r>
              <w:rPr>
                <w:rFonts w:hint="eastAsia" w:ascii="宋体" w:hAnsi="宋体" w:cs="宋体"/>
                <w:color w:val="auto"/>
                <w:sz w:val="21"/>
                <w:szCs w:val="21"/>
                <w:highlight w:val="none"/>
              </w:rPr>
              <w:t>饮片规格维护</w:t>
            </w:r>
          </w:p>
        </w:tc>
        <w:tc>
          <w:tcPr>
            <w:tcW w:w="7737" w:type="dxa"/>
            <w:vAlign w:val="center"/>
          </w:tcPr>
          <w:p w14:paraId="4BBC99F9">
            <w:pPr>
              <w:keepNext w:val="0"/>
              <w:keepLines w:val="0"/>
              <w:pageBreakBefore w:val="0"/>
              <w:numPr>
                <w:ilvl w:val="0"/>
                <w:numId w:val="22"/>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r>
              <w:rPr>
                <w:rFonts w:hint="eastAsia" w:ascii="宋体" w:hAnsi="宋体" w:cs="宋体"/>
                <w:color w:val="auto"/>
                <w:sz w:val="21"/>
                <w:szCs w:val="21"/>
                <w:highlight w:val="none"/>
              </w:rPr>
              <w:t>针对某一药品条目，可维护剂量值、剂量单位、包装量、状态（普通：医师正常开具；暂停：医师不可开具）</w:t>
            </w:r>
          </w:p>
        </w:tc>
      </w:tr>
      <w:tr w14:paraId="17550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851" w:type="dxa"/>
            <w:vAlign w:val="center"/>
          </w:tcPr>
          <w:p w14:paraId="3D22B795">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091" w:type="dxa"/>
            <w:vAlign w:val="center"/>
          </w:tcPr>
          <w:p w14:paraId="3E1765BF">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r>
              <w:rPr>
                <w:rFonts w:hint="eastAsia" w:ascii="宋体" w:hAnsi="宋体" w:cs="宋体"/>
                <w:color w:val="auto"/>
                <w:sz w:val="21"/>
                <w:szCs w:val="21"/>
                <w:highlight w:val="none"/>
              </w:rPr>
              <w:t>药品位置维护</w:t>
            </w:r>
          </w:p>
        </w:tc>
        <w:tc>
          <w:tcPr>
            <w:tcW w:w="7737" w:type="dxa"/>
            <w:vAlign w:val="center"/>
          </w:tcPr>
          <w:p w14:paraId="6766C1D8">
            <w:pPr>
              <w:keepNext w:val="0"/>
              <w:keepLines w:val="0"/>
              <w:pageBreakBefore w:val="0"/>
              <w:numPr>
                <w:ilvl w:val="0"/>
                <w:numId w:val="22"/>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r>
              <w:rPr>
                <w:rFonts w:hint="eastAsia" w:ascii="宋体" w:hAnsi="宋体" w:cs="宋体"/>
                <w:color w:val="auto"/>
                <w:sz w:val="21"/>
                <w:szCs w:val="21"/>
                <w:highlight w:val="none"/>
              </w:rPr>
              <w:t>可输入多个位置信息，打印时药品按照位置信息的首位字符顺序依次打印。</w:t>
            </w:r>
            <w:r>
              <w:rPr>
                <w:rFonts w:hint="eastAsia"/>
                <w:color w:val="auto"/>
                <w:sz w:val="21"/>
                <w:szCs w:val="21"/>
                <w:highlight w:val="none"/>
              </w:rPr>
              <w:t>（增加字段，定制开发）</w:t>
            </w:r>
          </w:p>
        </w:tc>
      </w:tr>
      <w:tr w14:paraId="46182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851" w:type="dxa"/>
            <w:vMerge w:val="restart"/>
            <w:vAlign w:val="center"/>
          </w:tcPr>
          <w:p w14:paraId="58396F2B">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8828" w:type="dxa"/>
            <w:gridSpan w:val="2"/>
            <w:vAlign w:val="center"/>
          </w:tcPr>
          <w:p w14:paraId="6F10D64B">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r>
              <w:rPr>
                <w:rFonts w:hint="eastAsia" w:ascii="宋体" w:hAnsi="宋体" w:cs="宋体"/>
                <w:color w:val="auto"/>
                <w:sz w:val="21"/>
                <w:szCs w:val="21"/>
                <w:highlight w:val="none"/>
              </w:rPr>
              <w:t>药房班次维护功能</w:t>
            </w:r>
            <w:r>
              <w:rPr>
                <w:rFonts w:hint="eastAsia"/>
                <w:color w:val="auto"/>
                <w:sz w:val="21"/>
                <w:szCs w:val="21"/>
                <w:highlight w:val="none"/>
              </w:rPr>
              <w:t>（参考温医功能定制化开发）</w:t>
            </w:r>
          </w:p>
        </w:tc>
      </w:tr>
      <w:tr w14:paraId="07BE4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851" w:type="dxa"/>
            <w:vMerge w:val="continue"/>
            <w:vAlign w:val="center"/>
          </w:tcPr>
          <w:p w14:paraId="438ACD8F">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091" w:type="dxa"/>
            <w:vAlign w:val="center"/>
          </w:tcPr>
          <w:p w14:paraId="5593042D">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r>
              <w:rPr>
                <w:rFonts w:hint="eastAsia" w:ascii="宋体" w:hAnsi="宋体" w:cs="宋体"/>
                <w:color w:val="auto"/>
                <w:sz w:val="21"/>
                <w:szCs w:val="21"/>
                <w:highlight w:val="none"/>
              </w:rPr>
              <w:t>药房班次维护功能</w:t>
            </w:r>
          </w:p>
        </w:tc>
        <w:tc>
          <w:tcPr>
            <w:tcW w:w="7737" w:type="dxa"/>
            <w:vAlign w:val="center"/>
          </w:tcPr>
          <w:p w14:paraId="10AE2D31">
            <w:pPr>
              <w:keepNext w:val="0"/>
              <w:keepLines w:val="0"/>
              <w:pageBreakBefore w:val="0"/>
              <w:numPr>
                <w:ilvl w:val="0"/>
                <w:numId w:val="22"/>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r>
              <w:rPr>
                <w:rFonts w:hint="eastAsia" w:ascii="宋体" w:hAnsi="宋体" w:cs="宋体"/>
                <w:color w:val="auto"/>
                <w:sz w:val="21"/>
                <w:szCs w:val="21"/>
                <w:highlight w:val="none"/>
              </w:rPr>
              <w:t>用于配方发药时选择工作班次来计算工作量。</w:t>
            </w:r>
          </w:p>
        </w:tc>
      </w:tr>
      <w:tr w14:paraId="74706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851" w:type="dxa"/>
            <w:vMerge w:val="restart"/>
            <w:vAlign w:val="center"/>
          </w:tcPr>
          <w:p w14:paraId="2165E1E9">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8828" w:type="dxa"/>
            <w:gridSpan w:val="2"/>
            <w:vAlign w:val="center"/>
          </w:tcPr>
          <w:p w14:paraId="579CE63A">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r>
              <w:rPr>
                <w:rFonts w:hint="eastAsia" w:ascii="宋体" w:hAnsi="宋体" w:cs="宋体"/>
                <w:color w:val="auto"/>
                <w:sz w:val="21"/>
                <w:szCs w:val="21"/>
                <w:highlight w:val="none"/>
              </w:rPr>
              <w:t>药品查询功能</w:t>
            </w:r>
          </w:p>
        </w:tc>
      </w:tr>
      <w:tr w14:paraId="6FD3F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851" w:type="dxa"/>
            <w:vMerge w:val="continue"/>
            <w:vAlign w:val="center"/>
          </w:tcPr>
          <w:p w14:paraId="09A85EE3">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091" w:type="dxa"/>
            <w:vAlign w:val="center"/>
          </w:tcPr>
          <w:p w14:paraId="3DF9FF4B">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r>
              <w:rPr>
                <w:rFonts w:hint="eastAsia" w:ascii="宋体" w:hAnsi="宋体" w:cs="宋体"/>
                <w:color w:val="auto"/>
                <w:sz w:val="21"/>
                <w:szCs w:val="21"/>
                <w:highlight w:val="none"/>
              </w:rPr>
              <w:t>药品查询</w:t>
            </w:r>
          </w:p>
        </w:tc>
        <w:tc>
          <w:tcPr>
            <w:tcW w:w="7737" w:type="dxa"/>
            <w:vAlign w:val="center"/>
          </w:tcPr>
          <w:p w14:paraId="3D625598">
            <w:pPr>
              <w:keepNext w:val="0"/>
              <w:keepLines w:val="0"/>
              <w:pageBreakBefore w:val="0"/>
              <w:numPr>
                <w:ilvl w:val="0"/>
                <w:numId w:val="22"/>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r>
              <w:rPr>
                <w:rFonts w:hint="eastAsia" w:ascii="宋体" w:hAnsi="宋体" w:cs="宋体"/>
                <w:color w:val="auto"/>
                <w:sz w:val="21"/>
                <w:szCs w:val="21"/>
                <w:highlight w:val="none"/>
              </w:rPr>
              <w:t>支持输入药品简码或通用名或商品名后，可查询药品入库信息、出库信息、药房信息、药库信息、调价信息、招标信息</w:t>
            </w:r>
          </w:p>
        </w:tc>
      </w:tr>
      <w:tr w14:paraId="0F90A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851" w:type="dxa"/>
            <w:vMerge w:val="restart"/>
            <w:vAlign w:val="center"/>
          </w:tcPr>
          <w:p w14:paraId="77B24C82">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8828" w:type="dxa"/>
            <w:gridSpan w:val="2"/>
            <w:vAlign w:val="center"/>
          </w:tcPr>
          <w:p w14:paraId="6B2F6EF1">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r>
              <w:rPr>
                <w:rFonts w:hint="eastAsia" w:ascii="宋体" w:hAnsi="宋体" w:cs="宋体"/>
                <w:color w:val="auto"/>
                <w:sz w:val="21"/>
                <w:szCs w:val="21"/>
                <w:highlight w:val="none"/>
              </w:rPr>
              <w:t>中药饮片集采监测</w:t>
            </w:r>
            <w:r>
              <w:rPr>
                <w:rFonts w:hint="eastAsia"/>
                <w:color w:val="auto"/>
                <w:sz w:val="21"/>
                <w:szCs w:val="21"/>
                <w:highlight w:val="none"/>
              </w:rPr>
              <w:t>（做数据服务里，提OA需求）</w:t>
            </w:r>
          </w:p>
        </w:tc>
      </w:tr>
      <w:tr w14:paraId="79317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851" w:type="dxa"/>
            <w:vMerge w:val="continue"/>
            <w:vAlign w:val="center"/>
          </w:tcPr>
          <w:p w14:paraId="4A273FED">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091" w:type="dxa"/>
            <w:vAlign w:val="center"/>
          </w:tcPr>
          <w:p w14:paraId="2D970EAA">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r>
              <w:rPr>
                <w:rFonts w:hint="eastAsia" w:ascii="宋体" w:hAnsi="宋体" w:cs="宋体"/>
                <w:color w:val="auto"/>
                <w:sz w:val="21"/>
                <w:szCs w:val="21"/>
                <w:highlight w:val="none"/>
              </w:rPr>
              <w:t>中药饮片用量实时监测</w:t>
            </w:r>
          </w:p>
        </w:tc>
        <w:tc>
          <w:tcPr>
            <w:tcW w:w="7737" w:type="dxa"/>
            <w:vAlign w:val="center"/>
          </w:tcPr>
          <w:p w14:paraId="1466BD6F">
            <w:pPr>
              <w:keepNext w:val="0"/>
              <w:keepLines w:val="0"/>
              <w:pageBreakBefore w:val="0"/>
              <w:numPr>
                <w:ilvl w:val="0"/>
                <w:numId w:val="22"/>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r>
              <w:rPr>
                <w:rFonts w:hint="eastAsia" w:ascii="宋体" w:hAnsi="宋体" w:cs="宋体"/>
                <w:color w:val="auto"/>
                <w:sz w:val="21"/>
                <w:szCs w:val="21"/>
                <w:highlight w:val="none"/>
              </w:rPr>
              <w:t>单个或全部集采中药饮片品种用量实时查看报表，报表包括：药品名称、临床科室、科室任务量、科室任务量占全院百分比、科室使用量、科室未完成用量、科室使用序时进度（使用量除以任务量）。</w:t>
            </w:r>
          </w:p>
        </w:tc>
      </w:tr>
      <w:tr w14:paraId="009E3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851" w:type="dxa"/>
            <w:vMerge w:val="continue"/>
            <w:vAlign w:val="center"/>
          </w:tcPr>
          <w:p w14:paraId="503A10EF">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091" w:type="dxa"/>
            <w:vAlign w:val="center"/>
          </w:tcPr>
          <w:p w14:paraId="43C9BA69">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r>
              <w:rPr>
                <w:rFonts w:hint="eastAsia" w:ascii="宋体" w:hAnsi="宋体" w:cs="宋体"/>
                <w:color w:val="auto"/>
                <w:sz w:val="21"/>
                <w:szCs w:val="21"/>
                <w:highlight w:val="none"/>
              </w:rPr>
              <w:t>医师用量实时监测</w:t>
            </w:r>
          </w:p>
        </w:tc>
        <w:tc>
          <w:tcPr>
            <w:tcW w:w="7737" w:type="dxa"/>
            <w:vAlign w:val="center"/>
          </w:tcPr>
          <w:p w14:paraId="0DACD6C8">
            <w:pPr>
              <w:keepNext w:val="0"/>
              <w:keepLines w:val="0"/>
              <w:pageBreakBefore w:val="0"/>
              <w:numPr>
                <w:ilvl w:val="0"/>
                <w:numId w:val="22"/>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r>
              <w:rPr>
                <w:rFonts w:hint="eastAsia" w:ascii="宋体" w:hAnsi="宋体" w:cs="宋体"/>
                <w:color w:val="auto"/>
                <w:sz w:val="21"/>
                <w:szCs w:val="21"/>
                <w:highlight w:val="none"/>
              </w:rPr>
              <w:t>单个或全院医生集采中药饮片用量实时查看报表，报表包括：药品名称、医生名称、医生任务量、医生任务量占全院百分比、医生使用量、医生未完成用量、医师使用序时进度（使用量除以任务量）。</w:t>
            </w:r>
          </w:p>
        </w:tc>
      </w:tr>
      <w:tr w14:paraId="16AD9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851" w:type="dxa"/>
            <w:vMerge w:val="continue"/>
            <w:vAlign w:val="center"/>
          </w:tcPr>
          <w:p w14:paraId="6F704812">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091" w:type="dxa"/>
            <w:vAlign w:val="center"/>
          </w:tcPr>
          <w:p w14:paraId="128D6640">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r>
              <w:rPr>
                <w:rFonts w:hint="eastAsia" w:ascii="宋体" w:hAnsi="宋体" w:cs="宋体"/>
                <w:color w:val="auto"/>
                <w:sz w:val="21"/>
                <w:szCs w:val="21"/>
                <w:highlight w:val="none"/>
              </w:rPr>
              <w:t>预警提醒</w:t>
            </w:r>
          </w:p>
        </w:tc>
        <w:tc>
          <w:tcPr>
            <w:tcW w:w="7737" w:type="dxa"/>
            <w:vAlign w:val="center"/>
          </w:tcPr>
          <w:p w14:paraId="24EFCB7B">
            <w:pPr>
              <w:keepNext w:val="0"/>
              <w:keepLines w:val="0"/>
              <w:pageBreakBefore w:val="0"/>
              <w:numPr>
                <w:ilvl w:val="0"/>
                <w:numId w:val="22"/>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r>
              <w:rPr>
                <w:rFonts w:hint="eastAsia" w:ascii="宋体" w:hAnsi="宋体" w:cs="宋体"/>
                <w:color w:val="auto"/>
                <w:sz w:val="21"/>
                <w:szCs w:val="21"/>
                <w:highlight w:val="none"/>
              </w:rPr>
              <w:t>支持设置序时进度预警值，当科室序时进度或医师序时进度低于设置值时，系统可定时（具体时间支持自定义设置，如每周一8点等）向科主任（仅针对科室进度）、医师HIS账号推送消息。</w:t>
            </w:r>
          </w:p>
        </w:tc>
      </w:tr>
      <w:tr w14:paraId="71A78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851" w:type="dxa"/>
            <w:vMerge w:val="continue"/>
            <w:vAlign w:val="center"/>
          </w:tcPr>
          <w:p w14:paraId="1BB45C28">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8828" w:type="dxa"/>
            <w:gridSpan w:val="2"/>
            <w:vAlign w:val="center"/>
          </w:tcPr>
          <w:p w14:paraId="666E306F">
            <w:pPr>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sz w:val="21"/>
                <w:szCs w:val="21"/>
                <w:highlight w:val="none"/>
              </w:rPr>
            </w:pPr>
            <w:r>
              <w:rPr>
                <w:rFonts w:hint="eastAsia" w:ascii="宋体" w:hAnsi="宋体" w:cs="宋体"/>
                <w:color w:val="auto"/>
                <w:sz w:val="21"/>
                <w:szCs w:val="21"/>
                <w:highlight w:val="none"/>
              </w:rPr>
              <w:t>中药代煎管理</w:t>
            </w:r>
            <w:r>
              <w:rPr>
                <w:rFonts w:hint="eastAsia"/>
                <w:color w:val="auto"/>
                <w:sz w:val="21"/>
                <w:szCs w:val="21"/>
                <w:highlight w:val="none"/>
              </w:rPr>
              <w:t>（预留对接功能，定制开发或外购单独的子系统）</w:t>
            </w:r>
          </w:p>
        </w:tc>
      </w:tr>
      <w:tr w14:paraId="04308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9" w:hRule="atLeast"/>
          <w:jc w:val="center"/>
        </w:trPr>
        <w:tc>
          <w:tcPr>
            <w:tcW w:w="851" w:type="dxa"/>
            <w:vMerge w:val="continue"/>
            <w:vAlign w:val="center"/>
          </w:tcPr>
          <w:p w14:paraId="6E0A0E42">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091" w:type="dxa"/>
            <w:vAlign w:val="center"/>
          </w:tcPr>
          <w:p w14:paraId="58E259EB">
            <w:pPr>
              <w:keepNext w:val="0"/>
              <w:keepLines w:val="0"/>
              <w:pageBreakBefore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总体要求</w:t>
            </w:r>
          </w:p>
        </w:tc>
        <w:tc>
          <w:tcPr>
            <w:tcW w:w="7737" w:type="dxa"/>
            <w:vAlign w:val="center"/>
          </w:tcPr>
          <w:p w14:paraId="0D4B013A">
            <w:pPr>
              <w:keepNext w:val="0"/>
              <w:keepLines w:val="0"/>
              <w:pageBreakBefore w:val="0"/>
              <w:numPr>
                <w:ilvl w:val="0"/>
                <w:numId w:val="22"/>
              </w:numPr>
              <w:kinsoku/>
              <w:wordWrap/>
              <w:overflowPunct/>
              <w:topLinePunct w:val="0"/>
              <w:autoSpaceDE/>
              <w:autoSpaceDN/>
              <w:bidi w:val="0"/>
              <w:adjustRightInd w:val="0"/>
              <w:snapToGrid w:val="0"/>
              <w:spacing w:line="360" w:lineRule="auto"/>
              <w:jc w:val="left"/>
              <w:textAlignment w:val="auto"/>
              <w:rPr>
                <w:rFonts w:ascii="宋体" w:hAnsi="宋体" w:cs="宋体"/>
                <w:sz w:val="21"/>
                <w:szCs w:val="21"/>
              </w:rPr>
            </w:pPr>
            <w:r>
              <w:rPr>
                <w:rFonts w:hint="eastAsia" w:ascii="宋体" w:hAnsi="宋体" w:cs="宋体"/>
                <w:sz w:val="21"/>
                <w:szCs w:val="21"/>
              </w:rPr>
              <w:t>支持“一码贯通、全程留痕”的管理模式，实现从收方到发药的全流程扫码操作与数据自动记录；</w:t>
            </w:r>
          </w:p>
          <w:p w14:paraId="09A1DA17">
            <w:pPr>
              <w:keepNext w:val="0"/>
              <w:keepLines w:val="0"/>
              <w:pageBreakBefore w:val="0"/>
              <w:numPr>
                <w:ilvl w:val="0"/>
                <w:numId w:val="22"/>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r>
              <w:rPr>
                <w:rFonts w:hint="eastAsia" w:ascii="宋体" w:hAnsi="宋体" w:cs="宋体"/>
                <w:sz w:val="21"/>
                <w:szCs w:val="21"/>
              </w:rPr>
              <w:t>支持与医院现有HIS系统（门诊/住院）无缝对接，自动获取处方信息，无需人工二次录入；支持自动获取患者的代煎需求信息，生成代煎订单。订单信息包括患者姓名、联系方式、就诊科室、处方信息、代煎要求（如煎药次数、包装规格等）。</w:t>
            </w:r>
          </w:p>
        </w:tc>
      </w:tr>
      <w:tr w14:paraId="74F39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1" w:type="dxa"/>
            <w:vMerge w:val="continue"/>
            <w:vAlign w:val="center"/>
          </w:tcPr>
          <w:p w14:paraId="193924E1">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091" w:type="dxa"/>
            <w:vAlign w:val="center"/>
          </w:tcPr>
          <w:p w14:paraId="45C300CB">
            <w:pPr>
              <w:keepNext w:val="0"/>
              <w:keepLines w:val="0"/>
              <w:pageBreakBefore w:val="0"/>
              <w:kinsoku/>
              <w:wordWrap/>
              <w:overflowPunct/>
              <w:topLinePunct w:val="0"/>
              <w:autoSpaceDE/>
              <w:autoSpaceDN/>
              <w:bidi w:val="0"/>
              <w:adjustRightInd w:val="0"/>
              <w:snapToGrid w:val="0"/>
              <w:spacing w:line="360" w:lineRule="auto"/>
              <w:jc w:val="left"/>
              <w:textAlignment w:val="auto"/>
              <w:rPr>
                <w:rFonts w:hint="eastAsia" w:ascii="宋体" w:hAnsi="宋体" w:cs="宋体"/>
                <w:color w:val="auto"/>
                <w:sz w:val="21"/>
                <w:szCs w:val="21"/>
                <w:highlight w:val="none"/>
              </w:rPr>
            </w:pPr>
            <w:r>
              <w:rPr>
                <w:rFonts w:hint="eastAsia" w:ascii="宋体" w:hAnsi="宋体" w:cs="宋体"/>
                <w:sz w:val="21"/>
                <w:szCs w:val="21"/>
              </w:rPr>
              <w:t>煎药过程管理</w:t>
            </w:r>
          </w:p>
        </w:tc>
        <w:tc>
          <w:tcPr>
            <w:tcW w:w="7737" w:type="dxa"/>
            <w:vAlign w:val="center"/>
          </w:tcPr>
          <w:p w14:paraId="34BD4909">
            <w:pPr>
              <w:keepNext w:val="0"/>
              <w:keepLines w:val="0"/>
              <w:pageBreakBefore w:val="0"/>
              <w:kinsoku/>
              <w:wordWrap/>
              <w:overflowPunct/>
              <w:topLinePunct w:val="0"/>
              <w:autoSpaceDE/>
              <w:autoSpaceDN/>
              <w:bidi w:val="0"/>
              <w:adjustRightInd w:val="0"/>
              <w:snapToGrid w:val="0"/>
              <w:spacing w:line="360" w:lineRule="auto"/>
              <w:ind w:left="420"/>
              <w:jc w:val="left"/>
              <w:textAlignment w:val="auto"/>
              <w:rPr>
                <w:rFonts w:ascii="宋体" w:hAnsi="宋体" w:cs="宋体"/>
                <w:b/>
                <w:bCs/>
                <w:sz w:val="21"/>
                <w:szCs w:val="21"/>
                <w:highlight w:val="none"/>
              </w:rPr>
            </w:pPr>
            <w:r>
              <w:rPr>
                <w:rFonts w:hint="eastAsia"/>
                <w:b/>
                <w:bCs/>
                <w:sz w:val="21"/>
                <w:szCs w:val="21"/>
                <w:highlight w:val="none"/>
              </w:rPr>
              <w:t>收方管理</w:t>
            </w:r>
          </w:p>
          <w:p w14:paraId="5CA7B2F0">
            <w:pPr>
              <w:keepNext w:val="0"/>
              <w:keepLines w:val="0"/>
              <w:pageBreakBefore w:val="0"/>
              <w:numPr>
                <w:ilvl w:val="0"/>
                <w:numId w:val="22"/>
              </w:numPr>
              <w:kinsoku/>
              <w:wordWrap/>
              <w:overflowPunct/>
              <w:topLinePunct w:val="0"/>
              <w:autoSpaceDE/>
              <w:autoSpaceDN/>
              <w:bidi w:val="0"/>
              <w:adjustRightInd w:val="0"/>
              <w:snapToGrid w:val="0"/>
              <w:spacing w:line="360" w:lineRule="auto"/>
              <w:jc w:val="left"/>
              <w:textAlignment w:val="auto"/>
              <w:rPr>
                <w:rFonts w:ascii="宋体" w:hAnsi="宋体" w:cs="宋体"/>
                <w:sz w:val="21"/>
                <w:szCs w:val="21"/>
                <w:highlight w:val="none"/>
              </w:rPr>
            </w:pPr>
            <w:r>
              <w:rPr>
                <w:rFonts w:hint="eastAsia" w:ascii="宋体" w:hAnsi="宋体" w:cs="宋体"/>
                <w:sz w:val="21"/>
                <w:szCs w:val="21"/>
                <w:highlight w:val="none"/>
              </w:rPr>
              <w:t>支持扫描或自动获取</w:t>
            </w:r>
            <w:r>
              <w:rPr>
                <w:rFonts w:ascii="宋体" w:hAnsi="宋体" w:cs="宋体"/>
                <w:sz w:val="21"/>
                <w:szCs w:val="21"/>
                <w:highlight w:val="none"/>
              </w:rPr>
              <w:t>HIS处方信息，生成唯一的处方条码作为“数字身份证”；</w:t>
            </w:r>
          </w:p>
          <w:p w14:paraId="288884C5">
            <w:pPr>
              <w:keepNext w:val="0"/>
              <w:keepLines w:val="0"/>
              <w:pageBreakBefore w:val="0"/>
              <w:numPr>
                <w:ilvl w:val="0"/>
                <w:numId w:val="22"/>
              </w:numPr>
              <w:kinsoku/>
              <w:wordWrap/>
              <w:overflowPunct/>
              <w:topLinePunct w:val="0"/>
              <w:autoSpaceDE/>
              <w:autoSpaceDN/>
              <w:bidi w:val="0"/>
              <w:adjustRightInd w:val="0"/>
              <w:snapToGrid w:val="0"/>
              <w:spacing w:line="360" w:lineRule="auto"/>
              <w:jc w:val="left"/>
              <w:textAlignment w:val="auto"/>
              <w:rPr>
                <w:rFonts w:ascii="宋体" w:hAnsi="宋体" w:cs="宋体"/>
                <w:sz w:val="21"/>
                <w:szCs w:val="21"/>
                <w:highlight w:val="none"/>
              </w:rPr>
            </w:pPr>
            <w:r>
              <w:rPr>
                <w:rFonts w:hint="eastAsia" w:ascii="宋体" w:hAnsi="宋体" w:cs="宋体"/>
                <w:sz w:val="21"/>
                <w:szCs w:val="21"/>
                <w:highlight w:val="none"/>
              </w:rPr>
              <w:t>支持系统自动解析处方类型（自煎</w:t>
            </w:r>
            <w:r>
              <w:rPr>
                <w:rFonts w:ascii="宋体" w:hAnsi="宋体" w:cs="宋体"/>
                <w:sz w:val="21"/>
                <w:szCs w:val="21"/>
                <w:highlight w:val="none"/>
              </w:rPr>
              <w:t>/代煎/制膏/制丸等）；</w:t>
            </w:r>
          </w:p>
          <w:p w14:paraId="185A3C68">
            <w:pPr>
              <w:keepNext w:val="0"/>
              <w:keepLines w:val="0"/>
              <w:pageBreakBefore w:val="0"/>
              <w:numPr>
                <w:ilvl w:val="0"/>
                <w:numId w:val="22"/>
              </w:numPr>
              <w:kinsoku/>
              <w:wordWrap/>
              <w:overflowPunct/>
              <w:topLinePunct w:val="0"/>
              <w:autoSpaceDE/>
              <w:autoSpaceDN/>
              <w:bidi w:val="0"/>
              <w:adjustRightInd w:val="0"/>
              <w:snapToGrid w:val="0"/>
              <w:spacing w:line="360" w:lineRule="auto"/>
              <w:jc w:val="left"/>
              <w:textAlignment w:val="auto"/>
              <w:rPr>
                <w:rFonts w:ascii="宋体" w:hAnsi="宋体" w:cs="宋体"/>
                <w:sz w:val="21"/>
                <w:szCs w:val="21"/>
                <w:highlight w:val="none"/>
              </w:rPr>
            </w:pPr>
            <w:r>
              <w:rPr>
                <w:rFonts w:hint="eastAsia" w:ascii="宋体" w:hAnsi="宋体" w:cs="宋体"/>
                <w:sz w:val="21"/>
                <w:szCs w:val="21"/>
                <w:highlight w:val="none"/>
              </w:rPr>
              <w:t>支持系统智能匹配标准煎煮方案，自动计算并填充浸泡时间、煎煮次数、药液量、先煎后下等参数，减少人工填写误差；</w:t>
            </w:r>
            <w:r>
              <w:rPr>
                <w:rFonts w:ascii="宋体" w:hAnsi="宋体" w:cs="宋体"/>
                <w:sz w:val="21"/>
                <w:szCs w:val="21"/>
                <w:highlight w:val="none"/>
              </w:rPr>
              <w:t xml:space="preserve"> </w:t>
            </w:r>
          </w:p>
          <w:p w14:paraId="58CC1628">
            <w:pPr>
              <w:keepNext w:val="0"/>
              <w:keepLines w:val="0"/>
              <w:pageBreakBefore w:val="0"/>
              <w:numPr>
                <w:ilvl w:val="0"/>
                <w:numId w:val="22"/>
              </w:numPr>
              <w:kinsoku/>
              <w:wordWrap/>
              <w:overflowPunct/>
              <w:topLinePunct w:val="0"/>
              <w:autoSpaceDE/>
              <w:autoSpaceDN/>
              <w:bidi w:val="0"/>
              <w:adjustRightInd w:val="0"/>
              <w:snapToGrid w:val="0"/>
              <w:spacing w:line="360" w:lineRule="auto"/>
              <w:jc w:val="left"/>
              <w:textAlignment w:val="auto"/>
              <w:rPr>
                <w:rFonts w:ascii="宋体" w:hAnsi="宋体" w:cs="宋体"/>
                <w:sz w:val="21"/>
                <w:szCs w:val="21"/>
                <w:highlight w:val="none"/>
              </w:rPr>
            </w:pPr>
            <w:r>
              <w:rPr>
                <w:rFonts w:hint="eastAsia" w:ascii="宋体" w:hAnsi="宋体" w:cs="宋体"/>
                <w:sz w:val="21"/>
                <w:szCs w:val="21"/>
                <w:highlight w:val="none"/>
              </w:rPr>
              <w:t>支持按处方类型设置取药时间，并在收方时打印取药凭证提醒患者按时取药；</w:t>
            </w:r>
          </w:p>
          <w:p w14:paraId="287AD519">
            <w:pPr>
              <w:keepNext w:val="0"/>
              <w:keepLines w:val="0"/>
              <w:pageBreakBefore w:val="0"/>
              <w:numPr>
                <w:ilvl w:val="0"/>
                <w:numId w:val="22"/>
              </w:numPr>
              <w:kinsoku/>
              <w:wordWrap/>
              <w:overflowPunct/>
              <w:topLinePunct w:val="0"/>
              <w:autoSpaceDE/>
              <w:autoSpaceDN/>
              <w:bidi w:val="0"/>
              <w:adjustRightInd w:val="0"/>
              <w:snapToGrid w:val="0"/>
              <w:spacing w:line="360" w:lineRule="auto"/>
              <w:jc w:val="left"/>
              <w:textAlignment w:val="auto"/>
              <w:rPr>
                <w:rFonts w:ascii="宋体" w:hAnsi="宋体" w:cs="宋体"/>
                <w:sz w:val="21"/>
                <w:szCs w:val="21"/>
                <w:highlight w:val="none"/>
              </w:rPr>
            </w:pPr>
            <w:r>
              <w:rPr>
                <w:rFonts w:hint="eastAsia" w:ascii="宋体" w:hAnsi="宋体" w:cs="宋体"/>
                <w:sz w:val="21"/>
                <w:szCs w:val="21"/>
                <w:highlight w:val="none"/>
              </w:rPr>
              <w:t>支持一键打印取药凭证、煎药瓶签、调配单等单据；</w:t>
            </w:r>
          </w:p>
          <w:p w14:paraId="0B4DEE63">
            <w:pPr>
              <w:keepNext w:val="0"/>
              <w:keepLines w:val="0"/>
              <w:pageBreakBefore w:val="0"/>
              <w:numPr>
                <w:ilvl w:val="0"/>
                <w:numId w:val="22"/>
              </w:numPr>
              <w:kinsoku/>
              <w:wordWrap/>
              <w:overflowPunct/>
              <w:topLinePunct w:val="0"/>
              <w:autoSpaceDE/>
              <w:autoSpaceDN/>
              <w:bidi w:val="0"/>
              <w:adjustRightInd w:val="0"/>
              <w:snapToGrid w:val="0"/>
              <w:spacing w:line="360" w:lineRule="auto"/>
              <w:jc w:val="left"/>
              <w:textAlignment w:val="auto"/>
              <w:rPr>
                <w:rFonts w:ascii="宋体" w:hAnsi="宋体" w:cs="宋体"/>
                <w:sz w:val="21"/>
                <w:szCs w:val="21"/>
                <w:highlight w:val="none"/>
              </w:rPr>
            </w:pPr>
            <w:r>
              <w:rPr>
                <w:rFonts w:hint="eastAsia" w:ascii="宋体" w:hAnsi="宋体" w:cs="宋体"/>
                <w:sz w:val="21"/>
                <w:szCs w:val="21"/>
                <w:highlight w:val="none"/>
              </w:rPr>
              <w:t>支持查询所有已缴费、未收方的中药煎药处方。</w:t>
            </w:r>
          </w:p>
          <w:p w14:paraId="47BEF852">
            <w:pPr>
              <w:keepNext w:val="0"/>
              <w:keepLines w:val="0"/>
              <w:pageBreakBefore w:val="0"/>
              <w:kinsoku/>
              <w:wordWrap/>
              <w:overflowPunct/>
              <w:topLinePunct w:val="0"/>
              <w:autoSpaceDE/>
              <w:autoSpaceDN/>
              <w:bidi w:val="0"/>
              <w:adjustRightInd w:val="0"/>
              <w:snapToGrid w:val="0"/>
              <w:spacing w:line="360" w:lineRule="auto"/>
              <w:ind w:firstLine="422" w:firstLineChars="200"/>
              <w:jc w:val="left"/>
              <w:textAlignment w:val="auto"/>
              <w:rPr>
                <w:b/>
                <w:bCs/>
                <w:sz w:val="21"/>
                <w:szCs w:val="21"/>
                <w:highlight w:val="none"/>
              </w:rPr>
            </w:pPr>
            <w:r>
              <w:rPr>
                <w:rFonts w:hint="eastAsia"/>
                <w:b/>
                <w:bCs/>
                <w:sz w:val="21"/>
                <w:szCs w:val="21"/>
                <w:highlight w:val="none"/>
              </w:rPr>
              <w:t>调配管理</w:t>
            </w:r>
          </w:p>
          <w:p w14:paraId="04495003">
            <w:pPr>
              <w:keepNext w:val="0"/>
              <w:keepLines w:val="0"/>
              <w:pageBreakBefore w:val="0"/>
              <w:numPr>
                <w:ilvl w:val="0"/>
                <w:numId w:val="22"/>
              </w:numPr>
              <w:kinsoku/>
              <w:wordWrap/>
              <w:overflowPunct/>
              <w:topLinePunct w:val="0"/>
              <w:autoSpaceDE/>
              <w:autoSpaceDN/>
              <w:bidi w:val="0"/>
              <w:adjustRightInd w:val="0"/>
              <w:snapToGrid w:val="0"/>
              <w:spacing w:line="360" w:lineRule="auto"/>
              <w:jc w:val="left"/>
              <w:textAlignment w:val="auto"/>
              <w:rPr>
                <w:rFonts w:ascii="宋体" w:hAnsi="宋体" w:cs="宋体"/>
                <w:sz w:val="21"/>
                <w:szCs w:val="21"/>
                <w:highlight w:val="none"/>
              </w:rPr>
            </w:pPr>
            <w:r>
              <w:rPr>
                <w:rFonts w:hint="eastAsia" w:ascii="宋体" w:hAnsi="宋体" w:cs="宋体"/>
                <w:sz w:val="21"/>
                <w:szCs w:val="21"/>
                <w:highlight w:val="none"/>
              </w:rPr>
              <w:t>支持药师扫码开始调配，系统自动记录调配人及开始时间；</w:t>
            </w:r>
          </w:p>
          <w:p w14:paraId="0B8F3DFD">
            <w:pPr>
              <w:keepNext w:val="0"/>
              <w:keepLines w:val="0"/>
              <w:pageBreakBefore w:val="0"/>
              <w:numPr>
                <w:ilvl w:val="0"/>
                <w:numId w:val="22"/>
              </w:numPr>
              <w:kinsoku/>
              <w:wordWrap/>
              <w:overflowPunct/>
              <w:topLinePunct w:val="0"/>
              <w:autoSpaceDE/>
              <w:autoSpaceDN/>
              <w:bidi w:val="0"/>
              <w:adjustRightInd w:val="0"/>
              <w:snapToGrid w:val="0"/>
              <w:spacing w:line="360" w:lineRule="auto"/>
              <w:jc w:val="left"/>
              <w:textAlignment w:val="auto"/>
              <w:rPr>
                <w:rFonts w:ascii="宋体" w:hAnsi="宋体" w:cs="宋体"/>
                <w:sz w:val="21"/>
                <w:szCs w:val="21"/>
                <w:highlight w:val="none"/>
              </w:rPr>
            </w:pPr>
            <w:r>
              <w:rPr>
                <w:rFonts w:hint="eastAsia" w:ascii="宋体" w:hAnsi="宋体" w:cs="宋体"/>
                <w:sz w:val="21"/>
                <w:szCs w:val="21"/>
                <w:highlight w:val="none"/>
              </w:rPr>
              <w:t>支持调配完成后再次扫码，系统自动记录结束时间并计算调配工时；</w:t>
            </w:r>
          </w:p>
          <w:p w14:paraId="1149BD8C">
            <w:pPr>
              <w:keepNext w:val="0"/>
              <w:keepLines w:val="0"/>
              <w:pageBreakBefore w:val="0"/>
              <w:numPr>
                <w:ilvl w:val="0"/>
                <w:numId w:val="22"/>
              </w:numPr>
              <w:kinsoku/>
              <w:wordWrap/>
              <w:overflowPunct/>
              <w:topLinePunct w:val="0"/>
              <w:autoSpaceDE/>
              <w:autoSpaceDN/>
              <w:bidi w:val="0"/>
              <w:adjustRightInd w:val="0"/>
              <w:snapToGrid w:val="0"/>
              <w:spacing w:line="360" w:lineRule="auto"/>
              <w:jc w:val="left"/>
              <w:textAlignment w:val="auto"/>
              <w:rPr>
                <w:rFonts w:ascii="宋体" w:hAnsi="宋体" w:cs="宋体"/>
                <w:sz w:val="21"/>
                <w:szCs w:val="21"/>
                <w:highlight w:val="none"/>
              </w:rPr>
            </w:pPr>
            <w:r>
              <w:rPr>
                <w:rFonts w:hint="eastAsia" w:ascii="宋体" w:hAnsi="宋体" w:cs="宋体"/>
                <w:sz w:val="21"/>
                <w:szCs w:val="21"/>
                <w:highlight w:val="none"/>
              </w:rPr>
              <w:t>支持多张处方批量调配管理。</w:t>
            </w:r>
          </w:p>
          <w:p w14:paraId="54F964E5">
            <w:pPr>
              <w:keepNext w:val="0"/>
              <w:keepLines w:val="0"/>
              <w:pageBreakBefore w:val="0"/>
              <w:kinsoku/>
              <w:wordWrap/>
              <w:overflowPunct/>
              <w:topLinePunct w:val="0"/>
              <w:autoSpaceDE/>
              <w:autoSpaceDN/>
              <w:bidi w:val="0"/>
              <w:adjustRightInd w:val="0"/>
              <w:snapToGrid w:val="0"/>
              <w:spacing w:line="360" w:lineRule="auto"/>
              <w:ind w:firstLine="422" w:firstLineChars="200"/>
              <w:jc w:val="left"/>
              <w:textAlignment w:val="auto"/>
              <w:rPr>
                <w:rFonts w:ascii="宋体" w:hAnsi="宋体" w:cs="宋体"/>
                <w:b/>
                <w:sz w:val="21"/>
                <w:szCs w:val="21"/>
                <w:highlight w:val="none"/>
              </w:rPr>
            </w:pPr>
            <w:r>
              <w:rPr>
                <w:rFonts w:hint="eastAsia" w:ascii="宋体" w:hAnsi="宋体" w:cs="宋体"/>
                <w:b/>
                <w:sz w:val="21"/>
                <w:szCs w:val="21"/>
                <w:highlight w:val="none"/>
              </w:rPr>
              <w:t>复核管理</w:t>
            </w:r>
          </w:p>
          <w:p w14:paraId="7EA09881">
            <w:pPr>
              <w:keepNext w:val="0"/>
              <w:keepLines w:val="0"/>
              <w:pageBreakBefore w:val="0"/>
              <w:numPr>
                <w:ilvl w:val="0"/>
                <w:numId w:val="22"/>
              </w:numPr>
              <w:kinsoku/>
              <w:wordWrap/>
              <w:overflowPunct/>
              <w:topLinePunct w:val="0"/>
              <w:autoSpaceDE/>
              <w:autoSpaceDN/>
              <w:bidi w:val="0"/>
              <w:adjustRightInd w:val="0"/>
              <w:snapToGrid w:val="0"/>
              <w:spacing w:line="360" w:lineRule="auto"/>
              <w:jc w:val="left"/>
              <w:textAlignment w:val="auto"/>
              <w:rPr>
                <w:rFonts w:ascii="宋体" w:hAnsi="宋体" w:cs="宋体"/>
                <w:sz w:val="21"/>
                <w:szCs w:val="21"/>
                <w:highlight w:val="none"/>
              </w:rPr>
            </w:pPr>
            <w:r>
              <w:rPr>
                <w:rFonts w:hint="eastAsia" w:ascii="宋体" w:hAnsi="宋体" w:cs="宋体"/>
                <w:sz w:val="21"/>
                <w:szCs w:val="21"/>
                <w:highlight w:val="none"/>
              </w:rPr>
              <w:t>支持药师扫码调出处方明细，逐一核对药材品种、规格、数量及特殊煎法；</w:t>
            </w:r>
          </w:p>
          <w:p w14:paraId="72077B9B">
            <w:pPr>
              <w:keepNext w:val="0"/>
              <w:keepLines w:val="0"/>
              <w:pageBreakBefore w:val="0"/>
              <w:numPr>
                <w:ilvl w:val="0"/>
                <w:numId w:val="22"/>
              </w:numPr>
              <w:kinsoku/>
              <w:wordWrap/>
              <w:overflowPunct/>
              <w:topLinePunct w:val="0"/>
              <w:autoSpaceDE/>
              <w:autoSpaceDN/>
              <w:bidi w:val="0"/>
              <w:adjustRightInd w:val="0"/>
              <w:snapToGrid w:val="0"/>
              <w:spacing w:line="360" w:lineRule="auto"/>
              <w:jc w:val="left"/>
              <w:textAlignment w:val="auto"/>
              <w:rPr>
                <w:rFonts w:ascii="宋体" w:hAnsi="宋体" w:cs="宋体"/>
                <w:sz w:val="21"/>
                <w:szCs w:val="21"/>
                <w:highlight w:val="none"/>
              </w:rPr>
            </w:pPr>
            <w:r>
              <w:rPr>
                <w:rFonts w:hint="eastAsia" w:ascii="宋体" w:hAnsi="宋体" w:cs="宋体"/>
                <w:sz w:val="21"/>
                <w:szCs w:val="21"/>
                <w:highlight w:val="none"/>
              </w:rPr>
              <w:t>支持发现问题时，在系统中直接标注原因并一键退回至调配环节；</w:t>
            </w:r>
          </w:p>
          <w:p w14:paraId="241DD522">
            <w:pPr>
              <w:keepNext w:val="0"/>
              <w:keepLines w:val="0"/>
              <w:pageBreakBefore w:val="0"/>
              <w:numPr>
                <w:ilvl w:val="0"/>
                <w:numId w:val="22"/>
              </w:numPr>
              <w:kinsoku/>
              <w:wordWrap/>
              <w:overflowPunct/>
              <w:topLinePunct w:val="0"/>
              <w:autoSpaceDE/>
              <w:autoSpaceDN/>
              <w:bidi w:val="0"/>
              <w:adjustRightInd w:val="0"/>
              <w:snapToGrid w:val="0"/>
              <w:spacing w:line="360" w:lineRule="auto"/>
              <w:jc w:val="left"/>
              <w:textAlignment w:val="auto"/>
              <w:rPr>
                <w:rFonts w:ascii="宋体" w:hAnsi="宋体" w:cs="宋体"/>
                <w:sz w:val="21"/>
                <w:szCs w:val="21"/>
                <w:highlight w:val="none"/>
              </w:rPr>
            </w:pPr>
            <w:r>
              <w:rPr>
                <w:rFonts w:hint="eastAsia" w:ascii="宋体" w:hAnsi="宋体" w:cs="宋体"/>
                <w:sz w:val="21"/>
                <w:szCs w:val="21"/>
                <w:highlight w:val="none"/>
              </w:rPr>
              <w:t>支持复核通过后，任务自动流转至下一环节。</w:t>
            </w:r>
          </w:p>
          <w:p w14:paraId="27863B84">
            <w:pPr>
              <w:keepNext w:val="0"/>
              <w:keepLines w:val="0"/>
              <w:pageBreakBefore w:val="0"/>
              <w:kinsoku/>
              <w:wordWrap/>
              <w:overflowPunct/>
              <w:topLinePunct w:val="0"/>
              <w:autoSpaceDE/>
              <w:autoSpaceDN/>
              <w:bidi w:val="0"/>
              <w:adjustRightInd w:val="0"/>
              <w:snapToGrid w:val="0"/>
              <w:spacing w:line="360" w:lineRule="auto"/>
              <w:ind w:firstLine="422" w:firstLineChars="200"/>
              <w:jc w:val="left"/>
              <w:textAlignment w:val="auto"/>
              <w:rPr>
                <w:rFonts w:ascii="宋体" w:hAnsi="宋体" w:cs="宋体"/>
                <w:b/>
                <w:sz w:val="21"/>
                <w:szCs w:val="21"/>
                <w:highlight w:val="none"/>
              </w:rPr>
            </w:pPr>
            <w:r>
              <w:rPr>
                <w:rFonts w:hint="eastAsia" w:ascii="宋体" w:hAnsi="宋体" w:cs="宋体"/>
                <w:b/>
                <w:sz w:val="21"/>
                <w:szCs w:val="21"/>
                <w:highlight w:val="none"/>
              </w:rPr>
              <w:t>浸泡管理</w:t>
            </w:r>
          </w:p>
          <w:p w14:paraId="63A5F956">
            <w:pPr>
              <w:keepNext w:val="0"/>
              <w:keepLines w:val="0"/>
              <w:pageBreakBefore w:val="0"/>
              <w:numPr>
                <w:ilvl w:val="0"/>
                <w:numId w:val="22"/>
              </w:numPr>
              <w:kinsoku/>
              <w:wordWrap/>
              <w:overflowPunct/>
              <w:topLinePunct w:val="0"/>
              <w:autoSpaceDE/>
              <w:autoSpaceDN/>
              <w:bidi w:val="0"/>
              <w:adjustRightInd w:val="0"/>
              <w:snapToGrid w:val="0"/>
              <w:spacing w:line="360" w:lineRule="auto"/>
              <w:jc w:val="left"/>
              <w:textAlignment w:val="auto"/>
              <w:rPr>
                <w:rFonts w:ascii="宋体" w:hAnsi="宋体" w:cs="宋体"/>
                <w:sz w:val="21"/>
                <w:szCs w:val="21"/>
                <w:highlight w:val="none"/>
              </w:rPr>
            </w:pPr>
            <w:r>
              <w:rPr>
                <w:rFonts w:hint="eastAsia" w:ascii="宋体" w:hAnsi="宋体" w:cs="宋体"/>
                <w:sz w:val="21"/>
                <w:szCs w:val="21"/>
                <w:highlight w:val="none"/>
              </w:rPr>
              <w:t>支持扫码开始浸泡，系统根据预设方案自动开始倒计时；</w:t>
            </w:r>
          </w:p>
          <w:p w14:paraId="715B55E5">
            <w:pPr>
              <w:keepNext w:val="0"/>
              <w:keepLines w:val="0"/>
              <w:pageBreakBefore w:val="0"/>
              <w:numPr>
                <w:ilvl w:val="0"/>
                <w:numId w:val="22"/>
              </w:numPr>
              <w:kinsoku/>
              <w:wordWrap/>
              <w:overflowPunct/>
              <w:topLinePunct w:val="0"/>
              <w:autoSpaceDE/>
              <w:autoSpaceDN/>
              <w:bidi w:val="0"/>
              <w:adjustRightInd w:val="0"/>
              <w:snapToGrid w:val="0"/>
              <w:spacing w:line="360" w:lineRule="auto"/>
              <w:jc w:val="left"/>
              <w:textAlignment w:val="auto"/>
              <w:rPr>
                <w:rFonts w:ascii="宋体" w:hAnsi="宋体" w:cs="宋体"/>
                <w:sz w:val="21"/>
                <w:szCs w:val="21"/>
                <w:highlight w:val="none"/>
              </w:rPr>
            </w:pPr>
            <w:r>
              <w:rPr>
                <w:rFonts w:hint="eastAsia" w:ascii="宋体" w:hAnsi="宋体" w:cs="宋体"/>
                <w:sz w:val="21"/>
                <w:szCs w:val="21"/>
                <w:highlight w:val="none"/>
              </w:rPr>
              <w:t>支持浸泡时间达标后，系统界面高亮提醒或消息通知，确保浸泡充分；</w:t>
            </w:r>
          </w:p>
          <w:p w14:paraId="57FB237B">
            <w:pPr>
              <w:keepNext w:val="0"/>
              <w:keepLines w:val="0"/>
              <w:pageBreakBefore w:val="0"/>
              <w:numPr>
                <w:ilvl w:val="0"/>
                <w:numId w:val="22"/>
              </w:numPr>
              <w:kinsoku/>
              <w:wordWrap/>
              <w:overflowPunct/>
              <w:topLinePunct w:val="0"/>
              <w:autoSpaceDE/>
              <w:autoSpaceDN/>
              <w:bidi w:val="0"/>
              <w:adjustRightInd w:val="0"/>
              <w:snapToGrid w:val="0"/>
              <w:spacing w:line="360" w:lineRule="auto"/>
              <w:jc w:val="left"/>
              <w:textAlignment w:val="auto"/>
              <w:rPr>
                <w:rFonts w:ascii="宋体" w:hAnsi="宋体" w:cs="宋体"/>
                <w:sz w:val="21"/>
                <w:szCs w:val="21"/>
                <w:highlight w:val="none"/>
              </w:rPr>
            </w:pPr>
            <w:r>
              <w:rPr>
                <w:rFonts w:hint="eastAsia" w:ascii="宋体" w:hAnsi="宋体" w:cs="宋体"/>
                <w:sz w:val="21"/>
                <w:szCs w:val="21"/>
                <w:highlight w:val="none"/>
              </w:rPr>
              <w:t>支持记录浸泡开始时间、结束时间及操作人。</w:t>
            </w:r>
          </w:p>
          <w:p w14:paraId="588D1819">
            <w:pPr>
              <w:keepNext w:val="0"/>
              <w:keepLines w:val="0"/>
              <w:pageBreakBefore w:val="0"/>
              <w:kinsoku/>
              <w:wordWrap/>
              <w:overflowPunct/>
              <w:topLinePunct w:val="0"/>
              <w:autoSpaceDE/>
              <w:autoSpaceDN/>
              <w:bidi w:val="0"/>
              <w:adjustRightInd w:val="0"/>
              <w:snapToGrid w:val="0"/>
              <w:spacing w:line="360" w:lineRule="auto"/>
              <w:ind w:firstLine="422" w:firstLineChars="200"/>
              <w:jc w:val="left"/>
              <w:textAlignment w:val="auto"/>
              <w:rPr>
                <w:rFonts w:ascii="宋体" w:hAnsi="宋体" w:cs="宋体"/>
                <w:b/>
                <w:sz w:val="21"/>
                <w:szCs w:val="21"/>
                <w:highlight w:val="none"/>
              </w:rPr>
            </w:pPr>
            <w:r>
              <w:rPr>
                <w:rFonts w:hint="eastAsia" w:ascii="宋体" w:hAnsi="宋体" w:cs="宋体"/>
                <w:b/>
                <w:sz w:val="21"/>
                <w:szCs w:val="21"/>
                <w:highlight w:val="none"/>
              </w:rPr>
              <w:t>煎药管理</w:t>
            </w:r>
          </w:p>
          <w:p w14:paraId="37E25EEF">
            <w:pPr>
              <w:keepNext w:val="0"/>
              <w:keepLines w:val="0"/>
              <w:pageBreakBefore w:val="0"/>
              <w:numPr>
                <w:ilvl w:val="0"/>
                <w:numId w:val="22"/>
              </w:numPr>
              <w:kinsoku/>
              <w:wordWrap/>
              <w:overflowPunct/>
              <w:topLinePunct w:val="0"/>
              <w:autoSpaceDE/>
              <w:autoSpaceDN/>
              <w:bidi w:val="0"/>
              <w:adjustRightInd w:val="0"/>
              <w:snapToGrid w:val="0"/>
              <w:spacing w:line="360" w:lineRule="auto"/>
              <w:jc w:val="left"/>
              <w:textAlignment w:val="auto"/>
              <w:rPr>
                <w:rFonts w:ascii="宋体" w:hAnsi="宋体" w:cs="宋体"/>
                <w:sz w:val="21"/>
                <w:szCs w:val="21"/>
                <w:highlight w:val="none"/>
              </w:rPr>
            </w:pPr>
            <w:r>
              <w:rPr>
                <w:rFonts w:hint="eastAsia" w:ascii="宋体" w:hAnsi="宋体" w:cs="宋体"/>
                <w:sz w:val="21"/>
                <w:szCs w:val="21"/>
                <w:highlight w:val="none"/>
              </w:rPr>
              <w:t>支持扫码开始煎药，系统根据预设方案自动开始倒计时；</w:t>
            </w:r>
          </w:p>
          <w:p w14:paraId="0260C73A">
            <w:pPr>
              <w:keepNext w:val="0"/>
              <w:keepLines w:val="0"/>
              <w:pageBreakBefore w:val="0"/>
              <w:numPr>
                <w:ilvl w:val="0"/>
                <w:numId w:val="22"/>
              </w:numPr>
              <w:kinsoku/>
              <w:wordWrap/>
              <w:overflowPunct/>
              <w:topLinePunct w:val="0"/>
              <w:autoSpaceDE/>
              <w:autoSpaceDN/>
              <w:bidi w:val="0"/>
              <w:adjustRightInd w:val="0"/>
              <w:snapToGrid w:val="0"/>
              <w:spacing w:line="360" w:lineRule="auto"/>
              <w:jc w:val="left"/>
              <w:textAlignment w:val="auto"/>
              <w:rPr>
                <w:rFonts w:ascii="宋体" w:hAnsi="宋体" w:cs="宋体"/>
                <w:sz w:val="21"/>
                <w:szCs w:val="21"/>
                <w:highlight w:val="none"/>
              </w:rPr>
            </w:pPr>
            <w:r>
              <w:rPr>
                <w:rFonts w:hint="eastAsia" w:ascii="宋体" w:hAnsi="宋体" w:cs="宋体"/>
                <w:sz w:val="21"/>
                <w:szCs w:val="21"/>
                <w:highlight w:val="none"/>
              </w:rPr>
              <w:t>支持煎药时关联煎药设备，记录煎煮温度、煎煮时长关键参数；</w:t>
            </w:r>
          </w:p>
          <w:p w14:paraId="55C7ABB9">
            <w:pPr>
              <w:keepNext w:val="0"/>
              <w:keepLines w:val="0"/>
              <w:pageBreakBefore w:val="0"/>
              <w:numPr>
                <w:ilvl w:val="0"/>
                <w:numId w:val="22"/>
              </w:numPr>
              <w:kinsoku/>
              <w:wordWrap/>
              <w:overflowPunct/>
              <w:topLinePunct w:val="0"/>
              <w:autoSpaceDE/>
              <w:autoSpaceDN/>
              <w:bidi w:val="0"/>
              <w:adjustRightInd w:val="0"/>
              <w:snapToGrid w:val="0"/>
              <w:spacing w:line="360" w:lineRule="auto"/>
              <w:jc w:val="left"/>
              <w:textAlignment w:val="auto"/>
              <w:rPr>
                <w:rFonts w:ascii="宋体" w:hAnsi="宋体" w:cs="宋体"/>
                <w:sz w:val="21"/>
                <w:szCs w:val="21"/>
                <w:highlight w:val="none"/>
              </w:rPr>
            </w:pPr>
            <w:r>
              <w:rPr>
                <w:rFonts w:hint="eastAsia" w:ascii="宋体" w:hAnsi="宋体" w:cs="宋体"/>
                <w:sz w:val="21"/>
                <w:szCs w:val="21"/>
                <w:highlight w:val="none"/>
              </w:rPr>
              <w:t>支持二煎提醒功能，一煎完成后系统自动提示进行二煎；</w:t>
            </w:r>
          </w:p>
          <w:p w14:paraId="6813C621">
            <w:pPr>
              <w:keepNext w:val="0"/>
              <w:keepLines w:val="0"/>
              <w:pageBreakBefore w:val="0"/>
              <w:numPr>
                <w:ilvl w:val="0"/>
                <w:numId w:val="22"/>
              </w:numPr>
              <w:kinsoku/>
              <w:wordWrap/>
              <w:overflowPunct/>
              <w:topLinePunct w:val="0"/>
              <w:autoSpaceDE/>
              <w:autoSpaceDN/>
              <w:bidi w:val="0"/>
              <w:adjustRightInd w:val="0"/>
              <w:snapToGrid w:val="0"/>
              <w:spacing w:line="360" w:lineRule="auto"/>
              <w:jc w:val="left"/>
              <w:textAlignment w:val="auto"/>
              <w:rPr>
                <w:rFonts w:ascii="宋体" w:hAnsi="宋体" w:cs="宋体"/>
                <w:sz w:val="21"/>
                <w:szCs w:val="21"/>
                <w:highlight w:val="none"/>
              </w:rPr>
            </w:pPr>
            <w:r>
              <w:rPr>
                <w:rFonts w:hint="eastAsia" w:ascii="宋体" w:hAnsi="宋体" w:cs="宋体"/>
                <w:sz w:val="21"/>
                <w:szCs w:val="21"/>
                <w:highlight w:val="none"/>
              </w:rPr>
              <w:t>支持关键环节（如投料、出锅）通过高拍仪或手机拍照上传，留存影像证据。</w:t>
            </w:r>
          </w:p>
          <w:p w14:paraId="59A4BC60">
            <w:pPr>
              <w:keepNext w:val="0"/>
              <w:keepLines w:val="0"/>
              <w:pageBreakBefore w:val="0"/>
              <w:kinsoku/>
              <w:wordWrap/>
              <w:overflowPunct/>
              <w:topLinePunct w:val="0"/>
              <w:autoSpaceDE/>
              <w:autoSpaceDN/>
              <w:bidi w:val="0"/>
              <w:adjustRightInd w:val="0"/>
              <w:snapToGrid w:val="0"/>
              <w:spacing w:line="360" w:lineRule="auto"/>
              <w:ind w:firstLine="422" w:firstLineChars="200"/>
              <w:jc w:val="left"/>
              <w:textAlignment w:val="auto"/>
              <w:rPr>
                <w:rFonts w:ascii="宋体" w:hAnsi="宋体" w:cs="宋体"/>
                <w:b/>
                <w:sz w:val="21"/>
                <w:szCs w:val="21"/>
                <w:highlight w:val="none"/>
              </w:rPr>
            </w:pPr>
            <w:r>
              <w:rPr>
                <w:rFonts w:hint="eastAsia" w:ascii="宋体" w:hAnsi="宋体" w:cs="宋体"/>
                <w:b/>
                <w:sz w:val="21"/>
                <w:szCs w:val="21"/>
                <w:highlight w:val="none"/>
              </w:rPr>
              <w:t>制作管理</w:t>
            </w:r>
          </w:p>
          <w:p w14:paraId="1FDB874B">
            <w:pPr>
              <w:keepNext w:val="0"/>
              <w:keepLines w:val="0"/>
              <w:pageBreakBefore w:val="0"/>
              <w:numPr>
                <w:ilvl w:val="0"/>
                <w:numId w:val="22"/>
              </w:numPr>
              <w:kinsoku/>
              <w:wordWrap/>
              <w:overflowPunct/>
              <w:topLinePunct w:val="0"/>
              <w:autoSpaceDE/>
              <w:autoSpaceDN/>
              <w:bidi w:val="0"/>
              <w:adjustRightInd w:val="0"/>
              <w:snapToGrid w:val="0"/>
              <w:spacing w:line="360" w:lineRule="auto"/>
              <w:jc w:val="left"/>
              <w:textAlignment w:val="auto"/>
              <w:rPr>
                <w:rFonts w:ascii="宋体" w:hAnsi="宋体" w:cs="宋体"/>
                <w:sz w:val="21"/>
                <w:szCs w:val="21"/>
                <w:highlight w:val="none"/>
              </w:rPr>
            </w:pPr>
            <w:r>
              <w:rPr>
                <w:rFonts w:hint="eastAsia" w:ascii="宋体" w:hAnsi="宋体" w:cs="宋体"/>
                <w:sz w:val="21"/>
                <w:szCs w:val="21"/>
                <w:highlight w:val="none"/>
              </w:rPr>
              <w:t>支持制作环节（如制膏、制丸）的扫码记录，确保工序不遗漏；</w:t>
            </w:r>
          </w:p>
          <w:p w14:paraId="43E2089C">
            <w:pPr>
              <w:keepNext w:val="0"/>
              <w:keepLines w:val="0"/>
              <w:pageBreakBefore w:val="0"/>
              <w:numPr>
                <w:ilvl w:val="0"/>
                <w:numId w:val="22"/>
              </w:numPr>
              <w:kinsoku/>
              <w:wordWrap/>
              <w:overflowPunct/>
              <w:topLinePunct w:val="0"/>
              <w:autoSpaceDE/>
              <w:autoSpaceDN/>
              <w:bidi w:val="0"/>
              <w:adjustRightInd w:val="0"/>
              <w:snapToGrid w:val="0"/>
              <w:spacing w:line="360" w:lineRule="auto"/>
              <w:jc w:val="left"/>
              <w:textAlignment w:val="auto"/>
              <w:rPr>
                <w:rFonts w:ascii="宋体" w:hAnsi="宋体" w:cs="宋体"/>
                <w:sz w:val="21"/>
                <w:szCs w:val="21"/>
                <w:highlight w:val="none"/>
              </w:rPr>
            </w:pPr>
            <w:r>
              <w:rPr>
                <w:rFonts w:hint="eastAsia" w:ascii="宋体" w:hAnsi="宋体" w:cs="宋体"/>
                <w:sz w:val="21"/>
                <w:szCs w:val="21"/>
                <w:highlight w:val="none"/>
              </w:rPr>
              <w:t>支持制作完成后打印瓶签；</w:t>
            </w:r>
          </w:p>
          <w:p w14:paraId="517123A2">
            <w:pPr>
              <w:keepNext w:val="0"/>
              <w:keepLines w:val="0"/>
              <w:pageBreakBefore w:val="0"/>
              <w:numPr>
                <w:ilvl w:val="0"/>
                <w:numId w:val="22"/>
              </w:numPr>
              <w:kinsoku/>
              <w:wordWrap/>
              <w:overflowPunct/>
              <w:topLinePunct w:val="0"/>
              <w:autoSpaceDE/>
              <w:autoSpaceDN/>
              <w:bidi w:val="0"/>
              <w:adjustRightInd w:val="0"/>
              <w:snapToGrid w:val="0"/>
              <w:spacing w:line="360" w:lineRule="auto"/>
              <w:jc w:val="left"/>
              <w:textAlignment w:val="auto"/>
              <w:rPr>
                <w:rFonts w:ascii="宋体" w:hAnsi="宋体" w:cs="宋体"/>
                <w:sz w:val="21"/>
                <w:szCs w:val="21"/>
                <w:highlight w:val="none"/>
              </w:rPr>
            </w:pPr>
            <w:r>
              <w:rPr>
                <w:rFonts w:hint="eastAsia" w:ascii="宋体" w:hAnsi="宋体" w:cs="宋体"/>
                <w:sz w:val="21"/>
                <w:szCs w:val="21"/>
                <w:highlight w:val="none"/>
              </w:rPr>
              <w:t>支持制作完成扫码确认并自动流转至下一环节，确保流程闭环。</w:t>
            </w:r>
          </w:p>
          <w:p w14:paraId="7C70EB52">
            <w:pPr>
              <w:keepNext w:val="0"/>
              <w:keepLines w:val="0"/>
              <w:pageBreakBefore w:val="0"/>
              <w:kinsoku/>
              <w:wordWrap/>
              <w:overflowPunct/>
              <w:topLinePunct w:val="0"/>
              <w:autoSpaceDE/>
              <w:autoSpaceDN/>
              <w:bidi w:val="0"/>
              <w:adjustRightInd w:val="0"/>
              <w:snapToGrid w:val="0"/>
              <w:spacing w:line="360" w:lineRule="auto"/>
              <w:ind w:firstLine="422" w:firstLineChars="200"/>
              <w:jc w:val="left"/>
              <w:textAlignment w:val="auto"/>
              <w:rPr>
                <w:rFonts w:ascii="宋体" w:hAnsi="宋体" w:cs="宋体"/>
                <w:b/>
                <w:sz w:val="21"/>
                <w:szCs w:val="21"/>
                <w:highlight w:val="none"/>
              </w:rPr>
            </w:pPr>
            <w:r>
              <w:rPr>
                <w:rFonts w:hint="eastAsia" w:ascii="宋体" w:hAnsi="宋体" w:cs="宋体"/>
                <w:b/>
                <w:sz w:val="21"/>
                <w:szCs w:val="21"/>
                <w:highlight w:val="none"/>
              </w:rPr>
              <w:t>发药管理</w:t>
            </w:r>
          </w:p>
          <w:p w14:paraId="13009118">
            <w:pPr>
              <w:keepNext w:val="0"/>
              <w:keepLines w:val="0"/>
              <w:pageBreakBefore w:val="0"/>
              <w:numPr>
                <w:ilvl w:val="0"/>
                <w:numId w:val="22"/>
              </w:numPr>
              <w:kinsoku/>
              <w:wordWrap/>
              <w:overflowPunct/>
              <w:topLinePunct w:val="0"/>
              <w:autoSpaceDE/>
              <w:autoSpaceDN/>
              <w:bidi w:val="0"/>
              <w:adjustRightInd w:val="0"/>
              <w:snapToGrid w:val="0"/>
              <w:spacing w:line="360" w:lineRule="auto"/>
              <w:jc w:val="left"/>
              <w:textAlignment w:val="auto"/>
              <w:rPr>
                <w:rFonts w:ascii="宋体" w:hAnsi="宋体" w:cs="宋体"/>
                <w:sz w:val="21"/>
                <w:szCs w:val="21"/>
                <w:highlight w:val="none"/>
              </w:rPr>
            </w:pPr>
            <w:r>
              <w:rPr>
                <w:rFonts w:hint="eastAsia" w:ascii="宋体" w:hAnsi="宋体" w:cs="宋体"/>
                <w:sz w:val="21"/>
                <w:szCs w:val="21"/>
                <w:highlight w:val="none"/>
              </w:rPr>
              <w:t>支持患者出示导诊单，药师扫码核对身份与药品信息；</w:t>
            </w:r>
          </w:p>
          <w:p w14:paraId="6928FE09">
            <w:pPr>
              <w:keepNext w:val="0"/>
              <w:keepLines w:val="0"/>
              <w:pageBreakBefore w:val="0"/>
              <w:numPr>
                <w:ilvl w:val="0"/>
                <w:numId w:val="22"/>
              </w:numPr>
              <w:kinsoku/>
              <w:wordWrap/>
              <w:overflowPunct/>
              <w:topLinePunct w:val="0"/>
              <w:autoSpaceDE/>
              <w:autoSpaceDN/>
              <w:bidi w:val="0"/>
              <w:adjustRightInd w:val="0"/>
              <w:snapToGrid w:val="0"/>
              <w:spacing w:line="360" w:lineRule="auto"/>
              <w:jc w:val="left"/>
              <w:textAlignment w:val="auto"/>
              <w:rPr>
                <w:rFonts w:hint="eastAsia" w:ascii="宋体" w:hAnsi="宋体" w:cs="宋体"/>
                <w:color w:val="auto"/>
                <w:sz w:val="21"/>
                <w:szCs w:val="21"/>
                <w:highlight w:val="none"/>
              </w:rPr>
            </w:pPr>
            <w:r>
              <w:rPr>
                <w:rFonts w:hint="eastAsia" w:ascii="宋体" w:hAnsi="宋体" w:cs="宋体"/>
                <w:sz w:val="21"/>
                <w:szCs w:val="21"/>
                <w:highlight w:val="none"/>
              </w:rPr>
              <w:t>支持核对无误后系统自动更新状态为“已发药”；</w:t>
            </w:r>
          </w:p>
        </w:tc>
      </w:tr>
      <w:tr w14:paraId="381AE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851" w:type="dxa"/>
            <w:vMerge w:val="continue"/>
            <w:vAlign w:val="center"/>
          </w:tcPr>
          <w:p w14:paraId="1573219A">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091" w:type="dxa"/>
            <w:vAlign w:val="center"/>
          </w:tcPr>
          <w:p w14:paraId="0B4BC196">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r>
              <w:rPr>
                <w:rFonts w:hint="eastAsia" w:ascii="宋体" w:hAnsi="宋体" w:cs="宋体"/>
                <w:color w:val="auto"/>
                <w:sz w:val="21"/>
                <w:szCs w:val="21"/>
                <w:highlight w:val="none"/>
              </w:rPr>
              <w:t>代煎流程跟踪</w:t>
            </w:r>
          </w:p>
        </w:tc>
        <w:tc>
          <w:tcPr>
            <w:tcW w:w="7737" w:type="dxa"/>
            <w:vAlign w:val="center"/>
          </w:tcPr>
          <w:p w14:paraId="729D4093">
            <w:pPr>
              <w:keepNext w:val="0"/>
              <w:keepLines w:val="0"/>
              <w:pageBreakBefore w:val="0"/>
              <w:numPr>
                <w:ilvl w:val="0"/>
                <w:numId w:val="22"/>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r>
              <w:rPr>
                <w:rFonts w:hint="eastAsia" w:ascii="宋体" w:hAnsi="宋体" w:cs="宋体"/>
                <w:color w:val="auto"/>
                <w:sz w:val="21"/>
                <w:szCs w:val="21"/>
                <w:highlight w:val="none"/>
              </w:rPr>
              <w:t>从接收处方开始，对中药代煎的每一个环节进行实时跟踪记录，包括药材浸泡、煎煮、包装、配送等步骤。患者可通过医院官方网站、微信公众号或手机APP查询代煎进度，系统推送代煎状态更新通知（如开始煎药、煎药完成、配送中、已送达等） ，让患者随时了解自己药品的情况。</w:t>
            </w:r>
          </w:p>
        </w:tc>
      </w:tr>
      <w:tr w14:paraId="279C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851" w:type="dxa"/>
            <w:vMerge w:val="continue"/>
            <w:vAlign w:val="center"/>
          </w:tcPr>
          <w:p w14:paraId="3FDD9A1F">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091" w:type="dxa"/>
            <w:vAlign w:val="center"/>
          </w:tcPr>
          <w:p w14:paraId="3321EC24">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r>
              <w:rPr>
                <w:rFonts w:hint="eastAsia" w:ascii="宋体" w:hAnsi="宋体" w:cs="宋体"/>
                <w:color w:val="auto"/>
                <w:sz w:val="21"/>
                <w:szCs w:val="21"/>
                <w:highlight w:val="none"/>
              </w:rPr>
              <w:t>质量控制</w:t>
            </w:r>
          </w:p>
        </w:tc>
        <w:tc>
          <w:tcPr>
            <w:tcW w:w="7737" w:type="dxa"/>
            <w:vAlign w:val="center"/>
          </w:tcPr>
          <w:p w14:paraId="7680288F">
            <w:pPr>
              <w:keepNext w:val="0"/>
              <w:keepLines w:val="0"/>
              <w:pageBreakBefore w:val="0"/>
              <w:numPr>
                <w:ilvl w:val="0"/>
                <w:numId w:val="22"/>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r>
              <w:rPr>
                <w:rFonts w:hint="eastAsia" w:ascii="宋体" w:hAnsi="宋体" w:cs="宋体"/>
                <w:color w:val="auto"/>
                <w:sz w:val="21"/>
                <w:szCs w:val="21"/>
                <w:highlight w:val="none"/>
              </w:rPr>
              <w:t>在代煎过程中，系统记录煎药设备的运行参数（如温度、时间、压力等），确保煎药质量符合相关标准和规范。对每一批次的代煎药品进行质量抽检，抽检结果录入系统，对于不合格的药品，系统自动触发召回和重新煎制流程，并记录相关处理情况。</w:t>
            </w:r>
          </w:p>
        </w:tc>
      </w:tr>
      <w:tr w14:paraId="5F544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851" w:type="dxa"/>
            <w:vMerge w:val="continue"/>
            <w:vAlign w:val="center"/>
          </w:tcPr>
          <w:p w14:paraId="0D0833D8">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091" w:type="dxa"/>
            <w:vAlign w:val="center"/>
          </w:tcPr>
          <w:p w14:paraId="090A6BE9">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r>
              <w:rPr>
                <w:rFonts w:hint="eastAsia" w:ascii="宋体" w:hAnsi="宋体" w:cs="宋体"/>
                <w:color w:val="auto"/>
                <w:sz w:val="21"/>
                <w:szCs w:val="21"/>
                <w:highlight w:val="none"/>
              </w:rPr>
              <w:t>配送管理</w:t>
            </w:r>
          </w:p>
        </w:tc>
        <w:tc>
          <w:tcPr>
            <w:tcW w:w="7737" w:type="dxa"/>
            <w:vAlign w:val="center"/>
          </w:tcPr>
          <w:p w14:paraId="05BC1CC2">
            <w:pPr>
              <w:keepNext w:val="0"/>
              <w:keepLines w:val="0"/>
              <w:pageBreakBefore w:val="0"/>
              <w:numPr>
                <w:ilvl w:val="0"/>
                <w:numId w:val="22"/>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r>
              <w:rPr>
                <w:rFonts w:hint="eastAsia" w:ascii="宋体" w:hAnsi="宋体" w:cs="宋体"/>
                <w:color w:val="auto"/>
                <w:sz w:val="21"/>
                <w:szCs w:val="21"/>
                <w:highlight w:val="none"/>
              </w:rPr>
              <w:t>与专业的物流配送公司系统对接，根据患者的收货地址和要求安排配送服务。系统自动生成配送单，记录配送单号、配送时间、配送人员等信息。支持患者选择自提或配送上门服务，对于配送上门的患者，提供物流轨迹查询功能，确保药品安全、及时送达。</w:t>
            </w:r>
          </w:p>
        </w:tc>
      </w:tr>
      <w:tr w14:paraId="4B5B1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8" w:hRule="atLeast"/>
          <w:jc w:val="center"/>
        </w:trPr>
        <w:tc>
          <w:tcPr>
            <w:tcW w:w="851" w:type="dxa"/>
            <w:vMerge w:val="continue"/>
            <w:vAlign w:val="center"/>
          </w:tcPr>
          <w:p w14:paraId="7FCC62A6">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091" w:type="dxa"/>
            <w:vAlign w:val="center"/>
          </w:tcPr>
          <w:p w14:paraId="14A46DA1">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r>
              <w:rPr>
                <w:rFonts w:hint="eastAsia" w:ascii="宋体" w:hAnsi="宋体" w:cs="宋体"/>
                <w:color w:val="auto"/>
                <w:sz w:val="21"/>
                <w:szCs w:val="21"/>
                <w:highlight w:val="none"/>
              </w:rPr>
              <w:t>代煎业务报表</w:t>
            </w:r>
          </w:p>
        </w:tc>
        <w:tc>
          <w:tcPr>
            <w:tcW w:w="7737" w:type="dxa"/>
            <w:vAlign w:val="center"/>
          </w:tcPr>
          <w:p w14:paraId="78FF443C">
            <w:pPr>
              <w:keepNext w:val="0"/>
              <w:keepLines w:val="0"/>
              <w:pageBreakBefore w:val="0"/>
              <w:numPr>
                <w:ilvl w:val="0"/>
                <w:numId w:val="22"/>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r>
              <w:rPr>
                <w:rFonts w:hint="eastAsia" w:ascii="宋体" w:hAnsi="宋体" w:cs="宋体"/>
                <w:color w:val="auto"/>
                <w:sz w:val="21"/>
                <w:szCs w:val="21"/>
                <w:highlight w:val="none"/>
              </w:rPr>
              <w:t>统计中药代煎业务的相关数据，如代煎订单数量、代煎费用收入、各环节（浸泡、煎煮、包装、配送）的工作量和耗时等，评估代煎业务的运营效率和成本效益。</w:t>
            </w:r>
          </w:p>
          <w:p w14:paraId="46FCD4A2">
            <w:pPr>
              <w:keepNext w:val="0"/>
              <w:keepLines w:val="0"/>
              <w:pageBreakBefore w:val="0"/>
              <w:numPr>
                <w:ilvl w:val="0"/>
                <w:numId w:val="22"/>
              </w:numPr>
              <w:kinsoku/>
              <w:wordWrap/>
              <w:overflowPunct/>
              <w:topLinePunct w:val="0"/>
              <w:autoSpaceDE/>
              <w:autoSpaceDN/>
              <w:bidi w:val="0"/>
              <w:adjustRightInd w:val="0"/>
              <w:snapToGrid w:val="0"/>
              <w:spacing w:line="360" w:lineRule="auto"/>
              <w:jc w:val="left"/>
              <w:textAlignment w:val="auto"/>
              <w:rPr>
                <w:rFonts w:ascii="宋体" w:hAnsi="宋体" w:cs="宋体"/>
                <w:sz w:val="21"/>
                <w:szCs w:val="21"/>
              </w:rPr>
            </w:pPr>
            <w:r>
              <w:rPr>
                <w:rFonts w:hint="eastAsia" w:ascii="宋体" w:hAnsi="宋体" w:cs="宋体"/>
                <w:sz w:val="21"/>
                <w:szCs w:val="21"/>
              </w:rPr>
              <w:t>支持协定处方使用情况统计，分析热门方剂与收益；</w:t>
            </w:r>
          </w:p>
          <w:p w14:paraId="6C761ACC">
            <w:pPr>
              <w:keepNext w:val="0"/>
              <w:keepLines w:val="0"/>
              <w:pageBreakBefore w:val="0"/>
              <w:numPr>
                <w:ilvl w:val="0"/>
                <w:numId w:val="22"/>
              </w:numPr>
              <w:kinsoku/>
              <w:wordWrap/>
              <w:overflowPunct/>
              <w:topLinePunct w:val="0"/>
              <w:autoSpaceDE/>
              <w:autoSpaceDN/>
              <w:bidi w:val="0"/>
              <w:adjustRightInd w:val="0"/>
              <w:snapToGrid w:val="0"/>
              <w:spacing w:line="360" w:lineRule="auto"/>
              <w:jc w:val="left"/>
              <w:textAlignment w:val="auto"/>
              <w:rPr>
                <w:rFonts w:ascii="宋体" w:hAnsi="宋体" w:cs="宋体"/>
                <w:sz w:val="21"/>
                <w:szCs w:val="21"/>
              </w:rPr>
            </w:pPr>
            <w:r>
              <w:rPr>
                <w:rFonts w:hint="eastAsia" w:ascii="宋体" w:hAnsi="宋体" w:cs="宋体"/>
                <w:sz w:val="21"/>
                <w:szCs w:val="21"/>
              </w:rPr>
              <w:t>支持按科室、病区统计中药处方量、处方金额，分析临床用药需求；</w:t>
            </w:r>
          </w:p>
          <w:p w14:paraId="09EEFD0C">
            <w:pPr>
              <w:keepNext w:val="0"/>
              <w:keepLines w:val="0"/>
              <w:pageBreakBefore w:val="0"/>
              <w:numPr>
                <w:ilvl w:val="0"/>
                <w:numId w:val="22"/>
              </w:numPr>
              <w:kinsoku/>
              <w:wordWrap/>
              <w:overflowPunct/>
              <w:topLinePunct w:val="0"/>
              <w:autoSpaceDE/>
              <w:autoSpaceDN/>
              <w:bidi w:val="0"/>
              <w:adjustRightInd w:val="0"/>
              <w:snapToGrid w:val="0"/>
              <w:spacing w:line="360" w:lineRule="auto"/>
              <w:jc w:val="left"/>
              <w:textAlignment w:val="auto"/>
              <w:rPr>
                <w:rFonts w:ascii="宋体" w:hAnsi="宋体" w:cs="宋体"/>
                <w:sz w:val="21"/>
                <w:szCs w:val="21"/>
              </w:rPr>
            </w:pPr>
            <w:r>
              <w:rPr>
                <w:rFonts w:hint="eastAsia" w:ascii="宋体" w:hAnsi="宋体" w:cs="宋体"/>
                <w:sz w:val="21"/>
                <w:szCs w:val="21"/>
              </w:rPr>
              <w:t>支持加工费用明细查询与统计，实现成本精细化核算；</w:t>
            </w:r>
          </w:p>
          <w:p w14:paraId="306E6F6E">
            <w:pPr>
              <w:keepNext w:val="0"/>
              <w:keepLines w:val="0"/>
              <w:pageBreakBefore w:val="0"/>
              <w:numPr>
                <w:ilvl w:val="0"/>
                <w:numId w:val="22"/>
              </w:numPr>
              <w:kinsoku/>
              <w:wordWrap/>
              <w:overflowPunct/>
              <w:topLinePunct w:val="0"/>
              <w:autoSpaceDE/>
              <w:autoSpaceDN/>
              <w:bidi w:val="0"/>
              <w:adjustRightInd w:val="0"/>
              <w:snapToGrid w:val="0"/>
              <w:spacing w:line="360" w:lineRule="auto"/>
              <w:jc w:val="left"/>
              <w:textAlignment w:val="auto"/>
              <w:rPr>
                <w:rFonts w:ascii="宋体" w:hAnsi="宋体" w:cs="宋体"/>
                <w:sz w:val="21"/>
                <w:szCs w:val="21"/>
              </w:rPr>
            </w:pPr>
            <w:r>
              <w:rPr>
                <w:rFonts w:hint="eastAsia" w:ascii="宋体" w:hAnsi="宋体" w:cs="宋体"/>
                <w:sz w:val="21"/>
                <w:szCs w:val="21"/>
              </w:rPr>
              <w:t>支持生成可视化的运营报表与月度分析报告。</w:t>
            </w:r>
          </w:p>
          <w:p w14:paraId="1080E6F7">
            <w:pPr>
              <w:keepNext w:val="0"/>
              <w:keepLines w:val="0"/>
              <w:pageBreakBefore w:val="0"/>
              <w:numPr>
                <w:ilvl w:val="0"/>
                <w:numId w:val="22"/>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r>
              <w:rPr>
                <w:rFonts w:hint="eastAsia" w:ascii="宋体" w:hAnsi="宋体" w:cs="宋体"/>
                <w:sz w:val="21"/>
                <w:szCs w:val="21"/>
              </w:rPr>
              <w:t>支持报表数据导出。</w:t>
            </w:r>
          </w:p>
        </w:tc>
      </w:tr>
      <w:tr w14:paraId="68697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851" w:type="dxa"/>
            <w:vMerge w:val="continue"/>
            <w:vAlign w:val="center"/>
          </w:tcPr>
          <w:p w14:paraId="6ED8A10C">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091" w:type="dxa"/>
            <w:vAlign w:val="center"/>
          </w:tcPr>
          <w:p w14:paraId="10A596CC">
            <w:pPr>
              <w:keepNext w:val="0"/>
              <w:keepLines w:val="0"/>
              <w:pageBreakBefore w:val="0"/>
              <w:kinsoku/>
              <w:wordWrap/>
              <w:overflowPunct/>
              <w:topLinePunct w:val="0"/>
              <w:autoSpaceDE/>
              <w:autoSpaceDN/>
              <w:bidi w:val="0"/>
              <w:adjustRightInd w:val="0"/>
              <w:snapToGrid w:val="0"/>
              <w:spacing w:line="360" w:lineRule="auto"/>
              <w:jc w:val="left"/>
              <w:textAlignment w:val="auto"/>
              <w:rPr>
                <w:rFonts w:hint="default" w:ascii="宋体" w:hAnsi="宋体" w:eastAsia="宋体" w:cs="宋体"/>
                <w:color w:val="auto"/>
                <w:sz w:val="21"/>
                <w:szCs w:val="21"/>
                <w:highlight w:val="none"/>
                <w:lang w:val="en-US" w:eastAsia="zh-CN"/>
              </w:rPr>
            </w:pPr>
            <w:r>
              <w:rPr>
                <w:rFonts w:hint="eastAsia" w:ascii="宋体" w:hAnsi="宋体" w:cs="宋体"/>
                <w:sz w:val="21"/>
                <w:szCs w:val="21"/>
              </w:rPr>
              <w:t>患者服务</w:t>
            </w:r>
          </w:p>
        </w:tc>
        <w:tc>
          <w:tcPr>
            <w:tcW w:w="7737" w:type="dxa"/>
            <w:vAlign w:val="center"/>
          </w:tcPr>
          <w:p w14:paraId="3FCA842C">
            <w:pPr>
              <w:keepNext w:val="0"/>
              <w:keepLines w:val="0"/>
              <w:pageBreakBefore w:val="0"/>
              <w:numPr>
                <w:ilvl w:val="0"/>
                <w:numId w:val="22"/>
              </w:numPr>
              <w:kinsoku/>
              <w:wordWrap/>
              <w:overflowPunct/>
              <w:topLinePunct w:val="0"/>
              <w:autoSpaceDE/>
              <w:autoSpaceDN/>
              <w:bidi w:val="0"/>
              <w:adjustRightInd w:val="0"/>
              <w:snapToGrid w:val="0"/>
              <w:spacing w:line="360" w:lineRule="auto"/>
              <w:jc w:val="left"/>
              <w:textAlignment w:val="auto"/>
              <w:rPr>
                <w:rFonts w:ascii="宋体" w:hAnsi="宋体" w:cs="宋体"/>
                <w:sz w:val="21"/>
                <w:szCs w:val="21"/>
              </w:rPr>
            </w:pPr>
            <w:r>
              <w:rPr>
                <w:rFonts w:hint="eastAsia" w:ascii="宋体" w:hAnsi="宋体" w:cs="宋体"/>
                <w:sz w:val="21"/>
                <w:szCs w:val="21"/>
              </w:rPr>
              <w:t>支持患者用手机扫描导诊单二维码，实时查看“已收方”、“调配中”、“浸泡中”、“煎煮中”、“制作完成”等详细状态；</w:t>
            </w:r>
          </w:p>
          <w:p w14:paraId="446D6EFE">
            <w:pPr>
              <w:keepNext w:val="0"/>
              <w:keepLines w:val="0"/>
              <w:pageBreakBefore w:val="0"/>
              <w:numPr>
                <w:ilvl w:val="0"/>
                <w:numId w:val="22"/>
              </w:numPr>
              <w:kinsoku/>
              <w:wordWrap/>
              <w:overflowPunct/>
              <w:topLinePunct w:val="0"/>
              <w:autoSpaceDE/>
              <w:autoSpaceDN/>
              <w:bidi w:val="0"/>
              <w:adjustRightInd w:val="0"/>
              <w:snapToGrid w:val="0"/>
              <w:spacing w:line="360" w:lineRule="auto"/>
              <w:jc w:val="left"/>
              <w:textAlignment w:val="auto"/>
              <w:rPr>
                <w:rFonts w:hint="eastAsia" w:ascii="宋体" w:hAnsi="宋体" w:cs="宋体"/>
                <w:color w:val="auto"/>
                <w:sz w:val="21"/>
                <w:szCs w:val="21"/>
                <w:highlight w:val="none"/>
              </w:rPr>
            </w:pPr>
            <w:r>
              <w:rPr>
                <w:rFonts w:hint="eastAsia" w:ascii="宋体" w:hAnsi="宋体" w:cs="宋体"/>
                <w:sz w:val="21"/>
                <w:szCs w:val="21"/>
              </w:rPr>
              <w:t>支持微信公众号消息推送，主动告知患者关键节点进度（如开始煎药、可以取药）。</w:t>
            </w:r>
          </w:p>
        </w:tc>
      </w:tr>
      <w:tr w14:paraId="0537C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851" w:type="dxa"/>
            <w:vMerge w:val="continue"/>
            <w:vAlign w:val="center"/>
          </w:tcPr>
          <w:p w14:paraId="480F681A">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8828" w:type="dxa"/>
            <w:gridSpan w:val="2"/>
            <w:vAlign w:val="center"/>
          </w:tcPr>
          <w:p w14:paraId="2CCE497F">
            <w:pPr>
              <w:keepNext w:val="0"/>
              <w:keepLines w:val="0"/>
              <w:pageBreakBefore w:val="0"/>
              <w:numPr>
                <w:ilvl w:val="255"/>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r>
              <w:rPr>
                <w:rFonts w:hint="eastAsia" w:ascii="宋体" w:hAnsi="宋体" w:cs="宋体"/>
                <w:color w:val="auto"/>
                <w:sz w:val="21"/>
                <w:szCs w:val="21"/>
                <w:highlight w:val="none"/>
              </w:rPr>
              <w:t>中药临方制剂室</w:t>
            </w:r>
          </w:p>
        </w:tc>
      </w:tr>
      <w:tr w14:paraId="2E49A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851" w:type="dxa"/>
            <w:vMerge w:val="continue"/>
            <w:vAlign w:val="center"/>
          </w:tcPr>
          <w:p w14:paraId="0D932308">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091" w:type="dxa"/>
            <w:vAlign w:val="center"/>
          </w:tcPr>
          <w:p w14:paraId="6C081B89">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r>
              <w:rPr>
                <w:rFonts w:hint="eastAsia" w:ascii="宋体" w:hAnsi="宋体" w:cs="宋体"/>
                <w:color w:val="auto"/>
                <w:sz w:val="21"/>
                <w:szCs w:val="21"/>
                <w:highlight w:val="none"/>
              </w:rPr>
              <w:t>中药临方制剂单元</w:t>
            </w:r>
          </w:p>
        </w:tc>
        <w:tc>
          <w:tcPr>
            <w:tcW w:w="7737" w:type="dxa"/>
            <w:vAlign w:val="center"/>
          </w:tcPr>
          <w:p w14:paraId="1B8E62ED">
            <w:pPr>
              <w:keepNext w:val="0"/>
              <w:keepLines w:val="0"/>
              <w:pageBreakBefore w:val="0"/>
              <w:numPr>
                <w:ilvl w:val="0"/>
                <w:numId w:val="22"/>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r>
              <w:rPr>
                <w:rFonts w:hint="eastAsia" w:ascii="宋体" w:hAnsi="宋体" w:cs="宋体"/>
                <w:color w:val="auto"/>
                <w:sz w:val="21"/>
                <w:szCs w:val="21"/>
                <w:highlight w:val="none"/>
              </w:rPr>
              <w:t>建设与中药房平级的中药临方制剂室，系统包含的模块、功能应该与中药房系统一致</w:t>
            </w:r>
          </w:p>
          <w:p w14:paraId="42AF0003">
            <w:pPr>
              <w:keepNext w:val="0"/>
              <w:keepLines w:val="0"/>
              <w:pageBreakBefore w:val="0"/>
              <w:numPr>
                <w:ilvl w:val="0"/>
                <w:numId w:val="22"/>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r>
              <w:rPr>
                <w:rFonts w:hint="eastAsia" w:ascii="宋体" w:hAnsi="宋体" w:cs="宋体"/>
                <w:color w:val="auto"/>
                <w:sz w:val="21"/>
                <w:szCs w:val="21"/>
                <w:highlight w:val="none"/>
              </w:rPr>
              <w:t>有中药临方制剂模板维护功能，可自定义维护模板名称、药品名称、药品单次用量、用药方法、用药频率</w:t>
            </w:r>
            <w:r>
              <w:rPr>
                <w:rFonts w:hint="eastAsia" w:ascii="宋体" w:hAnsi="宋体" w:cs="宋体"/>
                <w:color w:val="auto"/>
                <w:sz w:val="21"/>
                <w:szCs w:val="21"/>
                <w:highlight w:val="none"/>
                <w:lang w:eastAsia="zh-CN"/>
              </w:rPr>
              <w:t>、备注等</w:t>
            </w:r>
            <w:r>
              <w:rPr>
                <w:rFonts w:hint="eastAsia" w:ascii="宋体" w:hAnsi="宋体" w:cs="宋体"/>
                <w:color w:val="auto"/>
                <w:sz w:val="21"/>
                <w:szCs w:val="21"/>
                <w:highlight w:val="none"/>
              </w:rPr>
              <w:t>。维护的药品模板医师在医生站可搜索调用，无需逐一选择药品开具。</w:t>
            </w:r>
            <w:r>
              <w:rPr>
                <w:rFonts w:ascii="Segoe UI" w:hAnsi="Segoe UI" w:eastAsia="Segoe UI" w:cs="Segoe UI"/>
                <w:i w:val="0"/>
                <w:iCs w:val="0"/>
                <w:caps w:val="0"/>
                <w:color w:val="800080"/>
                <w:spacing w:val="0"/>
                <w:sz w:val="21"/>
                <w:szCs w:val="21"/>
                <w:shd w:val="clear" w:fill="FFFFFF"/>
              </w:rPr>
              <w:t>可对模板进行限制功能（例如固定模板后，不能添加或删减中药饮片；1个固定模板在一张单上开具，不能有其他方）。</w:t>
            </w:r>
          </w:p>
          <w:p w14:paraId="2AFBD916">
            <w:pPr>
              <w:keepNext w:val="0"/>
              <w:keepLines w:val="0"/>
              <w:pageBreakBefore w:val="0"/>
              <w:numPr>
                <w:ilvl w:val="0"/>
                <w:numId w:val="22"/>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r>
              <w:rPr>
                <w:rFonts w:ascii="Segoe UI" w:hAnsi="Segoe UI" w:eastAsia="Segoe UI" w:cs="Segoe UI"/>
                <w:i w:val="0"/>
                <w:iCs w:val="0"/>
                <w:caps w:val="0"/>
                <w:color w:val="800080"/>
                <w:spacing w:val="0"/>
                <w:sz w:val="21"/>
                <w:szCs w:val="21"/>
                <w:shd w:val="clear" w:fill="FFFFFF"/>
              </w:rPr>
              <w:t>支持向配方颗粒机器输送处方信息。</w:t>
            </w:r>
          </w:p>
        </w:tc>
      </w:tr>
      <w:tr w14:paraId="15FB5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1" w:type="dxa"/>
            <w:vAlign w:val="center"/>
          </w:tcPr>
          <w:p w14:paraId="0E0517AA">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091" w:type="dxa"/>
            <w:vAlign w:val="center"/>
          </w:tcPr>
          <w:p w14:paraId="485C0C29">
            <w:pPr>
              <w:keepNext w:val="0"/>
              <w:keepLines w:val="0"/>
              <w:pageBreakBefore w:val="0"/>
              <w:kinsoku/>
              <w:wordWrap/>
              <w:overflowPunct/>
              <w:topLinePunct w:val="0"/>
              <w:autoSpaceDE/>
              <w:autoSpaceDN/>
              <w:bidi w:val="0"/>
              <w:adjustRightInd w:val="0"/>
              <w:snapToGrid w:val="0"/>
              <w:spacing w:line="360" w:lineRule="auto"/>
              <w:jc w:val="left"/>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发药追溯码功能</w:t>
            </w:r>
          </w:p>
        </w:tc>
        <w:tc>
          <w:tcPr>
            <w:tcW w:w="7737" w:type="dxa"/>
            <w:vAlign w:val="center"/>
          </w:tcPr>
          <w:p w14:paraId="6A6DC36B">
            <w:pPr>
              <w:keepNext w:val="0"/>
              <w:keepLines w:val="0"/>
              <w:pageBreakBefore w:val="0"/>
              <w:numPr>
                <w:ilvl w:val="0"/>
                <w:numId w:val="22"/>
              </w:numPr>
              <w:kinsoku/>
              <w:wordWrap/>
              <w:overflowPunct/>
              <w:topLinePunct w:val="0"/>
              <w:autoSpaceDE/>
              <w:autoSpaceDN/>
              <w:bidi w:val="0"/>
              <w:adjustRightInd w:val="0"/>
              <w:snapToGrid w:val="0"/>
              <w:spacing w:line="360" w:lineRule="auto"/>
              <w:jc w:val="left"/>
              <w:textAlignment w:val="auto"/>
              <w:rPr>
                <w:rFonts w:hint="eastAsia" w:ascii="宋体" w:hAnsi="宋体" w:cs="宋体"/>
                <w:color w:val="auto"/>
                <w:sz w:val="21"/>
                <w:szCs w:val="21"/>
                <w:highlight w:val="none"/>
              </w:rPr>
            </w:pPr>
            <w:r>
              <w:rPr>
                <w:rFonts w:hint="eastAsia" w:ascii="宋体" w:hAnsi="宋体" w:cs="宋体"/>
                <w:sz w:val="21"/>
                <w:szCs w:val="21"/>
                <w:lang w:val="en-US" w:eastAsia="zh-CN"/>
              </w:rPr>
              <w:t>发药追溯码补传：选择发药时间、药品类型（西药、中成药、全部）、发药单元后，可以统计出已发药但无追溯码的药品明细，该界面明细需要包含：处方号、药品ID、药品通用名、药品商品名、药品数量、开单医生、发药人员、发药人ID、收费人员、收费时间、发药时间、医保就诊ID、医保结算ID、结算类型（自费、医保）、证件号码、证件类型、患者姓名、药品拆零属性、药品追溯码、追溯码上传结果，支持在该界面直接输入追溯码进行保存，也可支持导入Excel表格进行保存。查询的结果可以导出Excel。查询结果支持全文筛选：可输入处方号、药品名、发药药师、药品ID等条件对查询结果进行筛选。支持单选或者多选相应记录进行追溯码保存、上传。支持单选或多选相应记录后点击“通用码补采”，系统自动填充保存20位9作为药品追溯码。参见门诊药房现有R-X功能。</w:t>
            </w:r>
          </w:p>
          <w:p w14:paraId="00E78C2F">
            <w:pPr>
              <w:keepNext w:val="0"/>
              <w:keepLines w:val="0"/>
              <w:pageBreakBefore w:val="0"/>
              <w:numPr>
                <w:ilvl w:val="0"/>
                <w:numId w:val="22"/>
              </w:numPr>
              <w:kinsoku/>
              <w:wordWrap/>
              <w:overflowPunct/>
              <w:topLinePunct w:val="0"/>
              <w:autoSpaceDE/>
              <w:autoSpaceDN/>
              <w:bidi w:val="0"/>
              <w:adjustRightInd w:val="0"/>
              <w:snapToGrid w:val="0"/>
              <w:spacing w:line="360" w:lineRule="auto"/>
              <w:jc w:val="left"/>
              <w:textAlignment w:val="auto"/>
              <w:rPr>
                <w:rFonts w:hint="eastAsia" w:ascii="宋体" w:hAnsi="宋体" w:cs="宋体"/>
                <w:color w:val="auto"/>
                <w:sz w:val="21"/>
                <w:szCs w:val="21"/>
                <w:highlight w:val="none"/>
              </w:rPr>
            </w:pPr>
            <w:r>
              <w:rPr>
                <w:rFonts w:hint="eastAsia" w:ascii="宋体" w:hAnsi="宋体" w:cs="宋体"/>
                <w:sz w:val="21"/>
                <w:szCs w:val="21"/>
                <w:lang w:val="en-US" w:eastAsia="zh-CN"/>
              </w:rPr>
              <w:t>发药追溯码上传明细表：选择收费时间、药品类型（西药、中成药、全部）、发药单元后，可以统计已采集的发药追溯码明细表，需要包含：处方号、药品ID、药品通用名、药品商品名、药品数量、开单医生、发药人员、发药人ID、收费人员、收费时间、发药时间、医保就诊ID、医保结算ID、结算类型（自费、医保）、证件号码、证件类型、患者姓名、药品拆零属性、药品追溯码、追溯码采集时间、追溯码上传结果。查询结果支持全文筛选：可输入处方号、药品名、发药药师、药品ID等条件对查询结果进行筛选。查询结果可以导出Excel。支持单选或多选相应记录进行追溯码的删除。参见门诊药房现有R-Y功能。</w:t>
            </w:r>
          </w:p>
          <w:p w14:paraId="09BD1303">
            <w:pPr>
              <w:keepNext w:val="0"/>
              <w:keepLines w:val="0"/>
              <w:pageBreakBefore w:val="0"/>
              <w:numPr>
                <w:ilvl w:val="0"/>
                <w:numId w:val="22"/>
              </w:numPr>
              <w:kinsoku/>
              <w:wordWrap/>
              <w:overflowPunct/>
              <w:topLinePunct w:val="0"/>
              <w:autoSpaceDE/>
              <w:autoSpaceDN/>
              <w:bidi w:val="0"/>
              <w:adjustRightInd w:val="0"/>
              <w:snapToGrid w:val="0"/>
              <w:spacing w:line="360" w:lineRule="auto"/>
              <w:jc w:val="left"/>
              <w:textAlignment w:val="auto"/>
              <w:rPr>
                <w:rFonts w:hint="eastAsia" w:ascii="宋体" w:hAnsi="宋体" w:cs="宋体"/>
                <w:color w:val="auto"/>
                <w:sz w:val="21"/>
                <w:szCs w:val="21"/>
                <w:highlight w:val="none"/>
              </w:rPr>
            </w:pPr>
            <w:r>
              <w:rPr>
                <w:rFonts w:hint="eastAsia" w:ascii="宋体" w:hAnsi="宋体" w:cs="宋体"/>
                <w:sz w:val="21"/>
                <w:szCs w:val="21"/>
                <w:lang w:val="en-US" w:eastAsia="zh-CN"/>
              </w:rPr>
              <w:t>退药追溯码上传明细表：选择收费时间、药品类型（西药、中成药、全部）、发药单元后，可以统计退药上传的追溯码明细表，需要包含：处方号、药品ID、药品通用名、药品商品名、药品数量、开单医生、发药人员、发药人ID、退药人员、收费人员、收费时间、发药时间、退药时间、医保就诊ID、医保结算ID、结算类型（自费、医保）、证件号码、证件类型、患者姓名、药品拆零属性、药品追溯码、追溯码采集时间、追溯码退药上传时间、追溯码退药上传结果。查询结果支持全文筛选：可输入处方号、药品名、发药药师、药品ID等条件对查询结果进行筛选。查询结果可以导出Excel。参见门诊药房现有R-Y功能。</w:t>
            </w:r>
          </w:p>
        </w:tc>
      </w:tr>
      <w:tr w14:paraId="42694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1" w:type="dxa"/>
            <w:vAlign w:val="center"/>
          </w:tcPr>
          <w:p w14:paraId="5FAD1D53">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091" w:type="dxa"/>
            <w:vAlign w:val="center"/>
          </w:tcPr>
          <w:p w14:paraId="3933FC1E">
            <w:pPr>
              <w:keepNext w:val="0"/>
              <w:keepLines w:val="0"/>
              <w:pageBreakBefore w:val="0"/>
              <w:kinsoku/>
              <w:wordWrap/>
              <w:overflowPunct/>
              <w:topLinePunct w:val="0"/>
              <w:autoSpaceDE/>
              <w:autoSpaceDN/>
              <w:bidi w:val="0"/>
              <w:adjustRightInd w:val="0"/>
              <w:snapToGrid w:val="0"/>
              <w:spacing w:line="360" w:lineRule="auto"/>
              <w:jc w:val="left"/>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消息提醒功能</w:t>
            </w:r>
          </w:p>
        </w:tc>
        <w:tc>
          <w:tcPr>
            <w:tcW w:w="7737" w:type="dxa"/>
            <w:vAlign w:val="center"/>
          </w:tcPr>
          <w:p w14:paraId="777F43DA">
            <w:pPr>
              <w:keepNext w:val="0"/>
              <w:keepLines w:val="0"/>
              <w:pageBreakBefore w:val="0"/>
              <w:numPr>
                <w:ilvl w:val="0"/>
                <w:numId w:val="22"/>
              </w:numPr>
              <w:kinsoku/>
              <w:wordWrap/>
              <w:overflowPunct/>
              <w:topLinePunct w:val="0"/>
              <w:autoSpaceDE/>
              <w:autoSpaceDN/>
              <w:bidi w:val="0"/>
              <w:adjustRightInd w:val="0"/>
              <w:snapToGrid w:val="0"/>
              <w:spacing w:line="360" w:lineRule="auto"/>
              <w:jc w:val="left"/>
              <w:textAlignment w:val="auto"/>
              <w:rPr>
                <w:rFonts w:hint="eastAsia" w:ascii="宋体" w:hAnsi="宋体" w:cs="宋体"/>
                <w:sz w:val="21"/>
                <w:szCs w:val="21"/>
                <w:lang w:val="en-US" w:eastAsia="zh-CN"/>
              </w:rPr>
            </w:pPr>
            <w:r>
              <w:rPr>
                <w:rFonts w:hint="eastAsia" w:ascii="宋体" w:hAnsi="宋体" w:cs="宋体"/>
                <w:sz w:val="21"/>
                <w:szCs w:val="21"/>
                <w:lang w:val="en-US" w:eastAsia="zh-CN"/>
              </w:rPr>
              <w:t>提供药品可以维护最低剩余量预警值的功能，药品剩余量达到最低时候提醒系统用户进行调量。</w:t>
            </w:r>
          </w:p>
        </w:tc>
      </w:tr>
    </w:tbl>
    <w:p w14:paraId="1E577707">
      <w:pPr>
        <w:rPr>
          <w:color w:val="auto"/>
          <w:highlight w:val="none"/>
        </w:rPr>
      </w:pPr>
    </w:p>
    <w:p w14:paraId="318D6315">
      <w:pPr>
        <w:rPr>
          <w:color w:val="auto"/>
          <w:highlight w:val="none"/>
        </w:rPr>
      </w:pPr>
    </w:p>
    <w:p w14:paraId="181EDBB9">
      <w:pPr>
        <w:pStyle w:val="4"/>
        <w:numPr>
          <w:ilvl w:val="2"/>
          <w:numId w:val="1"/>
        </w:numPr>
        <w:spacing w:before="0" w:after="0" w:line="360" w:lineRule="auto"/>
        <w:ind w:left="567" w:hanging="567"/>
        <w:rPr>
          <w:color w:val="auto"/>
          <w:sz w:val="24"/>
          <w:highlight w:val="none"/>
        </w:rPr>
      </w:pPr>
      <w:bookmarkStart w:id="45" w:name="_Toc3628"/>
      <w:bookmarkStart w:id="46" w:name="_Toc7076"/>
      <w:bookmarkStart w:id="47" w:name="_Toc13976"/>
      <w:bookmarkStart w:id="48" w:name="_Toc30560"/>
      <w:bookmarkStart w:id="49" w:name="_Toc28651"/>
      <w:r>
        <w:rPr>
          <w:rFonts w:hint="eastAsia" w:eastAsia="宋体"/>
          <w:color w:val="auto"/>
          <w:kern w:val="2"/>
          <w:sz w:val="24"/>
          <w:szCs w:val="24"/>
          <w:highlight w:val="none"/>
        </w:rPr>
        <w:t>住院药房系统</w:t>
      </w:r>
      <w:bookmarkEnd w:id="45"/>
      <w:bookmarkEnd w:id="46"/>
      <w:bookmarkEnd w:id="47"/>
      <w:bookmarkEnd w:id="48"/>
      <w:bookmarkEnd w:id="49"/>
    </w:p>
    <w:tbl>
      <w:tblPr>
        <w:tblStyle w:val="46"/>
        <w:tblW w:w="97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4"/>
        <w:gridCol w:w="1329"/>
        <w:gridCol w:w="7915"/>
      </w:tblGrid>
      <w:tr w14:paraId="63315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1" w:type="dxa"/>
            <w:vAlign w:val="center"/>
          </w:tcPr>
          <w:p w14:paraId="0554349D">
            <w:pPr>
              <w:keepNext w:val="0"/>
              <w:keepLines w:val="0"/>
              <w:pageBreakBefore w:val="0"/>
              <w:kinsoku/>
              <w:wordWrap/>
              <w:overflowPunct/>
              <w:topLinePunct w:val="0"/>
              <w:autoSpaceDE/>
              <w:autoSpaceDN/>
              <w:bidi w:val="0"/>
              <w:adjustRightInd w:val="0"/>
              <w:snapToGrid w:val="0"/>
              <w:spacing w:line="360" w:lineRule="auto"/>
              <w:jc w:val="both"/>
              <w:textAlignment w:val="auto"/>
              <w:rPr>
                <w:rFonts w:ascii="宋体" w:hAnsi="宋体" w:cs="宋体"/>
                <w:color w:val="auto"/>
                <w:szCs w:val="21"/>
                <w:highlight w:val="none"/>
              </w:rPr>
            </w:pPr>
            <w:r>
              <w:rPr>
                <w:rFonts w:hint="eastAsia" w:ascii="宋体" w:hAnsi="宋体" w:cs="宋体"/>
                <w:color w:val="auto"/>
                <w:kern w:val="0"/>
                <w:szCs w:val="21"/>
                <w:highlight w:val="none"/>
              </w:rPr>
              <w:t>名称</w:t>
            </w:r>
          </w:p>
        </w:tc>
        <w:tc>
          <w:tcPr>
            <w:tcW w:w="1113" w:type="dxa"/>
            <w:vAlign w:val="center"/>
          </w:tcPr>
          <w:p w14:paraId="19601B49">
            <w:pPr>
              <w:keepNext w:val="0"/>
              <w:keepLines w:val="0"/>
              <w:pageBreakBefore w:val="0"/>
              <w:kinsoku/>
              <w:wordWrap/>
              <w:overflowPunct/>
              <w:topLinePunct w:val="0"/>
              <w:autoSpaceDE/>
              <w:autoSpaceDN/>
              <w:bidi w:val="0"/>
              <w:adjustRightInd w:val="0"/>
              <w:snapToGrid w:val="0"/>
              <w:spacing w:line="360" w:lineRule="auto"/>
              <w:jc w:val="both"/>
              <w:textAlignment w:val="auto"/>
              <w:rPr>
                <w:rFonts w:ascii="宋体" w:hAnsi="宋体" w:cs="宋体"/>
                <w:color w:val="auto"/>
                <w:sz w:val="22"/>
                <w:szCs w:val="22"/>
                <w:highlight w:val="none"/>
              </w:rPr>
            </w:pPr>
            <w:r>
              <w:rPr>
                <w:rFonts w:hint="eastAsia" w:ascii="宋体" w:hAnsi="宋体" w:cs="宋体"/>
                <w:color w:val="auto"/>
                <w:kern w:val="0"/>
                <w:szCs w:val="21"/>
                <w:highlight w:val="none"/>
              </w:rPr>
              <w:t>序号</w:t>
            </w:r>
          </w:p>
        </w:tc>
        <w:tc>
          <w:tcPr>
            <w:tcW w:w="7814" w:type="dxa"/>
            <w:vAlign w:val="center"/>
          </w:tcPr>
          <w:p w14:paraId="611AB2DE">
            <w:pPr>
              <w:keepNext w:val="0"/>
              <w:keepLines w:val="0"/>
              <w:pageBreakBefore w:val="0"/>
              <w:kinsoku/>
              <w:wordWrap/>
              <w:overflowPunct/>
              <w:topLinePunct w:val="0"/>
              <w:autoSpaceDE/>
              <w:autoSpaceDN/>
              <w:bidi w:val="0"/>
              <w:adjustRightInd w:val="0"/>
              <w:snapToGrid w:val="0"/>
              <w:spacing w:line="360" w:lineRule="auto"/>
              <w:jc w:val="both"/>
              <w:textAlignment w:val="auto"/>
              <w:rPr>
                <w:rFonts w:ascii="宋体" w:hAnsi="宋体" w:cs="宋体"/>
                <w:color w:val="auto"/>
                <w:sz w:val="22"/>
                <w:szCs w:val="22"/>
                <w:highlight w:val="none"/>
              </w:rPr>
            </w:pPr>
            <w:r>
              <w:rPr>
                <w:rFonts w:hint="eastAsia" w:ascii="宋体" w:hAnsi="宋体" w:cs="宋体"/>
                <w:color w:val="auto"/>
                <w:kern w:val="0"/>
                <w:szCs w:val="21"/>
                <w:highlight w:val="none"/>
              </w:rPr>
              <w:t>需求描述</w:t>
            </w:r>
          </w:p>
        </w:tc>
      </w:tr>
      <w:tr w14:paraId="7A976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78" w:type="dxa"/>
            <w:gridSpan w:val="3"/>
            <w:vAlign w:val="center"/>
          </w:tcPr>
          <w:p w14:paraId="4B383241">
            <w:pPr>
              <w:keepNext w:val="0"/>
              <w:keepLines w:val="0"/>
              <w:pageBreakBefore w:val="0"/>
              <w:kinsoku/>
              <w:wordWrap/>
              <w:overflowPunct/>
              <w:topLinePunct w:val="0"/>
              <w:autoSpaceDE/>
              <w:autoSpaceDN/>
              <w:bidi w:val="0"/>
              <w:adjustRightInd w:val="0"/>
              <w:snapToGrid w:val="0"/>
              <w:spacing w:line="360" w:lineRule="auto"/>
              <w:jc w:val="both"/>
              <w:textAlignment w:val="auto"/>
              <w:rPr>
                <w:rFonts w:ascii="宋体" w:hAnsi="宋体" w:cs="宋体"/>
                <w:color w:val="auto"/>
                <w:kern w:val="0"/>
                <w:szCs w:val="21"/>
                <w:highlight w:val="none"/>
              </w:rPr>
            </w:pPr>
            <w:r>
              <w:rPr>
                <w:rFonts w:hint="eastAsia" w:ascii="宋体" w:hAnsi="宋体" w:cs="宋体"/>
                <w:color w:val="auto"/>
                <w:szCs w:val="21"/>
                <w:highlight w:val="none"/>
              </w:rPr>
              <w:t>住院药房系统需满足以下日常业务工作：发药、退药、药品出入库、药品盘点、库存禁用、药品日月结、库房查询、各类药品统计报表、药品属性维护，相应的信息系统需求包括但不限于以下内容。</w:t>
            </w:r>
          </w:p>
        </w:tc>
      </w:tr>
      <w:tr w14:paraId="68F6B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1" w:type="dxa"/>
            <w:vMerge w:val="restart"/>
            <w:vAlign w:val="center"/>
          </w:tcPr>
          <w:p w14:paraId="6A867A8C">
            <w:pPr>
              <w:keepNext w:val="0"/>
              <w:keepLines w:val="0"/>
              <w:pageBreakBefore w:val="0"/>
              <w:kinsoku/>
              <w:wordWrap/>
              <w:overflowPunct/>
              <w:topLinePunct w:val="0"/>
              <w:autoSpaceDE/>
              <w:autoSpaceDN/>
              <w:bidi w:val="0"/>
              <w:adjustRightInd w:val="0"/>
              <w:snapToGrid w:val="0"/>
              <w:spacing w:line="360" w:lineRule="auto"/>
              <w:ind w:left="0" w:firstLine="0"/>
              <w:jc w:val="both"/>
              <w:textAlignment w:val="auto"/>
              <w:rPr>
                <w:rFonts w:ascii="宋体" w:hAnsi="宋体" w:cs="宋体"/>
                <w:color w:val="auto"/>
                <w:szCs w:val="21"/>
                <w:highlight w:val="none"/>
              </w:rPr>
            </w:pPr>
            <w:r>
              <w:rPr>
                <w:rFonts w:hint="eastAsia" w:ascii="宋体" w:hAnsi="宋体" w:cs="宋体"/>
                <w:color w:val="auto"/>
                <w:szCs w:val="21"/>
                <w:highlight w:val="none"/>
              </w:rPr>
              <w:t>住院药房系统</w:t>
            </w:r>
          </w:p>
        </w:tc>
        <w:tc>
          <w:tcPr>
            <w:tcW w:w="8927" w:type="dxa"/>
            <w:gridSpan w:val="2"/>
            <w:vAlign w:val="center"/>
          </w:tcPr>
          <w:p w14:paraId="0D8A09F4">
            <w:pPr>
              <w:keepNext w:val="0"/>
              <w:keepLines w:val="0"/>
              <w:pageBreakBefore w:val="0"/>
              <w:numPr>
                <w:ilvl w:val="1"/>
                <w:numId w:val="0"/>
              </w:numPr>
              <w:kinsoku/>
              <w:wordWrap/>
              <w:overflowPunct/>
              <w:topLinePunct w:val="0"/>
              <w:autoSpaceDE/>
              <w:autoSpaceDN/>
              <w:bidi w:val="0"/>
              <w:adjustRightInd w:val="0"/>
              <w:snapToGrid w:val="0"/>
              <w:spacing w:line="360" w:lineRule="auto"/>
              <w:jc w:val="both"/>
              <w:textAlignment w:val="auto"/>
              <w:rPr>
                <w:rFonts w:ascii="宋体" w:hAnsi="宋体" w:cs="宋体"/>
                <w:color w:val="auto"/>
                <w:kern w:val="0"/>
                <w:szCs w:val="21"/>
                <w:highlight w:val="none"/>
              </w:rPr>
            </w:pPr>
            <w:r>
              <w:rPr>
                <w:rFonts w:hint="eastAsia" w:ascii="宋体" w:hAnsi="宋体" w:cs="宋体"/>
                <w:color w:val="auto"/>
                <w:sz w:val="22"/>
                <w:szCs w:val="22"/>
                <w:highlight w:val="none"/>
              </w:rPr>
              <w:t>住院发药</w:t>
            </w:r>
          </w:p>
        </w:tc>
      </w:tr>
      <w:tr w14:paraId="4761E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4" w:hRule="atLeast"/>
          <w:jc w:val="center"/>
        </w:trPr>
        <w:tc>
          <w:tcPr>
            <w:tcW w:w="851" w:type="dxa"/>
            <w:vMerge w:val="continue"/>
            <w:vAlign w:val="center"/>
          </w:tcPr>
          <w:p w14:paraId="61A70312">
            <w:pPr>
              <w:keepNext w:val="0"/>
              <w:keepLines w:val="0"/>
              <w:pageBreakBefore w:val="0"/>
              <w:numPr>
                <w:ilvl w:val="0"/>
                <w:numId w:val="15"/>
              </w:numPr>
              <w:kinsoku/>
              <w:wordWrap/>
              <w:overflowPunct/>
              <w:topLinePunct w:val="0"/>
              <w:autoSpaceDE/>
              <w:autoSpaceDN/>
              <w:bidi w:val="0"/>
              <w:adjustRightInd w:val="0"/>
              <w:snapToGrid w:val="0"/>
              <w:spacing w:line="360" w:lineRule="auto"/>
              <w:jc w:val="both"/>
              <w:textAlignment w:val="auto"/>
              <w:rPr>
                <w:rFonts w:ascii="宋体" w:hAnsi="宋体" w:cs="宋体"/>
                <w:color w:val="auto"/>
                <w:szCs w:val="21"/>
                <w:highlight w:val="none"/>
              </w:rPr>
            </w:pPr>
          </w:p>
        </w:tc>
        <w:tc>
          <w:tcPr>
            <w:tcW w:w="1113" w:type="dxa"/>
            <w:vAlign w:val="center"/>
          </w:tcPr>
          <w:p w14:paraId="491149F9">
            <w:pPr>
              <w:keepNext w:val="0"/>
              <w:keepLines w:val="0"/>
              <w:pageBreakBefore w:val="0"/>
              <w:numPr>
                <w:ilvl w:val="2"/>
                <w:numId w:val="0"/>
              </w:numPr>
              <w:kinsoku/>
              <w:wordWrap/>
              <w:overflowPunct/>
              <w:topLinePunct w:val="0"/>
              <w:autoSpaceDE/>
              <w:autoSpaceDN/>
              <w:bidi w:val="0"/>
              <w:adjustRightInd w:val="0"/>
              <w:snapToGrid w:val="0"/>
              <w:spacing w:line="360" w:lineRule="auto"/>
              <w:jc w:val="both"/>
              <w:textAlignment w:val="auto"/>
              <w:rPr>
                <w:rFonts w:ascii="宋体" w:hAnsi="宋体" w:cs="宋体"/>
                <w:color w:val="auto"/>
                <w:kern w:val="0"/>
                <w:szCs w:val="21"/>
                <w:highlight w:val="none"/>
              </w:rPr>
            </w:pPr>
            <w:r>
              <w:rPr>
                <w:rFonts w:hint="eastAsia" w:ascii="宋体" w:hAnsi="宋体" w:cs="宋体"/>
                <w:color w:val="auto"/>
                <w:sz w:val="22"/>
                <w:szCs w:val="22"/>
                <w:highlight w:val="none"/>
              </w:rPr>
              <w:t>住院发药</w:t>
            </w:r>
          </w:p>
        </w:tc>
        <w:tc>
          <w:tcPr>
            <w:tcW w:w="7814" w:type="dxa"/>
            <w:vAlign w:val="center"/>
          </w:tcPr>
          <w:p w14:paraId="00884F24">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bCs/>
                <w:szCs w:val="21"/>
              </w:rPr>
            </w:pPr>
            <w:r>
              <w:rPr>
                <w:rFonts w:hint="eastAsia" w:ascii="宋体" w:hAnsi="宋体" w:cs="宋体"/>
                <w:bCs/>
                <w:szCs w:val="21"/>
              </w:rPr>
              <w:t>支持药房基础配置：1)药房停用启用标识。2)医嘱默认查询时间范围。3)药房可配置跨药房医嘱。4)各种单据打印配置。5)医嘱和摆药单据类型配置。6)窗口优先级的分配策略配置。</w:t>
            </w:r>
          </w:p>
          <w:p w14:paraId="2DBCB008">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bCs/>
                <w:color w:val="auto"/>
                <w:szCs w:val="21"/>
                <w:highlight w:val="none"/>
              </w:rPr>
            </w:pPr>
            <w:r>
              <w:rPr>
                <w:rFonts w:hint="eastAsia" w:ascii="宋体" w:hAnsi="宋体" w:cs="宋体"/>
                <w:bCs/>
                <w:szCs w:val="21"/>
              </w:rPr>
              <w:t>支持药房班次配置：1)按照白班夜班等班次配置服务时间。2)按照班次配置收方单据类型和摆药类型。</w:t>
            </w:r>
          </w:p>
          <w:p w14:paraId="0BA1680C">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bCs/>
                <w:color w:val="auto"/>
                <w:szCs w:val="21"/>
                <w:highlight w:val="none"/>
              </w:rPr>
            </w:pPr>
            <w:r>
              <w:rPr>
                <w:rFonts w:hint="eastAsia" w:ascii="宋体" w:hAnsi="宋体" w:cs="宋体"/>
                <w:bCs/>
                <w:color w:val="auto"/>
                <w:szCs w:val="21"/>
                <w:highlight w:val="none"/>
              </w:rPr>
              <w:t>支持普通医嘱、草药医嘱、出院带药医嘱、特殊药品医嘱发药模式，普通医嘱提供对病区普通医嘱发药、医技科室发药、手麻科室发药；</w:t>
            </w:r>
          </w:p>
          <w:p w14:paraId="0CA3C4F4">
            <w:pPr>
              <w:pStyle w:val="85"/>
              <w:keepNext w:val="0"/>
              <w:keepLines w:val="0"/>
              <w:pageBreakBefore w:val="0"/>
              <w:numPr>
                <w:ilvl w:val="0"/>
                <w:numId w:val="12"/>
              </w:numPr>
              <w:kinsoku/>
              <w:wordWrap/>
              <w:overflowPunct/>
              <w:topLinePunct w:val="0"/>
              <w:autoSpaceDE/>
              <w:autoSpaceDN/>
              <w:bidi w:val="0"/>
              <w:adjustRightInd w:val="0"/>
              <w:snapToGrid w:val="0"/>
              <w:spacing w:line="360" w:lineRule="auto"/>
              <w:ind w:left="440" w:firstLineChars="0"/>
              <w:jc w:val="both"/>
              <w:textAlignment w:val="auto"/>
              <w:rPr>
                <w:rFonts w:ascii="宋体" w:hAnsi="宋体" w:cs="宋体"/>
                <w:bCs/>
                <w:szCs w:val="21"/>
              </w:rPr>
            </w:pPr>
            <w:r>
              <w:rPr>
                <w:rFonts w:hint="eastAsia" w:ascii="宋体" w:hAnsi="宋体" w:cs="宋体"/>
                <w:bCs/>
                <w:szCs w:val="21"/>
              </w:rPr>
              <w:t>支持药房流向配置：1)支持临床科室、医技科室、护理单元与药房之间的流向关系配置。2)可以定义药品流向药房的优先级。</w:t>
            </w:r>
          </w:p>
          <w:p w14:paraId="4D712E82">
            <w:pPr>
              <w:keepNext w:val="0"/>
              <w:keepLines w:val="0"/>
              <w:pageBreakBefore w:val="0"/>
              <w:numPr>
                <w:ilvl w:val="-1"/>
                <w:numId w:val="0"/>
              </w:numPr>
              <w:tabs>
                <w:tab w:val="left" w:pos="525"/>
                <w:tab w:val="left" w:pos="630"/>
              </w:tabs>
              <w:kinsoku/>
              <w:wordWrap/>
              <w:overflowPunct/>
              <w:topLinePunct w:val="0"/>
              <w:autoSpaceDE/>
              <w:autoSpaceDN/>
              <w:bidi w:val="0"/>
              <w:adjustRightInd w:val="0"/>
              <w:snapToGrid w:val="0"/>
              <w:spacing w:line="360" w:lineRule="auto"/>
              <w:ind w:left="0" w:firstLine="0"/>
              <w:jc w:val="both"/>
              <w:textAlignment w:val="auto"/>
              <w:rPr>
                <w:rFonts w:ascii="宋体" w:hAnsi="宋体" w:cs="宋体"/>
                <w:bCs/>
                <w:color w:val="auto"/>
                <w:szCs w:val="21"/>
                <w:highlight w:val="none"/>
              </w:rPr>
            </w:pPr>
          </w:p>
          <w:p w14:paraId="71BC92AB">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bCs/>
                <w:color w:val="auto"/>
                <w:szCs w:val="21"/>
                <w:highlight w:val="none"/>
              </w:rPr>
            </w:pPr>
            <w:r>
              <w:rPr>
                <w:rFonts w:hint="eastAsia" w:ascii="宋体" w:hAnsi="宋体" w:cs="宋体"/>
                <w:bCs/>
                <w:color w:val="auto"/>
                <w:szCs w:val="21"/>
                <w:highlight w:val="none"/>
              </w:rPr>
              <w:t>提供西成草药品分药房发药或者在一个药房内发药；</w:t>
            </w:r>
          </w:p>
          <w:p w14:paraId="50D15314">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bCs/>
                <w:color w:val="auto"/>
                <w:szCs w:val="21"/>
                <w:highlight w:val="none"/>
              </w:rPr>
            </w:pPr>
            <w:r>
              <w:rPr>
                <w:rFonts w:hint="eastAsia" w:ascii="宋体" w:hAnsi="宋体" w:cs="宋体"/>
                <w:bCs/>
                <w:color w:val="auto"/>
                <w:szCs w:val="21"/>
                <w:highlight w:val="none"/>
              </w:rPr>
              <w:t>支持缺药处理集成在发药处理界面上，根据发药明细单中的缺药药品生成缺药数据并支持打印；</w:t>
            </w:r>
          </w:p>
          <w:p w14:paraId="339E3A5A">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bCs/>
                <w:color w:val="auto"/>
                <w:szCs w:val="21"/>
                <w:highlight w:val="none"/>
              </w:rPr>
            </w:pPr>
            <w:r>
              <w:rPr>
                <w:rFonts w:hint="eastAsia" w:ascii="宋体" w:hAnsi="宋体" w:cs="宋体"/>
                <w:bCs/>
                <w:color w:val="auto"/>
                <w:szCs w:val="21"/>
                <w:highlight w:val="none"/>
              </w:rPr>
              <w:t>支持提交退回集成在发药处理界面上，药房根据实际情况可退回病区提交的发药记录，如停嘱退回；</w:t>
            </w:r>
          </w:p>
          <w:p w14:paraId="2D0A1893">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bCs/>
                <w:color w:val="auto"/>
                <w:szCs w:val="21"/>
                <w:highlight w:val="none"/>
              </w:rPr>
            </w:pPr>
            <w:r>
              <w:rPr>
                <w:rFonts w:hint="eastAsia" w:ascii="宋体" w:hAnsi="宋体" w:cs="宋体"/>
                <w:bCs/>
                <w:color w:val="auto"/>
                <w:szCs w:val="21"/>
                <w:highlight w:val="none"/>
              </w:rPr>
              <w:t>提供发药药品的缺药替换功能，缺药(禁用)药品可用不同规格，或不同产地的同种药品替换，有多种可替换药品时则默认用效期近的药品替换；</w:t>
            </w:r>
          </w:p>
          <w:p w14:paraId="5BB6E6D2">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bCs/>
                <w:color w:val="auto"/>
                <w:szCs w:val="21"/>
                <w:highlight w:val="none"/>
              </w:rPr>
            </w:pPr>
            <w:r>
              <w:rPr>
                <w:rFonts w:hint="eastAsia" w:ascii="宋体" w:hAnsi="宋体" w:cs="宋体"/>
                <w:bCs/>
                <w:color w:val="auto"/>
                <w:szCs w:val="21"/>
                <w:highlight w:val="none"/>
              </w:rPr>
              <w:t>提供出院带药取药功能，病区的出院带药医嘱药房直接发给护士站，病人结算后由护士交给病人；</w:t>
            </w:r>
          </w:p>
          <w:p w14:paraId="3624C8F1">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bCs/>
                <w:color w:val="auto"/>
                <w:szCs w:val="21"/>
                <w:highlight w:val="none"/>
              </w:rPr>
            </w:pPr>
            <w:r>
              <w:rPr>
                <w:rFonts w:hint="eastAsia" w:ascii="宋体" w:hAnsi="宋体" w:cs="宋体"/>
                <w:bCs/>
                <w:color w:val="auto"/>
                <w:szCs w:val="21"/>
                <w:highlight w:val="none"/>
              </w:rPr>
              <w:t>支持西成草药品分药房发药模式下出院带药取药允许查看所有未取药品情况；</w:t>
            </w:r>
          </w:p>
          <w:p w14:paraId="46B6E217">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bCs/>
                <w:color w:val="auto"/>
                <w:szCs w:val="21"/>
                <w:highlight w:val="none"/>
              </w:rPr>
            </w:pPr>
            <w:r>
              <w:rPr>
                <w:rFonts w:hint="eastAsia" w:ascii="宋体" w:hAnsi="宋体" w:cs="宋体"/>
                <w:bCs/>
                <w:color w:val="auto"/>
                <w:szCs w:val="21"/>
                <w:highlight w:val="none"/>
              </w:rPr>
              <w:t>支持按医嘱明细发药，选择发药提交单中具体的医嘱明细记录发药；</w:t>
            </w:r>
          </w:p>
          <w:p w14:paraId="50D38CFA">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bCs/>
                <w:color w:val="auto"/>
                <w:szCs w:val="21"/>
                <w:highlight w:val="none"/>
              </w:rPr>
            </w:pPr>
            <w:r>
              <w:rPr>
                <w:rFonts w:hint="eastAsia" w:ascii="宋体" w:hAnsi="宋体" w:cs="宋体"/>
                <w:bCs/>
                <w:color w:val="auto"/>
                <w:szCs w:val="21"/>
                <w:highlight w:val="none"/>
              </w:rPr>
              <w:t>支持按药品汇总发药，所选择发药提交单按药品按数量汇总后发药；</w:t>
            </w:r>
          </w:p>
          <w:p w14:paraId="24A0CD9B">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bCs/>
                <w:color w:val="auto"/>
                <w:szCs w:val="21"/>
                <w:highlight w:val="none"/>
              </w:rPr>
            </w:pPr>
            <w:r>
              <w:rPr>
                <w:rFonts w:hint="eastAsia" w:ascii="宋体" w:hAnsi="宋体" w:cs="宋体"/>
                <w:bCs/>
                <w:color w:val="auto"/>
                <w:szCs w:val="21"/>
                <w:highlight w:val="none"/>
              </w:rPr>
              <w:t>支持按病人汇总发药，所选择发药提交单按病人进行汇总后再发药；</w:t>
            </w:r>
          </w:p>
          <w:p w14:paraId="1D9AE652">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bCs/>
                <w:color w:val="auto"/>
                <w:szCs w:val="21"/>
                <w:highlight w:val="none"/>
              </w:rPr>
            </w:pPr>
            <w:r>
              <w:rPr>
                <w:rFonts w:hint="eastAsia" w:ascii="宋体" w:hAnsi="宋体" w:cs="宋体"/>
                <w:bCs/>
                <w:color w:val="auto"/>
                <w:szCs w:val="21"/>
                <w:highlight w:val="none"/>
              </w:rPr>
              <w:t>支持按病人集中发药，选择多个病人一键快速；</w:t>
            </w:r>
          </w:p>
          <w:p w14:paraId="67F2DD62">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bCs/>
                <w:color w:val="auto"/>
                <w:szCs w:val="21"/>
                <w:highlight w:val="none"/>
              </w:rPr>
            </w:pPr>
            <w:r>
              <w:rPr>
                <w:rFonts w:hint="eastAsia" w:ascii="宋体" w:hAnsi="宋体" w:cs="宋体"/>
                <w:bCs/>
                <w:color w:val="auto"/>
                <w:szCs w:val="21"/>
                <w:highlight w:val="none"/>
              </w:rPr>
              <w:t>支持同一天药品根据医嘱执行时间可选择部分发药；</w:t>
            </w:r>
          </w:p>
          <w:p w14:paraId="6CDD14E7">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bCs/>
                <w:color w:val="auto"/>
                <w:szCs w:val="21"/>
                <w:highlight w:val="none"/>
              </w:rPr>
            </w:pPr>
            <w:r>
              <w:rPr>
                <w:rFonts w:hint="eastAsia" w:ascii="宋体" w:hAnsi="宋体" w:cs="宋体"/>
                <w:bCs/>
                <w:color w:val="auto"/>
                <w:szCs w:val="21"/>
                <w:highlight w:val="none"/>
              </w:rPr>
              <w:t>支持根据病区、发药方式来过滤提交记录，可以根据长期或者临时来过滤具体的药品记录；</w:t>
            </w:r>
          </w:p>
          <w:p w14:paraId="46D50CA0">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bCs/>
                <w:color w:val="auto"/>
                <w:szCs w:val="21"/>
                <w:highlight w:val="none"/>
              </w:rPr>
            </w:pPr>
            <w:r>
              <w:rPr>
                <w:rFonts w:hint="eastAsia" w:ascii="宋体" w:hAnsi="宋体" w:cs="宋体"/>
                <w:bCs/>
                <w:color w:val="auto"/>
                <w:szCs w:val="21"/>
                <w:highlight w:val="none"/>
              </w:rPr>
              <w:t>支持医嘱发药数量不取整、单条药品取整、每次发药取整三种发药取整策略；</w:t>
            </w:r>
          </w:p>
          <w:p w14:paraId="4E4D962B">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bCs/>
                <w:color w:val="auto"/>
                <w:szCs w:val="21"/>
                <w:highlight w:val="none"/>
              </w:rPr>
            </w:pPr>
            <w:r>
              <w:rPr>
                <w:rFonts w:hint="eastAsia" w:ascii="宋体" w:hAnsi="宋体" w:cs="宋体"/>
                <w:bCs/>
                <w:color w:val="auto"/>
                <w:szCs w:val="21"/>
                <w:highlight w:val="none"/>
              </w:rPr>
              <w:t>支持发药抵扣功能，勾选发药抵扣时，将住院退药实物未退的部分在发药时抵扣，同时在打印的单据上体现；</w:t>
            </w:r>
          </w:p>
          <w:p w14:paraId="6BD34768">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bCs/>
                <w:color w:val="auto"/>
                <w:szCs w:val="21"/>
                <w:highlight w:val="none"/>
              </w:rPr>
            </w:pPr>
            <w:r>
              <w:rPr>
                <w:rFonts w:hint="eastAsia" w:ascii="宋体" w:hAnsi="宋体" w:cs="宋体"/>
                <w:bCs/>
                <w:color w:val="auto"/>
                <w:szCs w:val="21"/>
                <w:highlight w:val="none"/>
              </w:rPr>
              <w:t>支持自动发药功能，根据医嘱类型定义自动发药，设计自动发药后，将指定的医嘱类型进行自动发药；</w:t>
            </w:r>
          </w:p>
          <w:p w14:paraId="235CD034">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bCs/>
                <w:color w:val="auto"/>
                <w:szCs w:val="21"/>
                <w:highlight w:val="none"/>
              </w:rPr>
            </w:pPr>
            <w:r>
              <w:rPr>
                <w:rFonts w:hint="eastAsia" w:ascii="宋体" w:hAnsi="宋体" w:cs="宋体"/>
                <w:bCs/>
                <w:color w:val="auto"/>
                <w:szCs w:val="21"/>
                <w:highlight w:val="none"/>
              </w:rPr>
              <w:t>支持直接发药、发药弹框配药和发药再配药三种发药方式；</w:t>
            </w:r>
          </w:p>
          <w:p w14:paraId="457C3A90">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bCs/>
                <w:color w:val="auto"/>
                <w:szCs w:val="21"/>
                <w:highlight w:val="none"/>
              </w:rPr>
            </w:pPr>
            <w:r>
              <w:rPr>
                <w:rFonts w:hint="eastAsia" w:ascii="宋体" w:hAnsi="宋体" w:cs="宋体"/>
                <w:bCs/>
                <w:color w:val="auto"/>
                <w:szCs w:val="21"/>
                <w:highlight w:val="none"/>
              </w:rPr>
              <w:t>支持PDA端和PC端的住院发药后配药流程；</w:t>
            </w:r>
          </w:p>
          <w:p w14:paraId="2BDD611C">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bCs/>
                <w:color w:val="auto"/>
                <w:szCs w:val="21"/>
                <w:highlight w:val="none"/>
              </w:rPr>
            </w:pPr>
            <w:r>
              <w:rPr>
                <w:rFonts w:hint="eastAsia" w:ascii="宋体" w:hAnsi="宋体" w:cs="宋体"/>
                <w:bCs/>
                <w:color w:val="auto"/>
                <w:szCs w:val="21"/>
                <w:highlight w:val="none"/>
              </w:rPr>
              <w:t>支持PDA端和PC端的住院发药后配药核对流程；</w:t>
            </w:r>
          </w:p>
          <w:p w14:paraId="44D8F68F">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bCs/>
                <w:color w:val="auto"/>
                <w:szCs w:val="21"/>
                <w:highlight w:val="none"/>
              </w:rPr>
            </w:pPr>
            <w:r>
              <w:rPr>
                <w:rFonts w:hint="eastAsia" w:ascii="宋体" w:hAnsi="宋体" w:cs="宋体"/>
                <w:bCs/>
                <w:color w:val="auto"/>
                <w:szCs w:val="21"/>
                <w:highlight w:val="none"/>
              </w:rPr>
              <w:t>支持出院带药配药；</w:t>
            </w:r>
          </w:p>
          <w:p w14:paraId="1605C641">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bCs/>
                <w:color w:val="auto"/>
                <w:szCs w:val="21"/>
                <w:highlight w:val="none"/>
              </w:rPr>
            </w:pPr>
            <w:r>
              <w:rPr>
                <w:rFonts w:hint="eastAsia" w:ascii="宋体" w:hAnsi="宋体" w:cs="宋体"/>
                <w:bCs/>
                <w:color w:val="auto"/>
                <w:szCs w:val="21"/>
                <w:highlight w:val="none"/>
              </w:rPr>
              <w:t>支持出院带药二次核发，扫描药品追溯码（支持同时采集</w:t>
            </w:r>
            <w:r>
              <w:rPr>
                <w:rFonts w:hint="eastAsia" w:ascii="宋体" w:hAnsi="宋体" w:cs="宋体"/>
                <w:color w:val="auto"/>
                <w:kern w:val="0"/>
                <w:sz w:val="22"/>
                <w:szCs w:val="22"/>
                <w:highlight w:val="none"/>
              </w:rPr>
              <w:t>≥30盒药品</w:t>
            </w:r>
            <w:r>
              <w:rPr>
                <w:rFonts w:hint="eastAsia" w:ascii="宋体" w:hAnsi="宋体" w:cs="宋体"/>
                <w:bCs/>
                <w:color w:val="auto"/>
                <w:szCs w:val="21"/>
                <w:highlight w:val="none"/>
              </w:rPr>
              <w:t>），采集后自动校验：包括药品品种、数量是否准确，药品是否在有效期内，校验结果以不同颜色区分，如绿色为准确。若采集的追溯码无法与药品对应，可由人工选择追溯码对应的药品（见图）；</w:t>
            </w:r>
          </w:p>
          <w:p w14:paraId="2BB58B8A">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bCs/>
                <w:color w:val="auto"/>
                <w:szCs w:val="21"/>
                <w:highlight w:val="none"/>
              </w:rPr>
            </w:pPr>
            <w:r>
              <w:rPr>
                <w:rFonts w:hint="eastAsia" w:ascii="宋体" w:hAnsi="宋体" w:cs="宋体"/>
                <w:bCs/>
                <w:color w:val="auto"/>
                <w:szCs w:val="21"/>
                <w:highlight w:val="none"/>
              </w:rPr>
              <w:t>发药采集的追溯码需在患者出院结算当日上传医保平台（医保平台3505接口）和广东省集中式社会保险信息系统</w:t>
            </w:r>
          </w:p>
          <w:p w14:paraId="41113E41">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bCs/>
                <w:color w:val="auto"/>
                <w:szCs w:val="21"/>
                <w:highlight w:val="none"/>
              </w:rPr>
            </w:pPr>
            <w:r>
              <w:rPr>
                <w:rFonts w:hint="eastAsia" w:ascii="宋体" w:hAnsi="宋体" w:cs="宋体"/>
                <w:bCs/>
                <w:color w:val="auto"/>
                <w:szCs w:val="21"/>
                <w:highlight w:val="none"/>
              </w:rPr>
              <w:t>提供历史发药（按病人姓名、住院号、处方号、药品名称、 药品商品名）查询功能，可查询历史发药信息。</w:t>
            </w:r>
          </w:p>
          <w:p w14:paraId="418558BD">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bCs/>
                <w:color w:val="auto"/>
                <w:szCs w:val="21"/>
                <w:highlight w:val="none"/>
              </w:rPr>
            </w:pPr>
            <w:r>
              <w:rPr>
                <w:rFonts w:hint="eastAsia" w:ascii="宋体" w:hAnsi="宋体" w:cs="宋体"/>
                <w:bCs/>
                <w:color w:val="auto"/>
                <w:szCs w:val="21"/>
                <w:highlight w:val="none"/>
              </w:rPr>
              <w:t>支持在打印的药品调配单上增加条形码或二维码，在医嘱的打印、调配、核对、运送、病区接收环节通过PDA扫码实现全流程闭环记录，显示护士接收药品、执行医嘱时间、状态、操作人员。（见图）</w:t>
            </w:r>
          </w:p>
          <w:p w14:paraId="095115FF">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bCs/>
                <w:color w:val="auto"/>
                <w:szCs w:val="21"/>
                <w:highlight w:val="none"/>
              </w:rPr>
            </w:pPr>
            <w:r>
              <w:rPr>
                <w:rFonts w:hint="eastAsia" w:ascii="宋体" w:hAnsi="宋体" w:cs="宋体"/>
                <w:bCs/>
                <w:color w:val="auto"/>
                <w:szCs w:val="21"/>
                <w:highlight w:val="none"/>
              </w:rPr>
              <w:t>在“住院发药配药”-“发药类型”，新增“大输液药品”选项（是否大输液药品支持通过药库药品属性进行自主维护），支持根据日期或自定义时间范围，按病区汇总发药。（见图）</w:t>
            </w:r>
          </w:p>
          <w:p w14:paraId="51DE6C71">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bCs/>
                <w:color w:val="auto"/>
                <w:szCs w:val="21"/>
                <w:highlight w:val="none"/>
              </w:rPr>
            </w:pPr>
            <w:r>
              <w:rPr>
                <w:rFonts w:hint="eastAsia" w:ascii="宋体" w:hAnsi="宋体" w:cs="宋体"/>
                <w:bCs/>
                <w:color w:val="auto"/>
                <w:szCs w:val="21"/>
                <w:highlight w:val="none"/>
              </w:rPr>
              <w:t>配药界面显示审方系统审核结果，审核结果嵌入配方界面集成显示，不以弹框形式显示，审核的结果需要包含：</w:t>
            </w:r>
            <w:r>
              <w:rPr>
                <w:rFonts w:hint="eastAsia" w:ascii="宋体" w:hAnsi="宋体" w:cs="宋体"/>
                <w:color w:val="auto"/>
                <w:highlight w:val="none"/>
              </w:rPr>
              <w:t>具体问题、问题药品、不合理用药类型、审方药师干预结果。</w:t>
            </w:r>
          </w:p>
          <w:p w14:paraId="7952E9F2">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bCs/>
                <w:color w:val="auto"/>
                <w:szCs w:val="21"/>
                <w:highlight w:val="none"/>
              </w:rPr>
            </w:pPr>
            <w:r>
              <w:rPr>
                <w:rFonts w:hint="eastAsia" w:ascii="宋体" w:hAnsi="宋体" w:cs="宋体"/>
                <w:color w:val="auto"/>
                <w:highlight w:val="none"/>
              </w:rPr>
              <w:t>打印出的汇总调配单需显示药品位置，且按药品位置进行排序</w:t>
            </w:r>
          </w:p>
        </w:tc>
      </w:tr>
      <w:tr w14:paraId="7A857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1" w:type="dxa"/>
            <w:vMerge w:val="continue"/>
            <w:vAlign w:val="center"/>
          </w:tcPr>
          <w:p w14:paraId="75C73E06">
            <w:pPr>
              <w:keepNext w:val="0"/>
              <w:keepLines w:val="0"/>
              <w:pageBreakBefore w:val="0"/>
              <w:numPr>
                <w:ilvl w:val="0"/>
                <w:numId w:val="15"/>
              </w:numPr>
              <w:kinsoku/>
              <w:wordWrap/>
              <w:overflowPunct/>
              <w:topLinePunct w:val="0"/>
              <w:autoSpaceDE/>
              <w:autoSpaceDN/>
              <w:bidi w:val="0"/>
              <w:adjustRightInd w:val="0"/>
              <w:snapToGrid w:val="0"/>
              <w:spacing w:line="360" w:lineRule="auto"/>
              <w:jc w:val="both"/>
              <w:textAlignment w:val="auto"/>
              <w:rPr>
                <w:rFonts w:ascii="宋体" w:hAnsi="宋体" w:cs="宋体"/>
                <w:color w:val="auto"/>
                <w:szCs w:val="21"/>
                <w:highlight w:val="none"/>
              </w:rPr>
            </w:pPr>
          </w:p>
        </w:tc>
        <w:tc>
          <w:tcPr>
            <w:tcW w:w="8927" w:type="dxa"/>
            <w:gridSpan w:val="2"/>
            <w:vAlign w:val="center"/>
          </w:tcPr>
          <w:p w14:paraId="5A03CF1A">
            <w:pPr>
              <w:keepNext w:val="0"/>
              <w:keepLines w:val="0"/>
              <w:pageBreakBefore w:val="0"/>
              <w:numPr>
                <w:ilvl w:val="1"/>
                <w:numId w:val="0"/>
              </w:numPr>
              <w:kinsoku/>
              <w:wordWrap/>
              <w:overflowPunct/>
              <w:topLinePunct w:val="0"/>
              <w:autoSpaceDE/>
              <w:autoSpaceDN/>
              <w:bidi w:val="0"/>
              <w:adjustRightInd w:val="0"/>
              <w:snapToGrid w:val="0"/>
              <w:spacing w:line="360" w:lineRule="auto"/>
              <w:jc w:val="both"/>
              <w:textAlignment w:val="auto"/>
              <w:rPr>
                <w:rFonts w:ascii="宋体" w:hAnsi="宋体" w:cs="宋体"/>
                <w:color w:val="auto"/>
                <w:kern w:val="0"/>
                <w:szCs w:val="21"/>
                <w:highlight w:val="none"/>
              </w:rPr>
            </w:pPr>
            <w:r>
              <w:rPr>
                <w:rFonts w:hint="eastAsia" w:ascii="宋体" w:hAnsi="宋体" w:cs="宋体"/>
                <w:color w:val="auto"/>
                <w:sz w:val="22"/>
                <w:szCs w:val="22"/>
                <w:highlight w:val="none"/>
              </w:rPr>
              <w:t>住院退药</w:t>
            </w:r>
          </w:p>
        </w:tc>
      </w:tr>
      <w:tr w14:paraId="2FD7F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851" w:type="dxa"/>
            <w:vMerge w:val="continue"/>
            <w:vAlign w:val="center"/>
          </w:tcPr>
          <w:p w14:paraId="7EAA3468">
            <w:pPr>
              <w:keepNext w:val="0"/>
              <w:keepLines w:val="0"/>
              <w:pageBreakBefore w:val="0"/>
              <w:numPr>
                <w:ilvl w:val="0"/>
                <w:numId w:val="15"/>
              </w:numPr>
              <w:kinsoku/>
              <w:wordWrap/>
              <w:overflowPunct/>
              <w:topLinePunct w:val="0"/>
              <w:autoSpaceDE/>
              <w:autoSpaceDN/>
              <w:bidi w:val="0"/>
              <w:adjustRightInd w:val="0"/>
              <w:snapToGrid w:val="0"/>
              <w:spacing w:line="360" w:lineRule="auto"/>
              <w:jc w:val="both"/>
              <w:textAlignment w:val="auto"/>
              <w:rPr>
                <w:rFonts w:ascii="宋体" w:hAnsi="宋体" w:cs="宋体"/>
                <w:color w:val="auto"/>
                <w:szCs w:val="21"/>
                <w:highlight w:val="none"/>
              </w:rPr>
            </w:pPr>
          </w:p>
        </w:tc>
        <w:tc>
          <w:tcPr>
            <w:tcW w:w="1113" w:type="dxa"/>
            <w:vAlign w:val="center"/>
          </w:tcPr>
          <w:p w14:paraId="4D94B97C">
            <w:pPr>
              <w:keepNext w:val="0"/>
              <w:keepLines w:val="0"/>
              <w:pageBreakBefore w:val="0"/>
              <w:numPr>
                <w:ilvl w:val="2"/>
                <w:numId w:val="0"/>
              </w:numPr>
              <w:kinsoku/>
              <w:wordWrap/>
              <w:overflowPunct/>
              <w:topLinePunct w:val="0"/>
              <w:autoSpaceDE/>
              <w:autoSpaceDN/>
              <w:bidi w:val="0"/>
              <w:adjustRightInd w:val="0"/>
              <w:snapToGrid w:val="0"/>
              <w:spacing w:line="360" w:lineRule="auto"/>
              <w:jc w:val="both"/>
              <w:textAlignment w:val="auto"/>
              <w:rPr>
                <w:rFonts w:ascii="宋体" w:hAnsi="宋体" w:cs="宋体"/>
                <w:color w:val="auto"/>
                <w:kern w:val="0"/>
                <w:szCs w:val="21"/>
                <w:highlight w:val="none"/>
              </w:rPr>
            </w:pPr>
            <w:r>
              <w:rPr>
                <w:rFonts w:hint="eastAsia" w:ascii="宋体" w:hAnsi="宋体" w:cs="宋体"/>
                <w:color w:val="auto"/>
                <w:sz w:val="22"/>
                <w:szCs w:val="22"/>
                <w:highlight w:val="none"/>
              </w:rPr>
              <w:t>住院退药</w:t>
            </w:r>
          </w:p>
        </w:tc>
        <w:tc>
          <w:tcPr>
            <w:tcW w:w="7814" w:type="dxa"/>
            <w:vAlign w:val="center"/>
          </w:tcPr>
          <w:p w14:paraId="3E1BD29F">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bCs/>
                <w:color w:val="auto"/>
                <w:szCs w:val="21"/>
                <w:highlight w:val="none"/>
              </w:rPr>
            </w:pPr>
            <w:r>
              <w:rPr>
                <w:rFonts w:hint="eastAsia" w:ascii="宋体" w:hAnsi="宋体" w:cs="宋体"/>
                <w:bCs/>
                <w:szCs w:val="21"/>
              </w:rPr>
              <w:t>退药流程支持医院管理要求，包括不限于药房审核，可拒绝可接受。</w:t>
            </w:r>
          </w:p>
          <w:p w14:paraId="41BC8017">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bCs/>
                <w:color w:val="auto"/>
                <w:szCs w:val="21"/>
                <w:highlight w:val="none"/>
              </w:rPr>
            </w:pPr>
            <w:r>
              <w:rPr>
                <w:rFonts w:hint="eastAsia" w:ascii="宋体" w:hAnsi="宋体" w:cs="宋体"/>
                <w:bCs/>
                <w:color w:val="auto"/>
                <w:szCs w:val="21"/>
                <w:highlight w:val="none"/>
              </w:rPr>
              <w:t>支持按病区、按病人进行退药，选择退药病区后按病人进行退药；</w:t>
            </w:r>
          </w:p>
          <w:p w14:paraId="4B625D66">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bCs/>
                <w:color w:val="auto"/>
                <w:szCs w:val="21"/>
                <w:highlight w:val="none"/>
              </w:rPr>
            </w:pPr>
            <w:r>
              <w:rPr>
                <w:rFonts w:hint="eastAsia" w:ascii="宋体" w:hAnsi="宋体" w:cs="宋体"/>
                <w:bCs/>
                <w:color w:val="auto"/>
                <w:szCs w:val="21"/>
                <w:highlight w:val="none"/>
              </w:rPr>
              <w:t>支持退药报损功能，如果病区因药品报损退药，在退药时可以录入报损数量，退药后自动产生退药报损单；</w:t>
            </w:r>
          </w:p>
          <w:p w14:paraId="304F7E32">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bCs/>
                <w:color w:val="auto"/>
                <w:szCs w:val="21"/>
                <w:highlight w:val="none"/>
              </w:rPr>
            </w:pPr>
            <w:r>
              <w:rPr>
                <w:rFonts w:hint="eastAsia" w:ascii="宋体" w:hAnsi="宋体" w:cs="宋体"/>
                <w:bCs/>
                <w:color w:val="auto"/>
                <w:szCs w:val="21"/>
                <w:highlight w:val="none"/>
              </w:rPr>
              <w:t>支持药品冲抵功能，药房在退药时记录所退药品而不直接退回，在病区下次发药时可以直接用退药药品冲抵；</w:t>
            </w:r>
          </w:p>
          <w:p w14:paraId="2F6C378D">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bCs/>
                <w:color w:val="auto"/>
                <w:szCs w:val="21"/>
                <w:highlight w:val="none"/>
              </w:rPr>
            </w:pPr>
            <w:r>
              <w:rPr>
                <w:rFonts w:hint="eastAsia" w:ascii="宋体" w:hAnsi="宋体" w:cs="宋体"/>
                <w:bCs/>
                <w:color w:val="auto"/>
                <w:szCs w:val="21"/>
                <w:highlight w:val="none"/>
              </w:rPr>
              <w:t>支持按医嘱明细退药，现在退药病人的具体退药明细记录进行退药；</w:t>
            </w:r>
          </w:p>
          <w:p w14:paraId="0BFD365F">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bCs/>
                <w:color w:val="auto"/>
                <w:szCs w:val="21"/>
                <w:highlight w:val="none"/>
              </w:rPr>
            </w:pPr>
            <w:r>
              <w:rPr>
                <w:rFonts w:hint="eastAsia" w:ascii="宋体" w:hAnsi="宋体" w:cs="宋体"/>
                <w:bCs/>
                <w:color w:val="auto"/>
                <w:szCs w:val="21"/>
                <w:highlight w:val="none"/>
              </w:rPr>
              <w:t>支持自动退药功能，针对与设定的医嘱类型，当前页面存在需要退药的数据时，自动完成退药，并打印对应的退药单；</w:t>
            </w:r>
          </w:p>
          <w:p w14:paraId="60CCE184">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bCs/>
                <w:color w:val="auto"/>
                <w:szCs w:val="21"/>
                <w:highlight w:val="none"/>
              </w:rPr>
            </w:pPr>
            <w:r>
              <w:rPr>
                <w:rFonts w:hint="eastAsia" w:ascii="宋体" w:hAnsi="宋体" w:cs="宋体"/>
                <w:bCs/>
                <w:color w:val="auto"/>
                <w:szCs w:val="21"/>
                <w:highlight w:val="none"/>
              </w:rPr>
              <w:t>支持按药品汇总退药，所选择退药病人按药品按数量汇总后再退药。</w:t>
            </w:r>
          </w:p>
          <w:p w14:paraId="7D9F7511">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bCs/>
                <w:color w:val="auto"/>
                <w:szCs w:val="21"/>
                <w:highlight w:val="none"/>
              </w:rPr>
            </w:pPr>
            <w:r>
              <w:rPr>
                <w:rFonts w:hint="eastAsia" w:ascii="宋体" w:hAnsi="宋体" w:cs="宋体"/>
                <w:bCs/>
                <w:color w:val="auto"/>
                <w:szCs w:val="21"/>
                <w:highlight w:val="none"/>
              </w:rPr>
              <w:t>支持退药采集追溯码（支持同时采集</w:t>
            </w:r>
            <w:r>
              <w:rPr>
                <w:rFonts w:hint="eastAsia" w:ascii="宋体" w:hAnsi="宋体" w:cs="宋体"/>
                <w:color w:val="auto"/>
                <w:kern w:val="0"/>
                <w:sz w:val="22"/>
                <w:szCs w:val="22"/>
                <w:highlight w:val="none"/>
              </w:rPr>
              <w:t>≥30盒药品</w:t>
            </w:r>
            <w:r>
              <w:rPr>
                <w:rFonts w:hint="eastAsia" w:ascii="宋体" w:hAnsi="宋体" w:cs="宋体"/>
                <w:bCs/>
                <w:color w:val="auto"/>
                <w:szCs w:val="21"/>
                <w:highlight w:val="none"/>
              </w:rPr>
              <w:t>），采集后自动校验：包括药品品种、数量是否准确，药品是否在有效期内，校验结果以不同颜色区分，如绿色为准确。若采集的追溯码无法与药品对应，可由人工选择追溯码对应的药品。退药采集的追溯码在患者出院结算时不应再上传医保平台或广东省集中式社会保险信息系统。</w:t>
            </w:r>
          </w:p>
          <w:p w14:paraId="7F405D29">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bCs/>
                <w:color w:val="auto"/>
                <w:szCs w:val="21"/>
                <w:highlight w:val="none"/>
              </w:rPr>
            </w:pPr>
            <w:r>
              <w:rPr>
                <w:rFonts w:hint="eastAsia" w:ascii="宋体" w:hAnsi="宋体" w:cs="宋体"/>
                <w:bCs/>
                <w:color w:val="auto"/>
                <w:szCs w:val="21"/>
                <w:highlight w:val="none"/>
              </w:rPr>
              <w:t>已配发的药品需由临床医生在医生工作站填写理由提交退费申请，经临床科室负责人审批同意，经药房审批方可退费。</w:t>
            </w:r>
          </w:p>
        </w:tc>
      </w:tr>
      <w:tr w14:paraId="0365B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1" w:type="dxa"/>
            <w:vMerge w:val="continue"/>
            <w:vAlign w:val="center"/>
          </w:tcPr>
          <w:p w14:paraId="2FEBC1EE">
            <w:pPr>
              <w:keepNext w:val="0"/>
              <w:keepLines w:val="0"/>
              <w:pageBreakBefore w:val="0"/>
              <w:numPr>
                <w:ilvl w:val="0"/>
                <w:numId w:val="15"/>
              </w:numPr>
              <w:kinsoku/>
              <w:wordWrap/>
              <w:overflowPunct/>
              <w:topLinePunct w:val="0"/>
              <w:autoSpaceDE/>
              <w:autoSpaceDN/>
              <w:bidi w:val="0"/>
              <w:adjustRightInd w:val="0"/>
              <w:snapToGrid w:val="0"/>
              <w:spacing w:line="360" w:lineRule="auto"/>
              <w:jc w:val="both"/>
              <w:textAlignment w:val="auto"/>
              <w:rPr>
                <w:rFonts w:ascii="宋体" w:hAnsi="宋体" w:cs="宋体"/>
                <w:color w:val="auto"/>
                <w:szCs w:val="21"/>
                <w:highlight w:val="none"/>
              </w:rPr>
            </w:pPr>
          </w:p>
        </w:tc>
        <w:tc>
          <w:tcPr>
            <w:tcW w:w="8927" w:type="dxa"/>
            <w:gridSpan w:val="2"/>
            <w:vAlign w:val="center"/>
          </w:tcPr>
          <w:p w14:paraId="419AC46B">
            <w:pPr>
              <w:keepNext w:val="0"/>
              <w:keepLines w:val="0"/>
              <w:pageBreakBefore w:val="0"/>
              <w:numPr>
                <w:ilvl w:val="1"/>
                <w:numId w:val="0"/>
              </w:numPr>
              <w:kinsoku/>
              <w:wordWrap/>
              <w:overflowPunct/>
              <w:topLinePunct w:val="0"/>
              <w:autoSpaceDE/>
              <w:autoSpaceDN/>
              <w:bidi w:val="0"/>
              <w:adjustRightInd w:val="0"/>
              <w:snapToGrid w:val="0"/>
              <w:spacing w:line="360" w:lineRule="auto"/>
              <w:jc w:val="both"/>
              <w:textAlignment w:val="auto"/>
              <w:rPr>
                <w:rFonts w:ascii="宋体" w:hAnsi="宋体" w:cs="宋体"/>
                <w:color w:val="auto"/>
                <w:kern w:val="0"/>
                <w:szCs w:val="21"/>
                <w:highlight w:val="none"/>
              </w:rPr>
            </w:pPr>
            <w:r>
              <w:rPr>
                <w:rFonts w:hint="eastAsia" w:ascii="宋体" w:hAnsi="宋体" w:cs="宋体"/>
                <w:color w:val="auto"/>
                <w:sz w:val="22"/>
                <w:szCs w:val="22"/>
                <w:highlight w:val="none"/>
              </w:rPr>
              <w:t>药品申领</w:t>
            </w:r>
          </w:p>
        </w:tc>
      </w:tr>
      <w:tr w14:paraId="6CF93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851" w:type="dxa"/>
            <w:vMerge w:val="continue"/>
            <w:vAlign w:val="center"/>
          </w:tcPr>
          <w:p w14:paraId="740C088F">
            <w:pPr>
              <w:keepNext w:val="0"/>
              <w:keepLines w:val="0"/>
              <w:pageBreakBefore w:val="0"/>
              <w:numPr>
                <w:ilvl w:val="0"/>
                <w:numId w:val="15"/>
              </w:numPr>
              <w:kinsoku/>
              <w:wordWrap/>
              <w:overflowPunct/>
              <w:topLinePunct w:val="0"/>
              <w:autoSpaceDE/>
              <w:autoSpaceDN/>
              <w:bidi w:val="0"/>
              <w:adjustRightInd w:val="0"/>
              <w:snapToGrid w:val="0"/>
              <w:spacing w:line="360" w:lineRule="auto"/>
              <w:jc w:val="both"/>
              <w:textAlignment w:val="auto"/>
              <w:rPr>
                <w:rFonts w:ascii="宋体" w:hAnsi="宋体" w:cs="宋体"/>
                <w:color w:val="auto"/>
                <w:szCs w:val="21"/>
                <w:highlight w:val="none"/>
              </w:rPr>
            </w:pPr>
          </w:p>
        </w:tc>
        <w:tc>
          <w:tcPr>
            <w:tcW w:w="1113" w:type="dxa"/>
            <w:vAlign w:val="center"/>
          </w:tcPr>
          <w:p w14:paraId="309F6F09">
            <w:pPr>
              <w:keepNext w:val="0"/>
              <w:keepLines w:val="0"/>
              <w:pageBreakBefore w:val="0"/>
              <w:numPr>
                <w:ilvl w:val="2"/>
                <w:numId w:val="0"/>
              </w:numPr>
              <w:kinsoku/>
              <w:wordWrap/>
              <w:overflowPunct/>
              <w:topLinePunct w:val="0"/>
              <w:autoSpaceDE/>
              <w:autoSpaceDN/>
              <w:bidi w:val="0"/>
              <w:adjustRightInd w:val="0"/>
              <w:snapToGrid w:val="0"/>
              <w:spacing w:line="360" w:lineRule="auto"/>
              <w:jc w:val="both"/>
              <w:textAlignment w:val="auto"/>
              <w:rPr>
                <w:rFonts w:ascii="宋体" w:hAnsi="宋体" w:cs="宋体"/>
                <w:color w:val="auto"/>
                <w:kern w:val="0"/>
                <w:szCs w:val="21"/>
                <w:highlight w:val="none"/>
              </w:rPr>
            </w:pPr>
            <w:r>
              <w:rPr>
                <w:rFonts w:hint="eastAsia" w:ascii="宋体" w:hAnsi="宋体" w:cs="宋体"/>
                <w:color w:val="auto"/>
                <w:sz w:val="22"/>
                <w:szCs w:val="22"/>
                <w:highlight w:val="none"/>
              </w:rPr>
              <w:t>药品申领</w:t>
            </w:r>
          </w:p>
        </w:tc>
        <w:tc>
          <w:tcPr>
            <w:tcW w:w="7814" w:type="dxa"/>
            <w:vAlign w:val="center"/>
          </w:tcPr>
          <w:p w14:paraId="1B7EC732">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bCs/>
                <w:szCs w:val="21"/>
              </w:rPr>
            </w:pPr>
            <w:r>
              <w:rPr>
                <w:rFonts w:hint="eastAsia" w:ascii="宋体" w:hAnsi="宋体" w:cs="宋体"/>
                <w:bCs/>
                <w:szCs w:val="21"/>
              </w:rPr>
              <w:t>药房申请计划，有多种生成药房申请计划的方式：1)按时间段消耗取整。2)直接取消耗（针对夜班药房不需要取整）。3)按库存高低限量。4)按高低限量-库存的方式做计划。5)手工输入药品计划数量方式。</w:t>
            </w:r>
          </w:p>
          <w:p w14:paraId="75D3CDAC">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bCs/>
                <w:color w:val="auto"/>
                <w:szCs w:val="21"/>
                <w:highlight w:val="none"/>
              </w:rPr>
            </w:pPr>
            <w:r>
              <w:rPr>
                <w:rFonts w:hint="eastAsia" w:ascii="宋体" w:hAnsi="宋体" w:cs="宋体"/>
                <w:bCs/>
                <w:szCs w:val="21"/>
              </w:rPr>
              <w:t>药品申请撤销，可以查询药品申请记录，可以对已提交未出库的申请单进行作废。</w:t>
            </w:r>
          </w:p>
          <w:p w14:paraId="096748A4">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bCs/>
                <w:color w:val="auto"/>
                <w:szCs w:val="21"/>
                <w:highlight w:val="none"/>
              </w:rPr>
            </w:pPr>
            <w:r>
              <w:rPr>
                <w:rFonts w:hint="eastAsia" w:ascii="宋体" w:hAnsi="宋体" w:cs="宋体"/>
                <w:bCs/>
                <w:color w:val="auto"/>
                <w:szCs w:val="21"/>
                <w:highlight w:val="none"/>
              </w:rPr>
              <w:t>支持库存调拨、科室领用、主动出库三种药品申领业务。</w:t>
            </w:r>
          </w:p>
          <w:p w14:paraId="15DF7462">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bCs/>
                <w:color w:val="auto"/>
                <w:szCs w:val="21"/>
                <w:highlight w:val="none"/>
              </w:rPr>
            </w:pPr>
            <w:r>
              <w:rPr>
                <w:rFonts w:hint="eastAsia" w:ascii="宋体" w:hAnsi="宋体" w:cs="宋体"/>
                <w:bCs/>
                <w:color w:val="auto"/>
                <w:szCs w:val="21"/>
                <w:highlight w:val="none"/>
              </w:rPr>
              <w:t>提供库房申领、库房退药、库房出库的集中处理界面，集中处理当前库房的主动申领入库、申领退药入库和被动出库入库业务，及当前库房的被动申领出库、申领退药出库和主动出库业务；</w:t>
            </w:r>
          </w:p>
          <w:p w14:paraId="627BE8AA">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bCs/>
                <w:color w:val="auto"/>
                <w:szCs w:val="21"/>
                <w:highlight w:val="none"/>
              </w:rPr>
            </w:pPr>
            <w:r>
              <w:rPr>
                <w:rFonts w:hint="eastAsia" w:ascii="宋体" w:hAnsi="宋体" w:cs="宋体"/>
                <w:bCs/>
                <w:color w:val="auto"/>
                <w:szCs w:val="21"/>
                <w:highlight w:val="none"/>
              </w:rPr>
              <w:t>支持通过引入当前库房药品信息、高低储药品自动生成库房申领信息；</w:t>
            </w:r>
          </w:p>
          <w:p w14:paraId="557B9056">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bCs/>
                <w:color w:val="auto"/>
                <w:szCs w:val="21"/>
                <w:highlight w:val="none"/>
              </w:rPr>
            </w:pPr>
            <w:r>
              <w:rPr>
                <w:rFonts w:hint="eastAsia" w:ascii="宋体" w:hAnsi="宋体" w:cs="宋体"/>
                <w:bCs/>
                <w:color w:val="auto"/>
                <w:szCs w:val="21"/>
                <w:highlight w:val="none"/>
              </w:rPr>
              <w:t>支持通过引入目标库房的入库单据自动生成库房申领信息；</w:t>
            </w:r>
          </w:p>
          <w:p w14:paraId="44C8AD44">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bCs/>
                <w:color w:val="auto"/>
                <w:szCs w:val="21"/>
                <w:highlight w:val="none"/>
              </w:rPr>
            </w:pPr>
            <w:r>
              <w:rPr>
                <w:rFonts w:hint="eastAsia" w:ascii="宋体" w:hAnsi="宋体" w:cs="宋体"/>
                <w:bCs/>
                <w:color w:val="auto"/>
                <w:szCs w:val="21"/>
                <w:highlight w:val="none"/>
              </w:rPr>
              <w:t>支持通过选择当前库房某段时间的药品消耗自动生成库房申领信息，药品消耗包括发药、其它出库、调拨出库、申领退库，退库时支持手工输入价格；</w:t>
            </w:r>
          </w:p>
          <w:p w14:paraId="331F6B25">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bCs/>
                <w:color w:val="auto"/>
                <w:szCs w:val="21"/>
                <w:highlight w:val="none"/>
              </w:rPr>
            </w:pPr>
            <w:r>
              <w:rPr>
                <w:rFonts w:hint="eastAsia" w:ascii="宋体" w:hAnsi="宋体" w:cs="宋体"/>
                <w:bCs/>
                <w:color w:val="auto"/>
                <w:szCs w:val="21"/>
                <w:highlight w:val="none"/>
              </w:rPr>
              <w:t>支持通过引入目标库房的申领单自动生成库房申领退库信息；</w:t>
            </w:r>
          </w:p>
          <w:p w14:paraId="739AE684">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bCs/>
                <w:color w:val="auto"/>
                <w:szCs w:val="21"/>
                <w:highlight w:val="none"/>
              </w:rPr>
            </w:pPr>
            <w:r>
              <w:rPr>
                <w:rFonts w:hint="eastAsia" w:ascii="宋体" w:hAnsi="宋体" w:cs="宋体"/>
                <w:bCs/>
                <w:color w:val="auto"/>
                <w:szCs w:val="21"/>
                <w:highlight w:val="none"/>
              </w:rPr>
              <w:t>支持通过申请库房的入库单据自动生成库房出库信息；</w:t>
            </w:r>
          </w:p>
          <w:p w14:paraId="183020A8">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bCs/>
                <w:color w:val="auto"/>
                <w:szCs w:val="21"/>
                <w:highlight w:val="none"/>
              </w:rPr>
            </w:pPr>
            <w:r>
              <w:rPr>
                <w:rFonts w:hint="eastAsia" w:ascii="宋体" w:hAnsi="宋体" w:cs="宋体"/>
                <w:bCs/>
                <w:color w:val="auto"/>
                <w:szCs w:val="21"/>
                <w:highlight w:val="none"/>
              </w:rPr>
              <w:t>支持审批日期结合高低储天数进行申领数量的生成。</w:t>
            </w:r>
          </w:p>
        </w:tc>
      </w:tr>
      <w:tr w14:paraId="3BAD0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1" w:type="dxa"/>
            <w:vMerge w:val="continue"/>
            <w:vAlign w:val="center"/>
          </w:tcPr>
          <w:p w14:paraId="471A6B2C">
            <w:pPr>
              <w:keepNext w:val="0"/>
              <w:keepLines w:val="0"/>
              <w:pageBreakBefore w:val="0"/>
              <w:numPr>
                <w:ilvl w:val="0"/>
                <w:numId w:val="15"/>
              </w:numPr>
              <w:kinsoku/>
              <w:wordWrap/>
              <w:overflowPunct/>
              <w:topLinePunct w:val="0"/>
              <w:autoSpaceDE/>
              <w:autoSpaceDN/>
              <w:bidi w:val="0"/>
              <w:adjustRightInd w:val="0"/>
              <w:snapToGrid w:val="0"/>
              <w:spacing w:line="360" w:lineRule="auto"/>
              <w:jc w:val="both"/>
              <w:textAlignment w:val="auto"/>
              <w:rPr>
                <w:rFonts w:ascii="宋体" w:hAnsi="宋体" w:cs="宋体"/>
                <w:color w:val="auto"/>
                <w:szCs w:val="21"/>
                <w:highlight w:val="none"/>
              </w:rPr>
            </w:pPr>
          </w:p>
        </w:tc>
        <w:tc>
          <w:tcPr>
            <w:tcW w:w="8927" w:type="dxa"/>
            <w:gridSpan w:val="2"/>
            <w:vAlign w:val="center"/>
          </w:tcPr>
          <w:p w14:paraId="48F650E5">
            <w:pPr>
              <w:keepNext w:val="0"/>
              <w:keepLines w:val="0"/>
              <w:pageBreakBefore w:val="0"/>
              <w:numPr>
                <w:ilvl w:val="1"/>
                <w:numId w:val="0"/>
              </w:numPr>
              <w:kinsoku/>
              <w:wordWrap/>
              <w:overflowPunct/>
              <w:topLinePunct w:val="0"/>
              <w:autoSpaceDE/>
              <w:autoSpaceDN/>
              <w:bidi w:val="0"/>
              <w:adjustRightInd w:val="0"/>
              <w:snapToGrid w:val="0"/>
              <w:spacing w:line="360" w:lineRule="auto"/>
              <w:jc w:val="both"/>
              <w:textAlignment w:val="auto"/>
              <w:rPr>
                <w:rFonts w:ascii="宋体" w:hAnsi="宋体" w:cs="宋体"/>
                <w:color w:val="auto"/>
                <w:kern w:val="0"/>
                <w:szCs w:val="21"/>
                <w:highlight w:val="none"/>
              </w:rPr>
            </w:pPr>
            <w:r>
              <w:rPr>
                <w:rFonts w:hint="eastAsia" w:ascii="宋体" w:hAnsi="宋体" w:cs="宋体"/>
                <w:color w:val="auto"/>
                <w:sz w:val="22"/>
                <w:szCs w:val="22"/>
                <w:highlight w:val="none"/>
              </w:rPr>
              <w:t>药品入库</w:t>
            </w:r>
          </w:p>
        </w:tc>
      </w:tr>
      <w:tr w14:paraId="31673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851" w:type="dxa"/>
            <w:vMerge w:val="continue"/>
            <w:vAlign w:val="center"/>
          </w:tcPr>
          <w:p w14:paraId="7DD7AAFD">
            <w:pPr>
              <w:keepNext w:val="0"/>
              <w:keepLines w:val="0"/>
              <w:pageBreakBefore w:val="0"/>
              <w:numPr>
                <w:ilvl w:val="0"/>
                <w:numId w:val="15"/>
              </w:numPr>
              <w:kinsoku/>
              <w:wordWrap/>
              <w:overflowPunct/>
              <w:topLinePunct w:val="0"/>
              <w:autoSpaceDE/>
              <w:autoSpaceDN/>
              <w:bidi w:val="0"/>
              <w:adjustRightInd w:val="0"/>
              <w:snapToGrid w:val="0"/>
              <w:spacing w:line="360" w:lineRule="auto"/>
              <w:jc w:val="both"/>
              <w:textAlignment w:val="auto"/>
              <w:rPr>
                <w:rFonts w:ascii="宋体" w:hAnsi="宋体" w:cs="宋体"/>
                <w:color w:val="auto"/>
                <w:szCs w:val="21"/>
                <w:highlight w:val="none"/>
              </w:rPr>
            </w:pPr>
          </w:p>
        </w:tc>
        <w:tc>
          <w:tcPr>
            <w:tcW w:w="1113" w:type="dxa"/>
            <w:vAlign w:val="center"/>
          </w:tcPr>
          <w:p w14:paraId="7C4B3898">
            <w:pPr>
              <w:keepNext w:val="0"/>
              <w:keepLines w:val="0"/>
              <w:pageBreakBefore w:val="0"/>
              <w:numPr>
                <w:ilvl w:val="2"/>
                <w:numId w:val="0"/>
              </w:numPr>
              <w:kinsoku/>
              <w:wordWrap/>
              <w:overflowPunct/>
              <w:topLinePunct w:val="0"/>
              <w:autoSpaceDE/>
              <w:autoSpaceDN/>
              <w:bidi w:val="0"/>
              <w:adjustRightInd w:val="0"/>
              <w:snapToGrid w:val="0"/>
              <w:spacing w:line="360" w:lineRule="auto"/>
              <w:jc w:val="both"/>
              <w:textAlignment w:val="auto"/>
              <w:rPr>
                <w:rFonts w:ascii="宋体" w:hAnsi="宋体" w:cs="宋体"/>
                <w:color w:val="auto"/>
                <w:kern w:val="0"/>
                <w:szCs w:val="21"/>
                <w:highlight w:val="none"/>
              </w:rPr>
            </w:pPr>
            <w:r>
              <w:rPr>
                <w:rFonts w:hint="eastAsia" w:ascii="宋体" w:hAnsi="宋体" w:cs="宋体"/>
                <w:color w:val="auto"/>
                <w:sz w:val="22"/>
                <w:szCs w:val="22"/>
                <w:highlight w:val="none"/>
              </w:rPr>
              <w:t>药品入库</w:t>
            </w:r>
          </w:p>
        </w:tc>
        <w:tc>
          <w:tcPr>
            <w:tcW w:w="7814" w:type="dxa"/>
            <w:vAlign w:val="center"/>
          </w:tcPr>
          <w:p w14:paraId="367AC2F6">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bCs/>
                <w:szCs w:val="21"/>
              </w:rPr>
            </w:pPr>
            <w:r>
              <w:rPr>
                <w:rFonts w:hint="eastAsia" w:ascii="宋体" w:hAnsi="宋体" w:cs="宋体"/>
                <w:bCs/>
                <w:szCs w:val="21"/>
              </w:rPr>
              <w:t>药品入库，支持申请入库，盘点入库，单据入库，调拨入库，退药入库。入库方式可灵活配置，支持如加工、自制、盘盈等除药品领用外的其它入库业务；</w:t>
            </w:r>
          </w:p>
          <w:p w14:paraId="5FEB58A6">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bCs/>
                <w:color w:val="auto"/>
                <w:szCs w:val="21"/>
                <w:highlight w:val="none"/>
              </w:rPr>
            </w:pPr>
            <w:r>
              <w:rPr>
                <w:rFonts w:hint="eastAsia" w:ascii="宋体" w:hAnsi="宋体" w:cs="宋体"/>
                <w:bCs/>
                <w:szCs w:val="21"/>
              </w:rPr>
              <w:t>支持系统库存初始化入库。</w:t>
            </w:r>
          </w:p>
          <w:p w14:paraId="1E867489">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bCs/>
                <w:color w:val="auto"/>
                <w:szCs w:val="21"/>
                <w:highlight w:val="none"/>
              </w:rPr>
            </w:pPr>
            <w:r>
              <w:rPr>
                <w:rFonts w:hint="eastAsia" w:ascii="宋体" w:hAnsi="宋体" w:cs="宋体"/>
                <w:bCs/>
                <w:color w:val="auto"/>
                <w:szCs w:val="21"/>
                <w:highlight w:val="none"/>
              </w:rPr>
              <w:t>支持如加工、自制、盘盈等除药品领用外的其它入库业务；</w:t>
            </w:r>
          </w:p>
          <w:p w14:paraId="3A3C7B84">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bCs/>
                <w:color w:val="auto"/>
                <w:szCs w:val="21"/>
                <w:highlight w:val="none"/>
              </w:rPr>
            </w:pPr>
            <w:r>
              <w:rPr>
                <w:rFonts w:hint="eastAsia" w:ascii="宋体" w:hAnsi="宋体" w:cs="宋体"/>
                <w:bCs/>
                <w:color w:val="auto"/>
                <w:szCs w:val="21"/>
                <w:highlight w:val="none"/>
              </w:rPr>
              <w:t>支持根据库房盘盈数据自动生成盘盈入库单；</w:t>
            </w:r>
          </w:p>
          <w:p w14:paraId="3C0B63A0">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bCs/>
                <w:color w:val="auto"/>
                <w:szCs w:val="21"/>
                <w:highlight w:val="none"/>
              </w:rPr>
            </w:pPr>
            <w:r>
              <w:rPr>
                <w:rFonts w:hint="eastAsia" w:ascii="宋体" w:hAnsi="宋体" w:cs="宋体"/>
                <w:bCs/>
                <w:color w:val="auto"/>
                <w:szCs w:val="21"/>
                <w:highlight w:val="none"/>
              </w:rPr>
              <w:t>支持同厂家药品按批号、按价格、按效期分批次入库管理业务；</w:t>
            </w:r>
          </w:p>
          <w:p w14:paraId="2B100B20">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bCs/>
                <w:color w:val="auto"/>
                <w:szCs w:val="21"/>
                <w:highlight w:val="none"/>
              </w:rPr>
            </w:pPr>
            <w:r>
              <w:rPr>
                <w:rFonts w:hint="eastAsia" w:ascii="宋体" w:hAnsi="宋体" w:cs="宋体"/>
                <w:bCs/>
                <w:color w:val="auto"/>
                <w:szCs w:val="21"/>
                <w:highlight w:val="none"/>
              </w:rPr>
              <w:t>支持药品出库后退库操作；</w:t>
            </w:r>
          </w:p>
          <w:p w14:paraId="1A539731">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bCs/>
                <w:color w:val="auto"/>
                <w:szCs w:val="21"/>
                <w:highlight w:val="none"/>
              </w:rPr>
            </w:pPr>
            <w:r>
              <w:rPr>
                <w:rFonts w:hint="eastAsia" w:ascii="宋体" w:hAnsi="宋体" w:cs="宋体"/>
                <w:bCs/>
                <w:color w:val="auto"/>
                <w:szCs w:val="21"/>
                <w:highlight w:val="none"/>
              </w:rPr>
              <w:t>支持根据库房盘盈数据自动生成盘盈入库单；</w:t>
            </w:r>
          </w:p>
          <w:p w14:paraId="2B201AC0">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bCs/>
                <w:color w:val="auto"/>
                <w:szCs w:val="21"/>
                <w:highlight w:val="none"/>
              </w:rPr>
            </w:pPr>
            <w:r>
              <w:rPr>
                <w:rFonts w:hint="eastAsia" w:ascii="宋体" w:hAnsi="宋体" w:cs="宋体"/>
                <w:bCs/>
                <w:color w:val="auto"/>
                <w:szCs w:val="21"/>
                <w:highlight w:val="none"/>
              </w:rPr>
              <w:t>支持其它入库时同时按照多种单位进行入库。</w:t>
            </w:r>
          </w:p>
          <w:p w14:paraId="5A3972FF">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color w:val="auto"/>
                <w:szCs w:val="21"/>
                <w:highlight w:val="none"/>
              </w:rPr>
            </w:pPr>
            <w:r>
              <w:rPr>
                <w:rFonts w:hint="eastAsia" w:ascii="宋体" w:hAnsi="宋体" w:cs="宋体"/>
                <w:bCs/>
                <w:color w:val="auto"/>
                <w:szCs w:val="21"/>
                <w:highlight w:val="none"/>
              </w:rPr>
              <w:t>支持单选或全选多个药品一键入库。</w:t>
            </w:r>
          </w:p>
          <w:p w14:paraId="64FF237E">
            <w:pPr>
              <w:keepNext w:val="0"/>
              <w:keepLines w:val="0"/>
              <w:pageBreakBefore w:val="0"/>
              <w:widowControl/>
              <w:numPr>
                <w:ilvl w:val="0"/>
                <w:numId w:val="12"/>
              </w:numPr>
              <w:kinsoku/>
              <w:wordWrap/>
              <w:overflowPunct/>
              <w:topLinePunct w:val="0"/>
              <w:autoSpaceDE/>
              <w:autoSpaceDN/>
              <w:bidi w:val="0"/>
              <w:adjustRightInd w:val="0"/>
              <w:snapToGrid w:val="0"/>
              <w:spacing w:line="360" w:lineRule="auto"/>
              <w:jc w:val="both"/>
              <w:textAlignment w:val="auto"/>
              <w:rPr>
                <w:rFonts w:ascii="宋体" w:hAnsi="宋体" w:cs="宋体"/>
                <w:highlight w:val="none"/>
              </w:rPr>
            </w:pPr>
            <w:r>
              <w:rPr>
                <w:rFonts w:hint="eastAsia" w:ascii="宋体" w:hAnsi="宋体" w:cs="宋体"/>
                <w:highlight w:val="none"/>
              </w:rPr>
              <w:t>入库查询，支持查看各种入库单据详细信息。</w:t>
            </w:r>
          </w:p>
          <w:p w14:paraId="2B0195AE">
            <w:pPr>
              <w:keepNext w:val="0"/>
              <w:keepLines w:val="0"/>
              <w:pageBreakBefore w:val="0"/>
              <w:widowControl/>
              <w:numPr>
                <w:ilvl w:val="0"/>
                <w:numId w:val="12"/>
              </w:numPr>
              <w:kinsoku/>
              <w:wordWrap/>
              <w:overflowPunct/>
              <w:topLinePunct w:val="0"/>
              <w:autoSpaceDE/>
              <w:autoSpaceDN/>
              <w:bidi w:val="0"/>
              <w:adjustRightInd w:val="0"/>
              <w:snapToGrid w:val="0"/>
              <w:spacing w:line="360" w:lineRule="auto"/>
              <w:jc w:val="both"/>
              <w:textAlignment w:val="auto"/>
              <w:rPr>
                <w:rFonts w:ascii="宋体" w:hAnsi="宋体" w:cs="宋体"/>
                <w:highlight w:val="none"/>
              </w:rPr>
            </w:pPr>
            <w:r>
              <w:rPr>
                <w:rFonts w:hint="eastAsia" w:ascii="宋体" w:hAnsi="宋体" w:cs="宋体"/>
                <w:highlight w:val="none"/>
              </w:rPr>
              <w:t>药品在途入库：</w:t>
            </w:r>
            <w:r>
              <w:rPr>
                <w:rFonts w:ascii="宋体" w:hAnsi="宋体" w:cs="宋体"/>
                <w:highlight w:val="none"/>
              </w:rPr>
              <w:t>1)支持查看药房所有无药退药药品记录与数量等信息。2)护理单元退还实际药品后支持无药退药药品直接入库。3)支持打印无药退药药品催还单。</w:t>
            </w:r>
          </w:p>
          <w:p w14:paraId="68D49A36">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color w:val="auto"/>
                <w:szCs w:val="21"/>
                <w:highlight w:val="none"/>
              </w:rPr>
            </w:pPr>
            <w:r>
              <w:rPr>
                <w:rFonts w:hint="eastAsia" w:ascii="宋体" w:hAnsi="宋体" w:cs="宋体"/>
                <w:highlight w:val="none"/>
              </w:rPr>
              <w:t>支持药品追溯码扫码自动建单入库。</w:t>
            </w:r>
          </w:p>
        </w:tc>
      </w:tr>
      <w:tr w14:paraId="074E6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1" w:type="dxa"/>
            <w:vMerge w:val="continue"/>
            <w:vAlign w:val="center"/>
          </w:tcPr>
          <w:p w14:paraId="30C39365">
            <w:pPr>
              <w:keepNext w:val="0"/>
              <w:keepLines w:val="0"/>
              <w:pageBreakBefore w:val="0"/>
              <w:numPr>
                <w:ilvl w:val="0"/>
                <w:numId w:val="15"/>
              </w:numPr>
              <w:kinsoku/>
              <w:wordWrap/>
              <w:overflowPunct/>
              <w:topLinePunct w:val="0"/>
              <w:autoSpaceDE/>
              <w:autoSpaceDN/>
              <w:bidi w:val="0"/>
              <w:adjustRightInd w:val="0"/>
              <w:snapToGrid w:val="0"/>
              <w:spacing w:line="360" w:lineRule="auto"/>
              <w:jc w:val="both"/>
              <w:textAlignment w:val="auto"/>
              <w:rPr>
                <w:rFonts w:ascii="宋体" w:hAnsi="宋体" w:cs="宋体"/>
                <w:color w:val="auto"/>
                <w:szCs w:val="21"/>
                <w:highlight w:val="none"/>
              </w:rPr>
            </w:pPr>
          </w:p>
        </w:tc>
        <w:tc>
          <w:tcPr>
            <w:tcW w:w="8927" w:type="dxa"/>
            <w:gridSpan w:val="2"/>
            <w:vAlign w:val="center"/>
          </w:tcPr>
          <w:p w14:paraId="2AB88F23">
            <w:pPr>
              <w:keepNext w:val="0"/>
              <w:keepLines w:val="0"/>
              <w:pageBreakBefore w:val="0"/>
              <w:numPr>
                <w:ilvl w:val="1"/>
                <w:numId w:val="0"/>
              </w:numPr>
              <w:kinsoku/>
              <w:wordWrap/>
              <w:overflowPunct/>
              <w:topLinePunct w:val="0"/>
              <w:autoSpaceDE/>
              <w:autoSpaceDN/>
              <w:bidi w:val="0"/>
              <w:adjustRightInd w:val="0"/>
              <w:snapToGrid w:val="0"/>
              <w:spacing w:line="360" w:lineRule="auto"/>
              <w:jc w:val="both"/>
              <w:textAlignment w:val="auto"/>
              <w:rPr>
                <w:rFonts w:ascii="宋体" w:hAnsi="宋体" w:cs="宋体"/>
                <w:color w:val="auto"/>
                <w:kern w:val="0"/>
                <w:szCs w:val="21"/>
                <w:highlight w:val="none"/>
              </w:rPr>
            </w:pPr>
            <w:r>
              <w:rPr>
                <w:rFonts w:hint="eastAsia" w:ascii="宋体" w:hAnsi="宋体" w:cs="宋体"/>
                <w:color w:val="auto"/>
                <w:sz w:val="22"/>
                <w:szCs w:val="22"/>
                <w:highlight w:val="none"/>
              </w:rPr>
              <w:t>药品出库</w:t>
            </w:r>
          </w:p>
        </w:tc>
      </w:tr>
      <w:tr w14:paraId="1A475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851" w:type="dxa"/>
            <w:vMerge w:val="continue"/>
            <w:vAlign w:val="center"/>
          </w:tcPr>
          <w:p w14:paraId="33CDC622">
            <w:pPr>
              <w:keepNext w:val="0"/>
              <w:keepLines w:val="0"/>
              <w:pageBreakBefore w:val="0"/>
              <w:numPr>
                <w:ilvl w:val="0"/>
                <w:numId w:val="15"/>
              </w:numPr>
              <w:kinsoku/>
              <w:wordWrap/>
              <w:overflowPunct/>
              <w:topLinePunct w:val="0"/>
              <w:autoSpaceDE/>
              <w:autoSpaceDN/>
              <w:bidi w:val="0"/>
              <w:adjustRightInd w:val="0"/>
              <w:snapToGrid w:val="0"/>
              <w:spacing w:line="360" w:lineRule="auto"/>
              <w:jc w:val="both"/>
              <w:textAlignment w:val="auto"/>
              <w:rPr>
                <w:rFonts w:ascii="宋体" w:hAnsi="宋体" w:cs="宋体"/>
                <w:color w:val="auto"/>
                <w:szCs w:val="21"/>
                <w:highlight w:val="none"/>
              </w:rPr>
            </w:pPr>
          </w:p>
        </w:tc>
        <w:tc>
          <w:tcPr>
            <w:tcW w:w="1113" w:type="dxa"/>
            <w:vAlign w:val="center"/>
          </w:tcPr>
          <w:p w14:paraId="2AEA0DEC">
            <w:pPr>
              <w:keepNext w:val="0"/>
              <w:keepLines w:val="0"/>
              <w:pageBreakBefore w:val="0"/>
              <w:numPr>
                <w:ilvl w:val="2"/>
                <w:numId w:val="0"/>
              </w:numPr>
              <w:kinsoku/>
              <w:wordWrap/>
              <w:overflowPunct/>
              <w:topLinePunct w:val="0"/>
              <w:autoSpaceDE/>
              <w:autoSpaceDN/>
              <w:bidi w:val="0"/>
              <w:adjustRightInd w:val="0"/>
              <w:snapToGrid w:val="0"/>
              <w:spacing w:line="360" w:lineRule="auto"/>
              <w:jc w:val="both"/>
              <w:textAlignment w:val="auto"/>
              <w:rPr>
                <w:rFonts w:ascii="宋体" w:hAnsi="宋体" w:cs="宋体"/>
                <w:color w:val="auto"/>
                <w:kern w:val="0"/>
                <w:szCs w:val="21"/>
                <w:highlight w:val="none"/>
              </w:rPr>
            </w:pPr>
            <w:r>
              <w:rPr>
                <w:rFonts w:hint="eastAsia" w:ascii="宋体" w:hAnsi="宋体" w:cs="宋体"/>
                <w:color w:val="auto"/>
                <w:sz w:val="22"/>
                <w:szCs w:val="22"/>
                <w:highlight w:val="none"/>
              </w:rPr>
              <w:t>药品出库</w:t>
            </w:r>
          </w:p>
        </w:tc>
        <w:tc>
          <w:tcPr>
            <w:tcW w:w="7814" w:type="dxa"/>
            <w:vAlign w:val="center"/>
          </w:tcPr>
          <w:p w14:paraId="02B1A8CF">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bCs/>
                <w:szCs w:val="21"/>
              </w:rPr>
            </w:pPr>
            <w:r>
              <w:rPr>
                <w:rFonts w:hint="eastAsia" w:ascii="宋体" w:hAnsi="宋体" w:cs="宋体"/>
                <w:bCs/>
                <w:szCs w:val="21"/>
              </w:rPr>
              <w:t>药品出库，支持发药出库、调拨出库、药房退库、科室领用出库、盘点出库、报损出库等多种出库方式。库存调整等出库方式可灵活配置。</w:t>
            </w:r>
          </w:p>
          <w:p w14:paraId="7258A506">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bCs/>
                <w:color w:val="auto"/>
                <w:szCs w:val="21"/>
                <w:highlight w:val="none"/>
              </w:rPr>
            </w:pPr>
            <w:r>
              <w:rPr>
                <w:rFonts w:hint="eastAsia" w:ascii="宋体" w:hAnsi="宋体" w:cs="宋体"/>
                <w:bCs/>
                <w:szCs w:val="21"/>
              </w:rPr>
              <w:t>支持通过调拨出库方式，进行药品在多个院区之间流转，多院使用时，可支持分院区之间的药品调拨或者指向其他院区药房。</w:t>
            </w:r>
          </w:p>
          <w:p w14:paraId="5DDBE670">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bCs/>
                <w:color w:val="auto"/>
                <w:szCs w:val="21"/>
                <w:highlight w:val="none"/>
              </w:rPr>
            </w:pPr>
            <w:r>
              <w:rPr>
                <w:rFonts w:hint="eastAsia" w:ascii="宋体" w:hAnsi="宋体" w:cs="宋体"/>
                <w:bCs/>
                <w:color w:val="auto"/>
                <w:szCs w:val="21"/>
                <w:highlight w:val="none"/>
              </w:rPr>
              <w:t>支持药品报损、盘亏出库、部门领用等其它出库业务；</w:t>
            </w:r>
          </w:p>
          <w:p w14:paraId="7885074F">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bCs/>
                <w:color w:val="auto"/>
                <w:szCs w:val="21"/>
                <w:highlight w:val="none"/>
              </w:rPr>
            </w:pPr>
            <w:r>
              <w:rPr>
                <w:rFonts w:hint="eastAsia" w:ascii="宋体" w:hAnsi="宋体" w:cs="宋体"/>
                <w:bCs/>
                <w:color w:val="auto"/>
                <w:szCs w:val="21"/>
                <w:highlight w:val="none"/>
              </w:rPr>
              <w:t>支持智能出库方式维护，例如按同一厂家不同批次的药品按效期/库存数量/入库时间出库，按效期分为早先出、迟先出，按库存数量分为大先出、小先出，按入库时间先进先出</w:t>
            </w:r>
          </w:p>
          <w:p w14:paraId="50057591">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bCs/>
                <w:color w:val="auto"/>
                <w:szCs w:val="21"/>
                <w:highlight w:val="none"/>
              </w:rPr>
            </w:pPr>
            <w:r>
              <w:rPr>
                <w:rFonts w:hint="eastAsia" w:ascii="宋体" w:hAnsi="宋体" w:cs="宋体"/>
                <w:bCs/>
                <w:color w:val="auto"/>
                <w:szCs w:val="21"/>
                <w:highlight w:val="none"/>
              </w:rPr>
              <w:t>支持手工选择批次、库存性质进行出库</w:t>
            </w:r>
          </w:p>
          <w:p w14:paraId="6EBE9F0D">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bCs/>
                <w:color w:val="auto"/>
                <w:szCs w:val="21"/>
                <w:highlight w:val="none"/>
              </w:rPr>
            </w:pPr>
            <w:r>
              <w:rPr>
                <w:rFonts w:hint="eastAsia" w:ascii="宋体" w:hAnsi="宋体" w:cs="宋体"/>
                <w:bCs/>
                <w:color w:val="auto"/>
                <w:szCs w:val="21"/>
                <w:highlight w:val="none"/>
              </w:rPr>
              <w:t>支持部门申领后，药房出库给到临床科室。</w:t>
            </w:r>
          </w:p>
          <w:p w14:paraId="73598BAA">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bCs/>
                <w:color w:val="auto"/>
                <w:szCs w:val="21"/>
                <w:highlight w:val="none"/>
              </w:rPr>
            </w:pPr>
            <w:r>
              <w:rPr>
                <w:rFonts w:hint="eastAsia" w:ascii="宋体" w:hAnsi="宋体" w:cs="宋体"/>
                <w:bCs/>
                <w:szCs w:val="21"/>
              </w:rPr>
              <w:t>出库查询，支持查看各种出库单据详细信息。</w:t>
            </w:r>
          </w:p>
        </w:tc>
      </w:tr>
      <w:tr w14:paraId="05EBA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1" w:type="dxa"/>
            <w:vMerge w:val="continue"/>
            <w:vAlign w:val="center"/>
          </w:tcPr>
          <w:p w14:paraId="340230B4">
            <w:pPr>
              <w:keepNext w:val="0"/>
              <w:keepLines w:val="0"/>
              <w:pageBreakBefore w:val="0"/>
              <w:numPr>
                <w:ilvl w:val="0"/>
                <w:numId w:val="15"/>
              </w:numPr>
              <w:kinsoku/>
              <w:wordWrap/>
              <w:overflowPunct/>
              <w:topLinePunct w:val="0"/>
              <w:autoSpaceDE/>
              <w:autoSpaceDN/>
              <w:bidi w:val="0"/>
              <w:adjustRightInd w:val="0"/>
              <w:snapToGrid w:val="0"/>
              <w:spacing w:line="360" w:lineRule="auto"/>
              <w:jc w:val="both"/>
              <w:textAlignment w:val="auto"/>
              <w:rPr>
                <w:rFonts w:ascii="宋体" w:hAnsi="宋体" w:cs="宋体"/>
                <w:color w:val="auto"/>
                <w:szCs w:val="21"/>
                <w:highlight w:val="none"/>
              </w:rPr>
            </w:pPr>
          </w:p>
        </w:tc>
        <w:tc>
          <w:tcPr>
            <w:tcW w:w="8927" w:type="dxa"/>
            <w:gridSpan w:val="2"/>
            <w:vAlign w:val="center"/>
          </w:tcPr>
          <w:p w14:paraId="2ECDED6E">
            <w:pPr>
              <w:keepNext w:val="0"/>
              <w:keepLines w:val="0"/>
              <w:pageBreakBefore w:val="0"/>
              <w:numPr>
                <w:ilvl w:val="1"/>
                <w:numId w:val="0"/>
              </w:numPr>
              <w:kinsoku/>
              <w:wordWrap/>
              <w:overflowPunct/>
              <w:topLinePunct w:val="0"/>
              <w:autoSpaceDE/>
              <w:autoSpaceDN/>
              <w:bidi w:val="0"/>
              <w:adjustRightInd w:val="0"/>
              <w:snapToGrid w:val="0"/>
              <w:spacing w:line="360" w:lineRule="auto"/>
              <w:jc w:val="both"/>
              <w:textAlignment w:val="auto"/>
              <w:rPr>
                <w:rFonts w:ascii="宋体" w:hAnsi="宋体" w:cs="宋体"/>
                <w:color w:val="auto"/>
                <w:kern w:val="0"/>
                <w:szCs w:val="21"/>
                <w:highlight w:val="none"/>
              </w:rPr>
            </w:pPr>
            <w:r>
              <w:rPr>
                <w:rFonts w:hint="eastAsia" w:ascii="宋体" w:hAnsi="宋体" w:cs="宋体"/>
                <w:color w:val="auto"/>
                <w:sz w:val="22"/>
                <w:szCs w:val="22"/>
                <w:highlight w:val="none"/>
              </w:rPr>
              <w:t>药品盘点</w:t>
            </w:r>
          </w:p>
        </w:tc>
      </w:tr>
      <w:tr w14:paraId="6C51E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851" w:type="dxa"/>
            <w:vMerge w:val="continue"/>
            <w:vAlign w:val="center"/>
          </w:tcPr>
          <w:p w14:paraId="216172E1">
            <w:pPr>
              <w:keepNext w:val="0"/>
              <w:keepLines w:val="0"/>
              <w:pageBreakBefore w:val="0"/>
              <w:numPr>
                <w:ilvl w:val="0"/>
                <w:numId w:val="15"/>
              </w:numPr>
              <w:kinsoku/>
              <w:wordWrap/>
              <w:overflowPunct/>
              <w:topLinePunct w:val="0"/>
              <w:autoSpaceDE/>
              <w:autoSpaceDN/>
              <w:bidi w:val="0"/>
              <w:adjustRightInd w:val="0"/>
              <w:snapToGrid w:val="0"/>
              <w:spacing w:line="360" w:lineRule="auto"/>
              <w:jc w:val="both"/>
              <w:textAlignment w:val="auto"/>
              <w:rPr>
                <w:rFonts w:ascii="宋体" w:hAnsi="宋体" w:cs="宋体"/>
                <w:color w:val="auto"/>
                <w:szCs w:val="21"/>
                <w:highlight w:val="none"/>
              </w:rPr>
            </w:pPr>
          </w:p>
        </w:tc>
        <w:tc>
          <w:tcPr>
            <w:tcW w:w="1113" w:type="dxa"/>
            <w:vAlign w:val="center"/>
          </w:tcPr>
          <w:p w14:paraId="11278644">
            <w:pPr>
              <w:keepNext w:val="0"/>
              <w:keepLines w:val="0"/>
              <w:pageBreakBefore w:val="0"/>
              <w:numPr>
                <w:ilvl w:val="2"/>
                <w:numId w:val="0"/>
              </w:numPr>
              <w:kinsoku/>
              <w:wordWrap/>
              <w:overflowPunct/>
              <w:topLinePunct w:val="0"/>
              <w:autoSpaceDE/>
              <w:autoSpaceDN/>
              <w:bidi w:val="0"/>
              <w:adjustRightInd w:val="0"/>
              <w:snapToGrid w:val="0"/>
              <w:spacing w:line="360" w:lineRule="auto"/>
              <w:jc w:val="both"/>
              <w:textAlignment w:val="auto"/>
              <w:rPr>
                <w:rFonts w:ascii="宋体" w:hAnsi="宋体" w:cs="宋体"/>
                <w:color w:val="auto"/>
                <w:kern w:val="0"/>
                <w:szCs w:val="21"/>
                <w:highlight w:val="none"/>
              </w:rPr>
            </w:pPr>
            <w:r>
              <w:rPr>
                <w:rFonts w:hint="eastAsia" w:ascii="宋体" w:hAnsi="宋体" w:cs="宋体"/>
                <w:color w:val="auto"/>
                <w:sz w:val="22"/>
                <w:szCs w:val="22"/>
                <w:highlight w:val="none"/>
              </w:rPr>
              <w:t>药品盘点</w:t>
            </w:r>
          </w:p>
        </w:tc>
        <w:tc>
          <w:tcPr>
            <w:tcW w:w="7814" w:type="dxa"/>
            <w:vAlign w:val="center"/>
          </w:tcPr>
          <w:p w14:paraId="79754AB8">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bCs/>
                <w:color w:val="auto"/>
                <w:szCs w:val="21"/>
                <w:highlight w:val="none"/>
              </w:rPr>
            </w:pPr>
            <w:r>
              <w:rPr>
                <w:rFonts w:hint="eastAsia" w:ascii="宋体" w:hAnsi="宋体" w:cs="宋体"/>
                <w:bCs/>
                <w:color w:val="auto"/>
                <w:szCs w:val="21"/>
                <w:highlight w:val="none"/>
              </w:rPr>
              <w:t>支持分类、分库位、分包装进行盘点；</w:t>
            </w:r>
          </w:p>
          <w:p w14:paraId="73045ACE">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bCs/>
                <w:color w:val="auto"/>
                <w:szCs w:val="21"/>
                <w:highlight w:val="none"/>
              </w:rPr>
            </w:pPr>
            <w:r>
              <w:rPr>
                <w:rFonts w:hint="eastAsia" w:ascii="宋体" w:hAnsi="宋体" w:cs="宋体"/>
                <w:bCs/>
                <w:color w:val="auto"/>
                <w:szCs w:val="21"/>
                <w:highlight w:val="none"/>
              </w:rPr>
              <w:t>支持按最小包装进行盘点，如实盘数量为1000盒100片；</w:t>
            </w:r>
          </w:p>
          <w:p w14:paraId="28D2EB41">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bCs/>
                <w:color w:val="auto"/>
                <w:szCs w:val="21"/>
                <w:highlight w:val="none"/>
              </w:rPr>
            </w:pPr>
            <w:r>
              <w:rPr>
                <w:rFonts w:hint="eastAsia" w:ascii="宋体" w:hAnsi="宋体" w:cs="宋体"/>
                <w:bCs/>
                <w:color w:val="auto"/>
                <w:szCs w:val="21"/>
                <w:highlight w:val="none"/>
              </w:rPr>
              <w:t>支持当前库房无库存药品盘点，盘点单中没有的药品，盘点员可以加入药品信息进行数量录入；</w:t>
            </w:r>
          </w:p>
          <w:p w14:paraId="68514746">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bCs/>
                <w:color w:val="auto"/>
                <w:szCs w:val="21"/>
                <w:highlight w:val="none"/>
              </w:rPr>
            </w:pPr>
            <w:r>
              <w:rPr>
                <w:rFonts w:hint="eastAsia" w:ascii="宋体" w:hAnsi="宋体" w:cs="宋体"/>
                <w:bCs/>
                <w:color w:val="auto"/>
                <w:szCs w:val="21"/>
                <w:highlight w:val="none"/>
              </w:rPr>
              <w:t>支持当前库房无库存药品盘点；</w:t>
            </w:r>
          </w:p>
          <w:p w14:paraId="0E54E44D">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bCs/>
                <w:color w:val="auto"/>
                <w:szCs w:val="21"/>
                <w:highlight w:val="none"/>
              </w:rPr>
            </w:pPr>
            <w:r>
              <w:rPr>
                <w:rFonts w:hint="eastAsia" w:ascii="宋体" w:hAnsi="宋体" w:cs="宋体"/>
                <w:bCs/>
                <w:color w:val="auto"/>
                <w:szCs w:val="21"/>
                <w:highlight w:val="none"/>
              </w:rPr>
              <w:t>支持当前库存禁用库存药品盘点；</w:t>
            </w:r>
          </w:p>
          <w:p w14:paraId="729B58E8">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bCs/>
                <w:color w:val="auto"/>
                <w:szCs w:val="21"/>
                <w:highlight w:val="none"/>
              </w:rPr>
            </w:pPr>
            <w:r>
              <w:rPr>
                <w:rFonts w:hint="eastAsia" w:ascii="宋体" w:hAnsi="宋体" w:cs="宋体"/>
                <w:bCs/>
                <w:color w:val="auto"/>
                <w:szCs w:val="21"/>
                <w:highlight w:val="none"/>
              </w:rPr>
              <w:t>支持多人盘点，盘点后需要统一盘点汇总；</w:t>
            </w:r>
          </w:p>
          <w:p w14:paraId="10FCC1EF">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bCs/>
                <w:color w:val="auto"/>
                <w:szCs w:val="21"/>
                <w:highlight w:val="none"/>
              </w:rPr>
            </w:pPr>
            <w:r>
              <w:rPr>
                <w:rFonts w:hint="eastAsia" w:ascii="宋体" w:hAnsi="宋体" w:cs="宋体"/>
                <w:bCs/>
                <w:color w:val="auto"/>
                <w:szCs w:val="21"/>
                <w:highlight w:val="none"/>
              </w:rPr>
              <w:t>支持抽样盘点，可按种类筛选；</w:t>
            </w:r>
          </w:p>
          <w:p w14:paraId="3E2888A6">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bCs/>
                <w:color w:val="auto"/>
                <w:szCs w:val="21"/>
                <w:highlight w:val="none"/>
              </w:rPr>
            </w:pPr>
            <w:r>
              <w:rPr>
                <w:rFonts w:hint="eastAsia" w:ascii="宋体" w:hAnsi="宋体" w:cs="宋体"/>
                <w:bCs/>
                <w:color w:val="auto"/>
                <w:szCs w:val="21"/>
                <w:highlight w:val="none"/>
              </w:rPr>
              <w:t>支持自动产生盘盈入库单、盘亏出库单；</w:t>
            </w:r>
          </w:p>
          <w:p w14:paraId="124483C6">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bCs/>
                <w:color w:val="auto"/>
                <w:szCs w:val="21"/>
                <w:highlight w:val="none"/>
              </w:rPr>
            </w:pPr>
            <w:r>
              <w:rPr>
                <w:rFonts w:hint="eastAsia" w:ascii="宋体" w:hAnsi="宋体" w:cs="宋体"/>
                <w:bCs/>
                <w:color w:val="auto"/>
                <w:szCs w:val="21"/>
                <w:highlight w:val="none"/>
              </w:rPr>
              <w:t>支持盘点录入时，</w:t>
            </w:r>
            <w:r>
              <w:rPr>
                <w:rFonts w:hint="eastAsia" w:ascii="宋体" w:hAnsi="宋体" w:cs="宋体"/>
                <w:bCs/>
                <w:szCs w:val="21"/>
              </w:rPr>
              <w:t>通过生成盘点单，录入实物库存后提交生成盘点盈亏统计。</w:t>
            </w:r>
            <w:r>
              <w:rPr>
                <w:rFonts w:hint="eastAsia" w:ascii="宋体" w:hAnsi="宋体" w:cs="宋体"/>
                <w:bCs/>
                <w:szCs w:val="21"/>
                <w:highlight w:val="none"/>
                <w:lang w:val="en-US" w:eastAsia="zh-CN"/>
              </w:rPr>
              <w:t>提交后，点击“调整库存”按钮，可完成库存调整。“调整库存”功能支持个性化授权管理，授权的账户可操作调整库存，未授权的账户不允许调整库存。</w:t>
            </w:r>
          </w:p>
          <w:p w14:paraId="7A8830D2">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bCs/>
                <w:color w:val="auto"/>
                <w:szCs w:val="21"/>
                <w:highlight w:val="none"/>
              </w:rPr>
            </w:pPr>
            <w:r>
              <w:rPr>
                <w:rFonts w:hint="eastAsia" w:ascii="宋体" w:hAnsi="宋体" w:cs="宋体"/>
                <w:bCs/>
                <w:color w:val="auto"/>
                <w:szCs w:val="21"/>
                <w:highlight w:val="none"/>
              </w:rPr>
              <w:t>支持盘点过程中进行发退药，并在最终的汇总单上体现出发退药的数量；</w:t>
            </w:r>
          </w:p>
          <w:p w14:paraId="7A921ADE">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bCs/>
                <w:color w:val="auto"/>
                <w:szCs w:val="21"/>
                <w:highlight w:val="none"/>
              </w:rPr>
            </w:pPr>
            <w:r>
              <w:rPr>
                <w:rFonts w:hint="eastAsia" w:ascii="宋体" w:hAnsi="宋体" w:cs="宋体"/>
                <w:bCs/>
                <w:color w:val="auto"/>
                <w:szCs w:val="21"/>
                <w:highlight w:val="none"/>
              </w:rPr>
              <w:t>支持PDA端进行盘点录入，多人或单人在PDA端同时盘点录入。</w:t>
            </w:r>
          </w:p>
          <w:p w14:paraId="4853438E">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bCs/>
                <w:color w:val="auto"/>
                <w:szCs w:val="21"/>
                <w:highlight w:val="none"/>
              </w:rPr>
            </w:pPr>
            <w:r>
              <w:rPr>
                <w:rFonts w:hint="eastAsia" w:ascii="宋体" w:hAnsi="宋体" w:cs="宋体"/>
                <w:bCs/>
                <w:color w:val="auto"/>
                <w:szCs w:val="21"/>
                <w:highlight w:val="none"/>
              </w:rPr>
              <w:t>可选择多个药房单元药品盘亏盘盈数据、既往盘亏盘盈数据汇总在一张表中。（提供报表明细字段）</w:t>
            </w:r>
          </w:p>
        </w:tc>
      </w:tr>
      <w:tr w14:paraId="6CB1A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1" w:type="dxa"/>
            <w:vMerge w:val="continue"/>
            <w:vAlign w:val="center"/>
          </w:tcPr>
          <w:p w14:paraId="4CF10A06">
            <w:pPr>
              <w:keepNext w:val="0"/>
              <w:keepLines w:val="0"/>
              <w:pageBreakBefore w:val="0"/>
              <w:numPr>
                <w:ilvl w:val="0"/>
                <w:numId w:val="15"/>
              </w:numPr>
              <w:kinsoku/>
              <w:wordWrap/>
              <w:overflowPunct/>
              <w:topLinePunct w:val="0"/>
              <w:autoSpaceDE/>
              <w:autoSpaceDN/>
              <w:bidi w:val="0"/>
              <w:adjustRightInd w:val="0"/>
              <w:snapToGrid w:val="0"/>
              <w:spacing w:line="360" w:lineRule="auto"/>
              <w:jc w:val="both"/>
              <w:textAlignment w:val="auto"/>
              <w:rPr>
                <w:rFonts w:ascii="宋体" w:hAnsi="宋体" w:cs="宋体"/>
                <w:color w:val="auto"/>
                <w:szCs w:val="21"/>
                <w:highlight w:val="none"/>
              </w:rPr>
            </w:pPr>
          </w:p>
        </w:tc>
        <w:tc>
          <w:tcPr>
            <w:tcW w:w="8927" w:type="dxa"/>
            <w:gridSpan w:val="2"/>
            <w:vAlign w:val="center"/>
          </w:tcPr>
          <w:p w14:paraId="19FEBA23">
            <w:pPr>
              <w:keepNext w:val="0"/>
              <w:keepLines w:val="0"/>
              <w:pageBreakBefore w:val="0"/>
              <w:numPr>
                <w:ilvl w:val="1"/>
                <w:numId w:val="0"/>
              </w:numPr>
              <w:kinsoku/>
              <w:wordWrap/>
              <w:overflowPunct/>
              <w:topLinePunct w:val="0"/>
              <w:autoSpaceDE/>
              <w:autoSpaceDN/>
              <w:bidi w:val="0"/>
              <w:adjustRightInd w:val="0"/>
              <w:snapToGrid w:val="0"/>
              <w:spacing w:line="360" w:lineRule="auto"/>
              <w:jc w:val="both"/>
              <w:textAlignment w:val="auto"/>
              <w:rPr>
                <w:rFonts w:ascii="宋体" w:hAnsi="宋体" w:cs="宋体"/>
                <w:color w:val="auto"/>
                <w:kern w:val="0"/>
                <w:szCs w:val="21"/>
                <w:highlight w:val="none"/>
              </w:rPr>
            </w:pPr>
            <w:r>
              <w:rPr>
                <w:rFonts w:hint="eastAsia" w:ascii="宋体" w:hAnsi="宋体" w:cs="宋体"/>
                <w:color w:val="auto"/>
                <w:sz w:val="22"/>
                <w:szCs w:val="22"/>
                <w:highlight w:val="none"/>
              </w:rPr>
              <w:t>库存禁用</w:t>
            </w:r>
          </w:p>
        </w:tc>
      </w:tr>
      <w:tr w14:paraId="2B3F2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851" w:type="dxa"/>
            <w:vMerge w:val="continue"/>
            <w:vAlign w:val="center"/>
          </w:tcPr>
          <w:p w14:paraId="731FAB49">
            <w:pPr>
              <w:keepNext w:val="0"/>
              <w:keepLines w:val="0"/>
              <w:pageBreakBefore w:val="0"/>
              <w:numPr>
                <w:ilvl w:val="0"/>
                <w:numId w:val="15"/>
              </w:numPr>
              <w:kinsoku/>
              <w:wordWrap/>
              <w:overflowPunct/>
              <w:topLinePunct w:val="0"/>
              <w:autoSpaceDE/>
              <w:autoSpaceDN/>
              <w:bidi w:val="0"/>
              <w:adjustRightInd w:val="0"/>
              <w:snapToGrid w:val="0"/>
              <w:spacing w:line="360" w:lineRule="auto"/>
              <w:jc w:val="both"/>
              <w:textAlignment w:val="auto"/>
              <w:rPr>
                <w:rFonts w:ascii="宋体" w:hAnsi="宋体" w:cs="宋体"/>
                <w:color w:val="auto"/>
                <w:szCs w:val="21"/>
                <w:highlight w:val="none"/>
              </w:rPr>
            </w:pPr>
          </w:p>
        </w:tc>
        <w:tc>
          <w:tcPr>
            <w:tcW w:w="1113" w:type="dxa"/>
            <w:vAlign w:val="center"/>
          </w:tcPr>
          <w:p w14:paraId="2C2074CD">
            <w:pPr>
              <w:keepNext w:val="0"/>
              <w:keepLines w:val="0"/>
              <w:pageBreakBefore w:val="0"/>
              <w:numPr>
                <w:ilvl w:val="2"/>
                <w:numId w:val="0"/>
              </w:numPr>
              <w:kinsoku/>
              <w:wordWrap/>
              <w:overflowPunct/>
              <w:topLinePunct w:val="0"/>
              <w:autoSpaceDE/>
              <w:autoSpaceDN/>
              <w:bidi w:val="0"/>
              <w:adjustRightInd w:val="0"/>
              <w:snapToGrid w:val="0"/>
              <w:spacing w:line="360" w:lineRule="auto"/>
              <w:jc w:val="both"/>
              <w:textAlignment w:val="auto"/>
              <w:rPr>
                <w:rFonts w:ascii="宋体" w:hAnsi="宋体" w:cs="宋体"/>
                <w:color w:val="auto"/>
                <w:kern w:val="0"/>
                <w:szCs w:val="21"/>
                <w:highlight w:val="none"/>
              </w:rPr>
            </w:pPr>
            <w:r>
              <w:rPr>
                <w:rFonts w:hint="eastAsia" w:ascii="宋体" w:hAnsi="宋体" w:cs="宋体"/>
                <w:color w:val="auto"/>
                <w:sz w:val="22"/>
                <w:szCs w:val="22"/>
                <w:highlight w:val="none"/>
              </w:rPr>
              <w:t>库存禁用</w:t>
            </w:r>
          </w:p>
        </w:tc>
        <w:tc>
          <w:tcPr>
            <w:tcW w:w="7814" w:type="dxa"/>
            <w:vAlign w:val="center"/>
          </w:tcPr>
          <w:p w14:paraId="25B85783">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bCs/>
                <w:color w:val="auto"/>
                <w:szCs w:val="21"/>
                <w:highlight w:val="none"/>
              </w:rPr>
            </w:pPr>
            <w:r>
              <w:rPr>
                <w:rFonts w:hint="eastAsia" w:ascii="宋体" w:hAnsi="宋体" w:cs="宋体"/>
                <w:bCs/>
                <w:color w:val="auto"/>
                <w:szCs w:val="21"/>
                <w:highlight w:val="none"/>
              </w:rPr>
              <w:t>支持批次禁用功能，将同一批次的某类药品全部禁用；</w:t>
            </w:r>
          </w:p>
          <w:p w14:paraId="7313A6CC">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bCs/>
                <w:color w:val="auto"/>
                <w:szCs w:val="21"/>
                <w:highlight w:val="none"/>
              </w:rPr>
            </w:pPr>
            <w:r>
              <w:rPr>
                <w:rFonts w:hint="eastAsia" w:ascii="宋体" w:hAnsi="宋体" w:cs="宋体"/>
                <w:bCs/>
                <w:color w:val="auto"/>
                <w:szCs w:val="21"/>
                <w:highlight w:val="none"/>
              </w:rPr>
              <w:t>提供缺药时允许使用某批次禁用药品功能；同时发布缺药动态通知临床科室调整可替代医嘱药品。</w:t>
            </w:r>
          </w:p>
          <w:p w14:paraId="0B42E935">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bCs/>
                <w:color w:val="auto"/>
                <w:szCs w:val="21"/>
                <w:highlight w:val="none"/>
              </w:rPr>
            </w:pPr>
            <w:r>
              <w:rPr>
                <w:rFonts w:hint="eastAsia" w:ascii="宋体" w:hAnsi="宋体" w:cs="宋体"/>
                <w:bCs/>
                <w:color w:val="auto"/>
                <w:szCs w:val="21"/>
                <w:highlight w:val="none"/>
              </w:rPr>
              <w:t>支持产地禁用，将某一产地的药品全部禁用；</w:t>
            </w:r>
          </w:p>
          <w:p w14:paraId="4B84F1F2">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bCs/>
                <w:color w:val="auto"/>
                <w:szCs w:val="21"/>
                <w:highlight w:val="none"/>
              </w:rPr>
            </w:pPr>
            <w:r>
              <w:rPr>
                <w:rFonts w:hint="eastAsia" w:ascii="宋体" w:hAnsi="宋体" w:cs="宋体"/>
                <w:bCs/>
                <w:color w:val="auto"/>
                <w:szCs w:val="21"/>
                <w:highlight w:val="none"/>
              </w:rPr>
              <w:t>支持药品禁用，将同一药品信息的药品全部禁用；</w:t>
            </w:r>
          </w:p>
          <w:p w14:paraId="5A1249ED">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bCs/>
                <w:color w:val="auto"/>
                <w:szCs w:val="21"/>
                <w:highlight w:val="none"/>
              </w:rPr>
            </w:pPr>
            <w:r>
              <w:rPr>
                <w:rFonts w:hint="eastAsia" w:ascii="宋体" w:hAnsi="宋体" w:cs="宋体"/>
                <w:bCs/>
                <w:color w:val="auto"/>
                <w:szCs w:val="21"/>
                <w:highlight w:val="none"/>
              </w:rPr>
              <w:t>支持取消禁用功能，提供取消禁用常见原因，便于药师选择；</w:t>
            </w:r>
          </w:p>
        </w:tc>
      </w:tr>
      <w:tr w14:paraId="321F0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1" w:type="dxa"/>
            <w:vMerge w:val="continue"/>
            <w:vAlign w:val="center"/>
          </w:tcPr>
          <w:p w14:paraId="1F562936">
            <w:pPr>
              <w:keepNext w:val="0"/>
              <w:keepLines w:val="0"/>
              <w:pageBreakBefore w:val="0"/>
              <w:numPr>
                <w:ilvl w:val="0"/>
                <w:numId w:val="15"/>
              </w:numPr>
              <w:kinsoku/>
              <w:wordWrap/>
              <w:overflowPunct/>
              <w:topLinePunct w:val="0"/>
              <w:autoSpaceDE/>
              <w:autoSpaceDN/>
              <w:bidi w:val="0"/>
              <w:adjustRightInd w:val="0"/>
              <w:snapToGrid w:val="0"/>
              <w:spacing w:line="360" w:lineRule="auto"/>
              <w:jc w:val="both"/>
              <w:textAlignment w:val="auto"/>
              <w:rPr>
                <w:rFonts w:ascii="宋体" w:hAnsi="宋体" w:cs="宋体"/>
                <w:color w:val="auto"/>
                <w:szCs w:val="21"/>
                <w:highlight w:val="none"/>
              </w:rPr>
            </w:pPr>
          </w:p>
        </w:tc>
        <w:tc>
          <w:tcPr>
            <w:tcW w:w="8927" w:type="dxa"/>
            <w:gridSpan w:val="2"/>
            <w:vAlign w:val="center"/>
          </w:tcPr>
          <w:p w14:paraId="06DF3E3E">
            <w:pPr>
              <w:keepNext w:val="0"/>
              <w:keepLines w:val="0"/>
              <w:pageBreakBefore w:val="0"/>
              <w:numPr>
                <w:ilvl w:val="1"/>
                <w:numId w:val="0"/>
              </w:numPr>
              <w:kinsoku/>
              <w:wordWrap/>
              <w:overflowPunct/>
              <w:topLinePunct w:val="0"/>
              <w:autoSpaceDE/>
              <w:autoSpaceDN/>
              <w:bidi w:val="0"/>
              <w:adjustRightInd w:val="0"/>
              <w:snapToGrid w:val="0"/>
              <w:spacing w:line="360" w:lineRule="auto"/>
              <w:jc w:val="both"/>
              <w:textAlignment w:val="auto"/>
              <w:rPr>
                <w:rFonts w:ascii="宋体" w:hAnsi="宋体" w:cs="宋体"/>
                <w:color w:val="auto"/>
                <w:kern w:val="0"/>
                <w:szCs w:val="21"/>
                <w:highlight w:val="none"/>
              </w:rPr>
            </w:pPr>
            <w:r>
              <w:rPr>
                <w:rFonts w:hint="eastAsia" w:ascii="宋体" w:hAnsi="宋体" w:cs="宋体"/>
                <w:color w:val="auto"/>
                <w:sz w:val="22"/>
                <w:szCs w:val="22"/>
                <w:highlight w:val="none"/>
              </w:rPr>
              <w:t>药品日结月结</w:t>
            </w:r>
          </w:p>
        </w:tc>
      </w:tr>
      <w:tr w14:paraId="07DD8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851" w:type="dxa"/>
            <w:vMerge w:val="continue"/>
            <w:vAlign w:val="center"/>
          </w:tcPr>
          <w:p w14:paraId="58321652">
            <w:pPr>
              <w:keepNext w:val="0"/>
              <w:keepLines w:val="0"/>
              <w:pageBreakBefore w:val="0"/>
              <w:numPr>
                <w:ilvl w:val="0"/>
                <w:numId w:val="15"/>
              </w:numPr>
              <w:kinsoku/>
              <w:wordWrap/>
              <w:overflowPunct/>
              <w:topLinePunct w:val="0"/>
              <w:autoSpaceDE/>
              <w:autoSpaceDN/>
              <w:bidi w:val="0"/>
              <w:adjustRightInd w:val="0"/>
              <w:snapToGrid w:val="0"/>
              <w:spacing w:line="360" w:lineRule="auto"/>
              <w:jc w:val="both"/>
              <w:textAlignment w:val="auto"/>
              <w:rPr>
                <w:rFonts w:ascii="宋体" w:hAnsi="宋体" w:cs="宋体"/>
                <w:color w:val="auto"/>
                <w:szCs w:val="21"/>
                <w:highlight w:val="none"/>
              </w:rPr>
            </w:pPr>
          </w:p>
        </w:tc>
        <w:tc>
          <w:tcPr>
            <w:tcW w:w="1113" w:type="dxa"/>
            <w:vAlign w:val="center"/>
          </w:tcPr>
          <w:p w14:paraId="3B334F6F">
            <w:pPr>
              <w:keepNext w:val="0"/>
              <w:keepLines w:val="0"/>
              <w:pageBreakBefore w:val="0"/>
              <w:numPr>
                <w:ilvl w:val="2"/>
                <w:numId w:val="0"/>
              </w:numPr>
              <w:kinsoku/>
              <w:wordWrap/>
              <w:overflowPunct/>
              <w:topLinePunct w:val="0"/>
              <w:autoSpaceDE/>
              <w:autoSpaceDN/>
              <w:bidi w:val="0"/>
              <w:adjustRightInd w:val="0"/>
              <w:snapToGrid w:val="0"/>
              <w:spacing w:line="360" w:lineRule="auto"/>
              <w:jc w:val="both"/>
              <w:textAlignment w:val="auto"/>
              <w:rPr>
                <w:rFonts w:ascii="宋体" w:hAnsi="宋体" w:cs="宋体"/>
                <w:color w:val="auto"/>
                <w:kern w:val="0"/>
                <w:szCs w:val="21"/>
                <w:highlight w:val="none"/>
              </w:rPr>
            </w:pPr>
            <w:r>
              <w:rPr>
                <w:rFonts w:hint="eastAsia" w:ascii="宋体" w:hAnsi="宋体" w:cs="宋体"/>
                <w:color w:val="auto"/>
                <w:sz w:val="22"/>
                <w:szCs w:val="22"/>
                <w:highlight w:val="none"/>
              </w:rPr>
              <w:t>药品日结月结</w:t>
            </w:r>
          </w:p>
        </w:tc>
        <w:tc>
          <w:tcPr>
            <w:tcW w:w="7814" w:type="dxa"/>
            <w:vAlign w:val="center"/>
          </w:tcPr>
          <w:p w14:paraId="29A298B8">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bCs/>
                <w:color w:val="auto"/>
                <w:szCs w:val="21"/>
                <w:highlight w:val="none"/>
              </w:rPr>
            </w:pPr>
            <w:r>
              <w:rPr>
                <w:rFonts w:hint="eastAsia" w:ascii="宋体" w:hAnsi="宋体" w:cs="宋体"/>
                <w:bCs/>
                <w:color w:val="auto"/>
                <w:szCs w:val="21"/>
                <w:highlight w:val="none"/>
              </w:rPr>
              <w:t>支持药品每天库存变化查询（显示某个药品在某段时间内每天的库存）。</w:t>
            </w:r>
          </w:p>
          <w:p w14:paraId="2E7DCDF2">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bCs/>
                <w:color w:val="auto"/>
                <w:szCs w:val="21"/>
                <w:highlight w:val="none"/>
              </w:rPr>
            </w:pPr>
            <w:r>
              <w:rPr>
                <w:rFonts w:hint="eastAsia" w:ascii="宋体" w:hAnsi="宋体" w:cs="宋体"/>
                <w:bCs/>
                <w:color w:val="auto"/>
                <w:szCs w:val="21"/>
                <w:highlight w:val="none"/>
              </w:rPr>
              <w:t>支持每天计算库存和实际库存不符合的药品的查询，并能查询相应的台账。</w:t>
            </w:r>
          </w:p>
          <w:p w14:paraId="5F308D65">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bCs/>
                <w:color w:val="auto"/>
                <w:szCs w:val="21"/>
                <w:highlight w:val="none"/>
              </w:rPr>
            </w:pPr>
            <w:r>
              <w:rPr>
                <w:rFonts w:hint="eastAsia" w:ascii="宋体" w:hAnsi="宋体" w:cs="宋体"/>
                <w:bCs/>
                <w:color w:val="auto"/>
                <w:szCs w:val="21"/>
                <w:highlight w:val="none"/>
              </w:rPr>
              <w:t>支持贵重药品、精麻毒、终止妊娠药品等特殊药品日结日报功能，日结表新增“实际库存”、“库存差异”，“实际库存”默认等于“期末结余”，支持人工修改，库存差异等于期末结余减去实际库存，日结表可打印；</w:t>
            </w:r>
          </w:p>
          <w:p w14:paraId="5879F8EC">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bCs/>
                <w:color w:val="auto"/>
                <w:szCs w:val="21"/>
                <w:highlight w:val="none"/>
              </w:rPr>
            </w:pPr>
            <w:r>
              <w:rPr>
                <w:rFonts w:hint="eastAsia" w:ascii="宋体" w:hAnsi="宋体" w:cs="宋体"/>
                <w:bCs/>
                <w:color w:val="auto"/>
                <w:szCs w:val="21"/>
                <w:highlight w:val="none"/>
              </w:rPr>
              <w:t>打印的日结表增加条形码，PDA扫描后显示该表包含的药品通用名、商品名、规格、药品位置、期末结余、实际库存，实际库存默认等于期末结余，可人工修改，PDA端点击确认后，HIS端日结表可同步更新。</w:t>
            </w:r>
            <w:r>
              <w:rPr>
                <w:rFonts w:hint="eastAsia"/>
                <w:color w:val="auto"/>
                <w:highlight w:val="none"/>
              </w:rPr>
              <w:t>（药房PDA移动盘点，盘点数据回传给HIS，改成接口对接描述）</w:t>
            </w:r>
          </w:p>
          <w:p w14:paraId="3C3F9EAB">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bCs/>
                <w:color w:val="auto"/>
                <w:szCs w:val="21"/>
                <w:highlight w:val="none"/>
              </w:rPr>
            </w:pPr>
            <w:r>
              <w:rPr>
                <w:rFonts w:hint="eastAsia" w:ascii="宋体" w:hAnsi="宋体" w:cs="宋体"/>
                <w:bCs/>
                <w:color w:val="auto"/>
                <w:szCs w:val="21"/>
                <w:highlight w:val="none"/>
              </w:rPr>
              <w:t>支持自定义月结日功能，初次月结日未初始建账日期，以后每月的月结起始时间就是上次月结的月结终止时间；</w:t>
            </w:r>
          </w:p>
          <w:p w14:paraId="6FE48F31">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bCs/>
                <w:color w:val="auto"/>
                <w:szCs w:val="21"/>
                <w:highlight w:val="none"/>
              </w:rPr>
            </w:pPr>
            <w:r>
              <w:rPr>
                <w:rFonts w:hint="eastAsia" w:ascii="宋体" w:hAnsi="宋体" w:cs="宋体"/>
                <w:bCs/>
                <w:color w:val="auto"/>
                <w:szCs w:val="21"/>
                <w:highlight w:val="none"/>
              </w:rPr>
              <w:t>支持月结前自动判断库房业务是否完成功能，如领药单、退药单、调拨入库单、调拨出库单以及出入库单是否确认；</w:t>
            </w:r>
          </w:p>
          <w:p w14:paraId="6F2DFEDF">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bCs/>
                <w:color w:val="auto"/>
                <w:szCs w:val="21"/>
                <w:highlight w:val="none"/>
              </w:rPr>
            </w:pPr>
            <w:r>
              <w:rPr>
                <w:rFonts w:hint="eastAsia" w:ascii="宋体" w:hAnsi="宋体" w:cs="宋体"/>
                <w:bCs/>
                <w:color w:val="auto"/>
                <w:szCs w:val="21"/>
                <w:highlight w:val="none"/>
              </w:rPr>
              <w:t>支持取消月结，取消月结必须从最后一个月结月份逐月取消，不能跳月取消月结。</w:t>
            </w:r>
          </w:p>
        </w:tc>
      </w:tr>
      <w:tr w14:paraId="5FAE2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1" w:type="dxa"/>
            <w:vMerge w:val="continue"/>
            <w:vAlign w:val="center"/>
          </w:tcPr>
          <w:p w14:paraId="3AEEEC31">
            <w:pPr>
              <w:keepNext w:val="0"/>
              <w:keepLines w:val="0"/>
              <w:pageBreakBefore w:val="0"/>
              <w:numPr>
                <w:ilvl w:val="0"/>
                <w:numId w:val="15"/>
              </w:numPr>
              <w:kinsoku/>
              <w:wordWrap/>
              <w:overflowPunct/>
              <w:topLinePunct w:val="0"/>
              <w:autoSpaceDE/>
              <w:autoSpaceDN/>
              <w:bidi w:val="0"/>
              <w:adjustRightInd w:val="0"/>
              <w:snapToGrid w:val="0"/>
              <w:spacing w:line="360" w:lineRule="auto"/>
              <w:jc w:val="both"/>
              <w:textAlignment w:val="auto"/>
              <w:rPr>
                <w:rFonts w:ascii="宋体" w:hAnsi="宋体" w:cs="宋体"/>
                <w:color w:val="auto"/>
                <w:szCs w:val="21"/>
                <w:highlight w:val="none"/>
              </w:rPr>
            </w:pPr>
          </w:p>
        </w:tc>
        <w:tc>
          <w:tcPr>
            <w:tcW w:w="8927" w:type="dxa"/>
            <w:gridSpan w:val="2"/>
            <w:vAlign w:val="center"/>
          </w:tcPr>
          <w:p w14:paraId="5183C751">
            <w:pPr>
              <w:keepNext w:val="0"/>
              <w:keepLines w:val="0"/>
              <w:pageBreakBefore w:val="0"/>
              <w:numPr>
                <w:ilvl w:val="1"/>
                <w:numId w:val="0"/>
              </w:numPr>
              <w:kinsoku/>
              <w:wordWrap/>
              <w:overflowPunct/>
              <w:topLinePunct w:val="0"/>
              <w:autoSpaceDE/>
              <w:autoSpaceDN/>
              <w:bidi w:val="0"/>
              <w:adjustRightInd w:val="0"/>
              <w:snapToGrid w:val="0"/>
              <w:spacing w:line="360" w:lineRule="auto"/>
              <w:jc w:val="both"/>
              <w:textAlignment w:val="auto"/>
              <w:rPr>
                <w:rFonts w:ascii="宋体" w:hAnsi="宋体" w:cs="宋体"/>
                <w:color w:val="auto"/>
                <w:kern w:val="0"/>
                <w:szCs w:val="21"/>
                <w:highlight w:val="none"/>
              </w:rPr>
            </w:pPr>
            <w:r>
              <w:rPr>
                <w:rFonts w:hint="eastAsia" w:ascii="宋体" w:hAnsi="宋体" w:cs="宋体"/>
                <w:color w:val="auto"/>
                <w:sz w:val="22"/>
                <w:szCs w:val="22"/>
                <w:highlight w:val="none"/>
              </w:rPr>
              <w:t>库房查询</w:t>
            </w:r>
          </w:p>
        </w:tc>
      </w:tr>
      <w:tr w14:paraId="659D8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851" w:type="dxa"/>
            <w:vMerge w:val="continue"/>
            <w:vAlign w:val="center"/>
          </w:tcPr>
          <w:p w14:paraId="20834759">
            <w:pPr>
              <w:keepNext w:val="0"/>
              <w:keepLines w:val="0"/>
              <w:pageBreakBefore w:val="0"/>
              <w:numPr>
                <w:ilvl w:val="0"/>
                <w:numId w:val="15"/>
              </w:numPr>
              <w:kinsoku/>
              <w:wordWrap/>
              <w:overflowPunct/>
              <w:topLinePunct w:val="0"/>
              <w:autoSpaceDE/>
              <w:autoSpaceDN/>
              <w:bidi w:val="0"/>
              <w:adjustRightInd w:val="0"/>
              <w:snapToGrid w:val="0"/>
              <w:spacing w:line="360" w:lineRule="auto"/>
              <w:jc w:val="both"/>
              <w:textAlignment w:val="auto"/>
              <w:rPr>
                <w:rFonts w:ascii="宋体" w:hAnsi="宋体" w:cs="宋体"/>
                <w:color w:val="auto"/>
                <w:szCs w:val="21"/>
                <w:highlight w:val="none"/>
              </w:rPr>
            </w:pPr>
          </w:p>
        </w:tc>
        <w:tc>
          <w:tcPr>
            <w:tcW w:w="1113" w:type="dxa"/>
            <w:vAlign w:val="center"/>
          </w:tcPr>
          <w:p w14:paraId="1296B16C">
            <w:pPr>
              <w:keepNext w:val="0"/>
              <w:keepLines w:val="0"/>
              <w:pageBreakBefore w:val="0"/>
              <w:numPr>
                <w:ilvl w:val="2"/>
                <w:numId w:val="0"/>
              </w:numPr>
              <w:kinsoku/>
              <w:wordWrap/>
              <w:overflowPunct/>
              <w:topLinePunct w:val="0"/>
              <w:autoSpaceDE/>
              <w:autoSpaceDN/>
              <w:bidi w:val="0"/>
              <w:adjustRightInd w:val="0"/>
              <w:snapToGrid w:val="0"/>
              <w:spacing w:line="360" w:lineRule="auto"/>
              <w:jc w:val="both"/>
              <w:textAlignment w:val="auto"/>
              <w:rPr>
                <w:rFonts w:ascii="宋体" w:hAnsi="宋体" w:cs="宋体"/>
                <w:color w:val="auto"/>
                <w:kern w:val="0"/>
                <w:szCs w:val="21"/>
                <w:highlight w:val="none"/>
              </w:rPr>
            </w:pPr>
            <w:r>
              <w:rPr>
                <w:rFonts w:hint="eastAsia" w:ascii="宋体" w:hAnsi="宋体" w:cs="宋体"/>
                <w:color w:val="auto"/>
                <w:sz w:val="22"/>
                <w:szCs w:val="22"/>
                <w:highlight w:val="none"/>
              </w:rPr>
              <w:t>库房查询</w:t>
            </w:r>
          </w:p>
        </w:tc>
        <w:tc>
          <w:tcPr>
            <w:tcW w:w="7814" w:type="dxa"/>
            <w:vAlign w:val="center"/>
          </w:tcPr>
          <w:p w14:paraId="3EF2B379">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bCs/>
                <w:color w:val="auto"/>
                <w:szCs w:val="21"/>
                <w:highlight w:val="none"/>
              </w:rPr>
            </w:pPr>
            <w:r>
              <w:rPr>
                <w:rFonts w:hint="eastAsia" w:ascii="宋体" w:hAnsi="宋体" w:cs="宋体"/>
                <w:bCs/>
                <w:szCs w:val="21"/>
              </w:rPr>
              <w:t>库房设置，设置库房药品的高低储、是否可供、货位、库管分类（大药库有多个库管分类）。</w:t>
            </w:r>
          </w:p>
          <w:p w14:paraId="6757DAEA">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bCs/>
                <w:color w:val="auto"/>
                <w:szCs w:val="21"/>
                <w:highlight w:val="none"/>
              </w:rPr>
            </w:pPr>
            <w:r>
              <w:rPr>
                <w:rFonts w:hint="eastAsia" w:ascii="宋体" w:hAnsi="宋体" w:cs="宋体"/>
                <w:bCs/>
                <w:color w:val="auto"/>
                <w:szCs w:val="21"/>
                <w:highlight w:val="none"/>
              </w:rPr>
              <w:t>提供病区发药统计、病区发药查询、病区退药查询、历史发药查询、病区药房库存查询、药品最新价格查询、调价历史查询、高/低储报警、失效报警、药房账册查询、药房汇总月报表等功能。</w:t>
            </w:r>
          </w:p>
          <w:p w14:paraId="3E63C429">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bCs/>
                <w:color w:val="auto"/>
                <w:szCs w:val="21"/>
                <w:highlight w:val="none"/>
              </w:rPr>
            </w:pPr>
            <w:r>
              <w:rPr>
                <w:rFonts w:hint="eastAsia" w:ascii="宋体" w:hAnsi="宋体" w:cs="宋体"/>
                <w:bCs/>
                <w:color w:val="auto"/>
                <w:szCs w:val="21"/>
                <w:highlight w:val="none"/>
              </w:rPr>
              <w:t>支持药品批次管理；</w:t>
            </w:r>
          </w:p>
          <w:p w14:paraId="10B1EDC9">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bCs/>
                <w:color w:val="auto"/>
                <w:szCs w:val="21"/>
                <w:highlight w:val="none"/>
              </w:rPr>
            </w:pPr>
            <w:r>
              <w:rPr>
                <w:rFonts w:hint="eastAsia" w:ascii="宋体" w:hAnsi="宋体" w:cs="宋体"/>
                <w:bCs/>
                <w:color w:val="auto"/>
                <w:szCs w:val="21"/>
                <w:highlight w:val="none"/>
              </w:rPr>
              <w:t>提供药品有效期自动报警功能，支持统计过期药品的品种数和金额，提供库存量提示功能；</w:t>
            </w:r>
          </w:p>
          <w:p w14:paraId="7CA45829">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bCs/>
                <w:color w:val="auto"/>
                <w:szCs w:val="21"/>
                <w:highlight w:val="none"/>
              </w:rPr>
            </w:pPr>
            <w:r>
              <w:rPr>
                <w:rFonts w:hint="eastAsia" w:ascii="宋体" w:hAnsi="宋体" w:cs="宋体"/>
                <w:highlight w:val="none"/>
              </w:rPr>
              <w:t>支持期效管理，可以查询药品的在库存中的有效期和批次号，如果和实际有出入库可以进行调整修改。</w:t>
            </w:r>
          </w:p>
          <w:p w14:paraId="3FA62A1F">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bCs/>
                <w:color w:val="auto"/>
                <w:szCs w:val="21"/>
                <w:highlight w:val="none"/>
              </w:rPr>
            </w:pPr>
            <w:r>
              <w:rPr>
                <w:rFonts w:hint="eastAsia" w:ascii="宋体" w:hAnsi="宋体" w:cs="宋体"/>
                <w:bCs/>
                <w:color w:val="auto"/>
                <w:szCs w:val="21"/>
                <w:highlight w:val="none"/>
              </w:rPr>
              <w:t>支持多个住院药房的管理；</w:t>
            </w:r>
          </w:p>
          <w:p w14:paraId="38ACBDC8">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bCs/>
                <w:color w:val="auto"/>
                <w:szCs w:val="21"/>
                <w:highlight w:val="none"/>
              </w:rPr>
            </w:pPr>
            <w:r>
              <w:rPr>
                <w:rFonts w:hint="eastAsia" w:ascii="宋体" w:hAnsi="宋体" w:cs="宋体"/>
                <w:bCs/>
                <w:color w:val="auto"/>
                <w:szCs w:val="21"/>
                <w:highlight w:val="none"/>
              </w:rPr>
              <w:t>支持病区三级库房管理。</w:t>
            </w:r>
          </w:p>
          <w:p w14:paraId="0980D7B2">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bCs/>
                <w:color w:val="auto"/>
                <w:szCs w:val="21"/>
                <w:highlight w:val="none"/>
              </w:rPr>
            </w:pPr>
            <w:r>
              <w:rPr>
                <w:rFonts w:hint="eastAsia" w:ascii="宋体" w:hAnsi="宋体" w:cs="宋体"/>
                <w:bCs/>
                <w:color w:val="auto"/>
                <w:szCs w:val="21"/>
                <w:highlight w:val="none"/>
              </w:rPr>
              <w:t>支持同时显示其他药房的库存数量。（见图）</w:t>
            </w:r>
          </w:p>
          <w:p w14:paraId="29D55E3B">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bCs/>
                <w:szCs w:val="21"/>
              </w:rPr>
            </w:pPr>
            <w:r>
              <w:rPr>
                <w:rFonts w:hint="eastAsia" w:ascii="宋体" w:hAnsi="宋体" w:cs="宋体"/>
                <w:bCs/>
                <w:szCs w:val="21"/>
              </w:rPr>
              <w:t>实时库存查询，药库可以看到当前库房的实时库存，也可以看全院的实时库存情况(根据需要进行权限设置)。</w:t>
            </w:r>
          </w:p>
          <w:p w14:paraId="1A989E55">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bCs/>
                <w:color w:val="auto"/>
                <w:szCs w:val="21"/>
                <w:highlight w:val="none"/>
              </w:rPr>
            </w:pPr>
            <w:r>
              <w:rPr>
                <w:rFonts w:hint="eastAsia" w:ascii="宋体" w:hAnsi="宋体" w:cs="宋体"/>
                <w:bCs/>
                <w:szCs w:val="21"/>
              </w:rPr>
              <w:t>支持药品追溯码扫码自动建单入库。</w:t>
            </w:r>
          </w:p>
        </w:tc>
      </w:tr>
      <w:tr w14:paraId="78413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1" w:type="dxa"/>
            <w:vAlign w:val="center"/>
          </w:tcPr>
          <w:p w14:paraId="4A1735D9">
            <w:pPr>
              <w:keepNext w:val="0"/>
              <w:keepLines w:val="0"/>
              <w:pageBreakBefore w:val="0"/>
              <w:kinsoku/>
              <w:wordWrap/>
              <w:overflowPunct/>
              <w:topLinePunct w:val="0"/>
              <w:autoSpaceDE/>
              <w:autoSpaceDN/>
              <w:bidi w:val="0"/>
              <w:adjustRightInd w:val="0"/>
              <w:snapToGrid w:val="0"/>
              <w:spacing w:line="360" w:lineRule="auto"/>
              <w:jc w:val="both"/>
              <w:textAlignment w:val="auto"/>
              <w:rPr>
                <w:rFonts w:ascii="宋体" w:hAnsi="宋体" w:cs="宋体"/>
                <w:color w:val="auto"/>
                <w:szCs w:val="21"/>
                <w:highlight w:val="none"/>
              </w:rPr>
            </w:pPr>
          </w:p>
        </w:tc>
        <w:tc>
          <w:tcPr>
            <w:tcW w:w="8927" w:type="dxa"/>
            <w:gridSpan w:val="2"/>
            <w:vAlign w:val="center"/>
          </w:tcPr>
          <w:p w14:paraId="1ED7D0A0">
            <w:pPr>
              <w:keepNext w:val="0"/>
              <w:keepLines w:val="0"/>
              <w:pageBreakBefore w:val="0"/>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color w:val="auto"/>
                <w:szCs w:val="21"/>
                <w:highlight w:val="none"/>
              </w:rPr>
            </w:pPr>
            <w:r>
              <w:rPr>
                <w:rFonts w:hint="eastAsia" w:ascii="宋体" w:hAnsi="宋体" w:cs="宋体"/>
                <w:color w:val="auto"/>
                <w:szCs w:val="21"/>
                <w:highlight w:val="none"/>
              </w:rPr>
              <w:t>对接轨道物流系统</w:t>
            </w:r>
          </w:p>
        </w:tc>
      </w:tr>
      <w:tr w14:paraId="304BC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jc w:val="center"/>
        </w:trPr>
        <w:tc>
          <w:tcPr>
            <w:tcW w:w="851" w:type="dxa"/>
            <w:vAlign w:val="center"/>
          </w:tcPr>
          <w:p w14:paraId="6DC4B359">
            <w:pPr>
              <w:keepNext w:val="0"/>
              <w:keepLines w:val="0"/>
              <w:pageBreakBefore w:val="0"/>
              <w:kinsoku/>
              <w:wordWrap/>
              <w:overflowPunct/>
              <w:topLinePunct w:val="0"/>
              <w:autoSpaceDE/>
              <w:autoSpaceDN/>
              <w:bidi w:val="0"/>
              <w:adjustRightInd w:val="0"/>
              <w:snapToGrid w:val="0"/>
              <w:spacing w:line="360" w:lineRule="auto"/>
              <w:jc w:val="both"/>
              <w:textAlignment w:val="auto"/>
              <w:rPr>
                <w:rFonts w:ascii="宋体" w:hAnsi="宋体" w:cs="宋体"/>
                <w:color w:val="auto"/>
                <w:szCs w:val="21"/>
                <w:highlight w:val="none"/>
              </w:rPr>
            </w:pPr>
          </w:p>
        </w:tc>
        <w:tc>
          <w:tcPr>
            <w:tcW w:w="8927" w:type="dxa"/>
            <w:gridSpan w:val="2"/>
            <w:vAlign w:val="center"/>
          </w:tcPr>
          <w:p w14:paraId="45EF551C">
            <w:pPr>
              <w:keepNext w:val="0"/>
              <w:keepLines w:val="0"/>
              <w:pageBreakBefore w:val="0"/>
              <w:numPr>
                <w:ilvl w:val="0"/>
                <w:numId w:val="23"/>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color w:val="auto"/>
                <w:szCs w:val="21"/>
                <w:highlight w:val="none"/>
              </w:rPr>
            </w:pPr>
            <w:r>
              <w:rPr>
                <w:rFonts w:hint="eastAsia" w:ascii="宋体" w:hAnsi="宋体" w:cs="宋体"/>
                <w:color w:val="auto"/>
                <w:szCs w:val="21"/>
                <w:highlight w:val="none"/>
              </w:rPr>
              <w:t>对接轨道物流系统，扫描调配单条形码（见7.1.1需求）后，轨道发车站点可识别相应病区并自动输入站点号，无需人工手动输入站点号。</w:t>
            </w:r>
          </w:p>
        </w:tc>
      </w:tr>
      <w:tr w14:paraId="2C659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1" w:type="dxa"/>
            <w:vAlign w:val="center"/>
          </w:tcPr>
          <w:p w14:paraId="752973BE">
            <w:pPr>
              <w:keepNext w:val="0"/>
              <w:keepLines w:val="0"/>
              <w:pageBreakBefore w:val="0"/>
              <w:kinsoku/>
              <w:wordWrap/>
              <w:overflowPunct/>
              <w:topLinePunct w:val="0"/>
              <w:autoSpaceDE/>
              <w:autoSpaceDN/>
              <w:bidi w:val="0"/>
              <w:adjustRightInd w:val="0"/>
              <w:snapToGrid w:val="0"/>
              <w:spacing w:line="360" w:lineRule="auto"/>
              <w:jc w:val="both"/>
              <w:textAlignment w:val="auto"/>
              <w:rPr>
                <w:rFonts w:ascii="宋体" w:hAnsi="宋体" w:cs="宋体"/>
                <w:color w:val="auto"/>
                <w:szCs w:val="21"/>
                <w:highlight w:val="none"/>
              </w:rPr>
            </w:pPr>
          </w:p>
        </w:tc>
        <w:tc>
          <w:tcPr>
            <w:tcW w:w="8927" w:type="dxa"/>
            <w:gridSpan w:val="2"/>
            <w:vAlign w:val="center"/>
          </w:tcPr>
          <w:p w14:paraId="3A915EA4">
            <w:pPr>
              <w:keepNext w:val="0"/>
              <w:keepLines w:val="0"/>
              <w:pageBreakBefore w:val="0"/>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color w:val="auto"/>
                <w:szCs w:val="21"/>
                <w:highlight w:val="none"/>
              </w:rPr>
            </w:pPr>
            <w:r>
              <w:rPr>
                <w:rFonts w:hint="eastAsia" w:ascii="宋体" w:hAnsi="宋体" w:cs="宋体"/>
                <w:color w:val="auto"/>
                <w:szCs w:val="21"/>
                <w:highlight w:val="none"/>
              </w:rPr>
              <w:t>各类统计报表</w:t>
            </w:r>
          </w:p>
        </w:tc>
      </w:tr>
      <w:tr w14:paraId="6877E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jc w:val="center"/>
        </w:trPr>
        <w:tc>
          <w:tcPr>
            <w:tcW w:w="0" w:type="auto"/>
            <w:vAlign w:val="center"/>
          </w:tcPr>
          <w:p w14:paraId="768CD58F">
            <w:pPr>
              <w:keepNext w:val="0"/>
              <w:keepLines w:val="0"/>
              <w:pageBreakBefore w:val="0"/>
              <w:kinsoku/>
              <w:wordWrap/>
              <w:overflowPunct/>
              <w:topLinePunct w:val="0"/>
              <w:autoSpaceDE/>
              <w:autoSpaceDN/>
              <w:bidi w:val="0"/>
              <w:adjustRightInd w:val="0"/>
              <w:snapToGrid w:val="0"/>
              <w:spacing w:line="360" w:lineRule="auto"/>
              <w:jc w:val="both"/>
              <w:textAlignment w:val="auto"/>
              <w:rPr>
                <w:rFonts w:ascii="宋体" w:hAnsi="宋体" w:cs="宋体"/>
                <w:color w:val="auto"/>
                <w:szCs w:val="21"/>
                <w:highlight w:val="none"/>
              </w:rPr>
            </w:pPr>
          </w:p>
        </w:tc>
        <w:tc>
          <w:tcPr>
            <w:tcW w:w="0" w:type="auto"/>
            <w:gridSpan w:val="2"/>
            <w:vAlign w:val="center"/>
          </w:tcPr>
          <w:p w14:paraId="59B3C4A5">
            <w:pPr>
              <w:keepNext w:val="0"/>
              <w:keepLines w:val="0"/>
              <w:pageBreakBefore w:val="0"/>
              <w:numPr>
                <w:ilvl w:val="0"/>
                <w:numId w:val="2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color w:val="auto"/>
                <w:szCs w:val="21"/>
                <w:highlight w:val="none"/>
              </w:rPr>
            </w:pPr>
            <w:r>
              <w:rPr>
                <w:rFonts w:hint="eastAsia" w:ascii="宋体" w:hAnsi="宋体" w:cs="宋体"/>
                <w:color w:val="auto"/>
                <w:szCs w:val="21"/>
                <w:highlight w:val="none"/>
              </w:rPr>
              <w:t>单一药品使用查询报表：支持查询某一药品使用情况，查询结果包含住院号、处方号、开单科室、患者姓名、药品数量、开单医生、发药时间、发药状态（已发药、未发药）、收费时间、发药药师</w:t>
            </w:r>
          </w:p>
        </w:tc>
      </w:tr>
      <w:tr w14:paraId="0630F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jc w:val="center"/>
        </w:trPr>
        <w:tc>
          <w:tcPr>
            <w:tcW w:w="0" w:type="auto"/>
            <w:vAlign w:val="center"/>
          </w:tcPr>
          <w:p w14:paraId="5246F282">
            <w:pPr>
              <w:keepNext w:val="0"/>
              <w:keepLines w:val="0"/>
              <w:pageBreakBefore w:val="0"/>
              <w:kinsoku/>
              <w:wordWrap/>
              <w:overflowPunct/>
              <w:topLinePunct w:val="0"/>
              <w:autoSpaceDE/>
              <w:autoSpaceDN/>
              <w:bidi w:val="0"/>
              <w:adjustRightInd w:val="0"/>
              <w:snapToGrid w:val="0"/>
              <w:spacing w:line="360" w:lineRule="auto"/>
              <w:jc w:val="both"/>
              <w:textAlignment w:val="auto"/>
              <w:rPr>
                <w:rFonts w:ascii="宋体" w:hAnsi="宋体" w:cs="宋体"/>
                <w:color w:val="auto"/>
                <w:szCs w:val="21"/>
                <w:highlight w:val="none"/>
              </w:rPr>
            </w:pPr>
          </w:p>
        </w:tc>
        <w:tc>
          <w:tcPr>
            <w:tcW w:w="0" w:type="auto"/>
            <w:gridSpan w:val="2"/>
            <w:vAlign w:val="center"/>
          </w:tcPr>
          <w:p w14:paraId="020E5F1B">
            <w:pPr>
              <w:keepNext w:val="0"/>
              <w:keepLines w:val="0"/>
              <w:pageBreakBefore w:val="0"/>
              <w:numPr>
                <w:ilvl w:val="0"/>
                <w:numId w:val="2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color w:val="auto"/>
                <w:szCs w:val="21"/>
                <w:highlight w:val="none"/>
              </w:rPr>
            </w:pPr>
            <w:r>
              <w:rPr>
                <w:rFonts w:hint="eastAsia" w:ascii="宋体" w:hAnsi="宋体" w:cs="宋体"/>
                <w:color w:val="auto"/>
                <w:szCs w:val="21"/>
                <w:highlight w:val="none"/>
              </w:rPr>
              <w:t>药房财务月报表：需包含上月结余、出库、入库、配方、报废、盘盈、盘亏、本月结余、调整金额，可根据时间、药品类型（西药、中成药、中草药）进行统计，可导出打印。</w:t>
            </w:r>
          </w:p>
        </w:tc>
      </w:tr>
      <w:tr w14:paraId="64A8B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jc w:val="center"/>
        </w:trPr>
        <w:tc>
          <w:tcPr>
            <w:tcW w:w="851" w:type="dxa"/>
            <w:vMerge w:val="restart"/>
            <w:vAlign w:val="center"/>
          </w:tcPr>
          <w:p w14:paraId="0EBCF537">
            <w:pPr>
              <w:keepNext w:val="0"/>
              <w:keepLines w:val="0"/>
              <w:pageBreakBefore w:val="0"/>
              <w:kinsoku/>
              <w:wordWrap/>
              <w:overflowPunct/>
              <w:topLinePunct w:val="0"/>
              <w:autoSpaceDE/>
              <w:autoSpaceDN/>
              <w:bidi w:val="0"/>
              <w:adjustRightInd w:val="0"/>
              <w:snapToGrid w:val="0"/>
              <w:spacing w:line="360" w:lineRule="auto"/>
              <w:jc w:val="both"/>
              <w:textAlignment w:val="auto"/>
              <w:rPr>
                <w:rFonts w:ascii="宋体" w:hAnsi="宋体" w:cs="宋体"/>
                <w:color w:val="auto"/>
                <w:szCs w:val="21"/>
                <w:highlight w:val="none"/>
              </w:rPr>
            </w:pPr>
          </w:p>
        </w:tc>
        <w:tc>
          <w:tcPr>
            <w:tcW w:w="0" w:type="auto"/>
            <w:gridSpan w:val="2"/>
            <w:vAlign w:val="center"/>
          </w:tcPr>
          <w:p w14:paraId="14B28FF8">
            <w:pPr>
              <w:keepNext w:val="0"/>
              <w:keepLines w:val="0"/>
              <w:pageBreakBefore w:val="0"/>
              <w:numPr>
                <w:ilvl w:val="0"/>
                <w:numId w:val="2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color w:val="auto"/>
                <w:szCs w:val="21"/>
                <w:highlight w:val="none"/>
              </w:rPr>
            </w:pPr>
            <w:r>
              <w:rPr>
                <w:rFonts w:hint="eastAsia" w:ascii="宋体" w:hAnsi="宋体" w:cs="宋体"/>
                <w:color w:val="auto"/>
                <w:szCs w:val="21"/>
                <w:highlight w:val="none"/>
              </w:rPr>
              <w:t>单一药品退药查询报表：支持查询某一药品退药情况，查询结果包含：住院号、处方号、开单科室、患者姓名、药品数量、开单医生、发药时间、退药时间、发药药师、退药药师</w:t>
            </w:r>
          </w:p>
        </w:tc>
      </w:tr>
      <w:tr w14:paraId="2832D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851" w:type="dxa"/>
            <w:vMerge w:val="continue"/>
            <w:vAlign w:val="center"/>
          </w:tcPr>
          <w:p w14:paraId="731F25A1">
            <w:pPr>
              <w:keepNext w:val="0"/>
              <w:keepLines w:val="0"/>
              <w:pageBreakBefore w:val="0"/>
              <w:kinsoku/>
              <w:wordWrap/>
              <w:overflowPunct/>
              <w:topLinePunct w:val="0"/>
              <w:autoSpaceDE/>
              <w:autoSpaceDN/>
              <w:bidi w:val="0"/>
              <w:adjustRightInd w:val="0"/>
              <w:snapToGrid w:val="0"/>
              <w:spacing w:line="360" w:lineRule="auto"/>
              <w:jc w:val="both"/>
              <w:textAlignment w:val="auto"/>
              <w:rPr>
                <w:rFonts w:ascii="宋体" w:hAnsi="宋体" w:cs="宋体"/>
                <w:color w:val="auto"/>
                <w:szCs w:val="21"/>
                <w:highlight w:val="none"/>
              </w:rPr>
            </w:pPr>
          </w:p>
        </w:tc>
        <w:tc>
          <w:tcPr>
            <w:tcW w:w="0" w:type="auto"/>
            <w:gridSpan w:val="2"/>
            <w:vAlign w:val="center"/>
          </w:tcPr>
          <w:p w14:paraId="3E0359EE">
            <w:pPr>
              <w:keepNext w:val="0"/>
              <w:keepLines w:val="0"/>
              <w:pageBreakBefore w:val="0"/>
              <w:numPr>
                <w:ilvl w:val="0"/>
                <w:numId w:val="2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color w:val="auto"/>
                <w:szCs w:val="21"/>
                <w:highlight w:val="none"/>
              </w:rPr>
            </w:pPr>
            <w:r>
              <w:rPr>
                <w:rFonts w:hint="eastAsia" w:ascii="宋体" w:hAnsi="宋体" w:cs="宋体"/>
                <w:color w:val="auto"/>
                <w:szCs w:val="21"/>
                <w:highlight w:val="none"/>
              </w:rPr>
              <w:t>药品使用查询报表：支持查询所有药品使用情况，查询结果包括药品ID、药品通用名、药品商品名、药品规格、药品发药量、药品退药量、药品销售金额、药品退药金额，可根据以下查询条件单独或联合进行统计：日期、开单科室、发药药房、药品类型（全部、西药、中成药、配方颗粒、中药饮片）、药品属性（全部、抗肿瘤药、抗菌药、麻醉药品、第一类精神药品、第二类精神药品、计生药品、大输液、毒性药品、贵重药品、普通药品、高警示药品）</w:t>
            </w:r>
          </w:p>
        </w:tc>
      </w:tr>
      <w:tr w14:paraId="6E621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jc w:val="center"/>
        </w:trPr>
        <w:tc>
          <w:tcPr>
            <w:tcW w:w="851" w:type="dxa"/>
            <w:vMerge w:val="continue"/>
            <w:vAlign w:val="center"/>
          </w:tcPr>
          <w:p w14:paraId="626F6D4C">
            <w:pPr>
              <w:keepNext w:val="0"/>
              <w:keepLines w:val="0"/>
              <w:pageBreakBefore w:val="0"/>
              <w:kinsoku/>
              <w:wordWrap/>
              <w:overflowPunct/>
              <w:topLinePunct w:val="0"/>
              <w:autoSpaceDE/>
              <w:autoSpaceDN/>
              <w:bidi w:val="0"/>
              <w:adjustRightInd w:val="0"/>
              <w:snapToGrid w:val="0"/>
              <w:spacing w:line="360" w:lineRule="auto"/>
              <w:jc w:val="both"/>
              <w:textAlignment w:val="auto"/>
              <w:rPr>
                <w:rFonts w:ascii="宋体" w:hAnsi="宋体" w:cs="宋体"/>
                <w:color w:val="auto"/>
                <w:szCs w:val="21"/>
                <w:highlight w:val="none"/>
              </w:rPr>
            </w:pPr>
          </w:p>
        </w:tc>
        <w:tc>
          <w:tcPr>
            <w:tcW w:w="0" w:type="auto"/>
            <w:gridSpan w:val="2"/>
            <w:vAlign w:val="center"/>
          </w:tcPr>
          <w:p w14:paraId="14F6AE84">
            <w:pPr>
              <w:keepNext w:val="0"/>
              <w:keepLines w:val="0"/>
              <w:pageBreakBefore w:val="0"/>
              <w:numPr>
                <w:ilvl w:val="0"/>
                <w:numId w:val="2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color w:val="auto"/>
                <w:szCs w:val="21"/>
                <w:highlight w:val="none"/>
              </w:rPr>
            </w:pPr>
            <w:r>
              <w:rPr>
                <w:rFonts w:hint="eastAsia" w:ascii="宋体" w:hAnsi="宋体" w:cs="宋体"/>
                <w:color w:val="auto"/>
                <w:szCs w:val="21"/>
                <w:highlight w:val="none"/>
              </w:rPr>
              <w:t>处方/医嘱查询报表：支持按以下条件单独或联合查询处方/医嘱，患者姓名、收费时间、处方号、住院号、发药状态（全部、已发药、未发药、退药）</w:t>
            </w:r>
          </w:p>
        </w:tc>
      </w:tr>
      <w:tr w14:paraId="5640B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jc w:val="center"/>
        </w:trPr>
        <w:tc>
          <w:tcPr>
            <w:tcW w:w="851" w:type="dxa"/>
            <w:vMerge w:val="continue"/>
            <w:vAlign w:val="center"/>
          </w:tcPr>
          <w:p w14:paraId="1ACEB5B7">
            <w:pPr>
              <w:keepNext w:val="0"/>
              <w:keepLines w:val="0"/>
              <w:pageBreakBefore w:val="0"/>
              <w:kinsoku/>
              <w:wordWrap/>
              <w:overflowPunct/>
              <w:topLinePunct w:val="0"/>
              <w:autoSpaceDE/>
              <w:autoSpaceDN/>
              <w:bidi w:val="0"/>
              <w:adjustRightInd w:val="0"/>
              <w:snapToGrid w:val="0"/>
              <w:spacing w:line="360" w:lineRule="auto"/>
              <w:jc w:val="both"/>
              <w:textAlignment w:val="auto"/>
              <w:rPr>
                <w:rFonts w:ascii="宋体" w:hAnsi="宋体" w:cs="宋体"/>
                <w:color w:val="auto"/>
                <w:szCs w:val="21"/>
                <w:highlight w:val="none"/>
              </w:rPr>
            </w:pPr>
          </w:p>
        </w:tc>
        <w:tc>
          <w:tcPr>
            <w:tcW w:w="0" w:type="auto"/>
            <w:gridSpan w:val="2"/>
            <w:vAlign w:val="center"/>
          </w:tcPr>
          <w:p w14:paraId="5131994E">
            <w:pPr>
              <w:keepNext w:val="0"/>
              <w:keepLines w:val="0"/>
              <w:pageBreakBefore w:val="0"/>
              <w:numPr>
                <w:ilvl w:val="0"/>
                <w:numId w:val="22"/>
              </w:numPr>
              <w:tabs>
                <w:tab w:val="left" w:pos="525"/>
                <w:tab w:val="left" w:pos="630"/>
              </w:tabs>
              <w:kinsoku/>
              <w:wordWrap/>
              <w:overflowPunct/>
              <w:topLinePunct w:val="0"/>
              <w:autoSpaceDE/>
              <w:autoSpaceDN/>
              <w:bidi w:val="0"/>
              <w:adjustRightInd w:val="0"/>
              <w:snapToGrid w:val="0"/>
              <w:spacing w:line="360" w:lineRule="auto"/>
              <w:jc w:val="both"/>
              <w:textAlignment w:val="auto"/>
              <w:rPr>
                <w:rFonts w:ascii="宋体" w:hAnsi="宋体" w:cs="宋体"/>
                <w:color w:val="auto"/>
                <w:sz w:val="22"/>
                <w:szCs w:val="22"/>
                <w:highlight w:val="none"/>
              </w:rPr>
            </w:pPr>
            <w:r>
              <w:rPr>
                <w:rFonts w:hint="eastAsia" w:ascii="宋体" w:hAnsi="宋体" w:cs="宋体"/>
                <w:color w:val="auto"/>
                <w:sz w:val="22"/>
                <w:szCs w:val="22"/>
                <w:highlight w:val="none"/>
              </w:rPr>
              <w:t>代配处方/医嘱查询：可根据以下查询条件单独或联合统计代配处方/医嘱，日期、患者姓名、住院号、处方号、药品</w:t>
            </w:r>
          </w:p>
        </w:tc>
      </w:tr>
      <w:tr w14:paraId="1DDB9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jc w:val="center"/>
        </w:trPr>
        <w:tc>
          <w:tcPr>
            <w:tcW w:w="851" w:type="dxa"/>
            <w:vMerge w:val="continue"/>
            <w:vAlign w:val="center"/>
          </w:tcPr>
          <w:p w14:paraId="7A70FC17">
            <w:pPr>
              <w:keepNext w:val="0"/>
              <w:keepLines w:val="0"/>
              <w:pageBreakBefore w:val="0"/>
              <w:kinsoku/>
              <w:wordWrap/>
              <w:overflowPunct/>
              <w:topLinePunct w:val="0"/>
              <w:autoSpaceDE/>
              <w:autoSpaceDN/>
              <w:bidi w:val="0"/>
              <w:adjustRightInd w:val="0"/>
              <w:snapToGrid w:val="0"/>
              <w:spacing w:line="360" w:lineRule="auto"/>
              <w:jc w:val="both"/>
              <w:textAlignment w:val="auto"/>
              <w:rPr>
                <w:rFonts w:ascii="宋体" w:hAnsi="宋体" w:cs="宋体"/>
                <w:color w:val="auto"/>
                <w:szCs w:val="21"/>
                <w:highlight w:val="none"/>
              </w:rPr>
            </w:pPr>
          </w:p>
        </w:tc>
        <w:tc>
          <w:tcPr>
            <w:tcW w:w="0" w:type="auto"/>
            <w:gridSpan w:val="2"/>
            <w:vAlign w:val="center"/>
          </w:tcPr>
          <w:p w14:paraId="751C4A98">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ind w:left="0" w:firstLine="0"/>
              <w:jc w:val="both"/>
              <w:textAlignment w:val="auto"/>
              <w:rPr>
                <w:rFonts w:ascii="宋体" w:hAnsi="宋体" w:cs="宋体"/>
                <w:color w:val="auto"/>
                <w:sz w:val="22"/>
                <w:szCs w:val="22"/>
                <w:highlight w:val="none"/>
              </w:rPr>
            </w:pPr>
            <w:r>
              <w:rPr>
                <w:rFonts w:hint="eastAsia" w:ascii="宋体" w:hAnsi="宋体" w:cs="宋体"/>
                <w:color w:val="auto"/>
                <w:sz w:val="22"/>
                <w:szCs w:val="22"/>
                <w:highlight w:val="none"/>
              </w:rPr>
              <w:t>退药调价损益报表，</w:t>
            </w:r>
            <w:r>
              <w:rPr>
                <w:rFonts w:hint="eastAsia" w:ascii="宋体" w:hAnsi="宋体" w:cs="宋体"/>
                <w:bCs/>
                <w:color w:val="auto"/>
                <w:szCs w:val="21"/>
                <w:highlight w:val="none"/>
              </w:rPr>
              <w:t>包含：药品通用名、药品商品名、药品规格、包装量、调前进价、调后进价、调前库存量、调价增益、调价时间，报表支持按日期、药房单元、药品类型（西药、中成药、中草药）进行统计</w:t>
            </w:r>
          </w:p>
        </w:tc>
      </w:tr>
      <w:tr w14:paraId="118CC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jc w:val="center"/>
        </w:trPr>
        <w:tc>
          <w:tcPr>
            <w:tcW w:w="851" w:type="dxa"/>
            <w:vAlign w:val="center"/>
          </w:tcPr>
          <w:p w14:paraId="3FB3C8E7">
            <w:pPr>
              <w:keepNext w:val="0"/>
              <w:keepLines w:val="0"/>
              <w:pageBreakBefore w:val="0"/>
              <w:kinsoku/>
              <w:wordWrap/>
              <w:overflowPunct/>
              <w:topLinePunct w:val="0"/>
              <w:autoSpaceDE/>
              <w:autoSpaceDN/>
              <w:bidi w:val="0"/>
              <w:adjustRightInd w:val="0"/>
              <w:snapToGrid w:val="0"/>
              <w:spacing w:line="360" w:lineRule="auto"/>
              <w:jc w:val="both"/>
              <w:textAlignment w:val="auto"/>
              <w:rPr>
                <w:rFonts w:ascii="宋体" w:hAnsi="宋体" w:cs="宋体"/>
                <w:color w:val="auto"/>
                <w:szCs w:val="21"/>
                <w:highlight w:val="none"/>
              </w:rPr>
            </w:pPr>
          </w:p>
        </w:tc>
        <w:tc>
          <w:tcPr>
            <w:tcW w:w="8927" w:type="dxa"/>
            <w:gridSpan w:val="2"/>
            <w:vAlign w:val="center"/>
          </w:tcPr>
          <w:p w14:paraId="142C200F">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ind w:left="0" w:leftChars="0" w:firstLine="0" w:firstLineChars="0"/>
              <w:jc w:val="both"/>
              <w:textAlignment w:val="auto"/>
              <w:rPr>
                <w:rFonts w:hint="eastAsia" w:ascii="宋体" w:hAnsi="宋体" w:cs="宋体"/>
                <w:color w:val="auto"/>
                <w:sz w:val="22"/>
                <w:szCs w:val="22"/>
                <w:highlight w:val="none"/>
              </w:rPr>
            </w:pPr>
            <w:r>
              <w:rPr>
                <w:rFonts w:hint="eastAsia" w:ascii="宋体" w:hAnsi="宋体" w:cs="宋体"/>
                <w:sz w:val="22"/>
                <w:szCs w:val="22"/>
                <w:lang w:val="en-US" w:eastAsia="zh-CN"/>
              </w:rPr>
              <w:t>特殊使用级抗菌药物使用记录报表：报表需要包含处方号、医嘱号、药品通用名、商品名、药品单次用量、药品ID、患者住院号、患者姓名、开始使用时间、结束使用时间、开单医生、会诊发起时间、会诊理由、会诊结果、会诊专家姓名、会诊专家ID、处方审核结果、处方审核时间</w:t>
            </w:r>
          </w:p>
        </w:tc>
      </w:tr>
      <w:tr w14:paraId="7B918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1" w:type="dxa"/>
            <w:vAlign w:val="center"/>
          </w:tcPr>
          <w:p w14:paraId="58B1B199">
            <w:pPr>
              <w:keepNext w:val="0"/>
              <w:keepLines w:val="0"/>
              <w:pageBreakBefore w:val="0"/>
              <w:kinsoku/>
              <w:wordWrap/>
              <w:overflowPunct/>
              <w:topLinePunct w:val="0"/>
              <w:autoSpaceDE/>
              <w:autoSpaceDN/>
              <w:bidi w:val="0"/>
              <w:adjustRightInd w:val="0"/>
              <w:snapToGrid w:val="0"/>
              <w:spacing w:line="360" w:lineRule="auto"/>
              <w:jc w:val="both"/>
              <w:textAlignment w:val="auto"/>
              <w:rPr>
                <w:rFonts w:ascii="宋体" w:hAnsi="宋体" w:cs="宋体"/>
                <w:color w:val="auto"/>
                <w:szCs w:val="21"/>
                <w:highlight w:val="none"/>
              </w:rPr>
            </w:pPr>
          </w:p>
        </w:tc>
        <w:tc>
          <w:tcPr>
            <w:tcW w:w="8927" w:type="dxa"/>
            <w:gridSpan w:val="2"/>
            <w:vAlign w:val="center"/>
          </w:tcPr>
          <w:p w14:paraId="7DFA8166">
            <w:pPr>
              <w:keepNext w:val="0"/>
              <w:keepLines w:val="0"/>
              <w:pageBreakBefore w:val="0"/>
              <w:numPr>
                <w:ilvl w:val="-1"/>
                <w:numId w:val="0"/>
              </w:numPr>
              <w:kinsoku/>
              <w:wordWrap/>
              <w:overflowPunct/>
              <w:topLinePunct w:val="0"/>
              <w:autoSpaceDE/>
              <w:autoSpaceDN/>
              <w:bidi w:val="0"/>
              <w:adjustRightInd w:val="0"/>
              <w:snapToGrid w:val="0"/>
              <w:spacing w:line="360" w:lineRule="auto"/>
              <w:ind w:left="0" w:leftChars="0" w:firstLine="0" w:firstLineChars="0"/>
              <w:jc w:val="both"/>
              <w:textAlignment w:val="auto"/>
              <w:rPr>
                <w:rFonts w:hint="eastAsia" w:ascii="宋体" w:hAnsi="宋体" w:cs="宋体"/>
                <w:color w:val="auto"/>
                <w:sz w:val="22"/>
                <w:szCs w:val="22"/>
                <w:highlight w:val="none"/>
              </w:rPr>
            </w:pPr>
            <w:r>
              <w:rPr>
                <w:rFonts w:hint="eastAsia" w:ascii="宋体" w:hAnsi="宋体" w:cs="宋体"/>
                <w:lang w:val="en-US" w:eastAsia="zh-CN"/>
              </w:rPr>
              <w:t>发药追溯码其他功能</w:t>
            </w:r>
          </w:p>
        </w:tc>
      </w:tr>
      <w:tr w14:paraId="09B74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851" w:type="dxa"/>
            <w:vAlign w:val="center"/>
          </w:tcPr>
          <w:p w14:paraId="37FAE1D3">
            <w:pPr>
              <w:keepNext w:val="0"/>
              <w:keepLines w:val="0"/>
              <w:pageBreakBefore w:val="0"/>
              <w:kinsoku/>
              <w:wordWrap/>
              <w:overflowPunct/>
              <w:topLinePunct w:val="0"/>
              <w:autoSpaceDE/>
              <w:autoSpaceDN/>
              <w:bidi w:val="0"/>
              <w:adjustRightInd w:val="0"/>
              <w:snapToGrid w:val="0"/>
              <w:spacing w:line="360" w:lineRule="auto"/>
              <w:jc w:val="both"/>
              <w:textAlignment w:val="auto"/>
              <w:rPr>
                <w:rFonts w:ascii="宋体" w:hAnsi="宋体" w:cs="宋体"/>
                <w:color w:val="auto"/>
                <w:szCs w:val="21"/>
                <w:highlight w:val="none"/>
              </w:rPr>
            </w:pPr>
          </w:p>
        </w:tc>
        <w:tc>
          <w:tcPr>
            <w:tcW w:w="8927" w:type="dxa"/>
            <w:gridSpan w:val="2"/>
            <w:vAlign w:val="center"/>
          </w:tcPr>
          <w:p w14:paraId="4FA40057">
            <w:pPr>
              <w:keepNext w:val="0"/>
              <w:keepLines w:val="0"/>
              <w:pageBreakBefore w:val="0"/>
              <w:numPr>
                <w:ilvl w:val="0"/>
                <w:numId w:val="22"/>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eastAsia" w:ascii="宋体" w:hAnsi="宋体" w:cs="宋体"/>
                <w:color w:val="auto"/>
                <w:sz w:val="22"/>
                <w:szCs w:val="22"/>
                <w:highlight w:val="none"/>
              </w:rPr>
            </w:pPr>
            <w:r>
              <w:rPr>
                <w:rFonts w:hint="eastAsia" w:ascii="宋体" w:hAnsi="宋体" w:cs="宋体"/>
                <w:lang w:val="en-US" w:eastAsia="zh-CN"/>
              </w:rPr>
              <w:t>发药追溯码补传：选择发药时间、药品类型（西药、中成药、全部）、发药单元后，可以统计出已发药但无追溯码的药品明细，该界面明细需要包含：处方号、医嘱号、患者住院号、药品ID、药品通用名、药品商品名、药品数量、开单医生、发药人员、发药人ID、收费人员、收费时间、发药时间、医保就诊ID、医保结算ID、结算类型（自费、医保）、证件号码、证件类型、患者姓名、药品拆零属性、药品追溯码、追溯码上传结果，支持在该界面直接输入追溯码进行保存，也可支持导入Excel表格进行保存。查询的结果可以导出Excel。查询结果支持全文筛选：可输入处方号、医嘱号、药品名、发药药师、药品ID等条件对查询结果进行筛选。支持单选或者多选相应记录进行追溯码保存、上传。支持单选或多选相应记录后点击“通用码补采”，系统自动填充保存20位9作为药品追溯码。参见门诊药房现有R-X功能。</w:t>
            </w:r>
          </w:p>
        </w:tc>
      </w:tr>
      <w:tr w14:paraId="0990C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851" w:type="dxa"/>
            <w:vAlign w:val="center"/>
          </w:tcPr>
          <w:p w14:paraId="295B3AD7">
            <w:pPr>
              <w:keepNext w:val="0"/>
              <w:keepLines w:val="0"/>
              <w:pageBreakBefore w:val="0"/>
              <w:kinsoku/>
              <w:wordWrap/>
              <w:overflowPunct/>
              <w:topLinePunct w:val="0"/>
              <w:autoSpaceDE/>
              <w:autoSpaceDN/>
              <w:bidi w:val="0"/>
              <w:adjustRightInd w:val="0"/>
              <w:snapToGrid w:val="0"/>
              <w:spacing w:line="360" w:lineRule="auto"/>
              <w:jc w:val="both"/>
              <w:textAlignment w:val="auto"/>
              <w:rPr>
                <w:rFonts w:ascii="宋体" w:hAnsi="宋体" w:cs="宋体"/>
                <w:color w:val="auto"/>
                <w:szCs w:val="21"/>
                <w:highlight w:val="none"/>
              </w:rPr>
            </w:pPr>
          </w:p>
        </w:tc>
        <w:tc>
          <w:tcPr>
            <w:tcW w:w="8927" w:type="dxa"/>
            <w:gridSpan w:val="2"/>
            <w:vAlign w:val="center"/>
          </w:tcPr>
          <w:p w14:paraId="147BF363">
            <w:pPr>
              <w:keepNext w:val="0"/>
              <w:keepLines w:val="0"/>
              <w:pageBreakBefore w:val="0"/>
              <w:numPr>
                <w:ilvl w:val="0"/>
                <w:numId w:val="22"/>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eastAsia" w:ascii="宋体" w:hAnsi="宋体" w:cs="宋体"/>
                <w:color w:val="auto"/>
                <w:sz w:val="22"/>
                <w:szCs w:val="22"/>
                <w:highlight w:val="none"/>
              </w:rPr>
            </w:pPr>
            <w:r>
              <w:rPr>
                <w:rFonts w:hint="eastAsia" w:ascii="宋体" w:hAnsi="宋体" w:cs="宋体"/>
                <w:lang w:val="en-US" w:eastAsia="zh-CN"/>
              </w:rPr>
              <w:t>发药追溯码上传明细表：选择收费时间、药品类型（西药、中成药、全部）、发药单元后，可以统计已采集的发药追溯码明细表，需要包含：处方号、医嘱号、患者住院号、药品ID、药品通用名、药品商品名、药品数量、开单医生、发药人员、发药人ID、收费人员、收费时间、发药时间、医保就诊ID、医保结算ID、结算类型（自费、医保）、证件号码、证件类型、患者姓名、药品拆零属性、药品追溯码、追溯码采集时间、追溯码上传结果。查询结果支持全文筛选：可输入处方号、医嘱号、住院号、药品名、发药药师、药品ID等条件对查询结果进行筛选。查询结果可以导出Excel。支持单选或多选相应记录进行追溯码的删除。参见门诊药房现有R-Y功能。</w:t>
            </w:r>
          </w:p>
        </w:tc>
      </w:tr>
      <w:tr w14:paraId="5AF63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851" w:type="dxa"/>
            <w:vAlign w:val="center"/>
          </w:tcPr>
          <w:p w14:paraId="6A448BA8">
            <w:pPr>
              <w:keepNext w:val="0"/>
              <w:keepLines w:val="0"/>
              <w:pageBreakBefore w:val="0"/>
              <w:kinsoku/>
              <w:wordWrap/>
              <w:overflowPunct/>
              <w:topLinePunct w:val="0"/>
              <w:autoSpaceDE/>
              <w:autoSpaceDN/>
              <w:bidi w:val="0"/>
              <w:adjustRightInd w:val="0"/>
              <w:snapToGrid w:val="0"/>
              <w:spacing w:line="360" w:lineRule="auto"/>
              <w:jc w:val="both"/>
              <w:textAlignment w:val="auto"/>
              <w:rPr>
                <w:rFonts w:ascii="宋体" w:hAnsi="宋体" w:cs="宋体"/>
                <w:color w:val="auto"/>
                <w:szCs w:val="21"/>
                <w:highlight w:val="none"/>
              </w:rPr>
            </w:pPr>
          </w:p>
        </w:tc>
        <w:tc>
          <w:tcPr>
            <w:tcW w:w="8927" w:type="dxa"/>
            <w:gridSpan w:val="2"/>
            <w:vAlign w:val="center"/>
          </w:tcPr>
          <w:p w14:paraId="08E4F77D">
            <w:pPr>
              <w:keepNext w:val="0"/>
              <w:keepLines w:val="0"/>
              <w:pageBreakBefore w:val="0"/>
              <w:numPr>
                <w:ilvl w:val="0"/>
                <w:numId w:val="22"/>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eastAsia" w:ascii="宋体" w:hAnsi="宋体" w:cs="宋体"/>
                <w:color w:val="auto"/>
                <w:sz w:val="22"/>
                <w:szCs w:val="22"/>
                <w:highlight w:val="none"/>
              </w:rPr>
            </w:pPr>
            <w:r>
              <w:rPr>
                <w:rFonts w:hint="eastAsia" w:ascii="宋体" w:hAnsi="宋体" w:cs="宋体"/>
                <w:lang w:val="en-US" w:eastAsia="zh-CN"/>
              </w:rPr>
              <w:t>退药追溯码上传明细表：选择收费时间、药品类型（西药、中成药、全部）、发药单元后，可以统计退药上传的追溯码明细表，需要包含：处方号、医嘱号、患者住院号、药品ID、药品通用名、药品商品名、药品数量、开单医生、发药人员、发药人ID、退药人员、收费人员、收费时间、退药时间、医保就诊ID、医保结算ID、结算类型（自费、医保）、证件号码、证件类型、患者姓名、药品拆零属性、药品追溯码、追溯码采集时间、追溯码退药上传时间、追溯码退药上传结果。查询结果支持全文筛选：可输入处方号、医嘱号、住院号、药品名、发药药师、药品ID等条件对查询结果进行筛选。查询结果可以导出Excel。参见门诊药房现有R-Y功能。</w:t>
            </w:r>
          </w:p>
        </w:tc>
      </w:tr>
      <w:tr w14:paraId="5B5F1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851" w:type="dxa"/>
            <w:vAlign w:val="center"/>
          </w:tcPr>
          <w:p w14:paraId="301B8CBD">
            <w:pPr>
              <w:keepNext w:val="0"/>
              <w:keepLines w:val="0"/>
              <w:pageBreakBefore w:val="0"/>
              <w:kinsoku/>
              <w:wordWrap/>
              <w:overflowPunct/>
              <w:topLinePunct w:val="0"/>
              <w:autoSpaceDE/>
              <w:autoSpaceDN/>
              <w:bidi w:val="0"/>
              <w:adjustRightInd w:val="0"/>
              <w:snapToGrid w:val="0"/>
              <w:spacing w:line="360" w:lineRule="auto"/>
              <w:jc w:val="both"/>
              <w:textAlignment w:val="auto"/>
              <w:rPr>
                <w:rFonts w:ascii="宋体" w:hAnsi="宋体" w:cs="宋体"/>
                <w:color w:val="auto"/>
                <w:szCs w:val="21"/>
                <w:highlight w:val="none"/>
              </w:rPr>
            </w:pPr>
          </w:p>
        </w:tc>
        <w:tc>
          <w:tcPr>
            <w:tcW w:w="8927" w:type="dxa"/>
            <w:gridSpan w:val="2"/>
            <w:vAlign w:val="center"/>
          </w:tcPr>
          <w:p w14:paraId="75965557">
            <w:pPr>
              <w:keepNext w:val="0"/>
              <w:keepLines w:val="0"/>
              <w:pageBreakBefore w:val="0"/>
              <w:numPr>
                <w:ilvl w:val="0"/>
                <w:numId w:val="22"/>
              </w:numPr>
              <w:kinsoku/>
              <w:wordWrap/>
              <w:overflowPunct/>
              <w:topLinePunct w:val="0"/>
              <w:autoSpaceDE/>
              <w:autoSpaceDN/>
              <w:bidi w:val="0"/>
              <w:adjustRightInd w:val="0"/>
              <w:snapToGrid w:val="0"/>
              <w:spacing w:line="360" w:lineRule="auto"/>
              <w:ind w:left="420" w:leftChars="0" w:hanging="420" w:firstLineChars="0"/>
              <w:jc w:val="both"/>
              <w:textAlignment w:val="auto"/>
              <w:rPr>
                <w:rFonts w:hint="eastAsia" w:ascii="宋体" w:hAnsi="宋体" w:cs="宋体"/>
                <w:lang w:val="en-US" w:eastAsia="zh-CN"/>
              </w:rPr>
            </w:pPr>
            <w:r>
              <w:rPr>
                <w:rFonts w:hint="eastAsia" w:ascii="宋体" w:hAnsi="宋体" w:cs="宋体"/>
                <w:lang w:val="en-US" w:eastAsia="zh-CN"/>
              </w:rPr>
              <w:t>消息提醒功能：</w:t>
            </w:r>
            <w:r>
              <w:rPr>
                <w:rFonts w:hint="eastAsia" w:ascii="宋体" w:hAnsi="宋体" w:cs="宋体"/>
                <w:sz w:val="21"/>
                <w:szCs w:val="21"/>
                <w:lang w:val="en-US" w:eastAsia="zh-CN"/>
              </w:rPr>
              <w:t>提供药品可以维护最低剩余量预警值的功能，药品剩余量达到最低时候提醒系统用户进行调量。</w:t>
            </w:r>
          </w:p>
        </w:tc>
      </w:tr>
    </w:tbl>
    <w:p w14:paraId="472F7C24">
      <w:pPr>
        <w:rPr>
          <w:color w:val="auto"/>
          <w:highlight w:val="none"/>
        </w:rPr>
      </w:pPr>
    </w:p>
    <w:p w14:paraId="0BD56414">
      <w:pPr>
        <w:rPr>
          <w:rFonts w:ascii="宋体" w:hAnsi="宋体"/>
          <w:color w:val="auto"/>
          <w:highlight w:val="none"/>
        </w:rPr>
      </w:pPr>
    </w:p>
    <w:p w14:paraId="146D05B2">
      <w:pPr>
        <w:rPr>
          <w:rFonts w:ascii="宋体" w:hAnsi="宋体"/>
          <w:color w:val="auto"/>
          <w:highlight w:val="none"/>
        </w:rPr>
      </w:pPr>
    </w:p>
    <w:p w14:paraId="35803A82">
      <w:pPr>
        <w:pStyle w:val="4"/>
        <w:numPr>
          <w:ilvl w:val="2"/>
          <w:numId w:val="1"/>
        </w:numPr>
        <w:spacing w:before="0" w:after="0" w:line="360" w:lineRule="auto"/>
        <w:ind w:left="567" w:hanging="567"/>
        <w:rPr>
          <w:color w:val="auto"/>
          <w:sz w:val="24"/>
          <w:highlight w:val="none"/>
        </w:rPr>
      </w:pPr>
      <w:bookmarkStart w:id="50" w:name="_Toc25649"/>
      <w:bookmarkStart w:id="51" w:name="_Toc510"/>
      <w:bookmarkStart w:id="52" w:name="_Toc9418"/>
      <w:bookmarkStart w:id="53" w:name="_Toc4356"/>
      <w:bookmarkStart w:id="54" w:name="_Toc8447"/>
      <w:r>
        <w:rPr>
          <w:rFonts w:hint="eastAsia" w:eastAsia="宋体"/>
          <w:color w:val="auto"/>
          <w:kern w:val="2"/>
          <w:sz w:val="24"/>
          <w:szCs w:val="24"/>
          <w:highlight w:val="none"/>
        </w:rPr>
        <w:t>预存扣款系统</w:t>
      </w:r>
      <w:bookmarkEnd w:id="50"/>
      <w:bookmarkEnd w:id="51"/>
      <w:bookmarkEnd w:id="52"/>
      <w:bookmarkEnd w:id="53"/>
      <w:bookmarkEnd w:id="54"/>
    </w:p>
    <w:tbl>
      <w:tblPr>
        <w:tblStyle w:val="46"/>
        <w:tblW w:w="98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
        <w:gridCol w:w="1250"/>
        <w:gridCol w:w="7732"/>
      </w:tblGrid>
      <w:tr w14:paraId="34CB1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7" w:type="dxa"/>
            <w:vAlign w:val="center"/>
          </w:tcPr>
          <w:p w14:paraId="13515396">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r>
              <w:rPr>
                <w:rFonts w:hint="eastAsia" w:ascii="宋体" w:hAnsi="宋体" w:cs="宋体"/>
                <w:color w:val="auto"/>
                <w:kern w:val="0"/>
                <w:sz w:val="21"/>
                <w:szCs w:val="21"/>
                <w:highlight w:val="none"/>
              </w:rPr>
              <w:t>需求名称</w:t>
            </w:r>
          </w:p>
        </w:tc>
        <w:tc>
          <w:tcPr>
            <w:tcW w:w="1250" w:type="dxa"/>
            <w:vAlign w:val="center"/>
          </w:tcPr>
          <w:p w14:paraId="32006A79">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color w:val="auto"/>
                <w:sz w:val="21"/>
                <w:szCs w:val="21"/>
                <w:highlight w:val="none"/>
              </w:rPr>
            </w:pPr>
            <w:r>
              <w:rPr>
                <w:rFonts w:hint="eastAsia" w:ascii="宋体" w:hAnsi="宋体" w:cs="宋体"/>
                <w:color w:val="auto"/>
                <w:kern w:val="0"/>
                <w:sz w:val="21"/>
                <w:szCs w:val="21"/>
                <w:highlight w:val="none"/>
              </w:rPr>
              <w:t>序号</w:t>
            </w:r>
          </w:p>
        </w:tc>
        <w:tc>
          <w:tcPr>
            <w:tcW w:w="7732" w:type="dxa"/>
            <w:vAlign w:val="center"/>
          </w:tcPr>
          <w:p w14:paraId="55017AA6">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color w:val="auto"/>
                <w:sz w:val="21"/>
                <w:szCs w:val="21"/>
                <w:highlight w:val="none"/>
              </w:rPr>
            </w:pPr>
            <w:r>
              <w:rPr>
                <w:rFonts w:hint="eastAsia" w:ascii="宋体" w:hAnsi="宋体" w:cs="宋体"/>
                <w:color w:val="auto"/>
                <w:kern w:val="0"/>
                <w:sz w:val="21"/>
                <w:szCs w:val="21"/>
                <w:highlight w:val="none"/>
              </w:rPr>
              <w:t>需求描述</w:t>
            </w:r>
          </w:p>
        </w:tc>
      </w:tr>
      <w:tr w14:paraId="4945C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7" w:type="dxa"/>
            <w:vMerge w:val="restart"/>
            <w:vAlign w:val="center"/>
          </w:tcPr>
          <w:p w14:paraId="6D868EA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sz w:val="21"/>
                <w:szCs w:val="21"/>
                <w:highlight w:val="none"/>
              </w:rPr>
            </w:pPr>
            <w:r>
              <w:rPr>
                <w:rFonts w:hint="eastAsia" w:ascii="宋体" w:hAnsi="宋体" w:cs="宋体"/>
                <w:color w:val="auto"/>
                <w:sz w:val="21"/>
                <w:szCs w:val="21"/>
                <w:highlight w:val="none"/>
              </w:rPr>
              <w:t>预存扣款系统（预交金）</w:t>
            </w:r>
          </w:p>
        </w:tc>
        <w:tc>
          <w:tcPr>
            <w:tcW w:w="8982" w:type="dxa"/>
            <w:gridSpan w:val="2"/>
            <w:vAlign w:val="center"/>
          </w:tcPr>
          <w:p w14:paraId="5E1AE811">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 w:val="21"/>
                <w:szCs w:val="21"/>
                <w:highlight w:val="none"/>
              </w:rPr>
            </w:pPr>
            <w:r>
              <w:rPr>
                <w:rFonts w:hint="eastAsia"/>
                <w:color w:val="auto"/>
                <w:sz w:val="21"/>
                <w:szCs w:val="21"/>
                <w:highlight w:val="none"/>
              </w:rPr>
              <w:t>档案管理</w:t>
            </w:r>
          </w:p>
        </w:tc>
      </w:tr>
      <w:tr w14:paraId="31856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7" w:type="dxa"/>
            <w:vMerge w:val="continue"/>
            <w:vAlign w:val="center"/>
          </w:tcPr>
          <w:p w14:paraId="1406008A">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50" w:type="dxa"/>
            <w:vAlign w:val="center"/>
          </w:tcPr>
          <w:p w14:paraId="454F5E76">
            <w:pPr>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患者全流程统一档案管理</w:t>
            </w:r>
          </w:p>
        </w:tc>
        <w:tc>
          <w:tcPr>
            <w:tcW w:w="7732" w:type="dxa"/>
            <w:vAlign w:val="center"/>
          </w:tcPr>
          <w:p w14:paraId="10E7B4C7">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基于患者院内或机构间唯一主索引号对患者全流程就医档案进行管理。</w:t>
            </w:r>
          </w:p>
          <w:p w14:paraId="240EFCF4">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在唯一主索引的前提下，对病人档案在门诊、住院场景下实现数据互通</w:t>
            </w:r>
          </w:p>
          <w:p w14:paraId="6E0ADB21">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在医联体或集团医院内实现医疗活动全数据共享。</w:t>
            </w:r>
          </w:p>
        </w:tc>
      </w:tr>
      <w:tr w14:paraId="6F1AE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7" w:type="dxa"/>
            <w:vMerge w:val="continue"/>
            <w:vAlign w:val="center"/>
          </w:tcPr>
          <w:p w14:paraId="66C8E86E">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50" w:type="dxa"/>
            <w:vAlign w:val="center"/>
          </w:tcPr>
          <w:p w14:paraId="4489A9DD">
            <w:pPr>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多环境建档</w:t>
            </w:r>
          </w:p>
        </w:tc>
        <w:tc>
          <w:tcPr>
            <w:tcW w:w="7732" w:type="dxa"/>
            <w:vAlign w:val="center"/>
          </w:tcPr>
          <w:p w14:paraId="70465E52">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在患者院内或机构间唯一主索引号的支持下，以移动端自主建档、自助终端建档结合原有人工窗口建档横向扩展建档流程的使用场景；</w:t>
            </w:r>
          </w:p>
          <w:p w14:paraId="796E6E63">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Cs w:val="21"/>
                <w:highlight w:val="none"/>
              </w:rPr>
              <w:t>在人工建档时，系统支持疑似重复档案的模糊匹配提醒。可根据身份证号、姓名、手机号、出生日期等信息进行匹配，并展示疑似重复患者的关键信息，如姓名、性别、出生日期、证件号、手机号、档案号等。工作人员确认后，可进行档案合并，避免重复建档。</w:t>
            </w:r>
          </w:p>
          <w:p w14:paraId="569D643A">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以身份证、护照、就诊卡、银行卡、医保卡、电子医保凭证、帐户卡、市民卡、邮箱、手机号信息认证纵向延伸建档流程的支持方式。</w:t>
            </w:r>
          </w:p>
        </w:tc>
      </w:tr>
      <w:tr w14:paraId="4B198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7" w:type="dxa"/>
            <w:vMerge w:val="continue"/>
            <w:vAlign w:val="center"/>
          </w:tcPr>
          <w:p w14:paraId="7678D035">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50" w:type="dxa"/>
            <w:vAlign w:val="center"/>
          </w:tcPr>
          <w:p w14:paraId="13D87FA9">
            <w:pPr>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自定义建档管理</w:t>
            </w:r>
          </w:p>
        </w:tc>
        <w:tc>
          <w:tcPr>
            <w:tcW w:w="7732" w:type="dxa"/>
            <w:vAlign w:val="center"/>
          </w:tcPr>
          <w:p w14:paraId="73A63A5A">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支持自定义完善建档信息，从院前信息读取、院中信息查询浏览修改、院后配送地址录入及特殊情况下注销病人档案功能完善全流程档案管理。并支持基于患者类别定义优惠类别。</w:t>
            </w:r>
          </w:p>
        </w:tc>
      </w:tr>
      <w:tr w14:paraId="47FC9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7" w:type="dxa"/>
            <w:vMerge w:val="continue"/>
            <w:vAlign w:val="center"/>
          </w:tcPr>
          <w:p w14:paraId="2D191010">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50" w:type="dxa"/>
            <w:vAlign w:val="center"/>
          </w:tcPr>
          <w:p w14:paraId="3589F14E">
            <w:pPr>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智能档案合并</w:t>
            </w:r>
          </w:p>
        </w:tc>
        <w:tc>
          <w:tcPr>
            <w:tcW w:w="7732" w:type="dxa"/>
            <w:vAlign w:val="center"/>
          </w:tcPr>
          <w:p w14:paraId="07FB1FB8">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支持基于内嵌式主索引对在院重复建档的患者进行患者档案信息的合并。</w:t>
            </w:r>
          </w:p>
        </w:tc>
      </w:tr>
      <w:tr w14:paraId="52653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7" w:type="dxa"/>
            <w:vMerge w:val="continue"/>
            <w:vAlign w:val="center"/>
          </w:tcPr>
          <w:p w14:paraId="41041FBE">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8982" w:type="dxa"/>
            <w:gridSpan w:val="2"/>
            <w:vAlign w:val="center"/>
          </w:tcPr>
          <w:p w14:paraId="56428E98">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auto"/>
              <w:ind w:left="0" w:firstLine="0"/>
              <w:jc w:val="left"/>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账户管理</w:t>
            </w:r>
          </w:p>
        </w:tc>
      </w:tr>
      <w:tr w14:paraId="5C352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7" w:type="dxa"/>
            <w:vMerge w:val="continue"/>
            <w:vAlign w:val="center"/>
          </w:tcPr>
          <w:p w14:paraId="10F54101">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50" w:type="dxa"/>
            <w:vAlign w:val="center"/>
          </w:tcPr>
          <w:p w14:paraId="2BCB6D40">
            <w:pPr>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统一账户管理</w:t>
            </w:r>
          </w:p>
        </w:tc>
        <w:tc>
          <w:tcPr>
            <w:tcW w:w="7732" w:type="dxa"/>
            <w:vAlign w:val="center"/>
          </w:tcPr>
          <w:p w14:paraId="362AF855">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以患者唯一主索引号建立单医院或多医院的统一账户管理系统，在此账户中，支持储值金预存款及其收支明细查询功能；</w:t>
            </w:r>
          </w:p>
          <w:p w14:paraId="2985A4AE">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支持基于处理类型等多业务维度检索过滤收支记录；</w:t>
            </w:r>
          </w:p>
          <w:p w14:paraId="070B6BD9">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通过对当前操作员所有收退的未结账储值金记录查询功能，管理账户操作。</w:t>
            </w:r>
          </w:p>
        </w:tc>
      </w:tr>
      <w:tr w14:paraId="7AE43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7" w:type="dxa"/>
            <w:vMerge w:val="continue"/>
            <w:vAlign w:val="center"/>
          </w:tcPr>
          <w:p w14:paraId="7DFF6A05">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50" w:type="dxa"/>
            <w:vAlign w:val="center"/>
          </w:tcPr>
          <w:p w14:paraId="4A933F79">
            <w:pPr>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账户信用额度管理</w:t>
            </w:r>
          </w:p>
        </w:tc>
        <w:tc>
          <w:tcPr>
            <w:tcW w:w="7732" w:type="dxa"/>
            <w:vAlign w:val="center"/>
          </w:tcPr>
          <w:p w14:paraId="0DF6CFF7">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以统一账户管理支持信用就医流程，在信用额度中，提供患者信用额度的修改功能；</w:t>
            </w:r>
          </w:p>
          <w:p w14:paraId="5094E363">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提供患者第三方担保的修改功能；提供结束就诊后的统一支付功能。</w:t>
            </w:r>
          </w:p>
        </w:tc>
      </w:tr>
      <w:tr w14:paraId="386A4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7" w:type="dxa"/>
            <w:vMerge w:val="continue"/>
            <w:vAlign w:val="center"/>
          </w:tcPr>
          <w:p w14:paraId="1F2CED70">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50" w:type="dxa"/>
            <w:vAlign w:val="center"/>
          </w:tcPr>
          <w:p w14:paraId="199DB456">
            <w:pPr>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账户退款管理</w:t>
            </w:r>
          </w:p>
        </w:tc>
        <w:tc>
          <w:tcPr>
            <w:tcW w:w="7732" w:type="dxa"/>
            <w:vAlign w:val="center"/>
          </w:tcPr>
          <w:p w14:paraId="521C0821">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以统一账户管理支撑账户退款功能，默认按原付款路径退回，并在业务流程中提供多种缴退款方式，包括现金、支票、银行卡以及支付宝、微信等；</w:t>
            </w:r>
          </w:p>
          <w:p w14:paraId="1870BF5E">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支持提供缴退款凭证补打功能。</w:t>
            </w:r>
          </w:p>
        </w:tc>
      </w:tr>
      <w:tr w14:paraId="08907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7" w:type="dxa"/>
            <w:vMerge w:val="continue"/>
            <w:vAlign w:val="center"/>
          </w:tcPr>
          <w:p w14:paraId="609CF57D">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50" w:type="dxa"/>
            <w:vAlign w:val="center"/>
          </w:tcPr>
          <w:p w14:paraId="00829DF9">
            <w:pPr>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账户就诊卡管理</w:t>
            </w:r>
          </w:p>
        </w:tc>
        <w:tc>
          <w:tcPr>
            <w:tcW w:w="7732" w:type="dxa"/>
            <w:vAlign w:val="center"/>
          </w:tcPr>
          <w:p w14:paraId="2DF2F99A">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以患者统一账户结合患者唯一主索引，并关联账户下各式诊疗卡，并在业务流程中支持换卡处理，换卡后病人档案自动关联到新的就诊卡上，原就诊卡作废；</w:t>
            </w:r>
          </w:p>
          <w:p w14:paraId="5D5E5FDD">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支持账户或就诊卡挂失后的无密码取款功能；支持取消挂失功能。</w:t>
            </w:r>
          </w:p>
        </w:tc>
      </w:tr>
      <w:tr w14:paraId="3A6B5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7" w:type="dxa"/>
            <w:vMerge w:val="continue"/>
            <w:vAlign w:val="center"/>
          </w:tcPr>
          <w:p w14:paraId="29D49C24">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50" w:type="dxa"/>
            <w:vAlign w:val="center"/>
          </w:tcPr>
          <w:p w14:paraId="5C76E7C5">
            <w:pPr>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Times New Roman" w:hAnsi="Times New Roman"/>
                <w:color w:val="auto"/>
                <w:sz w:val="21"/>
                <w:szCs w:val="21"/>
                <w:highlight w:val="none"/>
              </w:rPr>
            </w:pPr>
            <w:r>
              <w:rPr>
                <w:rFonts w:hint="eastAsia" w:ascii="Times New Roman" w:hAnsi="Times New Roman"/>
                <w:color w:val="auto"/>
                <w:sz w:val="21"/>
                <w:szCs w:val="21"/>
                <w:highlight w:val="none"/>
              </w:rPr>
              <w:t>账户发票管理</w:t>
            </w:r>
          </w:p>
        </w:tc>
        <w:tc>
          <w:tcPr>
            <w:tcW w:w="7732" w:type="dxa"/>
            <w:vAlign w:val="center"/>
          </w:tcPr>
          <w:p w14:paraId="58A65079">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对账户下所有发票进行统一管理，提供账户发票合并打印，将患者一笔或者多笔未打印正式发票的收费信息合并打印在同一张发票上；</w:t>
            </w:r>
          </w:p>
          <w:p w14:paraId="7F6A1EF9">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提供发票合并打印后，也可以作废重新打印；</w:t>
            </w:r>
          </w:p>
          <w:p w14:paraId="253341AD">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提供账户发票打印正式发票或打印虚拟发票；提供自动结账功能，自动将业务发生日期到结账日期内的所有未结账的开户金额、追缴金额、退款金额以及人数进行统计汇总。</w:t>
            </w:r>
          </w:p>
          <w:p w14:paraId="130C208B">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Cs w:val="21"/>
                <w:highlight w:val="none"/>
              </w:rPr>
              <w:t>支持结算完成后自动推送电子票据至患者手机端或微信公众号，收费处仅处理患者线下补打需求，减少纸质票据打印工作量。</w:t>
            </w:r>
          </w:p>
        </w:tc>
      </w:tr>
      <w:tr w14:paraId="70B63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7" w:type="dxa"/>
            <w:vMerge w:val="continue"/>
            <w:vAlign w:val="center"/>
          </w:tcPr>
          <w:p w14:paraId="41F0CA3C">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8982" w:type="dxa"/>
            <w:gridSpan w:val="2"/>
            <w:vAlign w:val="center"/>
          </w:tcPr>
          <w:p w14:paraId="4D8B367D">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储值金查询</w:t>
            </w:r>
          </w:p>
        </w:tc>
      </w:tr>
      <w:tr w14:paraId="02DD7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7" w:type="dxa"/>
            <w:vMerge w:val="continue"/>
            <w:vAlign w:val="center"/>
          </w:tcPr>
          <w:p w14:paraId="19C1C573">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50" w:type="dxa"/>
            <w:vAlign w:val="center"/>
          </w:tcPr>
          <w:p w14:paraId="39C08B58">
            <w:pPr>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储值金查询</w:t>
            </w:r>
          </w:p>
        </w:tc>
        <w:tc>
          <w:tcPr>
            <w:tcW w:w="7732" w:type="dxa"/>
            <w:vAlign w:val="center"/>
          </w:tcPr>
          <w:p w14:paraId="2AAE7C26">
            <w:pPr>
              <w:keepNext w:val="0"/>
              <w:keepLines w:val="0"/>
              <w:pageBreakBefore w:val="0"/>
              <w:widowControl w:val="0"/>
              <w:numPr>
                <w:ilvl w:val="0"/>
                <w:numId w:val="24"/>
              </w:numPr>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基于统一账户管理，提供当前租户下储值金缴收支明细查询查询，支持根据储值金收退款类型、机构、缴退日期、患者、票据号、交易流水号、收退款人员等多重维度的查询过滤。</w:t>
            </w:r>
          </w:p>
        </w:tc>
      </w:tr>
      <w:tr w14:paraId="3B0F3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7" w:type="dxa"/>
            <w:vMerge w:val="continue"/>
            <w:vAlign w:val="center"/>
          </w:tcPr>
          <w:p w14:paraId="04D3E2E2">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8982" w:type="dxa"/>
            <w:gridSpan w:val="2"/>
            <w:vAlign w:val="center"/>
          </w:tcPr>
          <w:p w14:paraId="4FB3AD61">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患者特殊病种管理</w:t>
            </w:r>
          </w:p>
        </w:tc>
      </w:tr>
      <w:tr w14:paraId="14B63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7" w:type="dxa"/>
            <w:vMerge w:val="continue"/>
            <w:vAlign w:val="center"/>
          </w:tcPr>
          <w:p w14:paraId="510A91BD">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50" w:type="dxa"/>
            <w:vAlign w:val="center"/>
          </w:tcPr>
          <w:p w14:paraId="1D85D59B">
            <w:pPr>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患者特殊病种管理</w:t>
            </w:r>
          </w:p>
        </w:tc>
        <w:tc>
          <w:tcPr>
            <w:tcW w:w="7732" w:type="dxa"/>
            <w:vAlign w:val="center"/>
          </w:tcPr>
          <w:p w14:paraId="32605BE6">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基于患者诊疗活动中特殊病种进行个性化、精细化、规范化管理。提供按照医院个性化定义特殊病种类型及性质并对门诊、住院患者的特殊病种登记处理；</w:t>
            </w:r>
          </w:p>
          <w:p w14:paraId="35B2500F">
            <w:pPr>
              <w:keepNext w:val="0"/>
              <w:keepLines w:val="0"/>
              <w:pageBreakBefore w:val="0"/>
              <w:widowControl w:val="0"/>
              <w:numPr>
                <w:ilvl w:val="0"/>
                <w:numId w:val="25"/>
              </w:numPr>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提供特殊病种登记信息的查询、新建、修改、删除和导出，包括患者信息、病种名称、疾病诊断等内容。</w:t>
            </w:r>
          </w:p>
        </w:tc>
      </w:tr>
      <w:tr w14:paraId="4DE63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7" w:type="dxa"/>
            <w:vMerge w:val="continue"/>
            <w:vAlign w:val="center"/>
          </w:tcPr>
          <w:p w14:paraId="2C71A103">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8982" w:type="dxa"/>
            <w:gridSpan w:val="2"/>
            <w:vAlign w:val="center"/>
          </w:tcPr>
          <w:p w14:paraId="1E3AB95F">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患者记费退费管理</w:t>
            </w:r>
          </w:p>
        </w:tc>
      </w:tr>
      <w:tr w14:paraId="335E3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7" w:type="dxa"/>
            <w:vMerge w:val="continue"/>
            <w:vAlign w:val="center"/>
          </w:tcPr>
          <w:p w14:paraId="14DA64E8">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50" w:type="dxa"/>
            <w:vAlign w:val="center"/>
          </w:tcPr>
          <w:p w14:paraId="195DE071">
            <w:pPr>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记费全场景管理</w:t>
            </w:r>
          </w:p>
        </w:tc>
        <w:tc>
          <w:tcPr>
            <w:tcW w:w="7732" w:type="dxa"/>
            <w:vAlign w:val="center"/>
          </w:tcPr>
          <w:p w14:paraId="4177FF74">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基于统一账户管理，做到记费功能在全院、全机构院区中全场景应用。</w:t>
            </w:r>
          </w:p>
          <w:p w14:paraId="338FEC05">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r>
              <w:rPr>
                <w:rFonts w:hint="eastAsia" w:ascii="宋体" w:hAnsi="宋体" w:cs="宋体"/>
                <w:bCs/>
                <w:color w:val="auto"/>
                <w:sz w:val="21"/>
                <w:szCs w:val="21"/>
                <w:highlight w:val="none"/>
              </w:rPr>
              <w:t>如提供已建档患者在门诊收费窗口刷卡缴费；在药房直接进行发药并扣费；在医技科室直接执行检查并刷卡缴费；在医生站刷卡缴纳全部就诊费用；在皮试台直接进行皮试并刷卡缴费；在治疗室直接进行治疗并刷卡缴费等全流程收费应用管理。</w:t>
            </w:r>
          </w:p>
        </w:tc>
      </w:tr>
      <w:tr w14:paraId="2FB48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7" w:type="dxa"/>
            <w:vMerge w:val="continue"/>
            <w:vAlign w:val="center"/>
          </w:tcPr>
          <w:p w14:paraId="418AE7EC">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50" w:type="dxa"/>
            <w:vAlign w:val="center"/>
          </w:tcPr>
          <w:p w14:paraId="08F031CA">
            <w:pPr>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退费全场景管理</w:t>
            </w:r>
          </w:p>
        </w:tc>
        <w:tc>
          <w:tcPr>
            <w:tcW w:w="7732" w:type="dxa"/>
            <w:vAlign w:val="center"/>
          </w:tcPr>
          <w:p w14:paraId="01B2B8D3">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基于统一账户管理，做到退费功能在全院、全机构院区中全场景应用。</w:t>
            </w:r>
          </w:p>
          <w:p w14:paraId="40693119">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如提供药房、医技科室、医生站等所有记费统一在门诊退费；</w:t>
            </w:r>
          </w:p>
          <w:p w14:paraId="1E8D59A3">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提供记费与退费同一地点，如药房取消发药时退费，医技科室取消执行时退费操作。</w:t>
            </w:r>
          </w:p>
        </w:tc>
      </w:tr>
    </w:tbl>
    <w:p w14:paraId="3C837166">
      <w:pPr>
        <w:rPr>
          <w:color w:val="auto"/>
          <w:highlight w:val="none"/>
        </w:rPr>
      </w:pPr>
    </w:p>
    <w:p w14:paraId="4EA15496">
      <w:pPr>
        <w:rPr>
          <w:color w:val="auto"/>
          <w:highlight w:val="none"/>
        </w:rPr>
      </w:pPr>
    </w:p>
    <w:p w14:paraId="1E36DE1A">
      <w:pPr>
        <w:pStyle w:val="4"/>
        <w:numPr>
          <w:ilvl w:val="2"/>
          <w:numId w:val="1"/>
        </w:numPr>
        <w:spacing w:before="0" w:after="0" w:line="360" w:lineRule="auto"/>
        <w:ind w:left="567" w:hanging="567"/>
        <w:rPr>
          <w:color w:val="auto"/>
          <w:sz w:val="24"/>
          <w:highlight w:val="none"/>
        </w:rPr>
      </w:pPr>
      <w:bookmarkStart w:id="55" w:name="_Toc28717"/>
      <w:bookmarkStart w:id="56" w:name="_Toc17739"/>
      <w:bookmarkStart w:id="57" w:name="_Toc28361"/>
      <w:bookmarkStart w:id="58" w:name="_Toc2198"/>
      <w:bookmarkStart w:id="59" w:name="_Toc25449"/>
      <w:r>
        <w:rPr>
          <w:rFonts w:hint="eastAsia" w:eastAsia="宋体"/>
          <w:color w:val="auto"/>
          <w:kern w:val="2"/>
          <w:sz w:val="24"/>
          <w:szCs w:val="24"/>
          <w:highlight w:val="none"/>
        </w:rPr>
        <w:t>门诊收费系统</w:t>
      </w:r>
      <w:bookmarkEnd w:id="55"/>
      <w:bookmarkEnd w:id="56"/>
      <w:bookmarkEnd w:id="57"/>
      <w:bookmarkEnd w:id="58"/>
      <w:bookmarkEnd w:id="59"/>
    </w:p>
    <w:tbl>
      <w:tblPr>
        <w:tblStyle w:val="46"/>
        <w:tblW w:w="101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5"/>
        <w:gridCol w:w="1142"/>
        <w:gridCol w:w="8132"/>
      </w:tblGrid>
      <w:tr w14:paraId="07A5E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905" w:type="dxa"/>
            <w:vAlign w:val="center"/>
          </w:tcPr>
          <w:p w14:paraId="39F35C98">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r>
              <w:rPr>
                <w:rFonts w:hint="eastAsia" w:ascii="宋体" w:hAnsi="宋体" w:cs="宋体"/>
                <w:color w:val="auto"/>
                <w:kern w:val="0"/>
                <w:sz w:val="21"/>
                <w:szCs w:val="21"/>
                <w:highlight w:val="none"/>
              </w:rPr>
              <w:t>需求名称</w:t>
            </w:r>
          </w:p>
        </w:tc>
        <w:tc>
          <w:tcPr>
            <w:tcW w:w="1142" w:type="dxa"/>
            <w:vAlign w:val="center"/>
          </w:tcPr>
          <w:p w14:paraId="48340231">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序号</w:t>
            </w:r>
          </w:p>
        </w:tc>
        <w:tc>
          <w:tcPr>
            <w:tcW w:w="8132" w:type="dxa"/>
            <w:vAlign w:val="center"/>
          </w:tcPr>
          <w:p w14:paraId="0E44FCE0">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需求描述</w:t>
            </w:r>
          </w:p>
        </w:tc>
      </w:tr>
      <w:tr w14:paraId="1DFC6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5" w:type="dxa"/>
            <w:vMerge w:val="restart"/>
            <w:vAlign w:val="center"/>
          </w:tcPr>
          <w:p w14:paraId="0288C77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sz w:val="21"/>
                <w:szCs w:val="21"/>
                <w:highlight w:val="none"/>
              </w:rPr>
            </w:pPr>
            <w:r>
              <w:rPr>
                <w:rFonts w:hint="eastAsia" w:ascii="宋体" w:hAnsi="宋体" w:cs="宋体"/>
                <w:color w:val="auto"/>
                <w:sz w:val="21"/>
                <w:szCs w:val="21"/>
                <w:highlight w:val="none"/>
              </w:rPr>
              <w:t>门诊</w:t>
            </w:r>
            <w:r>
              <w:rPr>
                <w:rFonts w:hint="eastAsia" w:ascii="宋体" w:hAnsi="宋体" w:cs="宋体"/>
                <w:color w:val="auto"/>
                <w:sz w:val="21"/>
                <w:szCs w:val="21"/>
                <w:highlight w:val="none"/>
                <w:lang w:val="en-US" w:eastAsia="zh-CN"/>
              </w:rPr>
              <w:t>收费</w:t>
            </w:r>
            <w:r>
              <w:rPr>
                <w:rFonts w:hint="eastAsia" w:ascii="宋体" w:hAnsi="宋体" w:cs="宋体"/>
                <w:color w:val="auto"/>
                <w:sz w:val="21"/>
                <w:szCs w:val="21"/>
                <w:highlight w:val="none"/>
              </w:rPr>
              <w:t>系统</w:t>
            </w:r>
          </w:p>
        </w:tc>
        <w:tc>
          <w:tcPr>
            <w:tcW w:w="1142" w:type="dxa"/>
            <w:vAlign w:val="center"/>
          </w:tcPr>
          <w:p w14:paraId="545A0470">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 xml:space="preserve">门诊收费  </w:t>
            </w:r>
          </w:p>
        </w:tc>
        <w:tc>
          <w:tcPr>
            <w:tcW w:w="8132" w:type="dxa"/>
            <w:vAlign w:val="center"/>
          </w:tcPr>
          <w:p w14:paraId="1C692A76">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支持病案号、身份证、护照、医保卡、就诊卡、市民卡、患者姓名、手机号、地区通行证、电子健康卡、电子医保凭证、等缴费患者的身份识别功能；</w:t>
            </w:r>
          </w:p>
          <w:p w14:paraId="098EBF52">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患者身份识别后，支持自动调入患者费用信息，进行收费结算；</w:t>
            </w:r>
          </w:p>
          <w:p w14:paraId="444E6715">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支持信用就医、医院优惠、现金、储值金余额、支票、医保账户、微信、支付宝</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数字人民币</w:t>
            </w:r>
            <w:r>
              <w:rPr>
                <w:rFonts w:hint="eastAsia"/>
                <w:sz w:val="21"/>
                <w:szCs w:val="21"/>
                <w:lang w:eastAsia="zh-CN"/>
              </w:rPr>
              <w:t>、境内外银行卡（含借记卡、信用卡）及第三方聚合支付</w:t>
            </w:r>
            <w:r>
              <w:rPr>
                <w:rFonts w:hint="eastAsia" w:ascii="宋体" w:hAnsi="宋体" w:cs="宋体"/>
                <w:bCs/>
                <w:color w:val="auto"/>
                <w:sz w:val="21"/>
                <w:szCs w:val="21"/>
                <w:highlight w:val="none"/>
              </w:rPr>
              <w:t>等收费方式；</w:t>
            </w:r>
          </w:p>
          <w:p w14:paraId="0ED5769C">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以统一账户管理支持信用就医流程，在信用额度中，提供患者信用额度的修改功能；收费界面支持快捷调用账户管理功能，在账户管理界面直接进行授信额度维护，维护内容包括额度修改，额度有效期修改，也可以进行已使用额度查询。</w:t>
            </w:r>
          </w:p>
          <w:p w14:paraId="2E33FA51">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支持医院优惠、现金、医保</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工伤</w:t>
            </w:r>
            <w:r>
              <w:rPr>
                <w:rFonts w:hint="eastAsia" w:ascii="宋体" w:hAnsi="宋体" w:cs="宋体"/>
                <w:bCs/>
                <w:color w:val="auto"/>
                <w:sz w:val="21"/>
                <w:szCs w:val="21"/>
                <w:highlight w:val="none"/>
              </w:rPr>
              <w:t>账户、储值金余额、微信</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支付宝、数字人民币、境内外银行卡（含借记卡、信用卡）及第三方聚合支付</w:t>
            </w:r>
            <w:r>
              <w:rPr>
                <w:rFonts w:hint="eastAsia" w:ascii="宋体" w:hAnsi="宋体" w:cs="宋体"/>
                <w:bCs/>
                <w:color w:val="auto"/>
                <w:sz w:val="21"/>
                <w:szCs w:val="21"/>
                <w:highlight w:val="none"/>
              </w:rPr>
              <w:t>等不同方式混合支付；</w:t>
            </w:r>
          </w:p>
          <w:p w14:paraId="1B16BF62">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支持不同优惠类型管理，如临床试验、本院职工、义诊等。</w:t>
            </w:r>
          </w:p>
          <w:p w14:paraId="52B8D0CB">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支持多条就诊流程合并结算，门诊收费支持同一患者不同日期内多条就诊流程一起结算。</w:t>
            </w:r>
          </w:p>
          <w:p w14:paraId="172ECC72">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患者建档、账户充值、档案管理、收费结算、结算作废、门诊退费、空白票作废、结算小票打印、收费记账、取消记账、门诊划价、复制作废单、结算历史、门诊挂号、麻方打印等功能集成在门诊收费界面上；</w:t>
            </w:r>
          </w:p>
          <w:p w14:paraId="7965FCF0">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支持结算完成自动打印发票，可以打印正式发票，也可以打印收费凭证；</w:t>
            </w:r>
          </w:p>
          <w:p w14:paraId="58A586FC">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支持发票重打，包括原发票重打、退费后产生的新发票重打；</w:t>
            </w:r>
          </w:p>
          <w:p w14:paraId="61385EDE">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支持货币误差功能，由于四舍五入当支付的总金额和应缴款不相等时，需要记录货币误差；</w:t>
            </w:r>
          </w:p>
          <w:p w14:paraId="4A9C4503">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支持药品费用收费时，自动智能分配处方到排队最少的发药窗口，且当所有窗口排队都空闲时能平均分配处方到发药窗口；</w:t>
            </w:r>
          </w:p>
          <w:p w14:paraId="6810602D">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支持药品费用收费时，自动扣减相应药房的财务库存；</w:t>
            </w:r>
          </w:p>
          <w:p w14:paraId="1232B93B">
            <w:pPr>
              <w:pStyle w:val="56"/>
              <w:keepNext w:val="0"/>
              <w:keepLines w:val="0"/>
              <w:pageBreakBefore w:val="0"/>
              <w:widowControl w:val="0"/>
              <w:numPr>
                <w:ilvl w:val="0"/>
                <w:numId w:val="26"/>
              </w:numPr>
              <w:kinsoku/>
              <w:wordWrap/>
              <w:overflowPunct/>
              <w:topLinePunct w:val="0"/>
              <w:autoSpaceDE/>
              <w:autoSpaceDN/>
              <w:bidi w:val="0"/>
              <w:adjustRightInd w:val="0"/>
              <w:snapToGrid w:val="0"/>
              <w:spacing w:line="360" w:lineRule="auto"/>
              <w:ind w:left="420" w:hanging="420"/>
              <w:jc w:val="left"/>
              <w:textAlignment w:val="auto"/>
              <w:rPr>
                <w:rFonts w:hint="eastAsia" w:ascii="宋体" w:hAnsi="宋体" w:cs="宋体"/>
                <w:color w:val="auto"/>
                <w:spacing w:val="0"/>
                <w:kern w:val="2"/>
                <w:sz w:val="21"/>
                <w:szCs w:val="21"/>
                <w:highlight w:val="none"/>
              </w:rPr>
            </w:pPr>
            <w:r>
              <w:rPr>
                <w:rFonts w:hint="eastAsia" w:ascii="宋体" w:hAnsi="宋体" w:cs="宋体"/>
                <w:color w:val="auto"/>
                <w:spacing w:val="0"/>
                <w:kern w:val="2"/>
                <w:sz w:val="21"/>
                <w:szCs w:val="21"/>
                <w:highlight w:val="none"/>
              </w:rPr>
              <w:t>支持耗材费用收费时，自动扣减相应科室的耗材库存;</w:t>
            </w:r>
          </w:p>
          <w:p w14:paraId="57468140">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提供已结算的费用由门诊转入住院费用的功能；</w:t>
            </w:r>
          </w:p>
          <w:p w14:paraId="46D96B76">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提供医保接口，给医院进行医保嵌入。</w:t>
            </w:r>
          </w:p>
          <w:p w14:paraId="6F09D930">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支持各类公费医疗和医保的即时补偿结算方式，自动计算出患者的个人缴费金额和记帐金额。收费后的电子处方、各类电子申请单可自动传送到相应业务系统。</w:t>
            </w:r>
          </w:p>
          <w:p w14:paraId="29F798BC">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与移动医保对接，便于移动业务调用移动医保进行结算。</w:t>
            </w:r>
          </w:p>
          <w:p w14:paraId="3005AF57">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hint="eastAsia" w:ascii="宋体" w:hAnsi="宋体" w:cs="宋体"/>
                <w:bCs/>
                <w:sz w:val="21"/>
                <w:szCs w:val="21"/>
              </w:rPr>
            </w:pPr>
            <w:r>
              <w:rPr>
                <w:rFonts w:hint="eastAsia" w:ascii="宋体" w:hAnsi="宋体" w:cs="宋体"/>
                <w:bCs/>
                <w:color w:val="auto"/>
                <w:sz w:val="21"/>
                <w:szCs w:val="21"/>
                <w:highlight w:val="none"/>
              </w:rPr>
              <w:t>支持结算信息通过短信、微信公众号等多种方式及时推送患者。</w:t>
            </w:r>
          </w:p>
          <w:p w14:paraId="0DE84462">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sz w:val="21"/>
                <w:szCs w:val="21"/>
              </w:rPr>
              <w:t>支持儿童加收项目自动加收结算。</w:t>
            </w:r>
          </w:p>
          <w:p w14:paraId="036679F0">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hint="eastAsia" w:ascii="宋体" w:hAnsi="宋体" w:cs="宋体"/>
                <w:bCs/>
                <w:color w:val="auto"/>
                <w:sz w:val="21"/>
                <w:szCs w:val="21"/>
                <w:highlight w:val="none"/>
              </w:rPr>
            </w:pPr>
            <w:r>
              <w:rPr>
                <w:rFonts w:hint="eastAsia" w:ascii="宋体" w:hAnsi="宋体" w:cs="宋体"/>
                <w:bCs/>
                <w:color w:val="auto"/>
                <w:sz w:val="21"/>
                <w:szCs w:val="21"/>
                <w:highlight w:val="none"/>
              </w:rPr>
              <w:t>支持接收社保审批系统的费用审批结果（费别、险种、医保通道）、信息提示，并记录最后处理人。</w:t>
            </w:r>
          </w:p>
          <w:p w14:paraId="2D3A80D5">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hint="eastAsia" w:ascii="宋体" w:hAnsi="宋体" w:cs="宋体"/>
                <w:bCs/>
                <w:color w:val="auto"/>
                <w:sz w:val="21"/>
                <w:szCs w:val="21"/>
                <w:highlight w:val="none"/>
              </w:rPr>
            </w:pPr>
            <w:r>
              <w:rPr>
                <w:rFonts w:hint="eastAsia" w:ascii="宋体" w:hAnsi="宋体" w:cs="宋体"/>
                <w:bCs/>
                <w:color w:val="auto"/>
                <w:sz w:val="21"/>
                <w:szCs w:val="21"/>
                <w:highlight w:val="none"/>
              </w:rPr>
              <w:t>支持全量展示医保三大目录字段、当前结算费别。</w:t>
            </w:r>
          </w:p>
          <w:p w14:paraId="33D4BE88">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hint="eastAsia" w:ascii="宋体" w:hAnsi="宋体" w:cs="宋体"/>
                <w:bCs/>
                <w:color w:val="auto"/>
                <w:sz w:val="21"/>
                <w:szCs w:val="21"/>
                <w:highlight w:val="none"/>
              </w:rPr>
            </w:pPr>
            <w:r>
              <w:rPr>
                <w:rFonts w:hint="eastAsia" w:ascii="宋体" w:hAnsi="宋体" w:cs="宋体"/>
                <w:bCs/>
                <w:color w:val="auto"/>
                <w:sz w:val="21"/>
                <w:szCs w:val="21"/>
                <w:highlight w:val="none"/>
              </w:rPr>
              <w:t>支持对费用明细进行搜索，支持按时间、项目、开单人员、收费人员等不同维度的检索。</w:t>
            </w:r>
          </w:p>
          <w:p w14:paraId="286DA616">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hint="eastAsia" w:ascii="宋体" w:hAnsi="宋体" w:cs="宋体"/>
                <w:bCs/>
                <w:color w:val="auto"/>
                <w:sz w:val="21"/>
                <w:szCs w:val="21"/>
                <w:highlight w:val="none"/>
              </w:rPr>
            </w:pPr>
            <w:r>
              <w:rPr>
                <w:rFonts w:hint="eastAsia" w:ascii="宋体" w:hAnsi="宋体" w:cs="宋体"/>
                <w:bCs/>
                <w:color w:val="auto"/>
                <w:sz w:val="21"/>
                <w:szCs w:val="21"/>
                <w:highlight w:val="none"/>
              </w:rPr>
              <w:t>支持缴费结算信息通过短信或微信公众号推送，患者可在手机移动端、自助终端查询费用明细，并支持打印带电子印章的费用明细。</w:t>
            </w:r>
          </w:p>
          <w:p w14:paraId="67F3B1EE">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hint="eastAsia" w:ascii="宋体" w:hAnsi="宋体" w:cs="宋体"/>
                <w:bCs/>
                <w:color w:val="auto"/>
                <w:sz w:val="21"/>
                <w:szCs w:val="21"/>
                <w:highlight w:val="none"/>
              </w:rPr>
            </w:pPr>
            <w:r>
              <w:rPr>
                <w:rFonts w:hint="eastAsia" w:ascii="宋体" w:hAnsi="宋体" w:cs="宋体"/>
                <w:bCs/>
                <w:color w:val="auto"/>
                <w:sz w:val="21"/>
                <w:szCs w:val="21"/>
                <w:highlight w:val="none"/>
              </w:rPr>
              <w:t>支持选择不同的医保通道进行结算，支持结合诊断等维度限定选择医保结算通道。</w:t>
            </w:r>
          </w:p>
          <w:p w14:paraId="4C403C3D">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hint="eastAsia" w:ascii="宋体" w:hAnsi="宋体" w:cs="宋体"/>
                <w:bCs/>
                <w:color w:val="auto"/>
                <w:sz w:val="21"/>
                <w:szCs w:val="21"/>
                <w:highlight w:val="none"/>
              </w:rPr>
            </w:pPr>
            <w:r>
              <w:rPr>
                <w:rFonts w:hint="eastAsia" w:ascii="宋体" w:hAnsi="宋体" w:cs="宋体"/>
                <w:bCs/>
                <w:color w:val="auto"/>
                <w:sz w:val="21"/>
                <w:szCs w:val="21"/>
                <w:highlight w:val="none"/>
              </w:rPr>
              <w:t>支持对有门特的患者进行提示。</w:t>
            </w:r>
          </w:p>
          <w:p w14:paraId="6B303F81">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hint="eastAsia" w:ascii="宋体" w:hAnsi="宋体" w:cs="宋体"/>
                <w:bCs/>
                <w:color w:val="auto"/>
                <w:sz w:val="21"/>
                <w:szCs w:val="21"/>
                <w:highlight w:val="none"/>
              </w:rPr>
            </w:pPr>
            <w:r>
              <w:rPr>
                <w:rFonts w:hint="eastAsia" w:ascii="宋体" w:hAnsi="宋体" w:cs="宋体"/>
                <w:bCs/>
                <w:color w:val="auto"/>
                <w:sz w:val="21"/>
                <w:szCs w:val="21"/>
                <w:highlight w:val="none"/>
              </w:rPr>
              <w:t>支持对血透大病的患者显示当月结算次数。</w:t>
            </w:r>
          </w:p>
          <w:p w14:paraId="18D8B2CE">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hint="eastAsia" w:ascii="宋体" w:hAnsi="宋体" w:cs="宋体"/>
                <w:bCs/>
                <w:color w:val="auto"/>
                <w:sz w:val="21"/>
                <w:szCs w:val="21"/>
                <w:highlight w:val="none"/>
              </w:rPr>
            </w:pPr>
            <w:r>
              <w:rPr>
                <w:rFonts w:hint="eastAsia" w:ascii="宋体" w:hAnsi="宋体" w:cs="宋体"/>
                <w:bCs/>
                <w:color w:val="auto"/>
                <w:sz w:val="21"/>
                <w:szCs w:val="21"/>
                <w:highlight w:val="none"/>
              </w:rPr>
              <w:t>支持对费用类型的融合处理，并时时展示当前费用类型、险种、医保通道。</w:t>
            </w:r>
          </w:p>
          <w:p w14:paraId="27BCB9D1">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hint="eastAsia" w:ascii="宋体" w:hAnsi="宋体" w:cs="宋体"/>
                <w:bCs/>
                <w:color w:val="auto"/>
                <w:sz w:val="21"/>
                <w:szCs w:val="21"/>
                <w:highlight w:val="none"/>
              </w:rPr>
            </w:pPr>
            <w:r>
              <w:rPr>
                <w:rFonts w:hint="eastAsia" w:ascii="宋体" w:hAnsi="宋体" w:cs="宋体"/>
                <w:bCs/>
                <w:color w:val="auto"/>
                <w:sz w:val="21"/>
                <w:szCs w:val="21"/>
                <w:highlight w:val="none"/>
              </w:rPr>
              <w:t>支持自费患者仍调用医保限制性弹框或医保自定义提示，自费转医保时按临床意愿进行结算。</w:t>
            </w:r>
          </w:p>
          <w:p w14:paraId="5B478689">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支持高频功能快捷入口配置，包括建档、充值、结算、退费、打印等，减少收费员在不同模块间反复切换。</w:t>
            </w:r>
          </w:p>
        </w:tc>
      </w:tr>
      <w:tr w14:paraId="1A95F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jc w:val="center"/>
        </w:trPr>
        <w:tc>
          <w:tcPr>
            <w:tcW w:w="905" w:type="dxa"/>
            <w:vMerge w:val="continue"/>
            <w:vAlign w:val="center"/>
          </w:tcPr>
          <w:p w14:paraId="7714FD12">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142" w:type="dxa"/>
            <w:vAlign w:val="center"/>
          </w:tcPr>
          <w:p w14:paraId="7B3D8988">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 xml:space="preserve">门诊退费  </w:t>
            </w:r>
          </w:p>
        </w:tc>
        <w:tc>
          <w:tcPr>
            <w:tcW w:w="8132" w:type="dxa"/>
            <w:vAlign w:val="center"/>
          </w:tcPr>
          <w:p w14:paraId="02D21920">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支持对发票中部分项目进行退费；</w:t>
            </w:r>
          </w:p>
          <w:p w14:paraId="511A97B2">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支持对整张发票进行全部退费；</w:t>
            </w:r>
          </w:p>
          <w:p w14:paraId="043A74EA">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支持多种退款方式：医院优惠、储值金余额、医保账户、现金、支票、银行卡、支付宝、微信；</w:t>
            </w:r>
          </w:p>
          <w:p w14:paraId="65658465">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支持默认按原发票付款路径退回，也可选择其他退款方式</w:t>
            </w:r>
            <w:r>
              <w:rPr>
                <w:rFonts w:hint="eastAsia" w:ascii="宋体" w:hAnsi="宋体" w:cs="宋体"/>
                <w:bCs/>
                <w:color w:val="auto"/>
                <w:sz w:val="21"/>
                <w:szCs w:val="21"/>
                <w:highlight w:val="none"/>
                <w:lang w:eastAsia="zh-CN"/>
              </w:rPr>
              <w:t>；</w:t>
            </w:r>
          </w:p>
          <w:p w14:paraId="574D23ED">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hint="eastAsia" w:ascii="宋体" w:hAnsi="宋体" w:cs="宋体"/>
                <w:bCs/>
                <w:color w:val="auto"/>
                <w:sz w:val="21"/>
                <w:szCs w:val="21"/>
                <w:highlight w:val="none"/>
              </w:rPr>
            </w:pPr>
            <w:r>
              <w:rPr>
                <w:rFonts w:hint="eastAsia" w:ascii="宋体" w:hAnsi="宋体" w:cs="宋体"/>
                <w:bCs/>
                <w:color w:val="auto"/>
                <w:sz w:val="21"/>
                <w:szCs w:val="21"/>
                <w:highlight w:val="none"/>
              </w:rPr>
              <w:t>支持药品费用退费时，自动回退相应药房的财务库存</w:t>
            </w:r>
            <w:r>
              <w:rPr>
                <w:rFonts w:hint="eastAsia" w:ascii="宋体" w:hAnsi="宋体" w:cs="宋体"/>
                <w:bCs/>
                <w:color w:val="auto"/>
                <w:sz w:val="21"/>
                <w:szCs w:val="21"/>
                <w:highlight w:val="none"/>
                <w:lang w:eastAsia="zh-CN"/>
              </w:rPr>
              <w:t>；</w:t>
            </w:r>
          </w:p>
          <w:p w14:paraId="6667DC71">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hint="eastAsia" w:ascii="宋体" w:hAnsi="宋体" w:cs="宋体"/>
                <w:bCs/>
                <w:color w:val="auto"/>
                <w:sz w:val="21"/>
                <w:szCs w:val="21"/>
                <w:highlight w:val="none"/>
              </w:rPr>
            </w:pPr>
            <w:r>
              <w:rPr>
                <w:rFonts w:hint="eastAsia" w:ascii="宋体" w:hAnsi="宋体" w:cs="宋体"/>
                <w:bCs/>
                <w:color w:val="auto"/>
                <w:sz w:val="21"/>
                <w:szCs w:val="21"/>
                <w:highlight w:val="none"/>
              </w:rPr>
              <w:t>支持耗材费用退费时，自动回退相应科室的耗材库存；</w:t>
            </w:r>
          </w:p>
          <w:p w14:paraId="7E0FC2A6">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支持费用退费时，必须关联上原收费记录，并在相关界面进行关联展示。</w:t>
            </w:r>
          </w:p>
          <w:p w14:paraId="33903E76">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支持展示退费标志。</w:t>
            </w:r>
          </w:p>
          <w:p w14:paraId="0B6F3377">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Cs w:val="21"/>
                <w:highlight w:val="none"/>
              </w:rPr>
              <w:t>对于已生成发票但检查未预约或未执行的患者，支持通过微信公众号或自助机发起退费申请。系统根据预约和执行状态进行校验；需人工审核的，进入对应科室审核流程。审核通过后，收费系统接收退费申请，收费处确认后按原支付路径退回；原路退回失败的，转人工处理。</w:t>
            </w:r>
          </w:p>
        </w:tc>
      </w:tr>
      <w:tr w14:paraId="737F3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0" w:hRule="atLeast"/>
          <w:jc w:val="center"/>
        </w:trPr>
        <w:tc>
          <w:tcPr>
            <w:tcW w:w="905" w:type="dxa"/>
            <w:vMerge w:val="continue"/>
            <w:vAlign w:val="center"/>
          </w:tcPr>
          <w:p w14:paraId="05770C13">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142" w:type="dxa"/>
            <w:vAlign w:val="center"/>
          </w:tcPr>
          <w:p w14:paraId="4316E2D5">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 xml:space="preserve">门诊结账  </w:t>
            </w:r>
          </w:p>
        </w:tc>
        <w:tc>
          <w:tcPr>
            <w:tcW w:w="8132" w:type="dxa"/>
            <w:vAlign w:val="center"/>
          </w:tcPr>
          <w:p w14:paraId="6008EC7B">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门诊个人结账查询，提供按结账类型、起始终止时间，对操作员当日的收费信息进行结账的功能，收费信息包括收款信息、费用信息、票据信息；支持显示本次结账的挂号结算、挂号票据、收费结算、收费票据和储值金的明细信息；</w:t>
            </w:r>
          </w:p>
          <w:p w14:paraId="0AC45D75">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支持预结算，展示不同基金口支出情况，如个账、统筹、现金等维度。</w:t>
            </w:r>
          </w:p>
          <w:p w14:paraId="51650220">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支持门诊结账查询，支持按结账类型、起止时间查询门诊结账的明细信息；</w:t>
            </w:r>
          </w:p>
          <w:p w14:paraId="2B0F5E7E">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支持门诊汇总结账；支持按门诊收费部门、起止时间，查询挂号收费信息、应收金额、账户信息等内容；支持按照储值金、现金、微信、支付宝、聚合支付、银行卡等类型分别统计应收金额；</w:t>
            </w:r>
          </w:p>
          <w:p w14:paraId="07A8CB96">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支持门诊结账查询；支持按照</w:t>
            </w:r>
            <w:r>
              <w:rPr>
                <w:rFonts w:hint="eastAsia" w:ascii="宋体" w:hAnsi="宋体" w:cs="宋体"/>
                <w:bCs/>
                <w:color w:val="auto"/>
                <w:sz w:val="21"/>
                <w:szCs w:val="21"/>
                <w:highlight w:val="none"/>
                <w:lang w:val="en-US" w:eastAsia="zh-CN"/>
              </w:rPr>
              <w:t>平台、商户号、</w:t>
            </w:r>
            <w:r>
              <w:rPr>
                <w:rFonts w:hint="eastAsia" w:ascii="宋体" w:hAnsi="宋体" w:cs="宋体"/>
                <w:bCs/>
                <w:color w:val="auto"/>
                <w:sz w:val="21"/>
                <w:szCs w:val="21"/>
                <w:highlight w:val="none"/>
              </w:rPr>
              <w:t>结账类型、起止时间，进行结账时间和结账状态的查询；</w:t>
            </w:r>
          </w:p>
          <w:p w14:paraId="7196FBBA">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支持结账作废和结账打印功能；</w:t>
            </w:r>
          </w:p>
          <w:p w14:paraId="4843FE4A">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支持自动结账模式，通过后台服务完成。</w:t>
            </w:r>
          </w:p>
          <w:p w14:paraId="0E4FF437">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提供收费组长或财务对收费员交的账务进行核对并上交报表存档。</w:t>
            </w:r>
          </w:p>
        </w:tc>
      </w:tr>
      <w:tr w14:paraId="72CA6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9" w:hRule="atLeast"/>
          <w:jc w:val="center"/>
        </w:trPr>
        <w:tc>
          <w:tcPr>
            <w:tcW w:w="905" w:type="dxa"/>
            <w:vMerge w:val="continue"/>
            <w:vAlign w:val="center"/>
          </w:tcPr>
          <w:p w14:paraId="71663442">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142" w:type="dxa"/>
            <w:vAlign w:val="center"/>
          </w:tcPr>
          <w:p w14:paraId="78EFB2E5">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结算作废</w:t>
            </w:r>
          </w:p>
        </w:tc>
        <w:tc>
          <w:tcPr>
            <w:tcW w:w="8132" w:type="dxa"/>
            <w:vAlign w:val="center"/>
          </w:tcPr>
          <w:p w14:paraId="1EAF0330">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支持结算发票作废功能。</w:t>
            </w:r>
          </w:p>
          <w:p w14:paraId="3B1A15FD">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支持收费结算后可以在收费强制变更保险计划，例如医保转自费，自费转医保。场景：工伤患者就诊期间使用医保结算需要转成自费，个人商保比例高，希望可以变更保险计划后用于自费部分金额用于商业报销。</w:t>
            </w:r>
          </w:p>
        </w:tc>
      </w:tr>
      <w:tr w14:paraId="1182E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8" w:hRule="atLeast"/>
          <w:jc w:val="center"/>
        </w:trPr>
        <w:tc>
          <w:tcPr>
            <w:tcW w:w="905" w:type="dxa"/>
            <w:vAlign w:val="center"/>
          </w:tcPr>
          <w:p w14:paraId="173CED0A">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142" w:type="dxa"/>
            <w:vAlign w:val="center"/>
          </w:tcPr>
          <w:p w14:paraId="5DB1176D">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cs="宋体"/>
                <w:color w:val="auto"/>
                <w:kern w:val="0"/>
                <w:sz w:val="21"/>
                <w:szCs w:val="21"/>
                <w:highlight w:val="none"/>
              </w:rPr>
            </w:pPr>
            <w:r>
              <w:rPr>
                <w:rFonts w:hint="eastAsia" w:ascii="宋体" w:hAnsi="宋体" w:cs="宋体"/>
                <w:kern w:val="0"/>
                <w:sz w:val="21"/>
                <w:szCs w:val="21"/>
              </w:rPr>
              <w:t>报表查询</w:t>
            </w:r>
          </w:p>
        </w:tc>
        <w:tc>
          <w:tcPr>
            <w:tcW w:w="8132" w:type="dxa"/>
            <w:vAlign w:val="center"/>
          </w:tcPr>
          <w:p w14:paraId="6638F429">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ind w:left="440" w:leftChars="0" w:hanging="440" w:firstLineChars="0"/>
              <w:jc w:val="left"/>
              <w:textAlignment w:val="auto"/>
              <w:rPr>
                <w:rFonts w:hint="eastAsia" w:ascii="宋体" w:hAnsi="宋体" w:cs="宋体"/>
                <w:bCs/>
                <w:color w:val="auto"/>
                <w:sz w:val="21"/>
                <w:szCs w:val="21"/>
                <w:highlight w:val="none"/>
              </w:rPr>
            </w:pPr>
            <w:r>
              <w:rPr>
                <w:rFonts w:hint="eastAsia" w:ascii="宋体" w:hAnsi="宋体" w:cs="宋体"/>
                <w:bCs/>
                <w:szCs w:val="21"/>
              </w:rPr>
              <w:t>支持收费及医保业务报表查询功能。系统应支持收费员工作量统计，可按收费员、时间、窗口、业务类型等维度统计收费笔数、人次、金额、退费笔数、退费金额等核心指标，并提供汇总表及明细表查询。</w:t>
            </w:r>
          </w:p>
          <w:p w14:paraId="1800EF50">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ind w:left="440" w:leftChars="0" w:hanging="440" w:firstLineChars="0"/>
              <w:jc w:val="left"/>
              <w:textAlignment w:val="auto"/>
              <w:rPr>
                <w:rFonts w:hint="eastAsia" w:ascii="宋体" w:hAnsi="宋体" w:cs="宋体"/>
                <w:bCs/>
                <w:color w:val="auto"/>
                <w:sz w:val="21"/>
                <w:szCs w:val="21"/>
                <w:highlight w:val="none"/>
              </w:rPr>
            </w:pPr>
            <w:r>
              <w:rPr>
                <w:rFonts w:hint="eastAsia" w:ascii="宋体" w:hAnsi="宋体" w:cs="宋体"/>
                <w:bCs/>
                <w:color w:val="auto"/>
                <w:szCs w:val="21"/>
                <w:highlight w:val="none"/>
              </w:rPr>
              <w:t>支持医保处理及审批记录查询。系统应支持查询所有经医保处理或审批的业务记录，可按项目名称、患者姓名、科室、处理时间、处理人、医保类型、业务状态等条件进行检索，查询结果支持明细查看、导出及打印。</w:t>
            </w:r>
          </w:p>
          <w:p w14:paraId="555025D5">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ind w:left="440" w:leftChars="0" w:hanging="440" w:firstLineChars="0"/>
              <w:jc w:val="left"/>
              <w:textAlignment w:val="auto"/>
              <w:rPr>
                <w:rFonts w:hint="eastAsia" w:ascii="宋体" w:hAnsi="宋体" w:cs="宋体"/>
                <w:bCs/>
                <w:color w:val="auto"/>
                <w:sz w:val="21"/>
                <w:szCs w:val="21"/>
                <w:highlight w:val="none"/>
              </w:rPr>
            </w:pPr>
            <w:r>
              <w:rPr>
                <w:rFonts w:hint="eastAsia" w:ascii="宋体" w:hAnsi="宋体" w:cs="宋体"/>
                <w:bCs/>
                <w:color w:val="auto"/>
                <w:szCs w:val="21"/>
                <w:highlight w:val="none"/>
              </w:rPr>
              <w:t>支持报表集成展示。系统应支持与数据湖或第三方报表平台对接，实现收费、医保、结算、退费等相关统计报表的统一展示和权限化查询。</w:t>
            </w:r>
          </w:p>
        </w:tc>
      </w:tr>
    </w:tbl>
    <w:p w14:paraId="63AA34D9">
      <w:pPr>
        <w:rPr>
          <w:rFonts w:ascii="宋体" w:hAnsi="宋体" w:cs="宋体"/>
          <w:color w:val="auto"/>
          <w:szCs w:val="21"/>
          <w:highlight w:val="none"/>
        </w:rPr>
      </w:pPr>
    </w:p>
    <w:p w14:paraId="4A474DCF">
      <w:pPr>
        <w:rPr>
          <w:rFonts w:ascii="宋体" w:hAnsi="宋体" w:cs="宋体"/>
          <w:color w:val="auto"/>
          <w:szCs w:val="21"/>
          <w:highlight w:val="none"/>
        </w:rPr>
      </w:pPr>
    </w:p>
    <w:p w14:paraId="4B1F70E4">
      <w:pPr>
        <w:rPr>
          <w:rFonts w:ascii="宋体" w:hAnsi="宋体" w:cs="宋体"/>
          <w:color w:val="auto"/>
          <w:szCs w:val="21"/>
          <w:highlight w:val="none"/>
        </w:rPr>
      </w:pPr>
    </w:p>
    <w:p w14:paraId="6018FDCE">
      <w:pPr>
        <w:pStyle w:val="4"/>
        <w:numPr>
          <w:ilvl w:val="2"/>
          <w:numId w:val="1"/>
        </w:numPr>
        <w:spacing w:before="0" w:after="0" w:line="360" w:lineRule="auto"/>
        <w:ind w:left="567" w:hanging="567"/>
        <w:rPr>
          <w:color w:val="auto"/>
          <w:sz w:val="24"/>
          <w:highlight w:val="none"/>
        </w:rPr>
      </w:pPr>
      <w:bookmarkStart w:id="60" w:name="_Toc12665"/>
      <w:bookmarkStart w:id="61" w:name="_Toc5136"/>
      <w:bookmarkStart w:id="62" w:name="_Toc17838"/>
      <w:bookmarkStart w:id="63" w:name="_Toc8480"/>
      <w:bookmarkStart w:id="64" w:name="_Toc616"/>
      <w:r>
        <w:rPr>
          <w:rFonts w:hint="eastAsia" w:eastAsia="宋体"/>
          <w:color w:val="auto"/>
          <w:kern w:val="2"/>
          <w:sz w:val="24"/>
          <w:szCs w:val="24"/>
          <w:highlight w:val="none"/>
        </w:rPr>
        <w:t>住院收费系统</w:t>
      </w:r>
      <w:bookmarkEnd w:id="60"/>
      <w:bookmarkEnd w:id="61"/>
      <w:bookmarkEnd w:id="62"/>
      <w:bookmarkEnd w:id="63"/>
      <w:bookmarkEnd w:id="64"/>
    </w:p>
    <w:tbl>
      <w:tblPr>
        <w:tblStyle w:val="46"/>
        <w:tblW w:w="100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1125"/>
        <w:gridCol w:w="19"/>
        <w:gridCol w:w="7983"/>
      </w:tblGrid>
      <w:tr w14:paraId="36BEF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891" w:type="dxa"/>
            <w:vAlign w:val="center"/>
          </w:tcPr>
          <w:p w14:paraId="39CDC305">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r>
              <w:rPr>
                <w:rFonts w:hint="eastAsia" w:ascii="宋体" w:hAnsi="宋体" w:cs="宋体"/>
                <w:color w:val="auto"/>
                <w:kern w:val="0"/>
                <w:sz w:val="21"/>
                <w:szCs w:val="21"/>
                <w:highlight w:val="none"/>
              </w:rPr>
              <w:t>需求名称</w:t>
            </w:r>
          </w:p>
        </w:tc>
        <w:tc>
          <w:tcPr>
            <w:tcW w:w="1144" w:type="dxa"/>
            <w:gridSpan w:val="2"/>
            <w:vAlign w:val="center"/>
          </w:tcPr>
          <w:p w14:paraId="25BF61F9">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序号</w:t>
            </w:r>
          </w:p>
        </w:tc>
        <w:tc>
          <w:tcPr>
            <w:tcW w:w="7983" w:type="dxa"/>
            <w:vAlign w:val="center"/>
          </w:tcPr>
          <w:p w14:paraId="3A1E480D">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需求描述</w:t>
            </w:r>
          </w:p>
        </w:tc>
      </w:tr>
      <w:tr w14:paraId="32376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891" w:type="dxa"/>
            <w:vMerge w:val="restart"/>
            <w:vAlign w:val="center"/>
          </w:tcPr>
          <w:p w14:paraId="56F8472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sz w:val="21"/>
                <w:szCs w:val="21"/>
                <w:highlight w:val="none"/>
              </w:rPr>
            </w:pPr>
            <w:r>
              <w:rPr>
                <w:rFonts w:hint="eastAsia" w:ascii="宋体" w:hAnsi="宋体" w:cs="宋体"/>
                <w:color w:val="auto"/>
                <w:sz w:val="21"/>
                <w:szCs w:val="21"/>
                <w:highlight w:val="none"/>
              </w:rPr>
              <w:t>住院收费系统</w:t>
            </w:r>
          </w:p>
        </w:tc>
        <w:tc>
          <w:tcPr>
            <w:tcW w:w="9127" w:type="dxa"/>
            <w:gridSpan w:val="3"/>
            <w:vAlign w:val="center"/>
          </w:tcPr>
          <w:p w14:paraId="0DCDFB89">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入院患者管理</w:t>
            </w:r>
          </w:p>
        </w:tc>
      </w:tr>
      <w:tr w14:paraId="21D61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4" w:hRule="atLeast"/>
          <w:jc w:val="center"/>
        </w:trPr>
        <w:tc>
          <w:tcPr>
            <w:tcW w:w="891" w:type="dxa"/>
            <w:vMerge w:val="continue"/>
            <w:vAlign w:val="center"/>
          </w:tcPr>
          <w:p w14:paraId="12726A62">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125" w:type="dxa"/>
            <w:vAlign w:val="center"/>
          </w:tcPr>
          <w:p w14:paraId="4A67DE42">
            <w:pPr>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入院登记</w:t>
            </w:r>
          </w:p>
        </w:tc>
        <w:tc>
          <w:tcPr>
            <w:tcW w:w="8002" w:type="dxa"/>
            <w:gridSpan w:val="2"/>
            <w:vAlign w:val="center"/>
          </w:tcPr>
          <w:p w14:paraId="0DC66DB6">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支持跨机构申请住院，所跨机构可以通过配置限制；</w:t>
            </w:r>
          </w:p>
          <w:p w14:paraId="106B8988">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支持患者档案的修改和查询及完整性校验；</w:t>
            </w:r>
          </w:p>
          <w:p w14:paraId="0887D28B">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支持以展开方式，查看患者基本信息的详细信息；</w:t>
            </w:r>
          </w:p>
          <w:p w14:paraId="5DA4D172">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提供一般入院登记、预约入院登记、留观入院登记、根据病人档案调入病人等入院方式；</w:t>
            </w:r>
          </w:p>
          <w:p w14:paraId="1703F009">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支持普通住院预约患者、日间手术住院预约患者的预约调入登记；</w:t>
            </w:r>
          </w:p>
          <w:p w14:paraId="0D1C5926">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支持门诊病人、新病人、老病人的入院登记；</w:t>
            </w:r>
          </w:p>
          <w:p w14:paraId="1394AC0C">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支持刷就诊卡/医保卡/身份证，或者输入病案号、姓名、身份证号、卡号、护照、市民卡、健康卡、地区通行证等患者信息进行入院登记；</w:t>
            </w:r>
          </w:p>
          <w:p w14:paraId="49990666">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支持入院登记时病人的科室、病区、床位、治疗小组的选择；</w:t>
            </w:r>
          </w:p>
          <w:p w14:paraId="0E97602F">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入院科室后，支持联动显示可以入住的病区，显示的病区可配置；</w:t>
            </w:r>
          </w:p>
          <w:p w14:paraId="6051987B">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提供患者标签功能，支持在入院登记时获取并标记患者医保特殊身份、支持自定义患者标签；</w:t>
            </w:r>
          </w:p>
          <w:p w14:paraId="3553835F">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支持患者分类，标准化分类患者，方便统计；</w:t>
            </w:r>
          </w:p>
          <w:p w14:paraId="5FE3A16F">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支持进行流程分类，标记特殊流程比如急转住流程、血透流程；</w:t>
            </w:r>
          </w:p>
          <w:p w14:paraId="3AB51BEE">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支持入院登记时，进行住院预交金的缴款或授权，支持储值金、现金、支付宝、微信、银行卡、聚合支付等缴款方式。支持授权和授权金额录入；</w:t>
            </w:r>
          </w:p>
          <w:p w14:paraId="159D3B77">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hint="eastAsia" w:ascii="宋体" w:hAnsi="宋体" w:cs="宋体"/>
                <w:bCs/>
                <w:sz w:val="21"/>
                <w:szCs w:val="21"/>
              </w:rPr>
            </w:pPr>
            <w:r>
              <w:rPr>
                <w:rFonts w:hint="eastAsia" w:ascii="宋体" w:hAnsi="宋体" w:cs="宋体"/>
                <w:bCs/>
                <w:color w:val="auto"/>
                <w:sz w:val="21"/>
                <w:szCs w:val="21"/>
                <w:highlight w:val="none"/>
              </w:rPr>
              <w:t>支持取消入院登记，并清除当前界面上患者登记信息。</w:t>
            </w:r>
          </w:p>
          <w:p w14:paraId="269F3D82">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hint="eastAsia" w:ascii="宋体" w:hAnsi="宋体" w:cs="宋体"/>
                <w:bCs/>
                <w:sz w:val="21"/>
                <w:szCs w:val="21"/>
              </w:rPr>
            </w:pPr>
            <w:r>
              <w:rPr>
                <w:rFonts w:hint="eastAsia" w:ascii="宋体" w:hAnsi="宋体" w:cs="宋体"/>
                <w:bCs/>
                <w:sz w:val="21"/>
                <w:szCs w:val="21"/>
              </w:rPr>
              <w:t>支持患者费别修改，支持通过刷卡或输入患者ID查询患者信息修改患者的费用类别，也支持强制转为自费。自费转医保时需要进行医保登记。医保转自费时需要取消医保登记。</w:t>
            </w:r>
          </w:p>
          <w:p w14:paraId="6B0D7E40">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sz w:val="21"/>
                <w:szCs w:val="21"/>
              </w:rPr>
              <w:t>支持绿色通道办理入院登记。</w:t>
            </w:r>
          </w:p>
          <w:p w14:paraId="3F6764F0">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支持选择不同的医保通道进行结算，支持结合诊断等维度限定选择医保结算通道。</w:t>
            </w:r>
          </w:p>
        </w:tc>
      </w:tr>
      <w:tr w14:paraId="3D61A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8" w:hRule="atLeast"/>
          <w:jc w:val="center"/>
        </w:trPr>
        <w:tc>
          <w:tcPr>
            <w:tcW w:w="891" w:type="dxa"/>
            <w:vMerge w:val="continue"/>
            <w:vAlign w:val="center"/>
          </w:tcPr>
          <w:p w14:paraId="2E4E4781">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125" w:type="dxa"/>
            <w:vAlign w:val="center"/>
          </w:tcPr>
          <w:p w14:paraId="0C19FB34">
            <w:pPr>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在院病人管理</w:t>
            </w:r>
          </w:p>
        </w:tc>
        <w:tc>
          <w:tcPr>
            <w:tcW w:w="8002" w:type="dxa"/>
            <w:gridSpan w:val="2"/>
            <w:vAlign w:val="center"/>
          </w:tcPr>
          <w:p w14:paraId="5BC6BD79">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入院患者集中管理，可根据住院状态、床号、住院号、姓名、病人科室、病人病区等条件检索病人列表，并根据每种类型病人的业务权限进行操作，其中住院状态包含在院、在院证明、通知出院、出院预结、出院挂账、正常出院、终结出院、取消出院、登记、费用已审批等状态；</w:t>
            </w:r>
          </w:p>
          <w:p w14:paraId="725FC503">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对选中的入院患者提供入院登记、登记修改、入院信息查看、注销住院、档案信息查看、病人信息查看、费用账卡查看、缴预交金、出院预结、取消预结、出院结算、住院历史查看、换床明细查看等业务操作；</w:t>
            </w:r>
          </w:p>
          <w:p w14:paraId="5F16002B">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将患者的住院费用转门诊，针对预住院的患者一般在入院前会完成检查、检验项目，这时候在住院流程下产生了费用，如果患者不来住院了，此时是不能按住院流程去结算。系统满足住院费用转门诊费用去结（能够进行医保报销），同时支持选择特殊病种（患者如有），提高患者就医满意度。</w:t>
            </w:r>
          </w:p>
          <w:p w14:paraId="6A116A07">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将患者的门急诊费用转住院；支持门急诊产生的费用（已作废的票据）转入到住院，并进行住院医保结算（患者报销比例更高），可以绑定在患者已有在院流程，也可绑定在新流程上（这样不影响医保DRG控费），费用转换时，支持选择是否同步转换医嘱</w:t>
            </w:r>
          </w:p>
          <w:p w14:paraId="391D8AC6">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支持病人列表、腕带打印。</w:t>
            </w:r>
          </w:p>
          <w:p w14:paraId="108AE9A0">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hint="eastAsia" w:ascii="宋体" w:hAnsi="宋体" w:cs="宋体"/>
                <w:bCs/>
                <w:color w:val="auto"/>
                <w:sz w:val="21"/>
                <w:szCs w:val="21"/>
                <w:highlight w:val="none"/>
              </w:rPr>
            </w:pPr>
            <w:r>
              <w:rPr>
                <w:rFonts w:hint="eastAsia" w:ascii="宋体" w:hAnsi="宋体" w:cs="宋体"/>
                <w:bCs/>
                <w:color w:val="auto"/>
                <w:sz w:val="21"/>
                <w:szCs w:val="21"/>
                <w:highlight w:val="none"/>
              </w:rPr>
              <w:t>支持接收社保审批系统的费用及结算的审批结果（费别、险种、医保通道）、信息提示，并记录最后处理人。</w:t>
            </w:r>
          </w:p>
          <w:p w14:paraId="15562BE1">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hint="eastAsia" w:ascii="宋体" w:hAnsi="宋体" w:cs="宋体"/>
                <w:bCs/>
                <w:color w:val="auto"/>
                <w:sz w:val="21"/>
                <w:szCs w:val="21"/>
                <w:highlight w:val="none"/>
              </w:rPr>
            </w:pPr>
            <w:r>
              <w:rPr>
                <w:rFonts w:hint="eastAsia" w:ascii="宋体" w:hAnsi="宋体" w:cs="宋体"/>
                <w:bCs/>
                <w:color w:val="auto"/>
                <w:sz w:val="21"/>
                <w:szCs w:val="21"/>
                <w:highlight w:val="none"/>
              </w:rPr>
              <w:t>支持全量展示医保三大目录字段、当前结算费别。</w:t>
            </w:r>
          </w:p>
          <w:p w14:paraId="5C8C51F9">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hint="eastAsia" w:ascii="宋体" w:hAnsi="宋体" w:cs="宋体"/>
                <w:bCs/>
                <w:color w:val="auto"/>
                <w:sz w:val="21"/>
                <w:szCs w:val="21"/>
                <w:highlight w:val="none"/>
              </w:rPr>
            </w:pPr>
            <w:r>
              <w:rPr>
                <w:rFonts w:hint="eastAsia" w:ascii="宋体" w:hAnsi="宋体" w:cs="宋体"/>
                <w:bCs/>
                <w:color w:val="auto"/>
                <w:sz w:val="21"/>
                <w:szCs w:val="21"/>
                <w:highlight w:val="none"/>
              </w:rPr>
              <w:t>支持对费用明细进行搜索，支持按时间、项目、开单人员、收费人员等不同维度的检索。</w:t>
            </w:r>
          </w:p>
          <w:p w14:paraId="1107FDD9">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hint="eastAsia" w:ascii="宋体" w:hAnsi="宋体" w:cs="宋体"/>
                <w:bCs/>
                <w:color w:val="auto"/>
                <w:sz w:val="21"/>
                <w:szCs w:val="21"/>
                <w:highlight w:val="none"/>
              </w:rPr>
            </w:pPr>
            <w:r>
              <w:rPr>
                <w:rFonts w:hint="eastAsia" w:ascii="宋体" w:hAnsi="宋体" w:cs="宋体"/>
                <w:bCs/>
                <w:color w:val="auto"/>
                <w:sz w:val="21"/>
                <w:szCs w:val="21"/>
                <w:highlight w:val="none"/>
              </w:rPr>
              <w:t>支持对费用类型的融合处理，并时时展示当前费用类型、险种、医保通道。</w:t>
            </w:r>
          </w:p>
          <w:p w14:paraId="221654E9">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支持自费患者仍调用医保限制性弹框或医保自定义提示，自费转医保时按临床意愿进行结算。</w:t>
            </w:r>
          </w:p>
        </w:tc>
      </w:tr>
      <w:tr w14:paraId="65F81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891" w:type="dxa"/>
            <w:vMerge w:val="continue"/>
            <w:vAlign w:val="center"/>
          </w:tcPr>
          <w:p w14:paraId="6759B7A2">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9127" w:type="dxa"/>
            <w:gridSpan w:val="3"/>
            <w:vAlign w:val="center"/>
          </w:tcPr>
          <w:p w14:paraId="77E6A295">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住院患者费用管理</w:t>
            </w:r>
          </w:p>
        </w:tc>
      </w:tr>
      <w:tr w14:paraId="38B30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7" w:hRule="atLeast"/>
          <w:jc w:val="center"/>
        </w:trPr>
        <w:tc>
          <w:tcPr>
            <w:tcW w:w="891" w:type="dxa"/>
            <w:vMerge w:val="continue"/>
            <w:vAlign w:val="center"/>
          </w:tcPr>
          <w:p w14:paraId="7A3385EF">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125" w:type="dxa"/>
            <w:vAlign w:val="center"/>
          </w:tcPr>
          <w:p w14:paraId="25A62074">
            <w:pPr>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住院结算</w:t>
            </w:r>
          </w:p>
        </w:tc>
        <w:tc>
          <w:tcPr>
            <w:tcW w:w="8002" w:type="dxa"/>
            <w:gridSpan w:val="2"/>
            <w:vAlign w:val="center"/>
          </w:tcPr>
          <w:p w14:paraId="7137DB14">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支持床位费、ICU费、诊疗费等费用从床位分配之日起自动累加，住院自动累加费用可自定义，如夏天医院增收的空调费；</w:t>
            </w:r>
          </w:p>
          <w:p w14:paraId="06DC7F69">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支持区分大人和小孩的账卡，可查询总费用，也可分别查看各自费用（产科）；</w:t>
            </w:r>
          </w:p>
          <w:p w14:paraId="54109D69">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提供住院患者的中途结算和出院患者的出院结算、合并结算、出院预结、出院挂账、出院终结；</w:t>
            </w:r>
          </w:p>
          <w:p w14:paraId="1C739CD0">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提供</w:t>
            </w:r>
            <w:r>
              <w:rPr>
                <w:rFonts w:hint="eastAsia" w:ascii="宋体" w:hAnsi="宋体" w:cs="宋体"/>
                <w:bCs/>
                <w:sz w:val="21"/>
                <w:szCs w:val="21"/>
                <w:lang w:val="en-US" w:eastAsia="zh-CN"/>
              </w:rPr>
              <w:t>自定义分段结算、</w:t>
            </w:r>
            <w:r>
              <w:rPr>
                <w:rFonts w:hint="eastAsia" w:ascii="宋体" w:hAnsi="宋体" w:cs="宋体"/>
                <w:bCs/>
                <w:color w:val="auto"/>
                <w:sz w:val="21"/>
                <w:szCs w:val="21"/>
                <w:highlight w:val="none"/>
              </w:rPr>
              <w:t>中途结算、出院结算、合并结算的发票作废功能，作废时重打发票(退费发票)；</w:t>
            </w:r>
          </w:p>
          <w:p w14:paraId="1A539EF9">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支持取消中途结算、取消出院结算、取消出院预结；</w:t>
            </w:r>
          </w:p>
          <w:p w14:paraId="15066DE8">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支持取消出院结算时所退费用可按原支付方式直接存入预交金；</w:t>
            </w:r>
          </w:p>
          <w:p w14:paraId="32B320A5">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支持储值金授权的预交金不可参与结算；</w:t>
            </w:r>
          </w:p>
          <w:p w14:paraId="1CF818BC">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提供2种出院终结处理模式：1.通过增加一种保险信息，比如叫医院承担，支付信息可以叫医院坏账；2.通过增加一种付款方式，比如叫医院支付，使用这种付款方式来支付；</w:t>
            </w:r>
          </w:p>
          <w:p w14:paraId="74D9A003">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支持中途结算时大人与小孩分开结算也可一起结算；</w:t>
            </w:r>
          </w:p>
          <w:p w14:paraId="5BDC8A60">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支持中途结算时可以指定费用日期段的收费项目明细来结算；</w:t>
            </w:r>
          </w:p>
          <w:p w14:paraId="36B5654F">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支持结算完成时自动打印结算发票；</w:t>
            </w:r>
          </w:p>
          <w:p w14:paraId="67FC58C5">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支持结算发票补打、重打；</w:t>
            </w:r>
          </w:p>
          <w:p w14:paraId="56E66BEF">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支持对通知出院或者出院预结算的患者进行出院结算；</w:t>
            </w:r>
          </w:p>
          <w:p w14:paraId="60C79F04">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支持与各地医保政策无缝接口，医保部分实时结报；</w:t>
            </w:r>
          </w:p>
          <w:p w14:paraId="652C4B92">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支持现金、储值金、医保账户、支付宝、微信、银行卡、支票等结算方式；</w:t>
            </w:r>
          </w:p>
          <w:p w14:paraId="39BE0147">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hint="eastAsia" w:ascii="宋体" w:hAnsi="宋体" w:cs="宋体"/>
                <w:bCs/>
                <w:sz w:val="21"/>
                <w:szCs w:val="21"/>
              </w:rPr>
            </w:pPr>
            <w:r>
              <w:rPr>
                <w:rFonts w:hint="eastAsia" w:ascii="宋体" w:hAnsi="宋体" w:cs="宋体"/>
                <w:bCs/>
                <w:color w:val="auto"/>
                <w:sz w:val="21"/>
                <w:szCs w:val="21"/>
                <w:highlight w:val="none"/>
              </w:rPr>
              <w:t>支持现金、微信、医保</w:t>
            </w:r>
            <w:r>
              <w:rPr>
                <w:rFonts w:hint="eastAsia" w:ascii="宋体" w:hAnsi="宋体" w:cs="宋体"/>
                <w:bCs/>
                <w:color w:val="auto"/>
                <w:sz w:val="21"/>
                <w:szCs w:val="21"/>
                <w:highlight w:val="none"/>
                <w:lang w:eastAsia="zh-CN"/>
              </w:rPr>
              <w:t>、</w:t>
            </w:r>
            <w:r>
              <w:rPr>
                <w:rFonts w:hint="eastAsia" w:ascii="宋体" w:hAnsi="宋体" w:cs="宋体"/>
                <w:bCs/>
                <w:color w:val="auto"/>
                <w:sz w:val="21"/>
                <w:szCs w:val="21"/>
                <w:highlight w:val="none"/>
                <w:lang w:val="en-US" w:eastAsia="zh-CN"/>
              </w:rPr>
              <w:t>工伤</w:t>
            </w:r>
            <w:r>
              <w:rPr>
                <w:rFonts w:hint="eastAsia" w:ascii="宋体" w:hAnsi="宋体" w:cs="宋体"/>
                <w:bCs/>
                <w:color w:val="auto"/>
                <w:sz w:val="21"/>
                <w:szCs w:val="21"/>
                <w:highlight w:val="none"/>
              </w:rPr>
              <w:t>账户等不同方式混合支付。</w:t>
            </w:r>
          </w:p>
          <w:p w14:paraId="79CECCF7">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hint="eastAsia"/>
                <w:sz w:val="21"/>
                <w:szCs w:val="21"/>
              </w:rPr>
            </w:pPr>
            <w:r>
              <w:rPr>
                <w:rFonts w:hint="eastAsia" w:ascii="宋体" w:hAnsi="宋体" w:cs="宋体"/>
                <w:bCs/>
                <w:sz w:val="21"/>
                <w:szCs w:val="21"/>
              </w:rPr>
              <w:t>支持与医保中心提供的相关接口对接，包括登记信息上传、费用上传、费用预结算、费用结算、结算取消、医保数据对照查询、医保对账等。</w:t>
            </w:r>
            <w:r>
              <w:rPr>
                <w:rFonts w:hint="eastAsia"/>
                <w:sz w:val="21"/>
                <w:szCs w:val="21"/>
              </w:rPr>
              <w:t></w:t>
            </w:r>
          </w:p>
          <w:p w14:paraId="471EB12A">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hint="eastAsia"/>
                <w:sz w:val="21"/>
                <w:szCs w:val="21"/>
              </w:rPr>
            </w:pPr>
            <w:r>
              <w:rPr>
                <w:rFonts w:hint="eastAsia"/>
                <w:sz w:val="21"/>
                <w:szCs w:val="21"/>
              </w:rPr>
              <w:t>支持医保患者结算，所有退费原则上采取原路退回方式。开放出院结算接口，为第三方平台提供患者出院自助结算功能。支持本院职工、市公医、区公医根据自定义计算规则实时结算。</w:t>
            </w:r>
          </w:p>
          <w:p w14:paraId="0FA3ED81">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hint="eastAsia"/>
                <w:sz w:val="21"/>
                <w:szCs w:val="21"/>
              </w:rPr>
            </w:pPr>
            <w:r>
              <w:rPr>
                <w:rFonts w:hint="eastAsia"/>
                <w:sz w:val="21"/>
                <w:szCs w:val="21"/>
              </w:rPr>
              <w:t>医保上传费用预结算功能开放给住院医生站、住院护士站。</w:t>
            </w:r>
          </w:p>
          <w:p w14:paraId="70C2A1BA">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hint="eastAsia"/>
                <w:sz w:val="21"/>
                <w:szCs w:val="21"/>
              </w:rPr>
            </w:pPr>
            <w:r>
              <w:rPr>
                <w:rFonts w:hint="eastAsia"/>
                <w:sz w:val="21"/>
                <w:szCs w:val="21"/>
              </w:rPr>
              <w:t>支持全院患者医保费用定时上传、预算结算。</w:t>
            </w:r>
          </w:p>
          <w:p w14:paraId="51FDCC8A">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sz w:val="21"/>
                <w:szCs w:val="21"/>
              </w:rPr>
              <w:t>支持儿童加收项目自动加收结算。</w:t>
            </w:r>
          </w:p>
          <w:p w14:paraId="748F8215">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sz w:val="21"/>
                <w:szCs w:val="21"/>
              </w:rPr>
            </w:pPr>
            <w:r>
              <w:rPr>
                <w:rFonts w:hint="eastAsia" w:ascii="宋体" w:hAnsi="宋体" w:cs="宋体"/>
                <w:bCs/>
                <w:sz w:val="21"/>
                <w:szCs w:val="21"/>
                <w:lang w:val="en-US" w:eastAsia="zh-CN"/>
              </w:rPr>
              <w:t>支持在不办理病区出院的情况下进行预结算，展示各基金口预计支出情况。</w:t>
            </w:r>
          </w:p>
          <w:p w14:paraId="5A2B8BA6">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sz w:val="21"/>
                <w:szCs w:val="21"/>
                <w:lang w:val="en-US" w:eastAsia="zh-CN"/>
              </w:rPr>
              <w:t>支持自选费用明细另按项目结算（不上传医保系统）。</w:t>
            </w:r>
          </w:p>
          <w:p w14:paraId="69AAE2DF">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sz w:val="21"/>
                <w:szCs w:val="21"/>
                <w:lang w:val="en-US" w:eastAsia="zh-CN"/>
              </w:rPr>
              <w:t>支持患者在微信公众号进行自助出院结算</w:t>
            </w:r>
          </w:p>
        </w:tc>
      </w:tr>
      <w:tr w14:paraId="652C1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9" w:hRule="atLeast"/>
          <w:jc w:val="center"/>
        </w:trPr>
        <w:tc>
          <w:tcPr>
            <w:tcW w:w="891" w:type="dxa"/>
            <w:vMerge w:val="continue"/>
            <w:vAlign w:val="center"/>
          </w:tcPr>
          <w:p w14:paraId="46EEDCBA">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125" w:type="dxa"/>
            <w:vAlign w:val="center"/>
          </w:tcPr>
          <w:p w14:paraId="54969B98">
            <w:pPr>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住院结账</w:t>
            </w:r>
          </w:p>
        </w:tc>
        <w:tc>
          <w:tcPr>
            <w:tcW w:w="8002" w:type="dxa"/>
            <w:gridSpan w:val="2"/>
            <w:vAlign w:val="center"/>
          </w:tcPr>
          <w:p w14:paraId="30DBEFC2">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提供对操作员当日的收费信息进行结账的功能，以及显示本次结账的住院结算、住院结算票据和住院预交金的明细信息；</w:t>
            </w:r>
          </w:p>
          <w:p w14:paraId="0089C1A4">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提供根据姓名、住院号码、床号查询具体患者的结算记录，并且可查看结算明细；</w:t>
            </w:r>
          </w:p>
          <w:p w14:paraId="3FD67417">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提供根据姓名、住院号码、床号、票据号码查询具体患者的结算票据记录，并且可查看结算明细；</w:t>
            </w:r>
          </w:p>
          <w:p w14:paraId="21306316">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提供根据姓名、住院号码、床号查询具体患者的预交金缴费记录列表或根据收据号码查询具体的一次预交金缴费记录；</w:t>
            </w:r>
          </w:p>
          <w:p w14:paraId="585601EE">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提供日终结账、日结汇总和月终结账，支持取消日结、取消日结汇总和取消月结的功能</w:t>
            </w:r>
            <w:r>
              <w:rPr>
                <w:rFonts w:hint="eastAsia" w:ascii="宋体" w:hAnsi="宋体" w:cs="宋体"/>
                <w:bCs/>
                <w:sz w:val="21"/>
                <w:szCs w:val="21"/>
              </w:rPr>
              <w:t>，提供收费组长或财务对收费员交的账务进行核对并上交报表存档</w:t>
            </w:r>
            <w:r>
              <w:rPr>
                <w:rFonts w:hint="eastAsia" w:ascii="宋体" w:hAnsi="宋体" w:cs="宋体"/>
                <w:bCs/>
                <w:color w:val="auto"/>
                <w:sz w:val="21"/>
                <w:szCs w:val="21"/>
                <w:highlight w:val="none"/>
              </w:rPr>
              <w:t>；</w:t>
            </w:r>
          </w:p>
          <w:p w14:paraId="7694F77A">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支持自动结账模式，通过后台服务（AutoRun）完成；</w:t>
            </w:r>
          </w:p>
          <w:p w14:paraId="4BE6F25D">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支持收费员可在当日结账多次，最后合并当日的结账数据；</w:t>
            </w:r>
          </w:p>
          <w:p w14:paraId="75ECBB1D">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提供按照收费部门，对起止时间段内的个人结账进行汇总结账；</w:t>
            </w:r>
          </w:p>
          <w:p w14:paraId="15D345DE">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支持对住院收款员进行未结账查询。</w:t>
            </w:r>
          </w:p>
        </w:tc>
      </w:tr>
      <w:tr w14:paraId="4D8F3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4" w:hRule="atLeast"/>
          <w:jc w:val="center"/>
        </w:trPr>
        <w:tc>
          <w:tcPr>
            <w:tcW w:w="891" w:type="dxa"/>
            <w:vMerge w:val="continue"/>
            <w:vAlign w:val="center"/>
          </w:tcPr>
          <w:p w14:paraId="66D6D1BE">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125" w:type="dxa"/>
            <w:vAlign w:val="center"/>
          </w:tcPr>
          <w:p w14:paraId="5A394901">
            <w:pPr>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费用记账</w:t>
            </w:r>
          </w:p>
        </w:tc>
        <w:tc>
          <w:tcPr>
            <w:tcW w:w="8002" w:type="dxa"/>
            <w:gridSpan w:val="2"/>
            <w:vAlign w:val="center"/>
          </w:tcPr>
          <w:p w14:paraId="62B2832D">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支持多种记账方式：按患者记、按项目记、明细记账、批量记账；</w:t>
            </w:r>
          </w:p>
          <w:p w14:paraId="755F510D">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 xml:space="preserve">支持不控制、提示、欠费后冻结三种费用记账的控制方法； </w:t>
            </w:r>
          </w:p>
          <w:p w14:paraId="64B55BA7">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支持记账查询功能。</w:t>
            </w:r>
          </w:p>
          <w:p w14:paraId="1C8A004B">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支持可以按医嘱、费用日期、记费日期、项目进行记费与退费；</w:t>
            </w:r>
          </w:p>
          <w:p w14:paraId="2F61766D">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hint="eastAsia" w:ascii="宋体" w:hAnsi="宋体" w:cs="宋体"/>
                <w:bCs/>
                <w:sz w:val="21"/>
                <w:szCs w:val="21"/>
              </w:rPr>
            </w:pPr>
            <w:r>
              <w:rPr>
                <w:rFonts w:hint="eastAsia" w:ascii="宋体" w:hAnsi="宋体" w:cs="宋体"/>
                <w:bCs/>
                <w:color w:val="auto"/>
                <w:sz w:val="21"/>
                <w:szCs w:val="21"/>
                <w:highlight w:val="none"/>
              </w:rPr>
              <w:t>支持姓名、床号、住院号快速定位到病人进行记费与退费。</w:t>
            </w:r>
          </w:p>
          <w:p w14:paraId="3A5F2A49">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hint="eastAsia"/>
                <w:sz w:val="21"/>
                <w:szCs w:val="21"/>
              </w:rPr>
            </w:pPr>
            <w:r>
              <w:rPr>
                <w:rFonts w:hint="eastAsia" w:ascii="宋体" w:hAnsi="宋体" w:cs="宋体"/>
                <w:bCs/>
                <w:sz w:val="21"/>
                <w:szCs w:val="21"/>
              </w:rPr>
              <w:t>支持费用退费时，必须关联上原收费记录，并在相关界面进行关联展示；</w:t>
            </w:r>
            <w:r>
              <w:rPr>
                <w:rFonts w:hint="eastAsia"/>
                <w:sz w:val="21"/>
                <w:szCs w:val="21"/>
              </w:rPr>
              <w:t></w:t>
            </w:r>
          </w:p>
          <w:p w14:paraId="5C043D42">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hint="eastAsia"/>
                <w:sz w:val="21"/>
                <w:szCs w:val="21"/>
              </w:rPr>
            </w:pPr>
            <w:r>
              <w:rPr>
                <w:rFonts w:hint="eastAsia"/>
                <w:sz w:val="21"/>
                <w:szCs w:val="21"/>
              </w:rPr>
              <w:t>支持耗材与医嘱用法进行院区、科室、病区三个维度的绑定，便于医生下医嘱时，耗材自动计入并扣减对应科室库存。</w:t>
            </w:r>
          </w:p>
          <w:p w14:paraId="1AEE7990">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sz w:val="21"/>
                <w:szCs w:val="21"/>
              </w:rPr>
              <w:t>支持退费时进行二次认证，且该环节可配置启用/禁用。</w:t>
            </w:r>
          </w:p>
        </w:tc>
      </w:tr>
      <w:tr w14:paraId="7DB2F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9" w:hRule="atLeast"/>
          <w:jc w:val="center"/>
        </w:trPr>
        <w:tc>
          <w:tcPr>
            <w:tcW w:w="891" w:type="dxa"/>
            <w:vMerge w:val="continue"/>
            <w:vAlign w:val="center"/>
          </w:tcPr>
          <w:p w14:paraId="0AE8A6A3">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125" w:type="dxa"/>
            <w:vAlign w:val="center"/>
          </w:tcPr>
          <w:p w14:paraId="1A4D785C">
            <w:pPr>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住院缴款催款</w:t>
            </w:r>
          </w:p>
        </w:tc>
        <w:tc>
          <w:tcPr>
            <w:tcW w:w="8002" w:type="dxa"/>
            <w:gridSpan w:val="2"/>
            <w:vAlign w:val="center"/>
          </w:tcPr>
          <w:p w14:paraId="290F1D4B">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支持通过缴款方式、储值金授权方式来缴纳住院预交金，授权金额不能大于授权的最高额度；</w:t>
            </w:r>
          </w:p>
          <w:p w14:paraId="43E37EBE">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支持现金、储值金、支付宝、微信、银行卡、支票等缴款方式；</w:t>
            </w:r>
          </w:p>
          <w:p w14:paraId="09821738">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支持所缴金额&gt;冻结金额则自动解除患者的冻结状态；</w:t>
            </w:r>
          </w:p>
          <w:p w14:paraId="5EC16ACD">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支持预交金退款处理，账户授权直接取消授权即可，缴款可选择不同的退款方式退回；</w:t>
            </w:r>
          </w:p>
          <w:p w14:paraId="3D2B21CD">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支持预交金历史查询，查询当前操作员某段时间收或退的预交金情况。</w:t>
            </w:r>
          </w:p>
          <w:p w14:paraId="3ABC7B75">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支持全院、按病区、按科室催款；</w:t>
            </w:r>
          </w:p>
          <w:p w14:paraId="6BD90401">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支持欠费额度、催款比例、最低催款金额可根据住院患者保险计划、病区和住科室自定义；</w:t>
            </w:r>
          </w:p>
          <w:p w14:paraId="7F7B85A8">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支持催款单打印。</w:t>
            </w:r>
          </w:p>
          <w:p w14:paraId="40C3826E">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支持人工解冻和系统自动解冻；</w:t>
            </w:r>
          </w:p>
          <w:p w14:paraId="276F8E4E">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支持住院欠费解冻审批功能。</w:t>
            </w:r>
          </w:p>
        </w:tc>
      </w:tr>
      <w:tr w14:paraId="21BCF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5" w:hRule="atLeast"/>
          <w:jc w:val="center"/>
        </w:trPr>
        <w:tc>
          <w:tcPr>
            <w:tcW w:w="891" w:type="dxa"/>
            <w:vMerge w:val="continue"/>
            <w:vAlign w:val="center"/>
          </w:tcPr>
          <w:p w14:paraId="57098804">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125" w:type="dxa"/>
            <w:vAlign w:val="center"/>
          </w:tcPr>
          <w:p w14:paraId="23B3EEA0">
            <w:pPr>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住院退款管理</w:t>
            </w:r>
          </w:p>
        </w:tc>
        <w:tc>
          <w:tcPr>
            <w:tcW w:w="8002" w:type="dxa"/>
            <w:gridSpan w:val="2"/>
            <w:vAlign w:val="center"/>
          </w:tcPr>
          <w:p w14:paraId="48D63C8D">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支持单人退补费处理，可以按项目、医嘱、费用日期、记费日期、进行退费；</w:t>
            </w:r>
          </w:p>
          <w:p w14:paraId="5DDDD18D">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支持多人退补费处理，根据项目名称、费用日期查询病区可退费信息，再按姓名、床号、住院号快速定位到病人进行退费。</w:t>
            </w:r>
          </w:p>
        </w:tc>
      </w:tr>
      <w:tr w14:paraId="07710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891" w:type="dxa"/>
            <w:vMerge w:val="continue"/>
            <w:vAlign w:val="center"/>
          </w:tcPr>
          <w:p w14:paraId="685E9121">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9127" w:type="dxa"/>
            <w:gridSpan w:val="3"/>
            <w:vAlign w:val="center"/>
          </w:tcPr>
          <w:p w14:paraId="0EF27B4E">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住院综合查询</w:t>
            </w:r>
          </w:p>
        </w:tc>
      </w:tr>
      <w:tr w14:paraId="45309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7" w:hRule="atLeast"/>
          <w:jc w:val="center"/>
        </w:trPr>
        <w:tc>
          <w:tcPr>
            <w:tcW w:w="891" w:type="dxa"/>
            <w:vMerge w:val="continue"/>
            <w:vAlign w:val="center"/>
          </w:tcPr>
          <w:p w14:paraId="16A995B9">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125" w:type="dxa"/>
            <w:vAlign w:val="center"/>
          </w:tcPr>
          <w:p w14:paraId="02E18E70">
            <w:pPr>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住院查询</w:t>
            </w:r>
          </w:p>
        </w:tc>
        <w:tc>
          <w:tcPr>
            <w:tcW w:w="8002" w:type="dxa"/>
            <w:gridSpan w:val="2"/>
            <w:vAlign w:val="center"/>
          </w:tcPr>
          <w:p w14:paraId="222202F4">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住院费用账卡查询，费用账卡会逐项列明患者所得到的医治的所有项目、药品及价格明细内容，以及入院以来的医药费用总和；支持按患者、费用分类查询费用清单；支持按项目、日期查询费用清单；支持费用清单的打印；</w:t>
            </w:r>
          </w:p>
          <w:p w14:paraId="0DD82130">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支持住院欠费查询，支持按照科室、病区、欠费额度、病人姓名、床位号、病案号，进行住院欠费信息的查询；</w:t>
            </w:r>
          </w:p>
          <w:p w14:paraId="377DF10D">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支持住院预结查询，支持按照预结日期、预结类型、预结科室、病案号，进行住院预结信息的查询；</w:t>
            </w:r>
          </w:p>
          <w:p w14:paraId="7595458E">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支持住院结算及缴款查询，支持按照病人病案号、发票号码、结算类型、保险计划、结算日期、病人科室，查询住院结算和交款信息；</w:t>
            </w:r>
          </w:p>
          <w:p w14:paraId="7A9A3D83">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住院病人查询，提供病人住院状态、病人姓名、性别、保险计划、科室、病区、床号、住院诊断、病案号、身份证号、手机号、配偶姓名及联系电话、住址、工作单位、是否退休、出生日期、入院日期、出院日期等过滤条件，进行住院病人的查询，查询结果界面集成病人信息、入院信息、费用信息、手术信息等内容的查看，支持查询结果的打印；</w:t>
            </w:r>
          </w:p>
          <w:p w14:paraId="0A36BE35">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支持住院申请查询，支持按申请日期、状态、机构、科室、人员，查询、打印住院申请信息；</w:t>
            </w:r>
          </w:p>
          <w:p w14:paraId="712BB538">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支持住院人数查询，支持按照科室、病区、日期查询床位的使用情况；</w:t>
            </w:r>
          </w:p>
          <w:p w14:paraId="09C865FD">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hint="eastAsia" w:ascii="宋体" w:hAnsi="宋体" w:cs="宋体"/>
                <w:bCs/>
                <w:sz w:val="21"/>
                <w:szCs w:val="21"/>
              </w:rPr>
            </w:pPr>
            <w:r>
              <w:rPr>
                <w:rFonts w:hint="eastAsia" w:ascii="宋体" w:hAnsi="宋体" w:cs="宋体"/>
                <w:bCs/>
                <w:color w:val="auto"/>
                <w:sz w:val="21"/>
                <w:szCs w:val="21"/>
                <w:highlight w:val="none"/>
              </w:rPr>
              <w:t>支持全院床位查询，支持按照床位病区、床位状态、床位类型，查看全院床位的使用情况，同时集成病人信息、费用账卡查询功能。</w:t>
            </w:r>
          </w:p>
          <w:p w14:paraId="737CBD45">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sz w:val="21"/>
                <w:szCs w:val="21"/>
              </w:rPr>
              <w:t>支持报表查询，支持统计收费员工作量（笔数、人次等）及费用金额等核心指标的汇总表及明细表。支持与数据湖对接，实现第三方报表的集成展示。</w:t>
            </w:r>
          </w:p>
          <w:p w14:paraId="2DAC6050">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sz w:val="21"/>
                <w:szCs w:val="21"/>
                <w:lang w:val="en-US" w:eastAsia="zh-CN"/>
              </w:rPr>
              <w:t>支持报表查询所有经医保处理或审批的记录，支持按项目、姓名、科室、处理时间、处理人等维度检索查询。</w:t>
            </w:r>
          </w:p>
        </w:tc>
      </w:tr>
    </w:tbl>
    <w:p w14:paraId="734C4561">
      <w:pPr>
        <w:rPr>
          <w:rFonts w:ascii="宋体" w:hAnsi="宋体"/>
          <w:color w:val="auto"/>
          <w:highlight w:val="none"/>
        </w:rPr>
      </w:pPr>
    </w:p>
    <w:p w14:paraId="500E89CE">
      <w:pPr>
        <w:pStyle w:val="4"/>
        <w:numPr>
          <w:ilvl w:val="2"/>
          <w:numId w:val="1"/>
        </w:numPr>
        <w:spacing w:before="0" w:after="0" w:line="360" w:lineRule="auto"/>
        <w:ind w:left="567" w:hanging="567"/>
        <w:rPr>
          <w:color w:val="auto"/>
          <w:sz w:val="24"/>
          <w:highlight w:val="none"/>
        </w:rPr>
      </w:pPr>
      <w:bookmarkStart w:id="65" w:name="_Toc6565"/>
      <w:bookmarkStart w:id="66" w:name="_Toc22372"/>
      <w:bookmarkStart w:id="67" w:name="_Toc24188"/>
      <w:bookmarkStart w:id="68" w:name="_Toc32028"/>
      <w:bookmarkStart w:id="69" w:name="_Toc26795"/>
      <w:r>
        <w:rPr>
          <w:rFonts w:hint="eastAsia" w:eastAsia="宋体"/>
          <w:color w:val="auto"/>
          <w:kern w:val="2"/>
          <w:sz w:val="24"/>
          <w:szCs w:val="24"/>
          <w:highlight w:val="none"/>
        </w:rPr>
        <w:t>社保审批系统</w:t>
      </w:r>
      <w:bookmarkEnd w:id="65"/>
      <w:bookmarkEnd w:id="66"/>
      <w:bookmarkEnd w:id="67"/>
      <w:bookmarkEnd w:id="68"/>
      <w:bookmarkEnd w:id="69"/>
    </w:p>
    <w:tbl>
      <w:tblPr>
        <w:tblStyle w:val="46"/>
        <w:tblW w:w="99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0"/>
        <w:gridCol w:w="877"/>
        <w:gridCol w:w="8002"/>
      </w:tblGrid>
      <w:tr w14:paraId="3ED56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100" w:type="dxa"/>
            <w:vAlign w:val="center"/>
          </w:tcPr>
          <w:p w14:paraId="58C98F82">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r>
              <w:rPr>
                <w:rFonts w:hint="eastAsia" w:ascii="宋体" w:hAnsi="宋体" w:cs="宋体"/>
                <w:color w:val="auto"/>
                <w:kern w:val="0"/>
                <w:sz w:val="21"/>
                <w:szCs w:val="21"/>
                <w:highlight w:val="none"/>
              </w:rPr>
              <w:t>需求名称</w:t>
            </w:r>
          </w:p>
        </w:tc>
        <w:tc>
          <w:tcPr>
            <w:tcW w:w="877" w:type="dxa"/>
            <w:vAlign w:val="center"/>
          </w:tcPr>
          <w:p w14:paraId="479348BD">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r>
              <w:rPr>
                <w:rFonts w:hint="eastAsia" w:ascii="宋体" w:hAnsi="宋体" w:cs="宋体"/>
                <w:color w:val="auto"/>
                <w:kern w:val="0"/>
                <w:sz w:val="21"/>
                <w:szCs w:val="21"/>
                <w:highlight w:val="none"/>
              </w:rPr>
              <w:t>序号</w:t>
            </w:r>
          </w:p>
        </w:tc>
        <w:tc>
          <w:tcPr>
            <w:tcW w:w="8002" w:type="dxa"/>
            <w:vAlign w:val="center"/>
          </w:tcPr>
          <w:p w14:paraId="785A64AE">
            <w:pPr>
              <w:keepNext w:val="0"/>
              <w:keepLines w:val="0"/>
              <w:pageBreakBefore w:val="0"/>
              <w:widowControl w:val="0"/>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color w:val="auto"/>
                <w:kern w:val="0"/>
                <w:sz w:val="21"/>
                <w:szCs w:val="21"/>
                <w:highlight w:val="none"/>
              </w:rPr>
              <w:t>需求描述</w:t>
            </w:r>
          </w:p>
        </w:tc>
      </w:tr>
      <w:tr w14:paraId="1E911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1" w:hRule="atLeast"/>
          <w:jc w:val="center"/>
        </w:trPr>
        <w:tc>
          <w:tcPr>
            <w:tcW w:w="1100" w:type="dxa"/>
            <w:vAlign w:val="center"/>
          </w:tcPr>
          <w:p w14:paraId="1C0CBDE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sz w:val="21"/>
                <w:szCs w:val="21"/>
                <w:highlight w:val="none"/>
              </w:rPr>
            </w:pPr>
            <w:r>
              <w:rPr>
                <w:rFonts w:hint="eastAsia" w:ascii="宋体" w:hAnsi="宋体" w:cs="宋体"/>
                <w:color w:val="auto"/>
                <w:sz w:val="21"/>
                <w:szCs w:val="21"/>
                <w:highlight w:val="none"/>
              </w:rPr>
              <w:t>社保审批系统</w:t>
            </w:r>
          </w:p>
        </w:tc>
        <w:tc>
          <w:tcPr>
            <w:tcW w:w="877" w:type="dxa"/>
            <w:vAlign w:val="center"/>
          </w:tcPr>
          <w:p w14:paraId="2FDE4DA4">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 w:val="21"/>
                <w:szCs w:val="21"/>
                <w:highlight w:val="none"/>
              </w:rPr>
            </w:pPr>
            <w:r>
              <w:rPr>
                <w:rFonts w:hint="eastAsia" w:ascii="宋体" w:hAnsi="宋体" w:cs="宋体"/>
                <w:color w:val="auto"/>
                <w:sz w:val="21"/>
                <w:szCs w:val="21"/>
                <w:highlight w:val="none"/>
              </w:rPr>
              <w:t>社保审批系统</w:t>
            </w:r>
          </w:p>
        </w:tc>
        <w:tc>
          <w:tcPr>
            <w:tcW w:w="8002" w:type="dxa"/>
            <w:vAlign w:val="center"/>
          </w:tcPr>
          <w:p w14:paraId="0BB4C96B">
            <w:pPr>
              <w:keepNext w:val="0"/>
              <w:keepLines w:val="0"/>
              <w:pageBreakBefore w:val="0"/>
              <w:widowControl w:val="0"/>
              <w:numPr>
                <w:ilvl w:val="0"/>
                <w:numId w:val="27"/>
              </w:numPr>
              <w:tabs>
                <w:tab w:val="left" w:pos="525"/>
                <w:tab w:val="left" w:pos="630"/>
              </w:tabs>
              <w:kinsoku/>
              <w:wordWrap/>
              <w:overflowPunct/>
              <w:topLinePunct w:val="0"/>
              <w:autoSpaceDE/>
              <w:autoSpaceDN/>
              <w:bidi w:val="0"/>
              <w:adjustRightInd w:val="0"/>
              <w:snapToGrid w:val="0"/>
              <w:spacing w:line="360" w:lineRule="auto"/>
              <w:ind w:left="420" w:hanging="420"/>
              <w:jc w:val="left"/>
              <w:textAlignment w:val="auto"/>
              <w:rPr>
                <w:rFonts w:ascii="宋体" w:hAnsi="宋体" w:cs="宋体"/>
                <w:bCs/>
                <w:color w:val="auto"/>
                <w:sz w:val="21"/>
                <w:szCs w:val="21"/>
                <w:highlight w:val="none"/>
              </w:rPr>
            </w:pPr>
            <w:r>
              <w:rPr>
                <w:rFonts w:ascii="宋体" w:hAnsi="宋体" w:cs="宋体"/>
                <w:bCs/>
                <w:color w:val="auto"/>
                <w:sz w:val="21"/>
                <w:szCs w:val="21"/>
                <w:highlight w:val="none"/>
              </w:rPr>
              <w:t>提供社保政策查询、审批状态跟踪、统计报表等界面。社保政策查询模块支持各种社保政策的查询和浏览，工作人员和患者可以通过该模块了解社保政策的相关信息。审批状态跟踪模块支持社保审批申请的状态跟踪和查询，工作人员和患者可以随时查看审批申请的处理进度。统计报表模块支持社保业务数据的统计和分析，如社保报销金额、报销比例、审批通过率等，为医院的社保管理提供决策支持。</w:t>
            </w:r>
          </w:p>
          <w:p w14:paraId="2B24A9A0">
            <w:pPr>
              <w:keepNext w:val="0"/>
              <w:keepLines w:val="0"/>
              <w:pageBreakBefore w:val="0"/>
              <w:widowControl w:val="0"/>
              <w:numPr>
                <w:ilvl w:val="0"/>
                <w:numId w:val="27"/>
              </w:numPr>
              <w:tabs>
                <w:tab w:val="left" w:pos="525"/>
                <w:tab w:val="left" w:pos="630"/>
              </w:tabs>
              <w:kinsoku/>
              <w:wordWrap/>
              <w:overflowPunct/>
              <w:topLinePunct w:val="0"/>
              <w:autoSpaceDE/>
              <w:autoSpaceDN/>
              <w:bidi w:val="0"/>
              <w:adjustRightInd w:val="0"/>
              <w:snapToGrid w:val="0"/>
              <w:spacing w:line="360" w:lineRule="auto"/>
              <w:ind w:left="420" w:hanging="420"/>
              <w:jc w:val="left"/>
              <w:textAlignment w:val="auto"/>
              <w:rPr>
                <w:rFonts w:ascii="宋体" w:hAnsi="宋体" w:cs="宋体"/>
                <w:bCs/>
                <w:color w:val="auto"/>
                <w:sz w:val="21"/>
                <w:szCs w:val="21"/>
                <w:highlight w:val="none"/>
              </w:rPr>
            </w:pPr>
            <w:r>
              <w:rPr>
                <w:rFonts w:ascii="宋体" w:hAnsi="宋体" w:cs="宋体"/>
                <w:bCs/>
                <w:color w:val="auto"/>
                <w:sz w:val="21"/>
                <w:szCs w:val="21"/>
                <w:highlight w:val="none"/>
              </w:rPr>
              <w:t>集成医院收费系统和社保部门的信息系统，实现社保业务的电子化办理。系统与医院收费系统和社保部门的信息系统进行接口对接，患者在医院就诊时，可以直接在系统中进行社保患者信息录入和审批申请，无需到社保部门办理相关手续。系统自动将申请信息发送到社保部门的信息系统进行审批，审批通过后，系统自动完成社保费用的结算和报销，实现社保业务的电子化办理，提高社保业务的办理效率和患者的就医体验。</w:t>
            </w:r>
          </w:p>
          <w:p w14:paraId="052C1EFA">
            <w:pPr>
              <w:keepNext w:val="0"/>
              <w:keepLines w:val="0"/>
              <w:pageBreakBefore w:val="0"/>
              <w:widowControl w:val="0"/>
              <w:numPr>
                <w:ilvl w:val="0"/>
                <w:numId w:val="27"/>
              </w:numPr>
              <w:tabs>
                <w:tab w:val="left" w:pos="525"/>
                <w:tab w:val="left" w:pos="630"/>
              </w:tabs>
              <w:kinsoku/>
              <w:wordWrap/>
              <w:overflowPunct/>
              <w:topLinePunct w:val="0"/>
              <w:autoSpaceDE/>
              <w:autoSpaceDN/>
              <w:bidi w:val="0"/>
              <w:adjustRightInd w:val="0"/>
              <w:snapToGrid w:val="0"/>
              <w:spacing w:line="360" w:lineRule="auto"/>
              <w:ind w:left="420" w:hanging="420"/>
              <w:jc w:val="left"/>
              <w:textAlignment w:val="auto"/>
              <w:rPr>
                <w:sz w:val="21"/>
                <w:szCs w:val="21"/>
              </w:rPr>
            </w:pPr>
            <w:r>
              <w:rPr>
                <w:rFonts w:hint="eastAsia" w:ascii="宋体" w:hAnsi="宋体" w:cs="宋体"/>
                <w:bCs/>
                <w:color w:val="auto"/>
                <w:sz w:val="21"/>
                <w:szCs w:val="21"/>
                <w:highlight w:val="none"/>
              </w:rPr>
              <w:t>医保结算清单获取病案系统和his系统数据上传，进销存数据定时上传，医保字典、三目维护，医保对账，医保费用转换，医保零报结算清单上传，医疗人员医保编码维护，医保费用查询</w:t>
            </w:r>
          </w:p>
          <w:p w14:paraId="23522B2E">
            <w:pPr>
              <w:keepNext w:val="0"/>
              <w:keepLines w:val="0"/>
              <w:pageBreakBefore w:val="0"/>
              <w:widowControl w:val="0"/>
              <w:numPr>
                <w:ilvl w:val="0"/>
                <w:numId w:val="27"/>
              </w:numPr>
              <w:tabs>
                <w:tab w:val="left" w:pos="525"/>
                <w:tab w:val="left" w:pos="630"/>
              </w:tabs>
              <w:kinsoku/>
              <w:wordWrap/>
              <w:overflowPunct/>
              <w:topLinePunct w:val="0"/>
              <w:autoSpaceDE/>
              <w:autoSpaceDN/>
              <w:bidi w:val="0"/>
              <w:adjustRightInd w:val="0"/>
              <w:snapToGrid w:val="0"/>
              <w:spacing w:line="360" w:lineRule="auto"/>
              <w:ind w:left="420" w:hanging="420"/>
              <w:jc w:val="left"/>
              <w:textAlignment w:val="auto"/>
              <w:rPr>
                <w:rFonts w:hint="default" w:eastAsia="宋体"/>
                <w:sz w:val="21"/>
                <w:szCs w:val="21"/>
                <w:lang w:val="en-US" w:eastAsia="zh-CN"/>
              </w:rPr>
            </w:pPr>
            <w:r>
              <w:rPr>
                <w:rFonts w:hint="eastAsia"/>
                <w:sz w:val="21"/>
                <w:szCs w:val="21"/>
                <w:lang w:val="en-US" w:eastAsia="zh-CN"/>
              </w:rPr>
              <w:t>支持对在院患者的管理：对全量的在院患者（含自费）可进行结算险种、明细费别、医保通道的更改纠正，可对特殊情况进行备注并提示临床或收费处，提示信息存档可查。</w:t>
            </w:r>
          </w:p>
          <w:p w14:paraId="342EE933">
            <w:pPr>
              <w:keepNext w:val="0"/>
              <w:keepLines w:val="0"/>
              <w:pageBreakBefore w:val="0"/>
              <w:widowControl w:val="0"/>
              <w:numPr>
                <w:ilvl w:val="0"/>
                <w:numId w:val="27"/>
              </w:numPr>
              <w:tabs>
                <w:tab w:val="left" w:pos="525"/>
                <w:tab w:val="left" w:pos="630"/>
              </w:tabs>
              <w:kinsoku/>
              <w:wordWrap/>
              <w:overflowPunct/>
              <w:topLinePunct w:val="0"/>
              <w:autoSpaceDE/>
              <w:autoSpaceDN/>
              <w:bidi w:val="0"/>
              <w:adjustRightInd w:val="0"/>
              <w:snapToGrid w:val="0"/>
              <w:spacing w:line="360" w:lineRule="auto"/>
              <w:ind w:left="420" w:hanging="420"/>
              <w:jc w:val="left"/>
              <w:textAlignment w:val="auto"/>
              <w:rPr>
                <w:rFonts w:hint="eastAsia"/>
                <w:sz w:val="21"/>
                <w:szCs w:val="21"/>
              </w:rPr>
            </w:pPr>
            <w:r>
              <w:rPr>
                <w:rFonts w:hint="eastAsia"/>
                <w:sz w:val="21"/>
                <w:szCs w:val="21"/>
              </w:rPr>
              <w:t>支持门诊及住院费用审批管理。系统应支持对门诊患者及住院患者的医保费用进行线上审批管理，操作人员可在系统中查看患者诊断信息、医嘱明细、收费明细、费用汇总等数据，并对相关费用进行审核确认。支持按医保类型、费用类别、科室、时间段等条件进行筛选查询。</w:t>
            </w:r>
          </w:p>
          <w:p w14:paraId="490D5B6B">
            <w:pPr>
              <w:keepNext w:val="0"/>
              <w:keepLines w:val="0"/>
              <w:pageBreakBefore w:val="0"/>
              <w:widowControl w:val="0"/>
              <w:numPr>
                <w:ilvl w:val="0"/>
                <w:numId w:val="27"/>
              </w:numPr>
              <w:tabs>
                <w:tab w:val="left" w:pos="525"/>
                <w:tab w:val="left" w:pos="630"/>
              </w:tabs>
              <w:kinsoku/>
              <w:wordWrap/>
              <w:overflowPunct/>
              <w:topLinePunct w:val="0"/>
              <w:autoSpaceDE/>
              <w:autoSpaceDN/>
              <w:bidi w:val="0"/>
              <w:adjustRightInd w:val="0"/>
              <w:snapToGrid w:val="0"/>
              <w:spacing w:line="360" w:lineRule="auto"/>
              <w:ind w:left="420" w:hanging="420"/>
              <w:jc w:val="left"/>
              <w:textAlignment w:val="auto"/>
              <w:rPr>
                <w:rFonts w:hint="eastAsia"/>
                <w:sz w:val="21"/>
                <w:szCs w:val="21"/>
              </w:rPr>
            </w:pPr>
            <w:r>
              <w:rPr>
                <w:rFonts w:hint="eastAsia"/>
                <w:sz w:val="21"/>
                <w:szCs w:val="21"/>
              </w:rPr>
              <w:t>支持出院前医保费用审核功能。住院患者出院结算前，系统应支持医保科进行出院费用合规性审核，审核内容包括但不限于总费用结构、医保报销金额、自付金额、高值耗材使用情况、特殊诊疗项目使用情况等。审批未通过的，不得进行医保结算。</w:t>
            </w:r>
          </w:p>
          <w:p w14:paraId="5ADBFDB3">
            <w:pPr>
              <w:keepNext w:val="0"/>
              <w:keepLines w:val="0"/>
              <w:pageBreakBefore w:val="0"/>
              <w:widowControl w:val="0"/>
              <w:numPr>
                <w:ilvl w:val="0"/>
                <w:numId w:val="27"/>
              </w:numPr>
              <w:tabs>
                <w:tab w:val="left" w:pos="525"/>
                <w:tab w:val="left" w:pos="630"/>
              </w:tabs>
              <w:kinsoku/>
              <w:wordWrap/>
              <w:overflowPunct/>
              <w:topLinePunct w:val="0"/>
              <w:autoSpaceDE/>
              <w:autoSpaceDN/>
              <w:bidi w:val="0"/>
              <w:adjustRightInd w:val="0"/>
              <w:snapToGrid w:val="0"/>
              <w:spacing w:line="360" w:lineRule="auto"/>
              <w:ind w:left="420" w:hanging="420"/>
              <w:jc w:val="left"/>
              <w:textAlignment w:val="auto"/>
              <w:rPr>
                <w:rFonts w:hint="eastAsia"/>
                <w:sz w:val="21"/>
                <w:szCs w:val="21"/>
              </w:rPr>
            </w:pPr>
            <w:r>
              <w:rPr>
                <w:rFonts w:hint="eastAsia"/>
                <w:sz w:val="21"/>
                <w:szCs w:val="21"/>
              </w:rPr>
              <w:t>支持审批状态跟踪。系统应支持对审批单据状态进行全过程跟踪，包括待审批、审批中、已通过、已退回、已驳回等状态，并支持审批进度实时查询。</w:t>
            </w:r>
          </w:p>
          <w:p w14:paraId="7D033973">
            <w:pPr>
              <w:keepNext w:val="0"/>
              <w:keepLines w:val="0"/>
              <w:pageBreakBefore w:val="0"/>
              <w:widowControl w:val="0"/>
              <w:numPr>
                <w:ilvl w:val="0"/>
                <w:numId w:val="27"/>
              </w:numPr>
              <w:tabs>
                <w:tab w:val="left" w:pos="525"/>
                <w:tab w:val="left" w:pos="630"/>
              </w:tabs>
              <w:kinsoku/>
              <w:wordWrap/>
              <w:overflowPunct/>
              <w:topLinePunct w:val="0"/>
              <w:autoSpaceDE/>
              <w:autoSpaceDN/>
              <w:bidi w:val="0"/>
              <w:adjustRightInd w:val="0"/>
              <w:snapToGrid w:val="0"/>
              <w:spacing w:line="360" w:lineRule="auto"/>
              <w:ind w:left="420" w:hanging="420"/>
              <w:jc w:val="left"/>
              <w:textAlignment w:val="auto"/>
              <w:rPr>
                <w:rFonts w:hint="eastAsia"/>
                <w:sz w:val="21"/>
                <w:szCs w:val="21"/>
              </w:rPr>
            </w:pPr>
            <w:r>
              <w:rPr>
                <w:rFonts w:hint="eastAsia"/>
                <w:sz w:val="21"/>
                <w:szCs w:val="21"/>
              </w:rPr>
              <w:t>支持审批意见及留痕管理。所有审批操作须记录审批人、审批时间、审批意见、审批结果，形成完整审批日志，支持历史记录追溯及导出。</w:t>
            </w:r>
          </w:p>
          <w:p w14:paraId="7C624BBD">
            <w:pPr>
              <w:keepNext w:val="0"/>
              <w:keepLines w:val="0"/>
              <w:pageBreakBefore w:val="0"/>
              <w:widowControl w:val="0"/>
              <w:numPr>
                <w:ilvl w:val="0"/>
                <w:numId w:val="27"/>
              </w:numPr>
              <w:tabs>
                <w:tab w:val="left" w:pos="525"/>
                <w:tab w:val="left" w:pos="630"/>
              </w:tabs>
              <w:kinsoku/>
              <w:wordWrap/>
              <w:overflowPunct/>
              <w:topLinePunct w:val="0"/>
              <w:autoSpaceDE/>
              <w:autoSpaceDN/>
              <w:bidi w:val="0"/>
              <w:adjustRightInd w:val="0"/>
              <w:snapToGrid w:val="0"/>
              <w:spacing w:line="360" w:lineRule="auto"/>
              <w:ind w:left="420" w:hanging="420"/>
              <w:jc w:val="left"/>
              <w:textAlignment w:val="auto"/>
              <w:rPr>
                <w:rFonts w:hint="eastAsia"/>
                <w:sz w:val="21"/>
                <w:szCs w:val="21"/>
              </w:rPr>
            </w:pPr>
            <w:r>
              <w:rPr>
                <w:rFonts w:hint="eastAsia"/>
                <w:sz w:val="21"/>
                <w:szCs w:val="21"/>
              </w:rPr>
              <w:t>支持审批统计报表功能。系统应支持对审批数据进行统计分析</w:t>
            </w:r>
          </w:p>
          <w:p w14:paraId="49215E8B">
            <w:pPr>
              <w:keepNext w:val="0"/>
              <w:keepLines w:val="0"/>
              <w:pageBreakBefore w:val="0"/>
              <w:widowControl w:val="0"/>
              <w:numPr>
                <w:ilvl w:val="0"/>
                <w:numId w:val="27"/>
              </w:numPr>
              <w:tabs>
                <w:tab w:val="left" w:pos="525"/>
                <w:tab w:val="left" w:pos="630"/>
              </w:tabs>
              <w:kinsoku/>
              <w:wordWrap/>
              <w:overflowPunct/>
              <w:topLinePunct w:val="0"/>
              <w:autoSpaceDE/>
              <w:autoSpaceDN/>
              <w:bidi w:val="0"/>
              <w:adjustRightInd w:val="0"/>
              <w:snapToGrid w:val="0"/>
              <w:spacing w:line="360" w:lineRule="auto"/>
              <w:ind w:left="420" w:hanging="420"/>
              <w:jc w:val="left"/>
              <w:textAlignment w:val="auto"/>
              <w:rPr>
                <w:rFonts w:hint="eastAsia"/>
                <w:sz w:val="21"/>
                <w:szCs w:val="21"/>
              </w:rPr>
            </w:pPr>
            <w:r>
              <w:rPr>
                <w:rFonts w:hint="eastAsia"/>
                <w:sz w:val="21"/>
                <w:szCs w:val="21"/>
              </w:rPr>
              <w:t>支持门诊患者医嘱查看功能。医保科可查询门诊患者诊断信息、医嘱内容、药品明细、检查检验项目及执行状态</w:t>
            </w:r>
          </w:p>
          <w:p w14:paraId="36784343">
            <w:pPr>
              <w:keepNext w:val="0"/>
              <w:keepLines w:val="0"/>
              <w:pageBreakBefore w:val="0"/>
              <w:widowControl w:val="0"/>
              <w:numPr>
                <w:ilvl w:val="0"/>
                <w:numId w:val="27"/>
              </w:numPr>
              <w:tabs>
                <w:tab w:val="left" w:pos="525"/>
                <w:tab w:val="left" w:pos="630"/>
              </w:tabs>
              <w:kinsoku/>
              <w:wordWrap/>
              <w:overflowPunct/>
              <w:topLinePunct w:val="0"/>
              <w:autoSpaceDE/>
              <w:autoSpaceDN/>
              <w:bidi w:val="0"/>
              <w:adjustRightInd w:val="0"/>
              <w:snapToGrid w:val="0"/>
              <w:spacing w:line="360" w:lineRule="auto"/>
              <w:ind w:left="420" w:hanging="420"/>
              <w:jc w:val="left"/>
              <w:textAlignment w:val="auto"/>
              <w:rPr>
                <w:sz w:val="21"/>
                <w:szCs w:val="21"/>
              </w:rPr>
            </w:pPr>
            <w:r>
              <w:rPr>
                <w:rFonts w:hint="eastAsia"/>
                <w:sz w:val="21"/>
                <w:szCs w:val="21"/>
              </w:rPr>
              <w:t>支持医嘱与收费记录关联查询。系统应实现医嘱与收费项目自动关联展示，可查看医嘱金额、实际收费金额、收费时间、收费人员、发票号、退费情况等信息，支持医嘱与收费差异比对</w:t>
            </w:r>
          </w:p>
          <w:p w14:paraId="3E36B95C">
            <w:pPr>
              <w:keepNext w:val="0"/>
              <w:keepLines w:val="0"/>
              <w:pageBreakBefore w:val="0"/>
              <w:widowControl w:val="0"/>
              <w:numPr>
                <w:ilvl w:val="0"/>
                <w:numId w:val="27"/>
              </w:numPr>
              <w:tabs>
                <w:tab w:val="left" w:pos="525"/>
                <w:tab w:val="left" w:pos="630"/>
              </w:tabs>
              <w:kinsoku/>
              <w:wordWrap/>
              <w:overflowPunct/>
              <w:topLinePunct w:val="0"/>
              <w:autoSpaceDE/>
              <w:autoSpaceDN/>
              <w:bidi w:val="0"/>
              <w:adjustRightInd w:val="0"/>
              <w:snapToGrid w:val="0"/>
              <w:spacing w:line="360" w:lineRule="auto"/>
              <w:ind w:left="420" w:hanging="420"/>
              <w:jc w:val="left"/>
              <w:textAlignment w:val="auto"/>
              <w:rPr>
                <w:sz w:val="21"/>
                <w:szCs w:val="21"/>
              </w:rPr>
            </w:pPr>
            <w:r>
              <w:rPr>
                <w:rFonts w:hint="eastAsia"/>
                <w:sz w:val="21"/>
                <w:szCs w:val="21"/>
                <w:lang w:val="en-US" w:eastAsia="zh-CN"/>
              </w:rPr>
              <w:t>涉及费用明细部分，支持展示</w:t>
            </w:r>
            <w:r>
              <w:rPr>
                <w:rFonts w:hint="eastAsia"/>
                <w:sz w:val="21"/>
                <w:szCs w:val="21"/>
              </w:rPr>
              <w:t>全量展示医保三大目录字段、当前结算费别</w:t>
            </w:r>
            <w:r>
              <w:rPr>
                <w:rFonts w:hint="eastAsia"/>
                <w:sz w:val="21"/>
                <w:szCs w:val="21"/>
                <w:lang w:eastAsia="zh-CN"/>
              </w:rPr>
              <w:t>。</w:t>
            </w:r>
          </w:p>
          <w:p w14:paraId="6C8BEF20">
            <w:pPr>
              <w:keepNext w:val="0"/>
              <w:keepLines w:val="0"/>
              <w:pageBreakBefore w:val="0"/>
              <w:widowControl w:val="0"/>
              <w:numPr>
                <w:ilvl w:val="0"/>
                <w:numId w:val="27"/>
              </w:numPr>
              <w:tabs>
                <w:tab w:val="left" w:pos="525"/>
                <w:tab w:val="left" w:pos="630"/>
              </w:tabs>
              <w:kinsoku/>
              <w:wordWrap/>
              <w:overflowPunct/>
              <w:topLinePunct w:val="0"/>
              <w:autoSpaceDE/>
              <w:autoSpaceDN/>
              <w:bidi w:val="0"/>
              <w:adjustRightInd w:val="0"/>
              <w:snapToGrid w:val="0"/>
              <w:spacing w:line="360" w:lineRule="auto"/>
              <w:ind w:left="420" w:hanging="420"/>
              <w:jc w:val="left"/>
              <w:textAlignment w:val="auto"/>
              <w:rPr>
                <w:sz w:val="21"/>
                <w:szCs w:val="21"/>
              </w:rPr>
            </w:pPr>
            <w:r>
              <w:rPr>
                <w:rFonts w:hint="eastAsia"/>
                <w:szCs w:val="21"/>
              </w:rPr>
              <w:t>支持医保审批转费用线上流转。医保审批结果推送至收费系统后，系统生成待办提醒，展示患者信息、审批项目、审批意见及费用信息；收费员核对确认后完成费用转换或结算处理，并记录审核、确认、结算等操作留痕，减少患者在医保、收费窗口间往返办理。</w:t>
            </w:r>
          </w:p>
        </w:tc>
      </w:tr>
    </w:tbl>
    <w:p w14:paraId="3F73091C">
      <w:pPr>
        <w:rPr>
          <w:rFonts w:ascii="宋体" w:hAnsi="宋体"/>
          <w:color w:val="auto"/>
          <w:highlight w:val="none"/>
        </w:rPr>
      </w:pPr>
    </w:p>
    <w:p w14:paraId="7A76179C">
      <w:pPr>
        <w:pStyle w:val="4"/>
        <w:numPr>
          <w:ilvl w:val="2"/>
          <w:numId w:val="1"/>
        </w:numPr>
        <w:spacing w:before="0" w:after="0" w:line="360" w:lineRule="auto"/>
        <w:ind w:left="567" w:hanging="567"/>
        <w:rPr>
          <w:rFonts w:ascii="宋体" w:hAnsi="宋体"/>
          <w:color w:val="auto"/>
          <w:highlight w:val="none"/>
        </w:rPr>
      </w:pPr>
      <w:bookmarkStart w:id="70" w:name="_Toc4415"/>
      <w:bookmarkStart w:id="71" w:name="_Toc21044"/>
      <w:bookmarkStart w:id="72" w:name="_Toc17011"/>
      <w:bookmarkStart w:id="73" w:name="_Toc26417"/>
      <w:bookmarkStart w:id="74" w:name="_Toc11694"/>
      <w:r>
        <w:rPr>
          <w:rFonts w:hint="eastAsia" w:eastAsia="宋体"/>
          <w:color w:val="auto"/>
          <w:kern w:val="2"/>
          <w:sz w:val="24"/>
          <w:szCs w:val="24"/>
          <w:highlight w:val="none"/>
        </w:rPr>
        <w:t>器械供应系统</w:t>
      </w:r>
      <w:bookmarkEnd w:id="70"/>
      <w:bookmarkEnd w:id="71"/>
      <w:bookmarkEnd w:id="72"/>
      <w:bookmarkEnd w:id="73"/>
      <w:bookmarkEnd w:id="74"/>
    </w:p>
    <w:tbl>
      <w:tblPr>
        <w:tblStyle w:val="47"/>
        <w:tblW w:w="10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5"/>
        <w:gridCol w:w="1549"/>
        <w:gridCol w:w="7605"/>
      </w:tblGrid>
      <w:tr w14:paraId="584DA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Align w:val="center"/>
          </w:tcPr>
          <w:p w14:paraId="5B2EB438">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模块</w:t>
            </w:r>
          </w:p>
        </w:tc>
        <w:tc>
          <w:tcPr>
            <w:tcW w:w="1549" w:type="dxa"/>
            <w:vAlign w:val="center"/>
          </w:tcPr>
          <w:p w14:paraId="29C4AB40">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功能</w:t>
            </w:r>
          </w:p>
        </w:tc>
        <w:tc>
          <w:tcPr>
            <w:tcW w:w="7605" w:type="dxa"/>
            <w:vAlign w:val="center"/>
          </w:tcPr>
          <w:p w14:paraId="78EA8718">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功能描述及要求</w:t>
            </w:r>
          </w:p>
        </w:tc>
      </w:tr>
      <w:tr w14:paraId="6D9F8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restart"/>
            <w:vAlign w:val="center"/>
          </w:tcPr>
          <w:p w14:paraId="35880734">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质控管理</w:t>
            </w:r>
          </w:p>
        </w:tc>
        <w:tc>
          <w:tcPr>
            <w:tcW w:w="1549" w:type="dxa"/>
            <w:vAlign w:val="center"/>
          </w:tcPr>
          <w:p w14:paraId="3E892B76">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▲质控问题登记与查询</w:t>
            </w:r>
          </w:p>
        </w:tc>
        <w:tc>
          <w:tcPr>
            <w:tcW w:w="7605" w:type="dxa"/>
            <w:vAlign w:val="center"/>
          </w:tcPr>
          <w:p w14:paraId="2F5511FA">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包括问题登记、多条件筛选查询、报表/图表导出功能，至少包括：清洗问题、组配问题、灭菌问题、储存问题、设备问题、器械缺失及损坏问题；所有问题登记支持拍照上传存档。</w:t>
            </w:r>
          </w:p>
        </w:tc>
      </w:tr>
      <w:tr w14:paraId="14CF4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vAlign w:val="center"/>
          </w:tcPr>
          <w:p w14:paraId="1B4866B3">
            <w:pPr>
              <w:widowControl/>
              <w:textAlignment w:val="center"/>
              <w:rPr>
                <w:rFonts w:hint="eastAsia" w:ascii="宋体" w:hAnsi="宋体" w:cs="宋体"/>
                <w:snapToGrid w:val="0"/>
                <w:color w:val="000000"/>
                <w:kern w:val="0"/>
                <w:szCs w:val="21"/>
              </w:rPr>
            </w:pPr>
          </w:p>
        </w:tc>
        <w:tc>
          <w:tcPr>
            <w:tcW w:w="1549" w:type="dxa"/>
            <w:vAlign w:val="center"/>
          </w:tcPr>
          <w:p w14:paraId="43988F68">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▲质控指标统计</w:t>
            </w:r>
          </w:p>
        </w:tc>
        <w:tc>
          <w:tcPr>
            <w:tcW w:w="7605" w:type="dxa"/>
            <w:vAlign w:val="center"/>
          </w:tcPr>
          <w:p w14:paraId="4EC27354">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可根据全国最新版《消毒供应质量控制指标》规定公式，按报告提交周期，汇总质控问题登记记录的原始数据，统计和计算产生指标结果；可根据不同版本的指标要求进行计算，可对统计结果导出。</w:t>
            </w:r>
          </w:p>
        </w:tc>
      </w:tr>
      <w:tr w14:paraId="7FE72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restart"/>
            <w:vAlign w:val="center"/>
          </w:tcPr>
          <w:p w14:paraId="6E3A9C54">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辅助管理</w:t>
            </w:r>
          </w:p>
        </w:tc>
        <w:tc>
          <w:tcPr>
            <w:tcW w:w="1549" w:type="dxa"/>
            <w:vAlign w:val="center"/>
          </w:tcPr>
          <w:p w14:paraId="598C3DEC">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设备巡检与维护登记</w:t>
            </w:r>
          </w:p>
        </w:tc>
        <w:tc>
          <w:tcPr>
            <w:tcW w:w="7605" w:type="dxa"/>
            <w:vAlign w:val="center"/>
          </w:tcPr>
          <w:p w14:paraId="743066DD">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可以建立设备巡检计划和执行时间，定期提醒巡检工作执行；可以建立设备故障保修和登记功能；以上记录可导出生成报表。</w:t>
            </w:r>
          </w:p>
        </w:tc>
      </w:tr>
      <w:tr w14:paraId="16C5B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vAlign w:val="center"/>
          </w:tcPr>
          <w:p w14:paraId="62E4A641">
            <w:pPr>
              <w:widowControl/>
              <w:textAlignment w:val="center"/>
              <w:rPr>
                <w:rFonts w:hint="eastAsia" w:ascii="宋体" w:hAnsi="宋体" w:cs="宋体"/>
                <w:snapToGrid w:val="0"/>
                <w:color w:val="000000"/>
                <w:kern w:val="0"/>
                <w:szCs w:val="21"/>
              </w:rPr>
            </w:pPr>
          </w:p>
        </w:tc>
        <w:tc>
          <w:tcPr>
            <w:tcW w:w="1549" w:type="dxa"/>
            <w:vAlign w:val="center"/>
          </w:tcPr>
          <w:p w14:paraId="78CB0751">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▲问卷调查</w:t>
            </w:r>
          </w:p>
        </w:tc>
        <w:tc>
          <w:tcPr>
            <w:tcW w:w="7605" w:type="dxa"/>
            <w:vAlign w:val="center"/>
          </w:tcPr>
          <w:p w14:paraId="1FE4AA5C">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系统拥有线上问卷调查的功能（含满意度调查）；</w:t>
            </w:r>
          </w:p>
          <w:p w14:paraId="22684FAF">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对于问卷调查的题目可题库中进行选择，也可以自定义出题。</w:t>
            </w:r>
          </w:p>
        </w:tc>
      </w:tr>
      <w:tr w14:paraId="45DDA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vAlign w:val="center"/>
          </w:tcPr>
          <w:p w14:paraId="395464F8">
            <w:pPr>
              <w:widowControl/>
              <w:textAlignment w:val="center"/>
              <w:rPr>
                <w:rFonts w:hint="eastAsia" w:ascii="宋体" w:hAnsi="宋体" w:cs="宋体"/>
                <w:snapToGrid w:val="0"/>
                <w:color w:val="000000"/>
                <w:kern w:val="0"/>
                <w:szCs w:val="21"/>
              </w:rPr>
            </w:pPr>
          </w:p>
        </w:tc>
        <w:tc>
          <w:tcPr>
            <w:tcW w:w="1549" w:type="dxa"/>
            <w:vAlign w:val="center"/>
          </w:tcPr>
          <w:p w14:paraId="75B25382">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业务流程数据大屏</w:t>
            </w:r>
          </w:p>
        </w:tc>
        <w:tc>
          <w:tcPr>
            <w:tcW w:w="7605" w:type="dxa"/>
            <w:vAlign w:val="center"/>
          </w:tcPr>
          <w:p w14:paraId="553AA520">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通过图形或图表形式展示供应科及医院的基本信息以及一定时间内系统的运行状况。</w:t>
            </w:r>
          </w:p>
        </w:tc>
      </w:tr>
      <w:tr w14:paraId="5DB35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vAlign w:val="center"/>
          </w:tcPr>
          <w:p w14:paraId="62C50F2C">
            <w:pPr>
              <w:widowControl/>
              <w:textAlignment w:val="center"/>
              <w:rPr>
                <w:rFonts w:hint="eastAsia" w:ascii="宋体" w:hAnsi="宋体" w:cs="宋体"/>
                <w:snapToGrid w:val="0"/>
                <w:color w:val="000000"/>
                <w:kern w:val="0"/>
                <w:szCs w:val="21"/>
              </w:rPr>
            </w:pPr>
          </w:p>
        </w:tc>
        <w:tc>
          <w:tcPr>
            <w:tcW w:w="1549" w:type="dxa"/>
            <w:vAlign w:val="center"/>
          </w:tcPr>
          <w:p w14:paraId="3CE408F0">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★PDA/平板电脑操作</w:t>
            </w:r>
          </w:p>
        </w:tc>
        <w:tc>
          <w:tcPr>
            <w:tcW w:w="7605" w:type="dxa"/>
            <w:vAlign w:val="center"/>
          </w:tcPr>
          <w:p w14:paraId="1337C5FE">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系统支持手持PDA/平板电脑替代操作</w:t>
            </w:r>
          </w:p>
        </w:tc>
      </w:tr>
      <w:tr w14:paraId="0AB09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vAlign w:val="center"/>
          </w:tcPr>
          <w:p w14:paraId="44FD8D74">
            <w:pPr>
              <w:widowControl/>
              <w:textAlignment w:val="center"/>
              <w:rPr>
                <w:rFonts w:hint="eastAsia" w:ascii="宋体" w:hAnsi="宋体" w:cs="宋体"/>
                <w:snapToGrid w:val="0"/>
                <w:color w:val="000000"/>
                <w:kern w:val="0"/>
                <w:szCs w:val="21"/>
              </w:rPr>
            </w:pPr>
          </w:p>
        </w:tc>
        <w:tc>
          <w:tcPr>
            <w:tcW w:w="1549" w:type="dxa"/>
            <w:vAlign w:val="center"/>
          </w:tcPr>
          <w:p w14:paraId="4E2883D1">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自定义标签功能</w:t>
            </w:r>
          </w:p>
        </w:tc>
        <w:tc>
          <w:tcPr>
            <w:tcW w:w="7605" w:type="dxa"/>
            <w:vAlign w:val="center"/>
          </w:tcPr>
          <w:p w14:paraId="0355B941">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标签设计自定义、可视化自助实现标签个性化设计操作。</w:t>
            </w:r>
          </w:p>
        </w:tc>
      </w:tr>
      <w:tr w14:paraId="29460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vAlign w:val="center"/>
          </w:tcPr>
          <w:p w14:paraId="3442A4A7">
            <w:pPr>
              <w:widowControl/>
              <w:textAlignment w:val="center"/>
              <w:rPr>
                <w:rFonts w:hint="eastAsia" w:ascii="宋体" w:hAnsi="宋体" w:cs="宋体"/>
                <w:snapToGrid w:val="0"/>
                <w:color w:val="000000"/>
                <w:kern w:val="0"/>
                <w:szCs w:val="21"/>
              </w:rPr>
            </w:pPr>
          </w:p>
        </w:tc>
        <w:tc>
          <w:tcPr>
            <w:tcW w:w="1549" w:type="dxa"/>
            <w:vAlign w:val="center"/>
          </w:tcPr>
          <w:p w14:paraId="7BB35FAC">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知识库及考核</w:t>
            </w:r>
          </w:p>
        </w:tc>
        <w:tc>
          <w:tcPr>
            <w:tcW w:w="7605" w:type="dxa"/>
            <w:vAlign w:val="center"/>
          </w:tcPr>
          <w:p w14:paraId="2B6A54DA">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提供消毒灭菌知识库、线上考核等服务。</w:t>
            </w:r>
          </w:p>
        </w:tc>
      </w:tr>
      <w:tr w14:paraId="06073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Align w:val="center"/>
          </w:tcPr>
          <w:p w14:paraId="7DFAF9C4">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多院区交接</w:t>
            </w:r>
          </w:p>
        </w:tc>
        <w:tc>
          <w:tcPr>
            <w:tcW w:w="1549" w:type="dxa"/>
            <w:vAlign w:val="center"/>
          </w:tcPr>
          <w:p w14:paraId="204CDA41">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★跨院区/消毒供应中心交接物品</w:t>
            </w:r>
          </w:p>
        </w:tc>
        <w:tc>
          <w:tcPr>
            <w:tcW w:w="7605" w:type="dxa"/>
            <w:vAlign w:val="center"/>
          </w:tcPr>
          <w:p w14:paraId="3F5DA171">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可实现在分类、包装前、灭菌、无菌库环节，将其他院区需要的器械包登记后交到相应的消毒供应中心交接清单中。消毒供应中心可处理接收其他院区交接过来的物品，也可拒收返回。</w:t>
            </w:r>
          </w:p>
        </w:tc>
      </w:tr>
      <w:tr w14:paraId="6BA80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restart"/>
            <w:vAlign w:val="center"/>
          </w:tcPr>
          <w:p w14:paraId="5EDD7B56">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回收</w:t>
            </w:r>
          </w:p>
        </w:tc>
        <w:tc>
          <w:tcPr>
            <w:tcW w:w="1549" w:type="dxa"/>
            <w:vAlign w:val="center"/>
          </w:tcPr>
          <w:p w14:paraId="71D17E96">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回收申请审核</w:t>
            </w:r>
          </w:p>
        </w:tc>
        <w:tc>
          <w:tcPr>
            <w:tcW w:w="7605" w:type="dxa"/>
            <w:vAlign w:val="center"/>
          </w:tcPr>
          <w:p w14:paraId="0CF2335C">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审核回收申请单：对科室提交的回收申请进行审核，支持按科室组批量审核，生成并打印审核单；</w:t>
            </w:r>
          </w:p>
          <w:p w14:paraId="42A9156E">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审核记录：对审核历史记录查询，也可进行补打印，支持单独分科室打印或批量打印操作，可通过扫描单据上的二维码查询记录。</w:t>
            </w:r>
          </w:p>
        </w:tc>
      </w:tr>
      <w:tr w14:paraId="54413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885" w:type="dxa"/>
            <w:vMerge w:val="continue"/>
          </w:tcPr>
          <w:p w14:paraId="276034E0">
            <w:pPr>
              <w:widowControl/>
              <w:textAlignment w:val="center"/>
              <w:rPr>
                <w:rFonts w:hint="eastAsia" w:ascii="宋体" w:hAnsi="宋体" w:cs="宋体"/>
                <w:snapToGrid w:val="0"/>
                <w:color w:val="000000"/>
                <w:kern w:val="0"/>
                <w:szCs w:val="21"/>
              </w:rPr>
            </w:pPr>
          </w:p>
        </w:tc>
        <w:tc>
          <w:tcPr>
            <w:tcW w:w="1549" w:type="dxa"/>
            <w:vAlign w:val="center"/>
          </w:tcPr>
          <w:p w14:paraId="30D94E9E">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回收清点</w:t>
            </w:r>
          </w:p>
        </w:tc>
        <w:tc>
          <w:tcPr>
            <w:tcW w:w="7605" w:type="dxa"/>
            <w:vAlign w:val="center"/>
          </w:tcPr>
          <w:p w14:paraId="1BA9C3B1">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支持扫描/手工查找录入器械包、回收单扫描批量录入等清点登记方式，可清点时直接登记分类清洗篮筐；</w:t>
            </w:r>
          </w:p>
          <w:p w14:paraId="5AC50AEE">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清点记录的问题自动纳入质控管理，并通知到对应回收的科室。</w:t>
            </w:r>
          </w:p>
        </w:tc>
      </w:tr>
      <w:tr w14:paraId="7D383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tcPr>
          <w:p w14:paraId="65F660A5">
            <w:pPr>
              <w:widowControl/>
              <w:textAlignment w:val="center"/>
              <w:rPr>
                <w:rFonts w:hint="eastAsia" w:ascii="宋体" w:hAnsi="宋体" w:cs="宋体"/>
                <w:snapToGrid w:val="0"/>
                <w:color w:val="000000"/>
                <w:kern w:val="0"/>
                <w:szCs w:val="21"/>
              </w:rPr>
            </w:pPr>
          </w:p>
        </w:tc>
        <w:tc>
          <w:tcPr>
            <w:tcW w:w="1549" w:type="dxa"/>
            <w:vAlign w:val="center"/>
          </w:tcPr>
          <w:p w14:paraId="37E697AC">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感染登记</w:t>
            </w:r>
          </w:p>
        </w:tc>
        <w:tc>
          <w:tcPr>
            <w:tcW w:w="7605" w:type="dxa"/>
            <w:vAlign w:val="center"/>
          </w:tcPr>
          <w:p w14:paraId="24557362">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对有感染情况的器械包进行标记，感染类型支持自定义。</w:t>
            </w:r>
          </w:p>
        </w:tc>
      </w:tr>
      <w:tr w14:paraId="206BA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tcPr>
          <w:p w14:paraId="71C3CFA1">
            <w:pPr>
              <w:widowControl/>
              <w:textAlignment w:val="center"/>
              <w:rPr>
                <w:rFonts w:hint="eastAsia" w:ascii="宋体" w:hAnsi="宋体" w:cs="宋体"/>
                <w:snapToGrid w:val="0"/>
                <w:color w:val="000000"/>
                <w:kern w:val="0"/>
                <w:szCs w:val="21"/>
              </w:rPr>
            </w:pPr>
          </w:p>
        </w:tc>
        <w:tc>
          <w:tcPr>
            <w:tcW w:w="1549" w:type="dxa"/>
            <w:vAlign w:val="center"/>
          </w:tcPr>
          <w:p w14:paraId="000146CF">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还包登记</w:t>
            </w:r>
          </w:p>
        </w:tc>
        <w:tc>
          <w:tcPr>
            <w:tcW w:w="7605" w:type="dxa"/>
            <w:vAlign w:val="center"/>
          </w:tcPr>
          <w:p w14:paraId="4C06154B">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科室借包使用后，在还包时进行登记，可设置回收时自动判断还包，可设置对逾期未归还的科室进行提醒。</w:t>
            </w:r>
          </w:p>
        </w:tc>
      </w:tr>
      <w:tr w14:paraId="3F842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tcPr>
          <w:p w14:paraId="5D79BAEF">
            <w:pPr>
              <w:widowControl/>
              <w:textAlignment w:val="center"/>
              <w:rPr>
                <w:rFonts w:hint="eastAsia" w:ascii="宋体" w:hAnsi="宋体" w:cs="宋体"/>
                <w:snapToGrid w:val="0"/>
                <w:color w:val="000000"/>
                <w:kern w:val="0"/>
                <w:szCs w:val="21"/>
              </w:rPr>
            </w:pPr>
          </w:p>
        </w:tc>
        <w:tc>
          <w:tcPr>
            <w:tcW w:w="1549" w:type="dxa"/>
            <w:vAlign w:val="center"/>
          </w:tcPr>
          <w:p w14:paraId="22053E04">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加急登记</w:t>
            </w:r>
          </w:p>
        </w:tc>
        <w:tc>
          <w:tcPr>
            <w:tcW w:w="7605" w:type="dxa"/>
            <w:vAlign w:val="center"/>
          </w:tcPr>
          <w:p w14:paraId="3E28D51A">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对有加急要求的器械包进行标记，可选择不同等级的加急标记，可设置后续流程中的置顶效果和颜色标识。</w:t>
            </w:r>
          </w:p>
        </w:tc>
      </w:tr>
      <w:tr w14:paraId="1830C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restart"/>
            <w:vAlign w:val="center"/>
          </w:tcPr>
          <w:p w14:paraId="4B27DE92">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分类</w:t>
            </w:r>
          </w:p>
          <w:p w14:paraId="53926021">
            <w:pPr>
              <w:widowControl/>
              <w:textAlignment w:val="center"/>
              <w:rPr>
                <w:rFonts w:hint="eastAsia" w:ascii="宋体" w:hAnsi="宋体" w:cs="宋体"/>
                <w:snapToGrid w:val="0"/>
                <w:color w:val="000000"/>
                <w:kern w:val="0"/>
                <w:szCs w:val="21"/>
              </w:rPr>
            </w:pPr>
          </w:p>
        </w:tc>
        <w:tc>
          <w:tcPr>
            <w:tcW w:w="1549" w:type="dxa"/>
            <w:vAlign w:val="center"/>
          </w:tcPr>
          <w:p w14:paraId="317EAAB4">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分类处理</w:t>
            </w:r>
          </w:p>
        </w:tc>
        <w:tc>
          <w:tcPr>
            <w:tcW w:w="7605" w:type="dxa"/>
            <w:vAlign w:val="center"/>
          </w:tcPr>
          <w:p w14:paraId="636797A0">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对机洗和手洗物品进行清洗分类。</w:t>
            </w:r>
          </w:p>
        </w:tc>
      </w:tr>
      <w:tr w14:paraId="6BBAC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tcPr>
          <w:p w14:paraId="222783B4">
            <w:pPr>
              <w:widowControl/>
              <w:textAlignment w:val="center"/>
              <w:rPr>
                <w:rFonts w:hint="eastAsia" w:ascii="宋体" w:hAnsi="宋体" w:cs="宋体"/>
                <w:snapToGrid w:val="0"/>
                <w:color w:val="000000"/>
                <w:kern w:val="0"/>
                <w:szCs w:val="21"/>
              </w:rPr>
            </w:pPr>
          </w:p>
        </w:tc>
        <w:tc>
          <w:tcPr>
            <w:tcW w:w="1549" w:type="dxa"/>
            <w:vAlign w:val="center"/>
          </w:tcPr>
          <w:p w14:paraId="60F4443D">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▲预处理</w:t>
            </w:r>
          </w:p>
        </w:tc>
        <w:tc>
          <w:tcPr>
            <w:tcW w:w="7605" w:type="dxa"/>
            <w:vAlign w:val="center"/>
          </w:tcPr>
          <w:p w14:paraId="15EACCAD">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对器械进行预处理操作，记录预处理方式、预处理时间、预处理人。</w:t>
            </w:r>
          </w:p>
        </w:tc>
      </w:tr>
      <w:tr w14:paraId="14CF3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tcPr>
          <w:p w14:paraId="786F8FF2">
            <w:pPr>
              <w:widowControl/>
              <w:textAlignment w:val="center"/>
              <w:rPr>
                <w:rFonts w:hint="eastAsia" w:ascii="宋体" w:hAnsi="宋体" w:cs="宋体"/>
                <w:snapToGrid w:val="0"/>
                <w:color w:val="000000"/>
                <w:kern w:val="0"/>
                <w:szCs w:val="21"/>
              </w:rPr>
            </w:pPr>
          </w:p>
        </w:tc>
        <w:tc>
          <w:tcPr>
            <w:tcW w:w="1549" w:type="dxa"/>
            <w:vAlign w:val="center"/>
          </w:tcPr>
          <w:p w14:paraId="6AF23DDC">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高级管理权限</w:t>
            </w:r>
          </w:p>
        </w:tc>
        <w:tc>
          <w:tcPr>
            <w:tcW w:w="7605" w:type="dxa"/>
            <w:vAlign w:val="center"/>
          </w:tcPr>
          <w:p w14:paraId="6A3C0001">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对遗漏记录清洗的器械包可进行补录；</w:t>
            </w:r>
            <w:r>
              <w:rPr>
                <w:rFonts w:hint="eastAsia" w:ascii="宋体" w:hAnsi="宋体" w:cs="宋体"/>
                <w:snapToGrid w:val="0"/>
                <w:color w:val="000000"/>
                <w:kern w:val="0"/>
                <w:szCs w:val="21"/>
              </w:rPr>
              <w:br w:type="textWrapping"/>
            </w:r>
            <w:r>
              <w:rPr>
                <w:rFonts w:hint="eastAsia" w:ascii="宋体" w:hAnsi="宋体" w:cs="宋体"/>
                <w:snapToGrid w:val="0"/>
                <w:color w:val="000000"/>
                <w:kern w:val="0"/>
                <w:szCs w:val="21"/>
              </w:rPr>
              <w:t>对回收信息错误的器械包可进行回退；</w:t>
            </w:r>
          </w:p>
          <w:p w14:paraId="1AD91389">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对多清点数量的器械包可进行删除。</w:t>
            </w:r>
          </w:p>
        </w:tc>
      </w:tr>
      <w:tr w14:paraId="0DA8C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restart"/>
            <w:vAlign w:val="center"/>
          </w:tcPr>
          <w:p w14:paraId="6D1ED17E">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清洗</w:t>
            </w:r>
          </w:p>
          <w:p w14:paraId="5257B0EE">
            <w:pPr>
              <w:widowControl/>
              <w:textAlignment w:val="center"/>
              <w:rPr>
                <w:rFonts w:hint="eastAsia" w:ascii="宋体" w:hAnsi="宋体" w:cs="宋体"/>
                <w:snapToGrid w:val="0"/>
                <w:color w:val="000000"/>
                <w:kern w:val="0"/>
                <w:szCs w:val="21"/>
              </w:rPr>
            </w:pPr>
          </w:p>
        </w:tc>
        <w:tc>
          <w:tcPr>
            <w:tcW w:w="1549" w:type="dxa"/>
            <w:vAlign w:val="center"/>
          </w:tcPr>
          <w:p w14:paraId="092B7281">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分步清洗</w:t>
            </w:r>
          </w:p>
        </w:tc>
        <w:tc>
          <w:tcPr>
            <w:tcW w:w="7605" w:type="dxa"/>
            <w:vAlign w:val="center"/>
          </w:tcPr>
          <w:p w14:paraId="62D482BF">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记录清洗方式、消毒方式、干燥方式、手洗人、清洗时间等信息。</w:t>
            </w:r>
          </w:p>
        </w:tc>
      </w:tr>
      <w:tr w14:paraId="558F5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tcPr>
          <w:p w14:paraId="1F32243D">
            <w:pPr>
              <w:widowControl/>
              <w:textAlignment w:val="center"/>
              <w:rPr>
                <w:rFonts w:hint="eastAsia" w:ascii="宋体" w:hAnsi="宋体" w:cs="宋体"/>
                <w:snapToGrid w:val="0"/>
                <w:color w:val="000000"/>
                <w:kern w:val="0"/>
                <w:szCs w:val="21"/>
              </w:rPr>
            </w:pPr>
          </w:p>
        </w:tc>
        <w:tc>
          <w:tcPr>
            <w:tcW w:w="1549" w:type="dxa"/>
            <w:vAlign w:val="center"/>
          </w:tcPr>
          <w:p w14:paraId="61A50BB4">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▲机洗</w:t>
            </w:r>
          </w:p>
        </w:tc>
        <w:tc>
          <w:tcPr>
            <w:tcW w:w="7605" w:type="dxa"/>
            <w:vAlign w:val="center"/>
          </w:tcPr>
          <w:p w14:paraId="13BEE68A">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记录机洗设备、运行程序、机洗时间、机洗人等信息；</w:t>
            </w:r>
          </w:p>
          <w:p w14:paraId="1D9EF010">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支持长龙清洗机排队预设程序，自动进机处理；</w:t>
            </w:r>
          </w:p>
          <w:p w14:paraId="756C4491">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查看清洗机运行情况，包括设备运行状态、运行时长、清洗物品、清洗人等信息。</w:t>
            </w:r>
          </w:p>
        </w:tc>
      </w:tr>
      <w:tr w14:paraId="4376B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restart"/>
            <w:vAlign w:val="center"/>
          </w:tcPr>
          <w:p w14:paraId="76D7AAEF">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清洗质检</w:t>
            </w:r>
          </w:p>
        </w:tc>
        <w:tc>
          <w:tcPr>
            <w:tcW w:w="1549" w:type="dxa"/>
            <w:vAlign w:val="center"/>
          </w:tcPr>
          <w:p w14:paraId="4AC59D24">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▲清洗结束</w:t>
            </w:r>
          </w:p>
        </w:tc>
        <w:tc>
          <w:tcPr>
            <w:tcW w:w="7605" w:type="dxa"/>
            <w:vAlign w:val="center"/>
          </w:tcPr>
          <w:p w14:paraId="1A2A53E9">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可设置未到达规定清洗时间，不可提前结束清洗程序；</w:t>
            </w:r>
          </w:p>
          <w:p w14:paraId="64E1BF59">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在对接清洗机参数的情况下，可设置根据清洗机实际情况自动同步结束并校准时间。</w:t>
            </w:r>
          </w:p>
        </w:tc>
      </w:tr>
      <w:tr w14:paraId="0DE5A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tcPr>
          <w:p w14:paraId="3B935BA2">
            <w:pPr>
              <w:widowControl/>
              <w:textAlignment w:val="center"/>
              <w:rPr>
                <w:rFonts w:hint="eastAsia" w:ascii="宋体" w:hAnsi="宋体" w:cs="宋体"/>
                <w:snapToGrid w:val="0"/>
                <w:color w:val="000000"/>
                <w:kern w:val="0"/>
                <w:szCs w:val="21"/>
              </w:rPr>
            </w:pPr>
          </w:p>
        </w:tc>
        <w:tc>
          <w:tcPr>
            <w:tcW w:w="1549" w:type="dxa"/>
            <w:vAlign w:val="center"/>
          </w:tcPr>
          <w:p w14:paraId="1F2F2D98">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清洗质量检查</w:t>
            </w:r>
          </w:p>
        </w:tc>
        <w:tc>
          <w:tcPr>
            <w:tcW w:w="7605" w:type="dxa"/>
            <w:vAlign w:val="center"/>
          </w:tcPr>
          <w:p w14:paraId="6FF4EE97">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清洗结束后，对清洗质量进行检查，合格的器械进入下一环节，不合格的器械退回重新清洗，记录的问题自动纳入质控管理；</w:t>
            </w:r>
          </w:p>
          <w:p w14:paraId="227216E9">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在对接清洗机参数并且可以获得A0值的情况下，可以判断并提醒清洗不合格。</w:t>
            </w:r>
          </w:p>
        </w:tc>
      </w:tr>
      <w:tr w14:paraId="7AF0A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tcPr>
          <w:p w14:paraId="3F15C6BE">
            <w:pPr>
              <w:widowControl/>
              <w:textAlignment w:val="center"/>
              <w:rPr>
                <w:rFonts w:hint="eastAsia" w:ascii="宋体" w:hAnsi="宋体" w:cs="宋体"/>
                <w:snapToGrid w:val="0"/>
                <w:color w:val="000000"/>
                <w:kern w:val="0"/>
                <w:szCs w:val="21"/>
              </w:rPr>
            </w:pPr>
          </w:p>
        </w:tc>
        <w:tc>
          <w:tcPr>
            <w:tcW w:w="1549" w:type="dxa"/>
            <w:vAlign w:val="center"/>
          </w:tcPr>
          <w:p w14:paraId="41763061">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整机器械重洗</w:t>
            </w:r>
          </w:p>
        </w:tc>
        <w:tc>
          <w:tcPr>
            <w:tcW w:w="7605" w:type="dxa"/>
            <w:vAlign w:val="center"/>
          </w:tcPr>
          <w:p w14:paraId="6E2ACC68">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设备出现问题时，对本批次所有器械进行一键重洗，记录原因、清洗人、清洗时间。</w:t>
            </w:r>
          </w:p>
        </w:tc>
      </w:tr>
      <w:tr w14:paraId="1FA46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tcPr>
          <w:p w14:paraId="7CBB3B61">
            <w:pPr>
              <w:widowControl/>
              <w:textAlignment w:val="center"/>
              <w:rPr>
                <w:rFonts w:hint="eastAsia" w:ascii="宋体" w:hAnsi="宋体" w:cs="宋体"/>
                <w:snapToGrid w:val="0"/>
                <w:color w:val="000000"/>
                <w:kern w:val="0"/>
                <w:szCs w:val="21"/>
              </w:rPr>
            </w:pPr>
          </w:p>
        </w:tc>
        <w:tc>
          <w:tcPr>
            <w:tcW w:w="1549" w:type="dxa"/>
            <w:vAlign w:val="center"/>
          </w:tcPr>
          <w:p w14:paraId="35E1F8E4">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运行参数查看</w:t>
            </w:r>
          </w:p>
        </w:tc>
        <w:tc>
          <w:tcPr>
            <w:tcW w:w="7605" w:type="dxa"/>
            <w:vAlign w:val="center"/>
          </w:tcPr>
          <w:p w14:paraId="39161806">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对设备运行状态进行监控，可查看清洗机的物理参数图。</w:t>
            </w:r>
          </w:p>
        </w:tc>
      </w:tr>
      <w:tr w14:paraId="11D07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tcPr>
          <w:p w14:paraId="00E2A8EB">
            <w:pPr>
              <w:widowControl/>
              <w:textAlignment w:val="center"/>
              <w:rPr>
                <w:rFonts w:hint="eastAsia" w:ascii="宋体" w:hAnsi="宋体" w:cs="宋体"/>
                <w:snapToGrid w:val="0"/>
                <w:color w:val="000000"/>
                <w:kern w:val="0"/>
                <w:szCs w:val="21"/>
              </w:rPr>
            </w:pPr>
          </w:p>
        </w:tc>
        <w:tc>
          <w:tcPr>
            <w:tcW w:w="1549" w:type="dxa"/>
            <w:vAlign w:val="center"/>
          </w:tcPr>
          <w:p w14:paraId="1276F65F">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▲高级管理权限</w:t>
            </w:r>
          </w:p>
        </w:tc>
        <w:tc>
          <w:tcPr>
            <w:tcW w:w="7605" w:type="dxa"/>
            <w:vAlign w:val="center"/>
          </w:tcPr>
          <w:p w14:paraId="78D65A6C">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对正在运行的清洗记录操作提前结束；</w:t>
            </w:r>
          </w:p>
          <w:p w14:paraId="5257EA9D">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对操作错误的清洗记录进行撤销回退。</w:t>
            </w:r>
          </w:p>
        </w:tc>
      </w:tr>
      <w:tr w14:paraId="74A55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restart"/>
            <w:vAlign w:val="center"/>
          </w:tcPr>
          <w:p w14:paraId="0587595B">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组配包装</w:t>
            </w:r>
          </w:p>
        </w:tc>
        <w:tc>
          <w:tcPr>
            <w:tcW w:w="1549" w:type="dxa"/>
            <w:vAlign w:val="center"/>
          </w:tcPr>
          <w:p w14:paraId="347BB893">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▲器械清单查询</w:t>
            </w:r>
          </w:p>
        </w:tc>
        <w:tc>
          <w:tcPr>
            <w:tcW w:w="7605" w:type="dxa"/>
            <w:vAlign w:val="center"/>
          </w:tcPr>
          <w:p w14:paraId="0964A1F1">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可查看包图片、操作视频、包内器械耗材明细、注意事项、器械说明书，辅助配包工作；</w:t>
            </w:r>
            <w:r>
              <w:rPr>
                <w:rFonts w:hint="eastAsia" w:ascii="宋体" w:hAnsi="宋体" w:cs="宋体"/>
                <w:snapToGrid w:val="0"/>
                <w:color w:val="000000"/>
                <w:kern w:val="0"/>
                <w:szCs w:val="21"/>
              </w:rPr>
              <w:br w:type="textWrapping"/>
            </w:r>
            <w:r>
              <w:rPr>
                <w:rFonts w:hint="eastAsia" w:ascii="宋体" w:hAnsi="宋体" w:cs="宋体"/>
                <w:snapToGrid w:val="0"/>
                <w:color w:val="000000"/>
                <w:kern w:val="0"/>
                <w:szCs w:val="21"/>
              </w:rPr>
              <w:t>支持打印器械包明细清单，对其中的器械进行分组汇总。</w:t>
            </w:r>
          </w:p>
        </w:tc>
      </w:tr>
      <w:tr w14:paraId="161A8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tcPr>
          <w:p w14:paraId="06642090">
            <w:pPr>
              <w:widowControl/>
              <w:textAlignment w:val="center"/>
              <w:rPr>
                <w:rFonts w:hint="eastAsia" w:ascii="宋体" w:hAnsi="宋体" w:cs="宋体"/>
                <w:snapToGrid w:val="0"/>
                <w:color w:val="000000"/>
                <w:kern w:val="0"/>
                <w:szCs w:val="21"/>
              </w:rPr>
            </w:pPr>
          </w:p>
        </w:tc>
        <w:tc>
          <w:tcPr>
            <w:tcW w:w="1549" w:type="dxa"/>
            <w:vAlign w:val="center"/>
          </w:tcPr>
          <w:p w14:paraId="4A41DAE6">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组配</w:t>
            </w:r>
          </w:p>
        </w:tc>
        <w:tc>
          <w:tcPr>
            <w:tcW w:w="7605" w:type="dxa"/>
            <w:vAlign w:val="center"/>
          </w:tcPr>
          <w:p w14:paraId="5B77984C">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支持通过处理方式、分组、篮筐、器械包名等筛选来对应当前包装工作台的内容，核对包装材料、处理方式、效期天数等信息，记录组配人、组配时间。</w:t>
            </w:r>
          </w:p>
        </w:tc>
      </w:tr>
      <w:tr w14:paraId="69DF9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tcPr>
          <w:p w14:paraId="12C4AFAC">
            <w:pPr>
              <w:widowControl/>
              <w:textAlignment w:val="center"/>
              <w:rPr>
                <w:rFonts w:hint="eastAsia" w:ascii="宋体" w:hAnsi="宋体" w:cs="宋体"/>
                <w:snapToGrid w:val="0"/>
                <w:color w:val="000000"/>
                <w:kern w:val="0"/>
                <w:szCs w:val="21"/>
              </w:rPr>
            </w:pPr>
          </w:p>
        </w:tc>
        <w:tc>
          <w:tcPr>
            <w:tcW w:w="1549" w:type="dxa"/>
            <w:vAlign w:val="center"/>
          </w:tcPr>
          <w:p w14:paraId="1E941D26">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包装</w:t>
            </w:r>
          </w:p>
        </w:tc>
        <w:tc>
          <w:tcPr>
            <w:tcW w:w="7605" w:type="dxa"/>
            <w:vAlign w:val="center"/>
          </w:tcPr>
          <w:p w14:paraId="332EEF1B">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组配有误时，可将器械包退回重新组配；</w:t>
            </w:r>
          </w:p>
          <w:p w14:paraId="2A97B068">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可以对器械包的灭菌时间预定到今天以后，并跟进灭菌时间计算效期；</w:t>
            </w:r>
          </w:p>
          <w:p w14:paraId="18575835">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可对多个器械包进行捆绑，用于后续流程扫码进行批量操作。</w:t>
            </w:r>
          </w:p>
        </w:tc>
      </w:tr>
      <w:tr w14:paraId="6DFE5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tcPr>
          <w:p w14:paraId="416D108A">
            <w:pPr>
              <w:widowControl/>
              <w:textAlignment w:val="center"/>
              <w:rPr>
                <w:rFonts w:hint="eastAsia" w:ascii="宋体" w:hAnsi="宋体" w:cs="宋体"/>
                <w:snapToGrid w:val="0"/>
                <w:color w:val="000000"/>
                <w:kern w:val="0"/>
                <w:szCs w:val="21"/>
              </w:rPr>
            </w:pPr>
          </w:p>
        </w:tc>
        <w:tc>
          <w:tcPr>
            <w:tcW w:w="1549" w:type="dxa"/>
            <w:vAlign w:val="center"/>
          </w:tcPr>
          <w:p w14:paraId="10204DA3">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回退</w:t>
            </w:r>
          </w:p>
        </w:tc>
        <w:tc>
          <w:tcPr>
            <w:tcW w:w="7605" w:type="dxa"/>
            <w:vAlign w:val="center"/>
          </w:tcPr>
          <w:p w14:paraId="424F0EFA">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可对清洗质量有问题器械进行数据回退，重新清洗，记录问题会自动纳入质控管理。</w:t>
            </w:r>
          </w:p>
        </w:tc>
      </w:tr>
      <w:tr w14:paraId="2A302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tcPr>
          <w:p w14:paraId="52A13F7B">
            <w:pPr>
              <w:widowControl/>
              <w:textAlignment w:val="center"/>
              <w:rPr>
                <w:rFonts w:hint="eastAsia" w:ascii="宋体" w:hAnsi="宋体" w:cs="宋体"/>
                <w:snapToGrid w:val="0"/>
                <w:color w:val="000000"/>
                <w:kern w:val="0"/>
                <w:szCs w:val="21"/>
              </w:rPr>
            </w:pPr>
          </w:p>
        </w:tc>
        <w:tc>
          <w:tcPr>
            <w:tcW w:w="1549" w:type="dxa"/>
            <w:vAlign w:val="center"/>
          </w:tcPr>
          <w:p w14:paraId="0F0D3737">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代消包</w:t>
            </w:r>
          </w:p>
        </w:tc>
        <w:tc>
          <w:tcPr>
            <w:tcW w:w="7605" w:type="dxa"/>
            <w:vAlign w:val="center"/>
          </w:tcPr>
          <w:p w14:paraId="090BF12E">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登记需要代消的物品，包括组配人、包装人、包装材料处理方式、效期天数等，生成包装标签。</w:t>
            </w:r>
          </w:p>
        </w:tc>
      </w:tr>
      <w:tr w14:paraId="3CBC4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tcPr>
          <w:p w14:paraId="1562A4DA">
            <w:pPr>
              <w:widowControl/>
              <w:textAlignment w:val="center"/>
              <w:rPr>
                <w:rFonts w:hint="eastAsia" w:ascii="宋体" w:hAnsi="宋体" w:cs="宋体"/>
                <w:snapToGrid w:val="0"/>
                <w:color w:val="000000"/>
                <w:kern w:val="0"/>
                <w:szCs w:val="21"/>
              </w:rPr>
            </w:pPr>
          </w:p>
        </w:tc>
        <w:tc>
          <w:tcPr>
            <w:tcW w:w="1549" w:type="dxa"/>
            <w:vAlign w:val="center"/>
          </w:tcPr>
          <w:p w14:paraId="045AFEAA">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敷料包</w:t>
            </w:r>
          </w:p>
        </w:tc>
        <w:tc>
          <w:tcPr>
            <w:tcW w:w="7605" w:type="dxa"/>
            <w:vAlign w:val="center"/>
          </w:tcPr>
          <w:p w14:paraId="31E86D77">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对敷料包进行包装登记，包括组配人、包装人、包装材料处理方式、效期天数等，生成包装标签。</w:t>
            </w:r>
          </w:p>
        </w:tc>
      </w:tr>
      <w:tr w14:paraId="0E349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tcPr>
          <w:p w14:paraId="1D007968">
            <w:pPr>
              <w:widowControl/>
              <w:textAlignment w:val="center"/>
              <w:rPr>
                <w:rFonts w:hint="eastAsia" w:ascii="宋体" w:hAnsi="宋体" w:cs="宋体"/>
                <w:snapToGrid w:val="0"/>
                <w:color w:val="000000"/>
                <w:kern w:val="0"/>
                <w:szCs w:val="21"/>
              </w:rPr>
            </w:pPr>
          </w:p>
        </w:tc>
        <w:tc>
          <w:tcPr>
            <w:tcW w:w="1549" w:type="dxa"/>
            <w:vAlign w:val="center"/>
          </w:tcPr>
          <w:p w14:paraId="363E3C29">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▲标签打印</w:t>
            </w:r>
          </w:p>
        </w:tc>
        <w:tc>
          <w:tcPr>
            <w:tcW w:w="7605" w:type="dxa"/>
            <w:vAlign w:val="center"/>
          </w:tcPr>
          <w:p w14:paraId="0C96BF46">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同一电脑连接多台打印机时，根据标签类型不同自动分配打印。</w:t>
            </w:r>
          </w:p>
        </w:tc>
      </w:tr>
      <w:tr w14:paraId="0481B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tcPr>
          <w:p w14:paraId="12153D37">
            <w:pPr>
              <w:widowControl/>
              <w:textAlignment w:val="center"/>
              <w:rPr>
                <w:rFonts w:hint="eastAsia" w:ascii="宋体" w:hAnsi="宋体" w:cs="宋体"/>
                <w:snapToGrid w:val="0"/>
                <w:color w:val="000000"/>
                <w:kern w:val="0"/>
                <w:szCs w:val="21"/>
              </w:rPr>
            </w:pPr>
          </w:p>
        </w:tc>
        <w:tc>
          <w:tcPr>
            <w:tcW w:w="1549" w:type="dxa"/>
            <w:vAlign w:val="center"/>
          </w:tcPr>
          <w:p w14:paraId="53DA223F">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标签记录</w:t>
            </w:r>
          </w:p>
        </w:tc>
        <w:tc>
          <w:tcPr>
            <w:tcW w:w="7605" w:type="dxa"/>
            <w:vAlign w:val="center"/>
          </w:tcPr>
          <w:p w14:paraId="7260BEB9">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可查询已经生成的标签记录，操作补打。</w:t>
            </w:r>
          </w:p>
        </w:tc>
      </w:tr>
      <w:tr w14:paraId="057D8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tcPr>
          <w:p w14:paraId="7F8ABD0B">
            <w:pPr>
              <w:widowControl/>
              <w:textAlignment w:val="center"/>
              <w:rPr>
                <w:rFonts w:hint="eastAsia" w:ascii="宋体" w:hAnsi="宋体" w:cs="宋体"/>
                <w:snapToGrid w:val="0"/>
                <w:color w:val="000000"/>
                <w:kern w:val="0"/>
                <w:szCs w:val="21"/>
              </w:rPr>
            </w:pPr>
          </w:p>
        </w:tc>
        <w:tc>
          <w:tcPr>
            <w:tcW w:w="1549" w:type="dxa"/>
            <w:vAlign w:val="center"/>
          </w:tcPr>
          <w:p w14:paraId="08835978">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高级管理权限</w:t>
            </w:r>
          </w:p>
        </w:tc>
        <w:tc>
          <w:tcPr>
            <w:tcW w:w="7605" w:type="dxa"/>
            <w:vAlign w:val="center"/>
          </w:tcPr>
          <w:p w14:paraId="320BF77C">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可对多余的器械包进行作废；</w:t>
            </w:r>
          </w:p>
          <w:p w14:paraId="10220DF1">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对包装信息错误的器械包进行修改。</w:t>
            </w:r>
          </w:p>
        </w:tc>
      </w:tr>
      <w:tr w14:paraId="52E49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restart"/>
            <w:vAlign w:val="center"/>
          </w:tcPr>
          <w:p w14:paraId="3C58BDE3">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灭菌</w:t>
            </w:r>
          </w:p>
        </w:tc>
        <w:tc>
          <w:tcPr>
            <w:tcW w:w="1549" w:type="dxa"/>
            <w:vAlign w:val="center"/>
          </w:tcPr>
          <w:p w14:paraId="33798967">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器械包上架</w:t>
            </w:r>
          </w:p>
        </w:tc>
        <w:tc>
          <w:tcPr>
            <w:tcW w:w="7605" w:type="dxa"/>
            <w:vAlign w:val="center"/>
          </w:tcPr>
          <w:p w14:paraId="58990963">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支持手工点击、扫包码、扫批次码等方式进行器械包上架；</w:t>
            </w:r>
          </w:p>
          <w:p w14:paraId="0209F40F">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对灭菌方式、生物监测预防错误，自动判断提醒。</w:t>
            </w:r>
          </w:p>
        </w:tc>
      </w:tr>
      <w:tr w14:paraId="2CD13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tcPr>
          <w:p w14:paraId="2653B5B7">
            <w:pPr>
              <w:widowControl/>
              <w:textAlignment w:val="center"/>
              <w:rPr>
                <w:rFonts w:hint="eastAsia" w:ascii="宋体" w:hAnsi="宋体" w:cs="宋体"/>
                <w:snapToGrid w:val="0"/>
                <w:color w:val="000000"/>
                <w:kern w:val="0"/>
                <w:szCs w:val="21"/>
              </w:rPr>
            </w:pPr>
          </w:p>
        </w:tc>
        <w:tc>
          <w:tcPr>
            <w:tcW w:w="1549" w:type="dxa"/>
            <w:vAlign w:val="center"/>
          </w:tcPr>
          <w:p w14:paraId="746EE899">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▲器械包转移</w:t>
            </w:r>
          </w:p>
        </w:tc>
        <w:tc>
          <w:tcPr>
            <w:tcW w:w="7605" w:type="dxa"/>
            <w:vAlign w:val="center"/>
          </w:tcPr>
          <w:p w14:paraId="5DDE1B7C">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支持将预定给灭菌器内器械包一键转移到新的灭菌器上。</w:t>
            </w:r>
          </w:p>
        </w:tc>
      </w:tr>
      <w:tr w14:paraId="46FE7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tcPr>
          <w:p w14:paraId="726DFD11">
            <w:pPr>
              <w:widowControl/>
              <w:textAlignment w:val="center"/>
              <w:rPr>
                <w:rFonts w:hint="eastAsia" w:ascii="宋体" w:hAnsi="宋体" w:cs="宋体"/>
                <w:snapToGrid w:val="0"/>
                <w:color w:val="000000"/>
                <w:kern w:val="0"/>
                <w:szCs w:val="21"/>
              </w:rPr>
            </w:pPr>
          </w:p>
        </w:tc>
        <w:tc>
          <w:tcPr>
            <w:tcW w:w="1549" w:type="dxa"/>
            <w:vAlign w:val="center"/>
          </w:tcPr>
          <w:p w14:paraId="0092595C">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生物监测预设</w:t>
            </w:r>
          </w:p>
        </w:tc>
        <w:tc>
          <w:tcPr>
            <w:tcW w:w="7605" w:type="dxa"/>
            <w:vAlign w:val="center"/>
          </w:tcPr>
          <w:p w14:paraId="097ACC5B">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可对需要生物监测的器械包进行标记，设定生物监测时长、生物监测包码，对需要提前放行的情况提醒放置六类指示卡。</w:t>
            </w:r>
          </w:p>
        </w:tc>
      </w:tr>
      <w:tr w14:paraId="5EF22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tcPr>
          <w:p w14:paraId="2C79980E">
            <w:pPr>
              <w:widowControl/>
              <w:textAlignment w:val="center"/>
              <w:rPr>
                <w:rFonts w:hint="eastAsia" w:ascii="宋体" w:hAnsi="宋体" w:cs="宋体"/>
                <w:snapToGrid w:val="0"/>
                <w:color w:val="000000"/>
                <w:kern w:val="0"/>
                <w:szCs w:val="21"/>
              </w:rPr>
            </w:pPr>
          </w:p>
        </w:tc>
        <w:tc>
          <w:tcPr>
            <w:tcW w:w="1549" w:type="dxa"/>
            <w:vAlign w:val="center"/>
          </w:tcPr>
          <w:p w14:paraId="4FCB1246">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监测包记录</w:t>
            </w:r>
          </w:p>
        </w:tc>
        <w:tc>
          <w:tcPr>
            <w:tcW w:w="7605" w:type="dxa"/>
            <w:vAlign w:val="center"/>
          </w:tcPr>
          <w:p w14:paraId="3C88E251">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可以对BD监测、批量监测等生成标签码，用于上锅记录；</w:t>
            </w:r>
          </w:p>
          <w:p w14:paraId="6A5F23ED">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可设置必须通过相关测试程序后才可以正式灭菌。</w:t>
            </w:r>
          </w:p>
        </w:tc>
      </w:tr>
      <w:tr w14:paraId="0C349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tcPr>
          <w:p w14:paraId="0AE2ECCA">
            <w:pPr>
              <w:widowControl/>
              <w:textAlignment w:val="center"/>
              <w:rPr>
                <w:rFonts w:hint="eastAsia" w:ascii="宋体" w:hAnsi="宋体" w:cs="宋体"/>
                <w:snapToGrid w:val="0"/>
                <w:color w:val="000000"/>
                <w:kern w:val="0"/>
                <w:szCs w:val="21"/>
              </w:rPr>
            </w:pPr>
          </w:p>
        </w:tc>
        <w:tc>
          <w:tcPr>
            <w:tcW w:w="1549" w:type="dxa"/>
            <w:vAlign w:val="center"/>
          </w:tcPr>
          <w:p w14:paraId="3EA2C232">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执行灭菌</w:t>
            </w:r>
          </w:p>
        </w:tc>
        <w:tc>
          <w:tcPr>
            <w:tcW w:w="7605" w:type="dxa"/>
            <w:vAlign w:val="center"/>
          </w:tcPr>
          <w:p w14:paraId="0500D694">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记录灭菌设备、灭菌程序、灭菌开始时间、灭菌人，器械包等信息。</w:t>
            </w:r>
          </w:p>
        </w:tc>
      </w:tr>
      <w:tr w14:paraId="100EC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tcPr>
          <w:p w14:paraId="590A67FD">
            <w:pPr>
              <w:widowControl/>
              <w:textAlignment w:val="center"/>
              <w:rPr>
                <w:rFonts w:hint="eastAsia" w:ascii="宋体" w:hAnsi="宋体" w:cs="宋体"/>
                <w:snapToGrid w:val="0"/>
                <w:color w:val="000000"/>
                <w:kern w:val="0"/>
                <w:szCs w:val="21"/>
              </w:rPr>
            </w:pPr>
          </w:p>
        </w:tc>
        <w:tc>
          <w:tcPr>
            <w:tcW w:w="1549" w:type="dxa"/>
            <w:vAlign w:val="center"/>
          </w:tcPr>
          <w:p w14:paraId="7F4439FC">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高级管理权限</w:t>
            </w:r>
          </w:p>
        </w:tc>
        <w:tc>
          <w:tcPr>
            <w:tcW w:w="7605" w:type="dxa"/>
            <w:vAlign w:val="center"/>
          </w:tcPr>
          <w:p w14:paraId="77717A05">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对遗漏记录灭菌的器械包可进行补录；</w:t>
            </w:r>
          </w:p>
          <w:p w14:paraId="57630D39">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对多余的灭菌包标签进行作废删除；</w:t>
            </w:r>
          </w:p>
          <w:p w14:paraId="0DFF23D8">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对未录入生物监测结果的器械包进行提前放行操作；</w:t>
            </w:r>
          </w:p>
        </w:tc>
      </w:tr>
      <w:tr w14:paraId="1E49B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restart"/>
            <w:vAlign w:val="center"/>
          </w:tcPr>
          <w:p w14:paraId="2281DA9D">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灭菌质检</w:t>
            </w:r>
          </w:p>
        </w:tc>
        <w:tc>
          <w:tcPr>
            <w:tcW w:w="1549" w:type="dxa"/>
            <w:vAlign w:val="center"/>
          </w:tcPr>
          <w:p w14:paraId="6AAC805D">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▲灭菌结束</w:t>
            </w:r>
          </w:p>
        </w:tc>
        <w:tc>
          <w:tcPr>
            <w:tcW w:w="7605" w:type="dxa"/>
            <w:vAlign w:val="center"/>
          </w:tcPr>
          <w:p w14:paraId="76C56CFD">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未到达规定灭菌时间，不可提前结束灭菌程序；</w:t>
            </w:r>
          </w:p>
          <w:p w14:paraId="0EF313C2">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在对接灭菌器参数的情况下，可设置根据灭菌器实际情况自动同步结束并校准时间。</w:t>
            </w:r>
          </w:p>
        </w:tc>
      </w:tr>
      <w:tr w14:paraId="4C8D3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tcPr>
          <w:p w14:paraId="0D264B2D">
            <w:pPr>
              <w:widowControl/>
              <w:textAlignment w:val="center"/>
              <w:rPr>
                <w:rFonts w:hint="eastAsia" w:ascii="宋体" w:hAnsi="宋体" w:cs="宋体"/>
                <w:snapToGrid w:val="0"/>
                <w:color w:val="000000"/>
                <w:kern w:val="0"/>
                <w:szCs w:val="21"/>
              </w:rPr>
            </w:pPr>
          </w:p>
        </w:tc>
        <w:tc>
          <w:tcPr>
            <w:tcW w:w="1549" w:type="dxa"/>
            <w:vAlign w:val="center"/>
          </w:tcPr>
          <w:p w14:paraId="111EB446">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灭菌质量检查</w:t>
            </w:r>
          </w:p>
        </w:tc>
        <w:tc>
          <w:tcPr>
            <w:tcW w:w="7605" w:type="dxa"/>
            <w:vAlign w:val="center"/>
          </w:tcPr>
          <w:p w14:paraId="61F69A60">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灭菌结束后，对灭菌质量进行检查，合格的包进入下一环节，不合格的包退回重新包装灭菌，记录的问题自动纳入质控管理；</w:t>
            </w:r>
          </w:p>
        </w:tc>
      </w:tr>
      <w:tr w14:paraId="66D74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tcPr>
          <w:p w14:paraId="5F8AF10C">
            <w:pPr>
              <w:widowControl/>
              <w:textAlignment w:val="center"/>
              <w:rPr>
                <w:rFonts w:hint="eastAsia" w:ascii="宋体" w:hAnsi="宋体" w:cs="宋体"/>
                <w:snapToGrid w:val="0"/>
                <w:color w:val="000000"/>
                <w:kern w:val="0"/>
                <w:szCs w:val="21"/>
              </w:rPr>
            </w:pPr>
          </w:p>
        </w:tc>
        <w:tc>
          <w:tcPr>
            <w:tcW w:w="1549" w:type="dxa"/>
            <w:vAlign w:val="center"/>
          </w:tcPr>
          <w:p w14:paraId="704E42EE">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整锅器械包重新灭菌</w:t>
            </w:r>
          </w:p>
        </w:tc>
        <w:tc>
          <w:tcPr>
            <w:tcW w:w="7605" w:type="dxa"/>
            <w:vAlign w:val="center"/>
          </w:tcPr>
          <w:p w14:paraId="056AA20B">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设备出现问题时，对本批次所有器械包进行一键重新灭菌，记录原因、灭菌人、灭菌时间。</w:t>
            </w:r>
          </w:p>
        </w:tc>
      </w:tr>
      <w:tr w14:paraId="6196F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tcPr>
          <w:p w14:paraId="6B56DE2D">
            <w:pPr>
              <w:widowControl/>
              <w:textAlignment w:val="center"/>
              <w:rPr>
                <w:rFonts w:hint="eastAsia" w:ascii="宋体" w:hAnsi="宋体" w:cs="宋体"/>
                <w:snapToGrid w:val="0"/>
                <w:color w:val="000000"/>
                <w:kern w:val="0"/>
                <w:szCs w:val="21"/>
              </w:rPr>
            </w:pPr>
          </w:p>
        </w:tc>
        <w:tc>
          <w:tcPr>
            <w:tcW w:w="1549" w:type="dxa"/>
            <w:vAlign w:val="center"/>
          </w:tcPr>
          <w:p w14:paraId="7E964BD2">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运行参数查看</w:t>
            </w:r>
          </w:p>
        </w:tc>
        <w:tc>
          <w:tcPr>
            <w:tcW w:w="7605" w:type="dxa"/>
            <w:vAlign w:val="center"/>
          </w:tcPr>
          <w:p w14:paraId="66E7B1A5">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对设备运行状态进行监控，可查看灭菌器的物理参数图。</w:t>
            </w:r>
          </w:p>
        </w:tc>
      </w:tr>
      <w:tr w14:paraId="4772E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tcPr>
          <w:p w14:paraId="77CC4133">
            <w:pPr>
              <w:widowControl/>
              <w:textAlignment w:val="center"/>
              <w:rPr>
                <w:rFonts w:hint="eastAsia" w:ascii="宋体" w:hAnsi="宋体" w:cs="宋体"/>
                <w:snapToGrid w:val="0"/>
                <w:color w:val="000000"/>
                <w:kern w:val="0"/>
                <w:szCs w:val="21"/>
              </w:rPr>
            </w:pPr>
          </w:p>
        </w:tc>
        <w:tc>
          <w:tcPr>
            <w:tcW w:w="1549" w:type="dxa"/>
            <w:vAlign w:val="center"/>
          </w:tcPr>
          <w:p w14:paraId="71EE3B22">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高级管理权限</w:t>
            </w:r>
          </w:p>
        </w:tc>
        <w:tc>
          <w:tcPr>
            <w:tcW w:w="7605" w:type="dxa"/>
            <w:vAlign w:val="center"/>
          </w:tcPr>
          <w:p w14:paraId="5B5F800F">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对正在运行的灭菌记录操作提前结束；</w:t>
            </w:r>
          </w:p>
          <w:p w14:paraId="79C0B143">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对等待生物监测结果的登记提前放行；</w:t>
            </w:r>
          </w:p>
          <w:p w14:paraId="705D542B">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对操作错误的灭菌记录进行撤销回退。</w:t>
            </w:r>
          </w:p>
        </w:tc>
      </w:tr>
      <w:tr w14:paraId="30101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tcPr>
          <w:p w14:paraId="1E1A0AC0">
            <w:pPr>
              <w:widowControl/>
              <w:textAlignment w:val="center"/>
              <w:rPr>
                <w:rFonts w:hint="eastAsia" w:ascii="宋体" w:hAnsi="宋体" w:cs="宋体"/>
                <w:snapToGrid w:val="0"/>
                <w:color w:val="000000"/>
                <w:kern w:val="0"/>
                <w:szCs w:val="21"/>
              </w:rPr>
            </w:pPr>
          </w:p>
        </w:tc>
        <w:tc>
          <w:tcPr>
            <w:tcW w:w="1549" w:type="dxa"/>
            <w:vAlign w:val="center"/>
          </w:tcPr>
          <w:p w14:paraId="681B23D7">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★生物监测结果登记</w:t>
            </w:r>
          </w:p>
        </w:tc>
        <w:tc>
          <w:tcPr>
            <w:tcW w:w="7605" w:type="dxa"/>
            <w:vAlign w:val="center"/>
          </w:tcPr>
          <w:p w14:paraId="743AE2DE">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对有需要生物监测要求的锅次进行登记，生物检测结果没有合格并且未经提前放行许可，不能发放，生物监测不合格需要重新包装灭菌；</w:t>
            </w:r>
          </w:p>
          <w:p w14:paraId="121E50D8">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支持对生物监测记录导出报表。</w:t>
            </w:r>
          </w:p>
        </w:tc>
      </w:tr>
      <w:tr w14:paraId="609DD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tcPr>
          <w:p w14:paraId="74EA9E7B">
            <w:pPr>
              <w:widowControl/>
              <w:textAlignment w:val="center"/>
              <w:rPr>
                <w:rFonts w:hint="eastAsia" w:ascii="宋体" w:hAnsi="宋体" w:cs="宋体"/>
                <w:snapToGrid w:val="0"/>
                <w:color w:val="000000"/>
                <w:kern w:val="0"/>
                <w:szCs w:val="21"/>
              </w:rPr>
            </w:pPr>
          </w:p>
        </w:tc>
        <w:tc>
          <w:tcPr>
            <w:tcW w:w="1549" w:type="dxa"/>
            <w:vAlign w:val="center"/>
          </w:tcPr>
          <w:p w14:paraId="67CECFF0">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生物监测提前放行</w:t>
            </w:r>
          </w:p>
        </w:tc>
        <w:tc>
          <w:tcPr>
            <w:tcW w:w="7605" w:type="dxa"/>
            <w:vAlign w:val="center"/>
          </w:tcPr>
          <w:p w14:paraId="040C22C0">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提前放行需要上传规定证明，会在患者登记前提醒并展示相关证明。</w:t>
            </w:r>
          </w:p>
        </w:tc>
      </w:tr>
      <w:tr w14:paraId="66F9F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restart"/>
            <w:vAlign w:val="center"/>
          </w:tcPr>
          <w:p w14:paraId="233B788B">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储存</w:t>
            </w:r>
          </w:p>
        </w:tc>
        <w:tc>
          <w:tcPr>
            <w:tcW w:w="1549" w:type="dxa"/>
            <w:vAlign w:val="center"/>
          </w:tcPr>
          <w:p w14:paraId="3B8C3ADF">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无菌库查询</w:t>
            </w:r>
          </w:p>
        </w:tc>
        <w:tc>
          <w:tcPr>
            <w:tcW w:w="7605" w:type="dxa"/>
            <w:vAlign w:val="center"/>
          </w:tcPr>
          <w:p w14:paraId="0DBB56B4">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查看当前无菌库的包状态，即将过期的器械包会变色提醒；</w:t>
            </w:r>
          </w:p>
        </w:tc>
      </w:tr>
      <w:tr w14:paraId="78F2E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tcPr>
          <w:p w14:paraId="1F23DC42">
            <w:pPr>
              <w:widowControl/>
              <w:textAlignment w:val="center"/>
              <w:rPr>
                <w:rFonts w:hint="eastAsia" w:ascii="宋体" w:hAnsi="宋体" w:cs="宋体"/>
                <w:snapToGrid w:val="0"/>
                <w:color w:val="000000"/>
                <w:kern w:val="0"/>
                <w:szCs w:val="21"/>
              </w:rPr>
            </w:pPr>
          </w:p>
        </w:tc>
        <w:tc>
          <w:tcPr>
            <w:tcW w:w="1549" w:type="dxa"/>
            <w:vAlign w:val="center"/>
          </w:tcPr>
          <w:p w14:paraId="3DC59D74">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手工出库</w:t>
            </w:r>
          </w:p>
        </w:tc>
        <w:tc>
          <w:tcPr>
            <w:tcW w:w="7605" w:type="dxa"/>
            <w:vAlign w:val="center"/>
          </w:tcPr>
          <w:p w14:paraId="61363DEF">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支持无菌器械包手工选择出库操作，加入到发放列表。</w:t>
            </w:r>
          </w:p>
        </w:tc>
      </w:tr>
      <w:tr w14:paraId="6E407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tcPr>
          <w:p w14:paraId="1AC8233A">
            <w:pPr>
              <w:widowControl/>
              <w:textAlignment w:val="center"/>
              <w:rPr>
                <w:rFonts w:hint="eastAsia" w:ascii="宋体" w:hAnsi="宋体" w:cs="宋体"/>
                <w:snapToGrid w:val="0"/>
                <w:color w:val="000000"/>
                <w:kern w:val="0"/>
                <w:szCs w:val="21"/>
              </w:rPr>
            </w:pPr>
          </w:p>
        </w:tc>
        <w:tc>
          <w:tcPr>
            <w:tcW w:w="1549" w:type="dxa"/>
            <w:vAlign w:val="center"/>
          </w:tcPr>
          <w:p w14:paraId="0AFC3985">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过期无菌包清库</w:t>
            </w:r>
          </w:p>
        </w:tc>
        <w:tc>
          <w:tcPr>
            <w:tcW w:w="7605" w:type="dxa"/>
            <w:vAlign w:val="center"/>
          </w:tcPr>
          <w:p w14:paraId="093767CE">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对过期物品可进行清库操作，记录时间、过期包、清库人等信息，被清库的包返回前面步骤重新处理，供应科内总数不影响；</w:t>
            </w:r>
          </w:p>
          <w:p w14:paraId="2D95FE10">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 xml:space="preserve">可查看过期包清库的历史记录。 </w:t>
            </w:r>
          </w:p>
        </w:tc>
      </w:tr>
      <w:tr w14:paraId="75E33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tcPr>
          <w:p w14:paraId="3A0CA398">
            <w:pPr>
              <w:widowControl/>
              <w:textAlignment w:val="center"/>
              <w:rPr>
                <w:rFonts w:hint="eastAsia" w:ascii="宋体" w:hAnsi="宋体" w:cs="宋体"/>
                <w:snapToGrid w:val="0"/>
                <w:color w:val="000000"/>
                <w:kern w:val="0"/>
                <w:szCs w:val="21"/>
              </w:rPr>
            </w:pPr>
          </w:p>
        </w:tc>
        <w:tc>
          <w:tcPr>
            <w:tcW w:w="1549" w:type="dxa"/>
            <w:vAlign w:val="center"/>
          </w:tcPr>
          <w:p w14:paraId="11ECD045">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退库</w:t>
            </w:r>
          </w:p>
        </w:tc>
        <w:tc>
          <w:tcPr>
            <w:tcW w:w="7605" w:type="dxa"/>
            <w:vAlign w:val="center"/>
          </w:tcPr>
          <w:p w14:paraId="44FE9692">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对未拆封的无菌包做退还处理，记录退还的科室及原因。</w:t>
            </w:r>
          </w:p>
        </w:tc>
      </w:tr>
      <w:tr w14:paraId="0EDD4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tcPr>
          <w:p w14:paraId="29F596CF">
            <w:pPr>
              <w:widowControl/>
              <w:textAlignment w:val="center"/>
              <w:rPr>
                <w:rFonts w:hint="eastAsia" w:ascii="宋体" w:hAnsi="宋体" w:cs="宋体"/>
                <w:snapToGrid w:val="0"/>
                <w:color w:val="000000"/>
                <w:kern w:val="0"/>
                <w:szCs w:val="21"/>
              </w:rPr>
            </w:pPr>
          </w:p>
        </w:tc>
        <w:tc>
          <w:tcPr>
            <w:tcW w:w="1549" w:type="dxa"/>
            <w:vAlign w:val="center"/>
          </w:tcPr>
          <w:p w14:paraId="4DA73D91">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库存数量预警</w:t>
            </w:r>
          </w:p>
        </w:tc>
        <w:tc>
          <w:tcPr>
            <w:tcW w:w="7605" w:type="dxa"/>
            <w:vAlign w:val="center"/>
          </w:tcPr>
          <w:p w14:paraId="23F1D0A0">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设置库存数量预警，低于预设的包数量会进行提醒。</w:t>
            </w:r>
          </w:p>
        </w:tc>
      </w:tr>
      <w:tr w14:paraId="1CE9F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tcPr>
          <w:p w14:paraId="592C47A2">
            <w:pPr>
              <w:widowControl/>
              <w:textAlignment w:val="center"/>
              <w:rPr>
                <w:rFonts w:hint="eastAsia" w:ascii="宋体" w:hAnsi="宋体" w:cs="宋体"/>
                <w:snapToGrid w:val="0"/>
                <w:color w:val="000000"/>
                <w:kern w:val="0"/>
                <w:szCs w:val="21"/>
              </w:rPr>
            </w:pPr>
          </w:p>
        </w:tc>
        <w:tc>
          <w:tcPr>
            <w:tcW w:w="1549" w:type="dxa"/>
            <w:vAlign w:val="center"/>
          </w:tcPr>
          <w:p w14:paraId="12C4F2E3">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效期临近报警</w:t>
            </w:r>
          </w:p>
        </w:tc>
        <w:tc>
          <w:tcPr>
            <w:tcW w:w="7605" w:type="dxa"/>
            <w:vAlign w:val="center"/>
          </w:tcPr>
          <w:p w14:paraId="28A6AA8F">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可设置器械包临近效期报警天数，到达预警范围会在无菌库内提醒，并在发放页面进行通知。</w:t>
            </w:r>
          </w:p>
        </w:tc>
      </w:tr>
      <w:tr w14:paraId="274AE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tcPr>
          <w:p w14:paraId="57A93186">
            <w:pPr>
              <w:widowControl/>
              <w:textAlignment w:val="center"/>
              <w:rPr>
                <w:rFonts w:hint="eastAsia" w:ascii="宋体" w:hAnsi="宋体" w:cs="宋体"/>
                <w:snapToGrid w:val="0"/>
                <w:color w:val="000000"/>
                <w:kern w:val="0"/>
                <w:szCs w:val="21"/>
              </w:rPr>
            </w:pPr>
          </w:p>
        </w:tc>
        <w:tc>
          <w:tcPr>
            <w:tcW w:w="1549" w:type="dxa"/>
            <w:vAlign w:val="center"/>
          </w:tcPr>
          <w:p w14:paraId="10DDB4A1">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库存数量统计</w:t>
            </w:r>
          </w:p>
        </w:tc>
        <w:tc>
          <w:tcPr>
            <w:tcW w:w="7605" w:type="dxa"/>
            <w:vAlign w:val="center"/>
          </w:tcPr>
          <w:p w14:paraId="24673AE3">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统计无菌库中库存各无菌包的数量；支持按照科室进行数量统计。</w:t>
            </w:r>
          </w:p>
        </w:tc>
      </w:tr>
      <w:tr w14:paraId="5F5FC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restart"/>
            <w:vAlign w:val="center"/>
          </w:tcPr>
          <w:p w14:paraId="0033FA8C">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发放</w:t>
            </w:r>
          </w:p>
        </w:tc>
        <w:tc>
          <w:tcPr>
            <w:tcW w:w="1549" w:type="dxa"/>
            <w:vAlign w:val="center"/>
          </w:tcPr>
          <w:p w14:paraId="651F8355">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按计划发放</w:t>
            </w:r>
          </w:p>
        </w:tc>
        <w:tc>
          <w:tcPr>
            <w:tcW w:w="7605" w:type="dxa"/>
            <w:vAlign w:val="center"/>
          </w:tcPr>
          <w:p w14:paraId="04FE2FBF">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根据按科室申请、实际回收生成需要发放的列表清单；</w:t>
            </w:r>
          </w:p>
          <w:p w14:paraId="267A6869">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当发放结果与计划不符时，会进行多发、少发、错发提醒；</w:t>
            </w:r>
          </w:p>
          <w:p w14:paraId="41045C8F">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系统对于过往日期未完成发放的器械包，进行弹窗提醒。</w:t>
            </w:r>
          </w:p>
        </w:tc>
      </w:tr>
      <w:tr w14:paraId="411FE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tcPr>
          <w:p w14:paraId="776F87CF">
            <w:pPr>
              <w:widowControl/>
              <w:textAlignment w:val="center"/>
              <w:rPr>
                <w:rFonts w:hint="eastAsia" w:ascii="宋体" w:hAnsi="宋体" w:cs="宋体"/>
                <w:snapToGrid w:val="0"/>
                <w:color w:val="000000"/>
                <w:kern w:val="0"/>
                <w:szCs w:val="21"/>
              </w:rPr>
            </w:pPr>
          </w:p>
        </w:tc>
        <w:tc>
          <w:tcPr>
            <w:tcW w:w="1549" w:type="dxa"/>
            <w:vAlign w:val="center"/>
          </w:tcPr>
          <w:p w14:paraId="0CB9FDAC">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发放规则</w:t>
            </w:r>
          </w:p>
        </w:tc>
        <w:tc>
          <w:tcPr>
            <w:tcW w:w="7605" w:type="dxa"/>
            <w:vAlign w:val="center"/>
          </w:tcPr>
          <w:p w14:paraId="5645717F">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按先进先出或者效期的规则发放，如没有按照规则执行，会收到系统提醒。</w:t>
            </w:r>
          </w:p>
        </w:tc>
      </w:tr>
      <w:tr w14:paraId="46F7F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tcPr>
          <w:p w14:paraId="01451CD1">
            <w:pPr>
              <w:widowControl/>
              <w:textAlignment w:val="center"/>
              <w:rPr>
                <w:rFonts w:hint="eastAsia" w:ascii="宋体" w:hAnsi="宋体" w:cs="宋体"/>
                <w:snapToGrid w:val="0"/>
                <w:color w:val="000000"/>
                <w:kern w:val="0"/>
                <w:szCs w:val="21"/>
              </w:rPr>
            </w:pPr>
          </w:p>
        </w:tc>
        <w:tc>
          <w:tcPr>
            <w:tcW w:w="1549" w:type="dxa"/>
            <w:vAlign w:val="center"/>
          </w:tcPr>
          <w:p w14:paraId="536F21BE">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限账户发放</w:t>
            </w:r>
          </w:p>
        </w:tc>
        <w:tc>
          <w:tcPr>
            <w:tcW w:w="7605" w:type="dxa"/>
            <w:vAlign w:val="center"/>
          </w:tcPr>
          <w:p w14:paraId="696E491E">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可以选择操作人仅针对本人登记的器械包进行发放。</w:t>
            </w:r>
          </w:p>
        </w:tc>
      </w:tr>
      <w:tr w14:paraId="62856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tcPr>
          <w:p w14:paraId="3240FC73">
            <w:pPr>
              <w:widowControl/>
              <w:textAlignment w:val="center"/>
              <w:rPr>
                <w:rFonts w:hint="eastAsia" w:ascii="宋体" w:hAnsi="宋体" w:cs="宋体"/>
                <w:snapToGrid w:val="0"/>
                <w:color w:val="000000"/>
                <w:kern w:val="0"/>
                <w:szCs w:val="21"/>
              </w:rPr>
            </w:pPr>
          </w:p>
        </w:tc>
        <w:tc>
          <w:tcPr>
            <w:tcW w:w="1549" w:type="dxa"/>
            <w:vAlign w:val="center"/>
          </w:tcPr>
          <w:p w14:paraId="022189F1">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查询打印</w:t>
            </w:r>
          </w:p>
        </w:tc>
        <w:tc>
          <w:tcPr>
            <w:tcW w:w="7605" w:type="dxa"/>
            <w:vAlign w:val="center"/>
          </w:tcPr>
          <w:p w14:paraId="5BB5A4F0">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支持对待发放科室、器械包以及数量等信息的任务清单查询和打印；</w:t>
            </w:r>
          </w:p>
        </w:tc>
      </w:tr>
      <w:tr w14:paraId="1A692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restart"/>
            <w:vAlign w:val="center"/>
          </w:tcPr>
          <w:p w14:paraId="321FEA9E">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召回</w:t>
            </w:r>
          </w:p>
        </w:tc>
        <w:tc>
          <w:tcPr>
            <w:tcW w:w="1549" w:type="dxa"/>
            <w:vAlign w:val="center"/>
          </w:tcPr>
          <w:p w14:paraId="0D787263">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▲召回规则</w:t>
            </w:r>
          </w:p>
        </w:tc>
        <w:tc>
          <w:tcPr>
            <w:tcW w:w="7605" w:type="dxa"/>
            <w:vAlign w:val="center"/>
          </w:tcPr>
          <w:p w14:paraId="60C90246">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能按灭菌锅次召回、按时间区间召回器械包，待召回的物品会被自动设置成禁用/冻结状态，相应科室会收到召回弹窗通知，并且无法继续给患者使用登记。</w:t>
            </w:r>
          </w:p>
        </w:tc>
      </w:tr>
      <w:tr w14:paraId="31121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tcPr>
          <w:p w14:paraId="501B03F2">
            <w:pPr>
              <w:widowControl/>
              <w:textAlignment w:val="center"/>
              <w:rPr>
                <w:rFonts w:hint="eastAsia" w:ascii="宋体" w:hAnsi="宋体" w:cs="宋体"/>
                <w:snapToGrid w:val="0"/>
                <w:color w:val="000000"/>
                <w:kern w:val="0"/>
                <w:szCs w:val="21"/>
              </w:rPr>
            </w:pPr>
          </w:p>
        </w:tc>
        <w:tc>
          <w:tcPr>
            <w:tcW w:w="1549" w:type="dxa"/>
            <w:vAlign w:val="center"/>
          </w:tcPr>
          <w:p w14:paraId="37734CF5">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重新组配</w:t>
            </w:r>
          </w:p>
        </w:tc>
        <w:tc>
          <w:tcPr>
            <w:tcW w:w="7605" w:type="dxa"/>
            <w:vAlign w:val="center"/>
          </w:tcPr>
          <w:p w14:paraId="5D5C1803">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可对召回锅次内未发放的物品一键添加到包装组配，重新打包再处理。</w:t>
            </w:r>
          </w:p>
        </w:tc>
      </w:tr>
      <w:tr w14:paraId="30637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tcPr>
          <w:p w14:paraId="1D003CDE">
            <w:pPr>
              <w:widowControl/>
              <w:textAlignment w:val="center"/>
              <w:rPr>
                <w:rFonts w:hint="eastAsia" w:ascii="宋体" w:hAnsi="宋体" w:cs="宋体"/>
                <w:snapToGrid w:val="0"/>
                <w:color w:val="000000"/>
                <w:kern w:val="0"/>
                <w:szCs w:val="21"/>
              </w:rPr>
            </w:pPr>
          </w:p>
        </w:tc>
        <w:tc>
          <w:tcPr>
            <w:tcW w:w="1549" w:type="dxa"/>
            <w:vAlign w:val="center"/>
          </w:tcPr>
          <w:p w14:paraId="2D2BC374">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导出召回记录</w:t>
            </w:r>
          </w:p>
        </w:tc>
        <w:tc>
          <w:tcPr>
            <w:tcW w:w="7605" w:type="dxa"/>
            <w:vAlign w:val="center"/>
          </w:tcPr>
          <w:p w14:paraId="02F5F277">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支持召回记录导出报表。</w:t>
            </w:r>
          </w:p>
        </w:tc>
      </w:tr>
      <w:tr w14:paraId="73CC4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restart"/>
            <w:vAlign w:val="center"/>
          </w:tcPr>
          <w:p w14:paraId="71F23E66">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外来器械管理</w:t>
            </w:r>
          </w:p>
        </w:tc>
        <w:tc>
          <w:tcPr>
            <w:tcW w:w="1549" w:type="dxa"/>
            <w:vAlign w:val="center"/>
          </w:tcPr>
          <w:p w14:paraId="7550D180">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▲外部登记</w:t>
            </w:r>
          </w:p>
        </w:tc>
        <w:tc>
          <w:tcPr>
            <w:tcW w:w="7605" w:type="dxa"/>
            <w:vAlign w:val="center"/>
          </w:tcPr>
          <w:p w14:paraId="388224D8">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外来厂商可通过小程序预先填写手术患者和外来器械包信息，以便供应科快捷接收。</w:t>
            </w:r>
          </w:p>
        </w:tc>
      </w:tr>
      <w:tr w14:paraId="1A1E3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tcPr>
          <w:p w14:paraId="7F4D87BB">
            <w:pPr>
              <w:widowControl/>
              <w:textAlignment w:val="center"/>
              <w:rPr>
                <w:rFonts w:hint="eastAsia" w:ascii="宋体" w:hAnsi="宋体" w:cs="宋体"/>
                <w:snapToGrid w:val="0"/>
                <w:color w:val="000000"/>
                <w:kern w:val="0"/>
                <w:szCs w:val="21"/>
              </w:rPr>
            </w:pPr>
          </w:p>
        </w:tc>
        <w:tc>
          <w:tcPr>
            <w:tcW w:w="1549" w:type="dxa"/>
            <w:vAlign w:val="center"/>
          </w:tcPr>
          <w:p w14:paraId="5C5D08BE">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外来器械登记</w:t>
            </w:r>
          </w:p>
        </w:tc>
        <w:tc>
          <w:tcPr>
            <w:tcW w:w="7605" w:type="dxa"/>
            <w:vAlign w:val="center"/>
          </w:tcPr>
          <w:p w14:paraId="78254BF1">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供应科可以手工录入厂家、患者、手术、外来器械信息；</w:t>
            </w:r>
          </w:p>
          <w:p w14:paraId="49DF6478">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扫码快捷录入后，核对信息时发现厂商预填信息有误，可以修改或删除，对患者、手术信息不一致会进行提示。</w:t>
            </w:r>
          </w:p>
        </w:tc>
      </w:tr>
      <w:tr w14:paraId="03D72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tcPr>
          <w:p w14:paraId="150837E4">
            <w:pPr>
              <w:widowControl/>
              <w:textAlignment w:val="center"/>
              <w:rPr>
                <w:rFonts w:hint="eastAsia" w:ascii="宋体" w:hAnsi="宋体" w:cs="宋体"/>
                <w:snapToGrid w:val="0"/>
                <w:color w:val="000000"/>
                <w:kern w:val="0"/>
                <w:szCs w:val="21"/>
              </w:rPr>
            </w:pPr>
          </w:p>
        </w:tc>
        <w:tc>
          <w:tcPr>
            <w:tcW w:w="1549" w:type="dxa"/>
            <w:vAlign w:val="center"/>
          </w:tcPr>
          <w:p w14:paraId="7754EC08">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外来器械统计</w:t>
            </w:r>
          </w:p>
        </w:tc>
        <w:tc>
          <w:tcPr>
            <w:tcW w:w="7605" w:type="dxa"/>
            <w:vAlign w:val="center"/>
          </w:tcPr>
          <w:p w14:paraId="0FEFF6AE">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支持外来器械按时间、厂家、外来器械名称、使用科室等多维度统计，支持导出报表。</w:t>
            </w:r>
          </w:p>
        </w:tc>
      </w:tr>
      <w:tr w14:paraId="03782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tcPr>
          <w:p w14:paraId="706ABCD0">
            <w:pPr>
              <w:widowControl/>
              <w:textAlignment w:val="center"/>
              <w:rPr>
                <w:rFonts w:hint="eastAsia" w:ascii="宋体" w:hAnsi="宋体" w:cs="宋体"/>
                <w:snapToGrid w:val="0"/>
                <w:color w:val="000000"/>
                <w:kern w:val="0"/>
                <w:szCs w:val="21"/>
              </w:rPr>
            </w:pPr>
          </w:p>
        </w:tc>
        <w:tc>
          <w:tcPr>
            <w:tcW w:w="1549" w:type="dxa"/>
            <w:vAlign w:val="center"/>
          </w:tcPr>
          <w:p w14:paraId="49DA6BA0">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▲外来器械注销</w:t>
            </w:r>
          </w:p>
        </w:tc>
        <w:tc>
          <w:tcPr>
            <w:tcW w:w="7605" w:type="dxa"/>
            <w:vAlign w:val="center"/>
          </w:tcPr>
          <w:p w14:paraId="5B5FC0E6">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对于不需要供应科处理回洗的外来器械，可进行注销操作，记录供应科和厂家双方交接的信息，以及注销的原因。</w:t>
            </w:r>
          </w:p>
        </w:tc>
      </w:tr>
      <w:tr w14:paraId="3190A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tcPr>
          <w:p w14:paraId="338A5B79">
            <w:pPr>
              <w:widowControl/>
              <w:textAlignment w:val="center"/>
              <w:rPr>
                <w:rFonts w:hint="eastAsia" w:ascii="宋体" w:hAnsi="宋体" w:cs="宋体"/>
                <w:snapToGrid w:val="0"/>
                <w:color w:val="000000"/>
                <w:kern w:val="0"/>
                <w:szCs w:val="21"/>
              </w:rPr>
            </w:pPr>
          </w:p>
        </w:tc>
        <w:tc>
          <w:tcPr>
            <w:tcW w:w="1549" w:type="dxa"/>
            <w:vAlign w:val="center"/>
          </w:tcPr>
          <w:p w14:paraId="5DE3F823">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外来器械二次回收</w:t>
            </w:r>
          </w:p>
        </w:tc>
        <w:tc>
          <w:tcPr>
            <w:tcW w:w="7605" w:type="dxa"/>
            <w:vAlign w:val="center"/>
          </w:tcPr>
          <w:p w14:paraId="0DB345FD">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可对外来器械进行二次手动回收，如规定时间内未回收则系统会标红提醒，对二次回收的器械明细可登记数量变化。</w:t>
            </w:r>
          </w:p>
        </w:tc>
      </w:tr>
      <w:tr w14:paraId="14AAE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tcPr>
          <w:p w14:paraId="14FACF19">
            <w:pPr>
              <w:widowControl/>
              <w:textAlignment w:val="center"/>
              <w:rPr>
                <w:rFonts w:hint="eastAsia" w:ascii="宋体" w:hAnsi="宋体" w:cs="宋体"/>
                <w:snapToGrid w:val="0"/>
                <w:color w:val="000000"/>
                <w:kern w:val="0"/>
                <w:szCs w:val="21"/>
              </w:rPr>
            </w:pPr>
          </w:p>
        </w:tc>
        <w:tc>
          <w:tcPr>
            <w:tcW w:w="1549" w:type="dxa"/>
            <w:vAlign w:val="center"/>
          </w:tcPr>
          <w:p w14:paraId="74E7B85D">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外来器械归还</w:t>
            </w:r>
          </w:p>
        </w:tc>
        <w:tc>
          <w:tcPr>
            <w:tcW w:w="7605" w:type="dxa"/>
            <w:vAlign w:val="center"/>
          </w:tcPr>
          <w:p w14:paraId="7898B028">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二次回洗后的外来器械在归还交接时可记录相关交接信息，支持拍照上传。</w:t>
            </w:r>
          </w:p>
        </w:tc>
      </w:tr>
      <w:tr w14:paraId="7B86F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tcPr>
          <w:p w14:paraId="7CBDB23B">
            <w:pPr>
              <w:widowControl/>
              <w:textAlignment w:val="center"/>
              <w:rPr>
                <w:rFonts w:hint="eastAsia" w:ascii="宋体" w:hAnsi="宋体" w:cs="宋体"/>
                <w:snapToGrid w:val="0"/>
                <w:color w:val="000000"/>
                <w:kern w:val="0"/>
                <w:szCs w:val="21"/>
              </w:rPr>
            </w:pPr>
          </w:p>
        </w:tc>
        <w:tc>
          <w:tcPr>
            <w:tcW w:w="1549" w:type="dxa"/>
            <w:vAlign w:val="center"/>
          </w:tcPr>
          <w:p w14:paraId="146B74D3">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▲外来器械续用</w:t>
            </w:r>
          </w:p>
        </w:tc>
        <w:tc>
          <w:tcPr>
            <w:tcW w:w="7605" w:type="dxa"/>
            <w:vAlign w:val="center"/>
          </w:tcPr>
          <w:p w14:paraId="796D9200">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二次回洗的外来器械可直接通过续用功能，录入新的手术患者信息，继续打包处理。</w:t>
            </w:r>
          </w:p>
        </w:tc>
      </w:tr>
      <w:tr w14:paraId="10CDF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restart"/>
            <w:vAlign w:val="center"/>
          </w:tcPr>
          <w:p w14:paraId="02ED8944">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功能配置</w:t>
            </w:r>
          </w:p>
        </w:tc>
        <w:tc>
          <w:tcPr>
            <w:tcW w:w="1549" w:type="dxa"/>
            <w:vAlign w:val="center"/>
          </w:tcPr>
          <w:p w14:paraId="6DB79D7D">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菜单配置</w:t>
            </w:r>
          </w:p>
        </w:tc>
        <w:tc>
          <w:tcPr>
            <w:tcW w:w="7605" w:type="dxa"/>
            <w:vAlign w:val="center"/>
          </w:tcPr>
          <w:p w14:paraId="3821AF90">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功能模块配置：可根据医院需要自由搭配相关页面；</w:t>
            </w:r>
          </w:p>
          <w:p w14:paraId="7F58E81F">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PDA菜单配置：可自由选择哪些页面支持PDA设备。</w:t>
            </w:r>
          </w:p>
        </w:tc>
      </w:tr>
      <w:tr w14:paraId="59B15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tcPr>
          <w:p w14:paraId="47CB1803">
            <w:pPr>
              <w:widowControl/>
              <w:textAlignment w:val="center"/>
              <w:rPr>
                <w:rFonts w:hint="eastAsia" w:ascii="宋体" w:hAnsi="宋体" w:cs="宋体"/>
                <w:snapToGrid w:val="0"/>
                <w:color w:val="000000"/>
                <w:kern w:val="0"/>
                <w:szCs w:val="21"/>
              </w:rPr>
            </w:pPr>
          </w:p>
        </w:tc>
        <w:tc>
          <w:tcPr>
            <w:tcW w:w="1549" w:type="dxa"/>
            <w:vAlign w:val="center"/>
          </w:tcPr>
          <w:p w14:paraId="556515A3">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流程配置</w:t>
            </w:r>
          </w:p>
        </w:tc>
        <w:tc>
          <w:tcPr>
            <w:tcW w:w="7605" w:type="dxa"/>
            <w:vAlign w:val="center"/>
          </w:tcPr>
          <w:p w14:paraId="21FBF34C">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可根据医院实际业务，选择已有的流程配置项进行操作流程调整。</w:t>
            </w:r>
          </w:p>
        </w:tc>
      </w:tr>
      <w:tr w14:paraId="056B4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tcPr>
          <w:p w14:paraId="04A42178">
            <w:pPr>
              <w:widowControl/>
              <w:textAlignment w:val="center"/>
              <w:rPr>
                <w:rFonts w:hint="eastAsia" w:ascii="宋体" w:hAnsi="宋体" w:cs="宋体"/>
                <w:snapToGrid w:val="0"/>
                <w:color w:val="000000"/>
                <w:kern w:val="0"/>
                <w:szCs w:val="21"/>
              </w:rPr>
            </w:pPr>
          </w:p>
        </w:tc>
        <w:tc>
          <w:tcPr>
            <w:tcW w:w="1549" w:type="dxa"/>
            <w:vAlign w:val="center"/>
          </w:tcPr>
          <w:p w14:paraId="27A4B24A">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字典配置</w:t>
            </w:r>
          </w:p>
        </w:tc>
        <w:tc>
          <w:tcPr>
            <w:tcW w:w="7605" w:type="dxa"/>
            <w:vAlign w:val="center"/>
          </w:tcPr>
          <w:p w14:paraId="74589579">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可根据医院实际业务，选择已有的字典配置项进行新增或删除。</w:t>
            </w:r>
          </w:p>
        </w:tc>
      </w:tr>
      <w:tr w14:paraId="3AC90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restart"/>
            <w:vAlign w:val="center"/>
          </w:tcPr>
          <w:p w14:paraId="7F66A8C7">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基础</w:t>
            </w:r>
          </w:p>
          <w:p w14:paraId="2065DB06">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数据</w:t>
            </w:r>
          </w:p>
          <w:p w14:paraId="7E902B0D">
            <w:pPr>
              <w:widowControl/>
              <w:textAlignment w:val="center"/>
              <w:rPr>
                <w:rFonts w:hint="eastAsia" w:ascii="宋体" w:hAnsi="宋体" w:cs="宋体"/>
                <w:snapToGrid w:val="0"/>
                <w:color w:val="000000"/>
                <w:kern w:val="0"/>
                <w:szCs w:val="21"/>
              </w:rPr>
            </w:pPr>
          </w:p>
        </w:tc>
        <w:tc>
          <w:tcPr>
            <w:tcW w:w="1549" w:type="dxa"/>
            <w:vAlign w:val="center"/>
          </w:tcPr>
          <w:p w14:paraId="7BD08290">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器械管理</w:t>
            </w:r>
          </w:p>
        </w:tc>
        <w:tc>
          <w:tcPr>
            <w:tcW w:w="7605" w:type="dxa"/>
            <w:vAlign w:val="center"/>
          </w:tcPr>
          <w:p w14:paraId="092DBD6F">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包内器械数据的创建与编辑；系统自动记录所有编辑器械的操作记录，支持上传该器械相关文件，支持上传单件器械图片，支持在配包时查看明细中对应器械的图片。</w:t>
            </w:r>
          </w:p>
        </w:tc>
      </w:tr>
      <w:tr w14:paraId="6DB2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tcPr>
          <w:p w14:paraId="4E0BB750">
            <w:pPr>
              <w:widowControl/>
              <w:textAlignment w:val="center"/>
              <w:rPr>
                <w:rFonts w:hint="eastAsia" w:ascii="宋体" w:hAnsi="宋体" w:cs="宋体"/>
                <w:snapToGrid w:val="0"/>
                <w:color w:val="000000"/>
                <w:kern w:val="0"/>
                <w:szCs w:val="21"/>
              </w:rPr>
            </w:pPr>
          </w:p>
        </w:tc>
        <w:tc>
          <w:tcPr>
            <w:tcW w:w="1549" w:type="dxa"/>
            <w:vAlign w:val="center"/>
          </w:tcPr>
          <w:p w14:paraId="32845FD7">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耗材管理</w:t>
            </w:r>
          </w:p>
        </w:tc>
        <w:tc>
          <w:tcPr>
            <w:tcW w:w="7605" w:type="dxa"/>
            <w:vAlign w:val="center"/>
          </w:tcPr>
          <w:p w14:paraId="1B5D848A">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对供应科耗材分类管理，可事先维护耗材库内会使用的单位换算，支持上传对应耗材相关附件信息。</w:t>
            </w:r>
          </w:p>
        </w:tc>
      </w:tr>
      <w:tr w14:paraId="44D3D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tcPr>
          <w:p w14:paraId="6D9692D3">
            <w:pPr>
              <w:widowControl/>
              <w:textAlignment w:val="center"/>
              <w:rPr>
                <w:rFonts w:hint="eastAsia" w:ascii="宋体" w:hAnsi="宋体" w:cs="宋体"/>
                <w:snapToGrid w:val="0"/>
                <w:color w:val="000000"/>
                <w:kern w:val="0"/>
                <w:szCs w:val="21"/>
              </w:rPr>
            </w:pPr>
          </w:p>
        </w:tc>
        <w:tc>
          <w:tcPr>
            <w:tcW w:w="1549" w:type="dxa"/>
            <w:vAlign w:val="center"/>
          </w:tcPr>
          <w:p w14:paraId="448B9812">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器械包管理</w:t>
            </w:r>
          </w:p>
        </w:tc>
        <w:tc>
          <w:tcPr>
            <w:tcW w:w="7605" w:type="dxa"/>
            <w:vAlign w:val="center"/>
          </w:tcPr>
          <w:p w14:paraId="3A55C846">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器械包基础信息的创建与维护，系统详细记录器械包编辑的操作日志；</w:t>
            </w:r>
          </w:p>
          <w:p w14:paraId="07F10830">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包类别确定：系统可定义某些包为刻码包，即每一个器械包都有自己唯一的编码，方便在后续的作业中精准匹配；并支持编码自动适应标签纸打印。</w:t>
            </w:r>
          </w:p>
        </w:tc>
      </w:tr>
      <w:tr w14:paraId="605E0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tcPr>
          <w:p w14:paraId="0EB9240B">
            <w:pPr>
              <w:widowControl/>
              <w:textAlignment w:val="center"/>
              <w:rPr>
                <w:rFonts w:hint="eastAsia" w:ascii="宋体" w:hAnsi="宋体" w:cs="宋体"/>
                <w:snapToGrid w:val="0"/>
                <w:color w:val="000000"/>
                <w:kern w:val="0"/>
                <w:szCs w:val="21"/>
              </w:rPr>
            </w:pPr>
          </w:p>
        </w:tc>
        <w:tc>
          <w:tcPr>
            <w:tcW w:w="1549" w:type="dxa"/>
            <w:vAlign w:val="center"/>
          </w:tcPr>
          <w:p w14:paraId="6FA86813">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基数管理</w:t>
            </w:r>
          </w:p>
        </w:tc>
        <w:tc>
          <w:tcPr>
            <w:tcW w:w="7605" w:type="dxa"/>
            <w:vAlign w:val="center"/>
          </w:tcPr>
          <w:p w14:paraId="2AAD95F1">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可查询各科室器械包的基数，当科室的器械包发生增加或减少时，可对基数进行编辑修改；包基数维护也可由各科室自行管理。</w:t>
            </w:r>
          </w:p>
        </w:tc>
      </w:tr>
      <w:tr w14:paraId="2780A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tcPr>
          <w:p w14:paraId="1348181C">
            <w:pPr>
              <w:widowControl/>
              <w:textAlignment w:val="center"/>
              <w:rPr>
                <w:rFonts w:hint="eastAsia" w:ascii="宋体" w:hAnsi="宋体" w:cs="宋体"/>
                <w:snapToGrid w:val="0"/>
                <w:color w:val="000000"/>
                <w:kern w:val="0"/>
                <w:szCs w:val="21"/>
              </w:rPr>
            </w:pPr>
          </w:p>
        </w:tc>
        <w:tc>
          <w:tcPr>
            <w:tcW w:w="1549" w:type="dxa"/>
            <w:vAlign w:val="center"/>
          </w:tcPr>
          <w:p w14:paraId="4FD19EB2">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▲器械包效期管理</w:t>
            </w:r>
          </w:p>
        </w:tc>
        <w:tc>
          <w:tcPr>
            <w:tcW w:w="7605" w:type="dxa"/>
            <w:vAlign w:val="center"/>
          </w:tcPr>
          <w:p w14:paraId="37C1F92B">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可根据包装材料、灭菌方式、不同季节/月份设置对应的效期天数。</w:t>
            </w:r>
          </w:p>
        </w:tc>
      </w:tr>
      <w:tr w14:paraId="31C2C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tcPr>
          <w:p w14:paraId="0E6D62AF">
            <w:pPr>
              <w:widowControl/>
              <w:textAlignment w:val="center"/>
              <w:rPr>
                <w:rFonts w:hint="eastAsia" w:ascii="宋体" w:hAnsi="宋体" w:cs="宋体"/>
                <w:snapToGrid w:val="0"/>
                <w:color w:val="000000"/>
                <w:kern w:val="0"/>
                <w:szCs w:val="21"/>
              </w:rPr>
            </w:pPr>
          </w:p>
        </w:tc>
        <w:tc>
          <w:tcPr>
            <w:tcW w:w="1549" w:type="dxa"/>
            <w:vAlign w:val="center"/>
          </w:tcPr>
          <w:p w14:paraId="156F9464">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器械包使用次数管理</w:t>
            </w:r>
          </w:p>
        </w:tc>
        <w:tc>
          <w:tcPr>
            <w:tcW w:w="7605" w:type="dxa"/>
            <w:vAlign w:val="center"/>
          </w:tcPr>
          <w:p w14:paraId="749C785F">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对有使用次数限制的器械包，可设置器械包的使用次数，并在达到上限时自动阻止其再次回收或使用</w:t>
            </w:r>
          </w:p>
        </w:tc>
      </w:tr>
      <w:tr w14:paraId="43FDC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tcPr>
          <w:p w14:paraId="19A3CB06">
            <w:pPr>
              <w:widowControl/>
              <w:textAlignment w:val="center"/>
              <w:rPr>
                <w:rFonts w:hint="eastAsia" w:ascii="宋体" w:hAnsi="宋体" w:cs="宋体"/>
                <w:snapToGrid w:val="0"/>
                <w:color w:val="000000"/>
                <w:kern w:val="0"/>
                <w:szCs w:val="21"/>
              </w:rPr>
            </w:pPr>
          </w:p>
        </w:tc>
        <w:tc>
          <w:tcPr>
            <w:tcW w:w="1549" w:type="dxa"/>
            <w:vAlign w:val="center"/>
          </w:tcPr>
          <w:p w14:paraId="3BB06ADD">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科室管理</w:t>
            </w:r>
          </w:p>
        </w:tc>
        <w:tc>
          <w:tcPr>
            <w:tcW w:w="7605" w:type="dxa"/>
            <w:vAlign w:val="center"/>
          </w:tcPr>
          <w:p w14:paraId="7A007746">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院区管理：系统支持多院区模式，可自定义院区数量及名称；</w:t>
            </w:r>
          </w:p>
          <w:p w14:paraId="7EECB435">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处理中心管理：系统支持多处理中心模式，可自定义处理中心数量及名称；</w:t>
            </w:r>
          </w:p>
          <w:p w14:paraId="59CA5827">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科室管理：对使用科室名称、科室所属分组（楼层或回收发放线路）、科室默认联系的处理中心、科室所属院区进行编辑；</w:t>
            </w:r>
          </w:p>
          <w:p w14:paraId="42A4B698">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科室组管理：可自定义科室组并将科室分配。</w:t>
            </w:r>
          </w:p>
        </w:tc>
      </w:tr>
      <w:tr w14:paraId="186F5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tcPr>
          <w:p w14:paraId="7A550013">
            <w:pPr>
              <w:widowControl/>
              <w:textAlignment w:val="center"/>
              <w:rPr>
                <w:rFonts w:hint="eastAsia" w:ascii="宋体" w:hAnsi="宋体" w:cs="宋体"/>
                <w:snapToGrid w:val="0"/>
                <w:color w:val="000000"/>
                <w:kern w:val="0"/>
                <w:szCs w:val="21"/>
              </w:rPr>
            </w:pPr>
          </w:p>
        </w:tc>
        <w:tc>
          <w:tcPr>
            <w:tcW w:w="1549" w:type="dxa"/>
            <w:vAlign w:val="center"/>
          </w:tcPr>
          <w:p w14:paraId="29F0BFB5">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人员管理</w:t>
            </w:r>
          </w:p>
        </w:tc>
        <w:tc>
          <w:tcPr>
            <w:tcW w:w="7605" w:type="dxa"/>
            <w:vAlign w:val="center"/>
          </w:tcPr>
          <w:p w14:paraId="13F73E53">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员工账号的创建与维护；</w:t>
            </w:r>
          </w:p>
          <w:p w14:paraId="0F1EB924">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员工所属科室及工作范围管理；系统支持同一人可跨院区在多个科室工作；</w:t>
            </w:r>
          </w:p>
          <w:p w14:paraId="28B15C64">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角色管理：系统支持用户角色定义用户权限；</w:t>
            </w:r>
          </w:p>
          <w:p w14:paraId="373238A7">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权限管理：系统支持权限自定义分配；</w:t>
            </w:r>
          </w:p>
          <w:p w14:paraId="1CB42DB8">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个人信息管理：系统支持员工基本信息、工作信息、联系方式的编辑及照片的录入；</w:t>
            </w:r>
          </w:p>
          <w:p w14:paraId="474AB785">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证书管理：系统支持个人证书文件的上传。</w:t>
            </w:r>
          </w:p>
        </w:tc>
      </w:tr>
      <w:tr w14:paraId="2FCA2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tcPr>
          <w:p w14:paraId="0210C8F2">
            <w:pPr>
              <w:widowControl/>
              <w:textAlignment w:val="center"/>
              <w:rPr>
                <w:rFonts w:hint="eastAsia" w:ascii="宋体" w:hAnsi="宋体" w:cs="宋体"/>
                <w:snapToGrid w:val="0"/>
                <w:color w:val="000000"/>
                <w:kern w:val="0"/>
                <w:szCs w:val="21"/>
              </w:rPr>
            </w:pPr>
          </w:p>
        </w:tc>
        <w:tc>
          <w:tcPr>
            <w:tcW w:w="1549" w:type="dxa"/>
            <w:vAlign w:val="center"/>
          </w:tcPr>
          <w:p w14:paraId="58F999B2">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设备管理</w:t>
            </w:r>
          </w:p>
        </w:tc>
        <w:tc>
          <w:tcPr>
            <w:tcW w:w="7605" w:type="dxa"/>
            <w:vAlign w:val="center"/>
          </w:tcPr>
          <w:p w14:paraId="7A8A1AD4">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清洗机和灭菌器设备的创建及维护；</w:t>
            </w:r>
          </w:p>
          <w:p w14:paraId="1F342DB4">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程序管理：及清洗设备灭菌设备基本程序的创建与修改。</w:t>
            </w:r>
          </w:p>
        </w:tc>
      </w:tr>
      <w:tr w14:paraId="6E97E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tcPr>
          <w:p w14:paraId="7871B7BA">
            <w:pPr>
              <w:widowControl/>
              <w:textAlignment w:val="center"/>
              <w:rPr>
                <w:rFonts w:hint="eastAsia" w:ascii="宋体" w:hAnsi="宋体" w:cs="宋体"/>
                <w:snapToGrid w:val="0"/>
                <w:color w:val="000000"/>
                <w:kern w:val="0"/>
                <w:szCs w:val="21"/>
              </w:rPr>
            </w:pPr>
          </w:p>
        </w:tc>
        <w:tc>
          <w:tcPr>
            <w:tcW w:w="1549" w:type="dxa"/>
            <w:vAlign w:val="center"/>
          </w:tcPr>
          <w:p w14:paraId="3DA245F1">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供应商管理</w:t>
            </w:r>
          </w:p>
        </w:tc>
        <w:tc>
          <w:tcPr>
            <w:tcW w:w="7605" w:type="dxa"/>
            <w:vAlign w:val="center"/>
          </w:tcPr>
          <w:p w14:paraId="156213A2">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外来器械厂家、器械厂家、耗材厂家、设备厂家等信息维护。</w:t>
            </w:r>
          </w:p>
        </w:tc>
      </w:tr>
      <w:tr w14:paraId="2D5F5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tcPr>
          <w:p w14:paraId="53DD02FD">
            <w:pPr>
              <w:widowControl/>
              <w:textAlignment w:val="center"/>
              <w:rPr>
                <w:rFonts w:hint="eastAsia" w:ascii="宋体" w:hAnsi="宋体" w:cs="宋体"/>
                <w:snapToGrid w:val="0"/>
                <w:color w:val="000000"/>
                <w:kern w:val="0"/>
                <w:szCs w:val="21"/>
              </w:rPr>
            </w:pPr>
          </w:p>
        </w:tc>
        <w:tc>
          <w:tcPr>
            <w:tcW w:w="1549" w:type="dxa"/>
            <w:vAlign w:val="center"/>
          </w:tcPr>
          <w:p w14:paraId="60C8840B">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装载用具管理</w:t>
            </w:r>
          </w:p>
        </w:tc>
        <w:tc>
          <w:tcPr>
            <w:tcW w:w="7605" w:type="dxa"/>
            <w:vAlign w:val="center"/>
          </w:tcPr>
          <w:p w14:paraId="077E7590">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清洗篮筐、灭菌篮筐的创建与维护；</w:t>
            </w:r>
          </w:p>
          <w:p w14:paraId="1970C771">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清洗架、灭菌架的创建与维护；</w:t>
            </w:r>
          </w:p>
          <w:p w14:paraId="16A00163">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回收转运车、发放转运车的创建与维护；</w:t>
            </w:r>
          </w:p>
          <w:p w14:paraId="1361E372">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无菌库中置物架的创建与维护。</w:t>
            </w:r>
          </w:p>
        </w:tc>
      </w:tr>
      <w:tr w14:paraId="360CD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tcPr>
          <w:p w14:paraId="3D225CF8">
            <w:pPr>
              <w:widowControl/>
              <w:textAlignment w:val="center"/>
              <w:rPr>
                <w:rFonts w:hint="eastAsia" w:ascii="宋体" w:hAnsi="宋体" w:cs="宋体"/>
                <w:snapToGrid w:val="0"/>
                <w:color w:val="000000"/>
                <w:kern w:val="0"/>
                <w:szCs w:val="21"/>
              </w:rPr>
            </w:pPr>
          </w:p>
        </w:tc>
        <w:tc>
          <w:tcPr>
            <w:tcW w:w="1549" w:type="dxa"/>
            <w:vAlign w:val="center"/>
          </w:tcPr>
          <w:p w14:paraId="6A557BB2">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器械包自定义字段</w:t>
            </w:r>
          </w:p>
        </w:tc>
        <w:tc>
          <w:tcPr>
            <w:tcW w:w="7605" w:type="dxa"/>
            <w:vAlign w:val="center"/>
          </w:tcPr>
          <w:p w14:paraId="6C774131">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预留多个自定义字段由用户设置，满足不同用户在不用场景下的分类统计需求。</w:t>
            </w:r>
          </w:p>
        </w:tc>
      </w:tr>
      <w:tr w14:paraId="169A9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tcPr>
          <w:p w14:paraId="25155341">
            <w:pPr>
              <w:widowControl/>
              <w:textAlignment w:val="center"/>
              <w:rPr>
                <w:rFonts w:hint="eastAsia" w:ascii="宋体" w:hAnsi="宋体" w:cs="宋体"/>
                <w:snapToGrid w:val="0"/>
                <w:color w:val="000000"/>
                <w:kern w:val="0"/>
                <w:szCs w:val="21"/>
              </w:rPr>
            </w:pPr>
          </w:p>
        </w:tc>
        <w:tc>
          <w:tcPr>
            <w:tcW w:w="1549" w:type="dxa"/>
            <w:vAlign w:val="center"/>
          </w:tcPr>
          <w:p w14:paraId="3E27AE7E">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模板管理</w:t>
            </w:r>
          </w:p>
        </w:tc>
        <w:tc>
          <w:tcPr>
            <w:tcW w:w="7605" w:type="dxa"/>
            <w:vAlign w:val="center"/>
          </w:tcPr>
          <w:p w14:paraId="135DF55D">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系统科室设置回收申请模板、发放申请模板、手术配包模板，方便科室进行提交申请。</w:t>
            </w:r>
          </w:p>
        </w:tc>
      </w:tr>
      <w:tr w14:paraId="24B62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restart"/>
            <w:vAlign w:val="center"/>
          </w:tcPr>
          <w:p w14:paraId="44DBD8AD">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仓储管理</w:t>
            </w:r>
          </w:p>
          <w:p w14:paraId="411445CE">
            <w:pPr>
              <w:widowControl/>
              <w:textAlignment w:val="center"/>
              <w:rPr>
                <w:rFonts w:hint="eastAsia" w:ascii="宋体" w:hAnsi="宋体" w:cs="宋体"/>
                <w:snapToGrid w:val="0"/>
                <w:color w:val="000000"/>
                <w:kern w:val="0"/>
                <w:szCs w:val="21"/>
              </w:rPr>
            </w:pPr>
          </w:p>
        </w:tc>
        <w:tc>
          <w:tcPr>
            <w:tcW w:w="1549" w:type="dxa"/>
            <w:vAlign w:val="center"/>
          </w:tcPr>
          <w:p w14:paraId="41C6CB53">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新建库房</w:t>
            </w:r>
          </w:p>
        </w:tc>
        <w:tc>
          <w:tcPr>
            <w:tcW w:w="7605" w:type="dxa"/>
            <w:vAlign w:val="center"/>
          </w:tcPr>
          <w:p w14:paraId="027300AE">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系统支持库房自定义；即库房类型如器械库、耗材库、供应科无菌库以及科室无菌库；</w:t>
            </w:r>
          </w:p>
          <w:p w14:paraId="10EDB84E">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系统支持医院根据实际作业情况创建库房；如手术室多间无菌库房等；</w:t>
            </w:r>
          </w:p>
          <w:p w14:paraId="0AC43872">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系统支持与物资系统一级库对接。</w:t>
            </w:r>
          </w:p>
        </w:tc>
      </w:tr>
      <w:tr w14:paraId="092F2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tcPr>
          <w:p w14:paraId="7B51EE66">
            <w:pPr>
              <w:widowControl/>
              <w:textAlignment w:val="center"/>
              <w:rPr>
                <w:rFonts w:hint="eastAsia" w:ascii="宋体" w:hAnsi="宋体" w:cs="宋体"/>
                <w:snapToGrid w:val="0"/>
                <w:color w:val="000000"/>
                <w:kern w:val="0"/>
                <w:szCs w:val="21"/>
              </w:rPr>
            </w:pPr>
          </w:p>
        </w:tc>
        <w:tc>
          <w:tcPr>
            <w:tcW w:w="1549" w:type="dxa"/>
            <w:vAlign w:val="center"/>
          </w:tcPr>
          <w:p w14:paraId="1133C9FA">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器械库/耗材库管理</w:t>
            </w:r>
          </w:p>
        </w:tc>
        <w:tc>
          <w:tcPr>
            <w:tcW w:w="7605" w:type="dxa"/>
            <w:vAlign w:val="center"/>
          </w:tcPr>
          <w:p w14:paraId="0AD8264F">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器械库/耗材库的出入库操作，支持批量出入库、手工出入库、申请单出入库已经打印对应的出入库单据；</w:t>
            </w:r>
          </w:p>
          <w:p w14:paraId="214257CD">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器械库/耗材库的库存管理：如库存明细查询、出入库记录及明细查询、库存剩余量预警设置以及数据报表导出等。</w:t>
            </w:r>
          </w:p>
        </w:tc>
      </w:tr>
      <w:tr w14:paraId="0531D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restart"/>
            <w:vAlign w:val="center"/>
          </w:tcPr>
          <w:p w14:paraId="7137EFC0">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直接成本管理</w:t>
            </w:r>
          </w:p>
        </w:tc>
        <w:tc>
          <w:tcPr>
            <w:tcW w:w="1549" w:type="dxa"/>
            <w:vAlign w:val="center"/>
          </w:tcPr>
          <w:p w14:paraId="09F58B78">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直接成本计算</w:t>
            </w:r>
          </w:p>
        </w:tc>
        <w:tc>
          <w:tcPr>
            <w:tcW w:w="7605" w:type="dxa"/>
            <w:vAlign w:val="center"/>
          </w:tcPr>
          <w:p w14:paraId="2BF431AB">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直接成本项及计算公式设定后，系统可自动进行计算出直接成本；</w:t>
            </w:r>
          </w:p>
          <w:p w14:paraId="52223401">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系统默认计算公式有按器械包类型计算、按科室名称计算；也支持院方自主设计进行计算。</w:t>
            </w:r>
          </w:p>
        </w:tc>
      </w:tr>
      <w:tr w14:paraId="37582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tcPr>
          <w:p w14:paraId="65153BAF">
            <w:pPr>
              <w:widowControl/>
              <w:textAlignment w:val="center"/>
              <w:rPr>
                <w:rFonts w:hint="eastAsia" w:ascii="宋体" w:hAnsi="宋体" w:cs="宋体"/>
                <w:snapToGrid w:val="0"/>
                <w:color w:val="000000"/>
                <w:kern w:val="0"/>
                <w:szCs w:val="21"/>
              </w:rPr>
            </w:pPr>
          </w:p>
        </w:tc>
        <w:tc>
          <w:tcPr>
            <w:tcW w:w="1549" w:type="dxa"/>
            <w:vAlign w:val="center"/>
          </w:tcPr>
          <w:p w14:paraId="7A9F8B1A">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直接成本图表</w:t>
            </w:r>
          </w:p>
        </w:tc>
        <w:tc>
          <w:tcPr>
            <w:tcW w:w="7605" w:type="dxa"/>
            <w:vAlign w:val="center"/>
          </w:tcPr>
          <w:p w14:paraId="55A85F2D">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对于直接成本的计算结果，系统支持图表的形式展示出来。</w:t>
            </w:r>
          </w:p>
        </w:tc>
      </w:tr>
      <w:tr w14:paraId="652B7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restart"/>
            <w:vAlign w:val="center"/>
          </w:tcPr>
          <w:p w14:paraId="4D25AEEF">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分摊成本核算</w:t>
            </w:r>
          </w:p>
        </w:tc>
        <w:tc>
          <w:tcPr>
            <w:tcW w:w="1549" w:type="dxa"/>
            <w:vAlign w:val="center"/>
          </w:tcPr>
          <w:p w14:paraId="39B4D7D3">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成本计算项</w:t>
            </w:r>
          </w:p>
        </w:tc>
        <w:tc>
          <w:tcPr>
            <w:tcW w:w="7605" w:type="dxa"/>
            <w:vAlign w:val="center"/>
          </w:tcPr>
          <w:p w14:paraId="69C87AB0">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可自定义分摊成本项及相关权重；</w:t>
            </w:r>
          </w:p>
          <w:p w14:paraId="4B17A540">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可自定义分摊成本的计算规则。</w:t>
            </w:r>
          </w:p>
        </w:tc>
      </w:tr>
      <w:tr w14:paraId="4CA39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tcPr>
          <w:p w14:paraId="4F80D9F2">
            <w:pPr>
              <w:widowControl/>
              <w:textAlignment w:val="center"/>
              <w:rPr>
                <w:rFonts w:hint="eastAsia" w:ascii="宋体" w:hAnsi="宋体" w:cs="宋体"/>
                <w:snapToGrid w:val="0"/>
                <w:color w:val="000000"/>
                <w:kern w:val="0"/>
                <w:szCs w:val="21"/>
              </w:rPr>
            </w:pPr>
          </w:p>
        </w:tc>
        <w:tc>
          <w:tcPr>
            <w:tcW w:w="1549" w:type="dxa"/>
            <w:vAlign w:val="center"/>
          </w:tcPr>
          <w:p w14:paraId="1D35F36E">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综合成本计算项</w:t>
            </w:r>
          </w:p>
        </w:tc>
        <w:tc>
          <w:tcPr>
            <w:tcW w:w="7605" w:type="dxa"/>
            <w:vAlign w:val="center"/>
          </w:tcPr>
          <w:p w14:paraId="39C8869F">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可自定义综合成本项及相关权重；</w:t>
            </w:r>
          </w:p>
          <w:p w14:paraId="5CE15C6C">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可自定义综合成本的计算规则。</w:t>
            </w:r>
          </w:p>
        </w:tc>
      </w:tr>
      <w:tr w14:paraId="71285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tcPr>
          <w:p w14:paraId="3A52B796">
            <w:pPr>
              <w:widowControl/>
              <w:textAlignment w:val="center"/>
              <w:rPr>
                <w:rFonts w:hint="eastAsia" w:ascii="宋体" w:hAnsi="宋体" w:cs="宋体"/>
                <w:snapToGrid w:val="0"/>
                <w:color w:val="000000"/>
                <w:kern w:val="0"/>
                <w:szCs w:val="21"/>
              </w:rPr>
            </w:pPr>
          </w:p>
        </w:tc>
        <w:tc>
          <w:tcPr>
            <w:tcW w:w="1549" w:type="dxa"/>
            <w:vAlign w:val="center"/>
          </w:tcPr>
          <w:p w14:paraId="1259C7D7">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分摊成本计算</w:t>
            </w:r>
          </w:p>
        </w:tc>
        <w:tc>
          <w:tcPr>
            <w:tcW w:w="7605" w:type="dxa"/>
            <w:vAlign w:val="center"/>
          </w:tcPr>
          <w:p w14:paraId="19544E7C">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分摊成本项及计算公式设定后，系统可自动进行计算出分摊成本；</w:t>
            </w:r>
          </w:p>
          <w:p w14:paraId="5253BA8C">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系统默认计算公式有按器械包类型计算、按科室名称计算、按灭菌锅次计算；也支持院方自主设计进行计算。</w:t>
            </w:r>
          </w:p>
        </w:tc>
      </w:tr>
      <w:tr w14:paraId="75F04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tcPr>
          <w:p w14:paraId="345DA532">
            <w:pPr>
              <w:widowControl/>
              <w:textAlignment w:val="center"/>
              <w:rPr>
                <w:rFonts w:hint="eastAsia" w:ascii="宋体" w:hAnsi="宋体" w:cs="宋体"/>
                <w:snapToGrid w:val="0"/>
                <w:color w:val="000000"/>
                <w:kern w:val="0"/>
                <w:szCs w:val="21"/>
              </w:rPr>
            </w:pPr>
          </w:p>
        </w:tc>
        <w:tc>
          <w:tcPr>
            <w:tcW w:w="1549" w:type="dxa"/>
            <w:vAlign w:val="center"/>
          </w:tcPr>
          <w:p w14:paraId="07973021">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分摊成本图表</w:t>
            </w:r>
          </w:p>
        </w:tc>
        <w:tc>
          <w:tcPr>
            <w:tcW w:w="7605" w:type="dxa"/>
            <w:vAlign w:val="center"/>
          </w:tcPr>
          <w:p w14:paraId="4E1E27F9">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对于分摊成本的计算结果，系统支持图表的形式展示出来。</w:t>
            </w:r>
          </w:p>
        </w:tc>
      </w:tr>
      <w:tr w14:paraId="6F85C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Align w:val="center"/>
          </w:tcPr>
          <w:p w14:paraId="1E056D4E">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UDI功能</w:t>
            </w:r>
          </w:p>
        </w:tc>
        <w:tc>
          <w:tcPr>
            <w:tcW w:w="1549" w:type="dxa"/>
            <w:vAlign w:val="center"/>
          </w:tcPr>
          <w:p w14:paraId="513F0102">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▲UDI管理</w:t>
            </w:r>
          </w:p>
        </w:tc>
        <w:tc>
          <w:tcPr>
            <w:tcW w:w="7605" w:type="dxa"/>
            <w:vAlign w:val="center"/>
          </w:tcPr>
          <w:p w14:paraId="791681FD">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支持刻印、RFID的方式来记录、读取、绑定、解绑、使用等功能。</w:t>
            </w:r>
          </w:p>
        </w:tc>
      </w:tr>
      <w:tr w14:paraId="3E925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restart"/>
            <w:vAlign w:val="center"/>
          </w:tcPr>
          <w:p w14:paraId="7A0C3717">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设备对接</w:t>
            </w:r>
          </w:p>
        </w:tc>
        <w:tc>
          <w:tcPr>
            <w:tcW w:w="1549" w:type="dxa"/>
            <w:vAlign w:val="center"/>
          </w:tcPr>
          <w:p w14:paraId="41AA611F">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设备对接</w:t>
            </w:r>
          </w:p>
        </w:tc>
        <w:tc>
          <w:tcPr>
            <w:tcW w:w="7605" w:type="dxa"/>
          </w:tcPr>
          <w:p w14:paraId="405CAE2A">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系统应支持市场上国内外主流灭菌器、清洗机等设备的厂商及其旗下的品牌设备和型号对接。如科室现有设备厂家能提供设备端口对接授权服务，系统可记录设备运行参数。</w:t>
            </w:r>
          </w:p>
        </w:tc>
      </w:tr>
      <w:tr w14:paraId="6D33F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tcPr>
          <w:p w14:paraId="0FC07FA1">
            <w:pPr>
              <w:widowControl/>
              <w:textAlignment w:val="center"/>
              <w:rPr>
                <w:rFonts w:hint="eastAsia" w:ascii="宋体" w:hAnsi="宋体" w:cs="宋体"/>
                <w:snapToGrid w:val="0"/>
                <w:color w:val="000000"/>
                <w:kern w:val="0"/>
                <w:szCs w:val="21"/>
              </w:rPr>
            </w:pPr>
          </w:p>
        </w:tc>
        <w:tc>
          <w:tcPr>
            <w:tcW w:w="1549" w:type="dxa"/>
            <w:vAlign w:val="center"/>
          </w:tcPr>
          <w:p w14:paraId="66ECF264">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数据集成和图表展现</w:t>
            </w:r>
          </w:p>
        </w:tc>
        <w:tc>
          <w:tcPr>
            <w:tcW w:w="7605" w:type="dxa"/>
          </w:tcPr>
          <w:p w14:paraId="2B1BDB4B">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系统对接完成后，应完整收集设备运行的详细数据，通过分析处理模块形成清晰规范的数据；</w:t>
            </w:r>
          </w:p>
          <w:p w14:paraId="66B8947A">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系统应可以将分析处理后的数据以图表的形式进行可视化展示；</w:t>
            </w:r>
          </w:p>
          <w:p w14:paraId="5224EA0E">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系统应支持通过配置参数对图表进行灵活定制；</w:t>
            </w:r>
          </w:p>
        </w:tc>
      </w:tr>
      <w:tr w14:paraId="7E780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restart"/>
            <w:vAlign w:val="center"/>
          </w:tcPr>
          <w:p w14:paraId="7E9E0A60">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数据报表</w:t>
            </w:r>
          </w:p>
        </w:tc>
        <w:tc>
          <w:tcPr>
            <w:tcW w:w="1549" w:type="dxa"/>
            <w:vAlign w:val="center"/>
          </w:tcPr>
          <w:p w14:paraId="10010D06">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器械包工作量流水明细统计</w:t>
            </w:r>
          </w:p>
        </w:tc>
        <w:tc>
          <w:tcPr>
            <w:tcW w:w="7605" w:type="dxa"/>
            <w:vAlign w:val="center"/>
          </w:tcPr>
          <w:p w14:paraId="135D544F">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可查询一段时间范围内，根据不同的报表口径统计完成消毒供应中心处理流程的器械包数量，以每个包独立计算的流水表形式呈现。</w:t>
            </w:r>
          </w:p>
        </w:tc>
      </w:tr>
      <w:tr w14:paraId="50B50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tcPr>
          <w:p w14:paraId="5D859460">
            <w:pPr>
              <w:widowControl/>
              <w:textAlignment w:val="center"/>
              <w:rPr>
                <w:rFonts w:hint="eastAsia" w:ascii="宋体" w:hAnsi="宋体" w:cs="宋体"/>
                <w:snapToGrid w:val="0"/>
                <w:color w:val="000000"/>
                <w:kern w:val="0"/>
                <w:szCs w:val="21"/>
              </w:rPr>
            </w:pPr>
          </w:p>
        </w:tc>
        <w:tc>
          <w:tcPr>
            <w:tcW w:w="1549" w:type="dxa"/>
            <w:vAlign w:val="center"/>
          </w:tcPr>
          <w:p w14:paraId="6899FD6A">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器械包工作量汇总统计</w:t>
            </w:r>
          </w:p>
        </w:tc>
        <w:tc>
          <w:tcPr>
            <w:tcW w:w="7605" w:type="dxa"/>
            <w:vAlign w:val="center"/>
          </w:tcPr>
          <w:p w14:paraId="769BC3D7">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可查询一段时间范围内，根据不同的报表口径统计完成消毒供应中心处理流程的器械包数量，以包种类聚合计算的汇总表形式呈现。</w:t>
            </w:r>
          </w:p>
        </w:tc>
      </w:tr>
      <w:tr w14:paraId="12401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tcPr>
          <w:p w14:paraId="4B756E54">
            <w:pPr>
              <w:widowControl/>
              <w:textAlignment w:val="center"/>
              <w:rPr>
                <w:rFonts w:hint="eastAsia" w:ascii="宋体" w:hAnsi="宋体" w:cs="宋体"/>
                <w:snapToGrid w:val="0"/>
                <w:color w:val="000000"/>
                <w:kern w:val="0"/>
                <w:szCs w:val="21"/>
              </w:rPr>
            </w:pPr>
          </w:p>
        </w:tc>
        <w:tc>
          <w:tcPr>
            <w:tcW w:w="1549" w:type="dxa"/>
            <w:vAlign w:val="center"/>
          </w:tcPr>
          <w:p w14:paraId="731660BB">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服务科室工作量汇总统计</w:t>
            </w:r>
          </w:p>
        </w:tc>
        <w:tc>
          <w:tcPr>
            <w:tcW w:w="7605" w:type="dxa"/>
            <w:vAlign w:val="center"/>
          </w:tcPr>
          <w:p w14:paraId="3C89EC6E">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可根据服务科室统计汇总处理器械包的数量、金额等信息。</w:t>
            </w:r>
          </w:p>
        </w:tc>
      </w:tr>
      <w:tr w14:paraId="45008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tcPr>
          <w:p w14:paraId="3F3CB40B">
            <w:pPr>
              <w:widowControl/>
              <w:textAlignment w:val="center"/>
              <w:rPr>
                <w:rFonts w:hint="eastAsia" w:ascii="宋体" w:hAnsi="宋体" w:cs="宋体"/>
                <w:snapToGrid w:val="0"/>
                <w:color w:val="000000"/>
                <w:kern w:val="0"/>
                <w:szCs w:val="21"/>
              </w:rPr>
            </w:pPr>
          </w:p>
        </w:tc>
        <w:tc>
          <w:tcPr>
            <w:tcW w:w="1549" w:type="dxa"/>
            <w:vAlign w:val="center"/>
          </w:tcPr>
          <w:p w14:paraId="16D3CD36">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灭菌设备锅次流水明细统计</w:t>
            </w:r>
          </w:p>
        </w:tc>
        <w:tc>
          <w:tcPr>
            <w:tcW w:w="7605" w:type="dxa"/>
            <w:vAlign w:val="center"/>
          </w:tcPr>
          <w:p w14:paraId="56744178">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可根据灭菌时间、设备、灭菌结果等条件查询统计灭菌锅次流水信息。</w:t>
            </w:r>
          </w:p>
        </w:tc>
      </w:tr>
      <w:tr w14:paraId="43557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tcPr>
          <w:p w14:paraId="3FAB418B">
            <w:pPr>
              <w:widowControl/>
              <w:textAlignment w:val="center"/>
              <w:rPr>
                <w:rFonts w:hint="eastAsia" w:ascii="宋体" w:hAnsi="宋体" w:cs="宋体"/>
                <w:snapToGrid w:val="0"/>
                <w:color w:val="000000"/>
                <w:kern w:val="0"/>
                <w:szCs w:val="21"/>
              </w:rPr>
            </w:pPr>
          </w:p>
        </w:tc>
        <w:tc>
          <w:tcPr>
            <w:tcW w:w="1549" w:type="dxa"/>
            <w:vAlign w:val="center"/>
          </w:tcPr>
          <w:p w14:paraId="27FE58F9">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业务流程节点工作量汇总统计</w:t>
            </w:r>
          </w:p>
        </w:tc>
        <w:tc>
          <w:tcPr>
            <w:tcW w:w="7605" w:type="dxa"/>
            <w:vAlign w:val="center"/>
          </w:tcPr>
          <w:p w14:paraId="63A81C60">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可对回收、清洗、包装、灭菌、发放等流程节点按包或器械统计汇总工作量。</w:t>
            </w:r>
          </w:p>
        </w:tc>
      </w:tr>
      <w:tr w14:paraId="5D4CD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tcPr>
          <w:p w14:paraId="4122E92F">
            <w:pPr>
              <w:widowControl/>
              <w:textAlignment w:val="center"/>
              <w:rPr>
                <w:rFonts w:hint="eastAsia" w:ascii="宋体" w:hAnsi="宋体" w:cs="宋体"/>
                <w:snapToGrid w:val="0"/>
                <w:color w:val="000000"/>
                <w:kern w:val="0"/>
                <w:szCs w:val="21"/>
              </w:rPr>
            </w:pPr>
          </w:p>
        </w:tc>
        <w:tc>
          <w:tcPr>
            <w:tcW w:w="1549" w:type="dxa"/>
            <w:vAlign w:val="center"/>
          </w:tcPr>
          <w:p w14:paraId="73588710">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器械包追溯统计</w:t>
            </w:r>
          </w:p>
        </w:tc>
        <w:tc>
          <w:tcPr>
            <w:tcW w:w="7605" w:type="dxa"/>
            <w:vAlign w:val="center"/>
          </w:tcPr>
          <w:p w14:paraId="26426C99">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可追溯记录对器械包生命周期内的处理流程环节的工作内容。</w:t>
            </w:r>
          </w:p>
        </w:tc>
      </w:tr>
      <w:tr w14:paraId="704EB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restart"/>
            <w:vAlign w:val="center"/>
          </w:tcPr>
          <w:p w14:paraId="199061A2">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使用科室管理</w:t>
            </w:r>
          </w:p>
        </w:tc>
        <w:tc>
          <w:tcPr>
            <w:tcW w:w="1549" w:type="dxa"/>
            <w:vAlign w:val="center"/>
          </w:tcPr>
          <w:p w14:paraId="52FE42DE">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器械包接收</w:t>
            </w:r>
          </w:p>
        </w:tc>
        <w:tc>
          <w:tcPr>
            <w:tcW w:w="7605" w:type="dxa"/>
            <w:vAlign w:val="center"/>
          </w:tcPr>
          <w:p w14:paraId="7F580F45">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使用科室对供应科发放的器械包操作一键接收入库或扫码接收入库，对不能接收的器械包登记原因并拒收。</w:t>
            </w:r>
          </w:p>
        </w:tc>
      </w:tr>
      <w:tr w14:paraId="76579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tcPr>
          <w:p w14:paraId="16822F8B">
            <w:pPr>
              <w:widowControl/>
              <w:textAlignment w:val="center"/>
              <w:rPr>
                <w:rFonts w:hint="eastAsia" w:ascii="宋体" w:hAnsi="宋体" w:cs="宋体"/>
                <w:snapToGrid w:val="0"/>
                <w:color w:val="000000"/>
                <w:kern w:val="0"/>
                <w:szCs w:val="21"/>
              </w:rPr>
            </w:pPr>
          </w:p>
        </w:tc>
        <w:tc>
          <w:tcPr>
            <w:tcW w:w="1549" w:type="dxa"/>
            <w:vAlign w:val="center"/>
          </w:tcPr>
          <w:p w14:paraId="1B66B50D">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▲科室无菌库</w:t>
            </w:r>
          </w:p>
        </w:tc>
        <w:tc>
          <w:tcPr>
            <w:tcW w:w="7605" w:type="dxa"/>
            <w:vAlign w:val="center"/>
          </w:tcPr>
          <w:p w14:paraId="4E3C671F">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系统可通过扫描包码或手工输入包码进行自用出库，记录出库人及出库时间；</w:t>
            </w:r>
          </w:p>
          <w:p w14:paraId="7E4D0153">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系统可通过扫描包码或手工输入包码对过期包进行出库操作，并记录出库人及出库时间；</w:t>
            </w:r>
          </w:p>
          <w:p w14:paraId="6B38D106">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系统对科室无菌库进行包计数统计，也支持按包名、包类进行查询统计；</w:t>
            </w:r>
          </w:p>
          <w:p w14:paraId="7DB7C764">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系统支持科室无菌库过期提醒，各科室可根据无菌包不同效期进行自由设定提醒时间；</w:t>
            </w:r>
          </w:p>
          <w:p w14:paraId="0E693D0B">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科室会收到供应科发起的器械包召回信息，并对科室所要召回的包进行分类显示（未使用的包、已使用的包及使用患者信息）。</w:t>
            </w:r>
          </w:p>
        </w:tc>
      </w:tr>
      <w:tr w14:paraId="27875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tcPr>
          <w:p w14:paraId="184615D6">
            <w:pPr>
              <w:widowControl/>
              <w:textAlignment w:val="center"/>
              <w:rPr>
                <w:rFonts w:hint="eastAsia" w:ascii="宋体" w:hAnsi="宋体" w:cs="宋体"/>
                <w:snapToGrid w:val="0"/>
                <w:color w:val="000000"/>
                <w:kern w:val="0"/>
                <w:szCs w:val="21"/>
              </w:rPr>
            </w:pPr>
          </w:p>
        </w:tc>
        <w:tc>
          <w:tcPr>
            <w:tcW w:w="1549" w:type="dxa"/>
            <w:vAlign w:val="center"/>
          </w:tcPr>
          <w:p w14:paraId="53C06EE9">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使用登记</w:t>
            </w:r>
          </w:p>
        </w:tc>
        <w:tc>
          <w:tcPr>
            <w:tcW w:w="7605" w:type="dxa"/>
            <w:vAlign w:val="center"/>
          </w:tcPr>
          <w:p w14:paraId="186BB504">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登记患者信息，以及使用到的器械包，如果器械包有状态异常会自动提醒；</w:t>
            </w:r>
          </w:p>
          <w:p w14:paraId="770C2228">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从医院系统对接患者信息的场合，录入患者信息可以通过患者ID快速带入填写登记信息。</w:t>
            </w:r>
          </w:p>
        </w:tc>
      </w:tr>
      <w:tr w14:paraId="2F5E3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tcPr>
          <w:p w14:paraId="0D69E139">
            <w:pPr>
              <w:widowControl/>
              <w:textAlignment w:val="center"/>
              <w:rPr>
                <w:rFonts w:hint="eastAsia" w:ascii="宋体" w:hAnsi="宋体" w:cs="宋体"/>
                <w:snapToGrid w:val="0"/>
                <w:color w:val="000000"/>
                <w:kern w:val="0"/>
                <w:szCs w:val="21"/>
              </w:rPr>
            </w:pPr>
          </w:p>
        </w:tc>
        <w:tc>
          <w:tcPr>
            <w:tcW w:w="1549" w:type="dxa"/>
            <w:vAlign w:val="center"/>
          </w:tcPr>
          <w:p w14:paraId="31F207FF">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▲手麻系统对接使用登记</w:t>
            </w:r>
          </w:p>
        </w:tc>
        <w:tc>
          <w:tcPr>
            <w:tcW w:w="7605" w:type="dxa"/>
            <w:vAlign w:val="center"/>
          </w:tcPr>
          <w:p w14:paraId="2D2995A2">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手麻系统配合对接后，追溯系统的包信息（含明细、有效期、实时状态）直接推送到手术麻醉系统，进行使用登记后回传信息给追溯系统，无需切换登录。</w:t>
            </w:r>
          </w:p>
        </w:tc>
      </w:tr>
      <w:tr w14:paraId="52D21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tcPr>
          <w:p w14:paraId="4BDA6E31">
            <w:pPr>
              <w:widowControl/>
              <w:textAlignment w:val="center"/>
              <w:rPr>
                <w:rFonts w:hint="eastAsia" w:ascii="宋体" w:hAnsi="宋体" w:cs="宋体"/>
                <w:snapToGrid w:val="0"/>
                <w:color w:val="000000"/>
                <w:kern w:val="0"/>
                <w:szCs w:val="21"/>
              </w:rPr>
            </w:pPr>
          </w:p>
        </w:tc>
        <w:tc>
          <w:tcPr>
            <w:tcW w:w="1549" w:type="dxa"/>
            <w:vAlign w:val="center"/>
          </w:tcPr>
          <w:p w14:paraId="15C2252C">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患者记录查询</w:t>
            </w:r>
          </w:p>
        </w:tc>
        <w:tc>
          <w:tcPr>
            <w:tcW w:w="7605" w:type="dxa"/>
            <w:vAlign w:val="center"/>
          </w:tcPr>
          <w:p w14:paraId="5418B484">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可以查询登记过的患者记录并追溯查看相关包信息，支持记录导出。</w:t>
            </w:r>
          </w:p>
        </w:tc>
      </w:tr>
      <w:tr w14:paraId="7613B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tcPr>
          <w:p w14:paraId="6145CB1C">
            <w:pPr>
              <w:widowControl/>
              <w:textAlignment w:val="center"/>
              <w:rPr>
                <w:rFonts w:hint="eastAsia" w:ascii="宋体" w:hAnsi="宋体" w:cs="宋体"/>
                <w:snapToGrid w:val="0"/>
                <w:color w:val="000000"/>
                <w:kern w:val="0"/>
                <w:szCs w:val="21"/>
              </w:rPr>
            </w:pPr>
          </w:p>
        </w:tc>
        <w:tc>
          <w:tcPr>
            <w:tcW w:w="1549" w:type="dxa"/>
            <w:vAlign w:val="center"/>
          </w:tcPr>
          <w:p w14:paraId="4D8DE469">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回收申请</w:t>
            </w:r>
          </w:p>
          <w:p w14:paraId="578077EB">
            <w:pPr>
              <w:widowControl/>
              <w:textAlignment w:val="center"/>
              <w:rPr>
                <w:rFonts w:hint="eastAsia" w:ascii="宋体" w:hAnsi="宋体" w:cs="宋体"/>
                <w:snapToGrid w:val="0"/>
                <w:color w:val="000000"/>
                <w:kern w:val="0"/>
                <w:szCs w:val="21"/>
              </w:rPr>
            </w:pPr>
          </w:p>
        </w:tc>
        <w:tc>
          <w:tcPr>
            <w:tcW w:w="7605" w:type="dxa"/>
            <w:vAlign w:val="center"/>
          </w:tcPr>
          <w:p w14:paraId="76856229">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各科室可通过已使用污包、回收申请模板、输入包名申请等多种方式向供应科提交回收申请，并可对回收申请的物品进行加急、感染等标记，填写备注，拍照说明；</w:t>
            </w:r>
          </w:p>
        </w:tc>
      </w:tr>
      <w:tr w14:paraId="03C4D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tcPr>
          <w:p w14:paraId="6EA2734F">
            <w:pPr>
              <w:widowControl/>
              <w:textAlignment w:val="center"/>
              <w:rPr>
                <w:rFonts w:hint="eastAsia" w:ascii="宋体" w:hAnsi="宋体" w:cs="宋体"/>
                <w:snapToGrid w:val="0"/>
                <w:color w:val="000000"/>
                <w:kern w:val="0"/>
                <w:szCs w:val="21"/>
              </w:rPr>
            </w:pPr>
          </w:p>
        </w:tc>
        <w:tc>
          <w:tcPr>
            <w:tcW w:w="1549" w:type="dxa"/>
            <w:vAlign w:val="center"/>
          </w:tcPr>
          <w:p w14:paraId="692E9402">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发放申请</w:t>
            </w:r>
          </w:p>
        </w:tc>
        <w:tc>
          <w:tcPr>
            <w:tcW w:w="7605" w:type="dxa"/>
            <w:vAlign w:val="center"/>
          </w:tcPr>
          <w:p w14:paraId="3AF109BD">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各科室填写发放申请单，向供应科申请需要发放的物品，并可标记需求时间。</w:t>
            </w:r>
          </w:p>
          <w:p w14:paraId="4C0F588C">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支持借包发放申请，登记发放的申请的加急等级，登记期望发放的时间。</w:t>
            </w:r>
          </w:p>
        </w:tc>
      </w:tr>
      <w:tr w14:paraId="77D70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tcPr>
          <w:p w14:paraId="31A86CC9">
            <w:pPr>
              <w:widowControl/>
              <w:textAlignment w:val="center"/>
              <w:rPr>
                <w:rFonts w:hint="eastAsia" w:ascii="宋体" w:hAnsi="宋体" w:cs="宋体"/>
                <w:snapToGrid w:val="0"/>
                <w:color w:val="000000"/>
                <w:kern w:val="0"/>
                <w:szCs w:val="21"/>
              </w:rPr>
            </w:pPr>
          </w:p>
        </w:tc>
        <w:tc>
          <w:tcPr>
            <w:tcW w:w="1549" w:type="dxa"/>
            <w:vAlign w:val="center"/>
          </w:tcPr>
          <w:p w14:paraId="25621F95">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▲手术排班与手术配包</w:t>
            </w:r>
          </w:p>
        </w:tc>
        <w:tc>
          <w:tcPr>
            <w:tcW w:w="7605" w:type="dxa"/>
            <w:vAlign w:val="center"/>
          </w:tcPr>
          <w:p w14:paraId="40625253">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通过与手术麻醉系统对接，读取手术排班信息和患者信息；</w:t>
            </w:r>
          </w:p>
          <w:p w14:paraId="16FD00AA">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根据手术室要求准备和配置器械包；</w:t>
            </w:r>
          </w:p>
          <w:p w14:paraId="030F2A51">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根据手术室加急要求优先处理器械污包提供使用。</w:t>
            </w:r>
          </w:p>
        </w:tc>
      </w:tr>
      <w:tr w14:paraId="778C1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tcPr>
          <w:p w14:paraId="102E3B41">
            <w:pPr>
              <w:widowControl/>
              <w:textAlignment w:val="center"/>
              <w:rPr>
                <w:rFonts w:hint="eastAsia" w:ascii="宋体" w:hAnsi="宋体" w:cs="宋体"/>
                <w:snapToGrid w:val="0"/>
                <w:color w:val="000000"/>
                <w:kern w:val="0"/>
                <w:szCs w:val="21"/>
              </w:rPr>
            </w:pPr>
          </w:p>
        </w:tc>
        <w:tc>
          <w:tcPr>
            <w:tcW w:w="1549" w:type="dxa"/>
            <w:vAlign w:val="center"/>
          </w:tcPr>
          <w:p w14:paraId="58A3DCF1">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包状态查询</w:t>
            </w:r>
          </w:p>
        </w:tc>
        <w:tc>
          <w:tcPr>
            <w:tcW w:w="7605" w:type="dxa"/>
            <w:vAlign w:val="center"/>
          </w:tcPr>
          <w:p w14:paraId="215FE976">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通过系统中实时查看器械包的当前状态（如清洗中、包装中、灭菌中、已发放、科室无菌库中、手术间、已使用），并能通过包名称查询完整时间线轨迹。</w:t>
            </w:r>
          </w:p>
        </w:tc>
      </w:tr>
      <w:tr w14:paraId="0626D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tcPr>
          <w:p w14:paraId="5C472590">
            <w:pPr>
              <w:widowControl/>
              <w:textAlignment w:val="center"/>
              <w:rPr>
                <w:rFonts w:hint="eastAsia" w:ascii="宋体" w:hAnsi="宋体" w:cs="宋体"/>
                <w:snapToGrid w:val="0"/>
                <w:color w:val="000000"/>
                <w:kern w:val="0"/>
                <w:szCs w:val="21"/>
              </w:rPr>
            </w:pPr>
          </w:p>
        </w:tc>
        <w:tc>
          <w:tcPr>
            <w:tcW w:w="1549" w:type="dxa"/>
            <w:vAlign w:val="center"/>
          </w:tcPr>
          <w:p w14:paraId="3078DA22">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▲功能统计</w:t>
            </w:r>
          </w:p>
        </w:tc>
        <w:tc>
          <w:tcPr>
            <w:tcW w:w="7605" w:type="dxa"/>
            <w:vAlign w:val="center"/>
          </w:tcPr>
          <w:p w14:paraId="27551582">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支持器械包使用次数统计。</w:t>
            </w:r>
          </w:p>
        </w:tc>
      </w:tr>
      <w:tr w14:paraId="6DF5E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Merge w:val="continue"/>
          </w:tcPr>
          <w:p w14:paraId="7C65F1E3">
            <w:pPr>
              <w:widowControl/>
              <w:textAlignment w:val="center"/>
              <w:rPr>
                <w:rFonts w:hint="eastAsia" w:ascii="宋体" w:hAnsi="宋体" w:cs="宋体"/>
                <w:snapToGrid w:val="0"/>
                <w:color w:val="000000"/>
                <w:kern w:val="0"/>
                <w:szCs w:val="21"/>
              </w:rPr>
            </w:pPr>
          </w:p>
        </w:tc>
        <w:tc>
          <w:tcPr>
            <w:tcW w:w="1549" w:type="dxa"/>
            <w:vAlign w:val="center"/>
          </w:tcPr>
          <w:p w14:paraId="6DFD945D">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▲器械异常闭环处理</w:t>
            </w:r>
          </w:p>
        </w:tc>
        <w:tc>
          <w:tcPr>
            <w:tcW w:w="7605" w:type="dxa"/>
            <w:vAlign w:val="center"/>
          </w:tcPr>
          <w:p w14:paraId="34319A37">
            <w:pPr>
              <w:widowControl/>
              <w:textAlignment w:val="center"/>
              <w:rPr>
                <w:rFonts w:hint="eastAsia" w:ascii="宋体" w:hAnsi="宋体" w:cs="宋体"/>
                <w:snapToGrid w:val="0"/>
                <w:color w:val="000000"/>
                <w:kern w:val="0"/>
                <w:szCs w:val="21"/>
              </w:rPr>
            </w:pPr>
            <w:r>
              <w:rPr>
                <w:rFonts w:hint="eastAsia" w:ascii="宋体" w:hAnsi="宋体" w:cs="宋体"/>
                <w:snapToGrid w:val="0"/>
                <w:color w:val="000000"/>
                <w:kern w:val="0"/>
                <w:szCs w:val="21"/>
              </w:rPr>
              <w:t>术中或洗消中发现器械损坏、功能异常，可扫码快速上报，系统自动标记该器械为“禁用”，同步生成维修或报废工单，跟踪处理进度。</w:t>
            </w:r>
          </w:p>
        </w:tc>
      </w:tr>
    </w:tbl>
    <w:p w14:paraId="7269D0D0">
      <w:pPr>
        <w:rPr>
          <w:rFonts w:ascii="宋体" w:hAnsi="宋体"/>
          <w:color w:val="auto"/>
          <w:highlight w:val="none"/>
        </w:rPr>
      </w:pPr>
    </w:p>
    <w:p w14:paraId="21AE6810">
      <w:pPr>
        <w:rPr>
          <w:rFonts w:ascii="宋体" w:hAnsi="宋体"/>
          <w:color w:val="auto"/>
          <w:highlight w:val="none"/>
        </w:rPr>
      </w:pPr>
    </w:p>
    <w:p w14:paraId="3ADB02B5">
      <w:pPr>
        <w:pStyle w:val="4"/>
        <w:numPr>
          <w:ilvl w:val="2"/>
          <w:numId w:val="1"/>
        </w:numPr>
        <w:spacing w:before="0" w:after="0" w:line="360" w:lineRule="auto"/>
        <w:ind w:left="567" w:hanging="567"/>
        <w:rPr>
          <w:color w:val="auto"/>
          <w:sz w:val="24"/>
          <w:highlight w:val="none"/>
        </w:rPr>
      </w:pPr>
      <w:bookmarkStart w:id="75" w:name="_Toc2361"/>
      <w:bookmarkStart w:id="76" w:name="_Toc14132"/>
      <w:bookmarkStart w:id="77" w:name="_Toc23273"/>
      <w:bookmarkStart w:id="78" w:name="_Toc5564"/>
      <w:bookmarkStart w:id="79" w:name="_Toc12384"/>
      <w:r>
        <w:rPr>
          <w:rFonts w:hint="eastAsia" w:eastAsia="宋体"/>
          <w:color w:val="auto"/>
          <w:sz w:val="24"/>
          <w:szCs w:val="24"/>
          <w:highlight w:val="none"/>
        </w:rPr>
        <w:t>感染管理系统</w:t>
      </w:r>
      <w:bookmarkEnd w:id="75"/>
      <w:bookmarkEnd w:id="76"/>
      <w:bookmarkEnd w:id="77"/>
      <w:bookmarkEnd w:id="78"/>
      <w:bookmarkEnd w:id="79"/>
    </w:p>
    <w:tbl>
      <w:tblPr>
        <w:tblStyle w:val="46"/>
        <w:tblW w:w="9959" w:type="dxa"/>
        <w:jc w:val="center"/>
        <w:tblLayout w:type="fixed"/>
        <w:tblCellMar>
          <w:top w:w="0" w:type="dxa"/>
          <w:left w:w="108" w:type="dxa"/>
          <w:bottom w:w="0" w:type="dxa"/>
          <w:right w:w="108" w:type="dxa"/>
        </w:tblCellMar>
      </w:tblPr>
      <w:tblGrid>
        <w:gridCol w:w="878"/>
        <w:gridCol w:w="1194"/>
        <w:gridCol w:w="7887"/>
      </w:tblGrid>
      <w:tr w14:paraId="0825188F">
        <w:tblPrEx>
          <w:tblCellMar>
            <w:top w:w="0" w:type="dxa"/>
            <w:left w:w="108" w:type="dxa"/>
            <w:bottom w:w="0" w:type="dxa"/>
            <w:right w:w="108" w:type="dxa"/>
          </w:tblCellMar>
        </w:tblPrEx>
        <w:trPr>
          <w:trHeight w:val="803" w:hRule="atLeast"/>
          <w:jc w:val="center"/>
        </w:trPr>
        <w:tc>
          <w:tcPr>
            <w:tcW w:w="878" w:type="dxa"/>
            <w:tcBorders>
              <w:top w:val="single" w:color="auto" w:sz="8" w:space="0"/>
              <w:left w:val="single" w:color="auto" w:sz="8" w:space="0"/>
              <w:bottom w:val="single" w:color="auto" w:sz="8" w:space="0"/>
              <w:right w:val="single" w:color="auto" w:sz="8" w:space="0"/>
            </w:tcBorders>
            <w:vAlign w:val="center"/>
          </w:tcPr>
          <w:p w14:paraId="7F03ABDF">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需求名称</w:t>
            </w:r>
          </w:p>
        </w:tc>
        <w:tc>
          <w:tcPr>
            <w:tcW w:w="1194" w:type="dxa"/>
            <w:tcBorders>
              <w:top w:val="single" w:color="auto" w:sz="8" w:space="0"/>
              <w:left w:val="single" w:color="auto" w:sz="8" w:space="0"/>
              <w:bottom w:val="single" w:color="auto" w:sz="8" w:space="0"/>
              <w:right w:val="single" w:color="auto" w:sz="8" w:space="0"/>
            </w:tcBorders>
            <w:vAlign w:val="center"/>
          </w:tcPr>
          <w:p w14:paraId="4AE58D36">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序号</w:t>
            </w:r>
          </w:p>
        </w:tc>
        <w:tc>
          <w:tcPr>
            <w:tcW w:w="7887" w:type="dxa"/>
            <w:tcBorders>
              <w:top w:val="single" w:color="auto" w:sz="8" w:space="0"/>
              <w:left w:val="nil"/>
              <w:bottom w:val="single" w:color="auto" w:sz="8" w:space="0"/>
              <w:right w:val="single" w:color="auto" w:sz="8" w:space="0"/>
            </w:tcBorders>
            <w:vAlign w:val="center"/>
          </w:tcPr>
          <w:p w14:paraId="63672C8D">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需求描述</w:t>
            </w:r>
          </w:p>
        </w:tc>
      </w:tr>
      <w:tr w14:paraId="6F2E0AE1">
        <w:tblPrEx>
          <w:tblCellMar>
            <w:top w:w="0" w:type="dxa"/>
            <w:left w:w="108" w:type="dxa"/>
            <w:bottom w:w="0" w:type="dxa"/>
            <w:right w:w="108" w:type="dxa"/>
          </w:tblCellMar>
        </w:tblPrEx>
        <w:trPr>
          <w:trHeight w:val="1675" w:hRule="atLeast"/>
          <w:jc w:val="center"/>
        </w:trPr>
        <w:tc>
          <w:tcPr>
            <w:tcW w:w="878" w:type="dxa"/>
            <w:vMerge w:val="restart"/>
            <w:tcBorders>
              <w:top w:val="nil"/>
              <w:left w:val="single" w:color="auto" w:sz="8" w:space="0"/>
              <w:right w:val="single" w:color="auto" w:sz="8" w:space="0"/>
            </w:tcBorders>
            <w:vAlign w:val="center"/>
          </w:tcPr>
          <w:p w14:paraId="122BD8AE">
            <w:pPr>
              <w:keepNext w:val="0"/>
              <w:keepLines w:val="0"/>
              <w:pageBreakBefore w:val="0"/>
              <w:numPr>
                <w:ilvl w:val="0"/>
                <w:numId w:val="0"/>
              </w:numPr>
              <w:kinsoku/>
              <w:wordWrap/>
              <w:overflowPunct/>
              <w:topLinePunct w:val="0"/>
              <w:autoSpaceDE/>
              <w:autoSpaceDN/>
              <w:bidi w:val="0"/>
              <w:adjustRightInd w:val="0"/>
              <w:snapToGrid w:val="0"/>
              <w:spacing w:line="360" w:lineRule="auto"/>
              <w:ind w:left="0" w:firstLine="0"/>
              <w:jc w:val="left"/>
              <w:textAlignment w:val="auto"/>
              <w:rPr>
                <w:color w:val="auto"/>
                <w:highlight w:val="none"/>
                <w:lang w:val="zh-TW"/>
              </w:rPr>
            </w:pPr>
            <w:r>
              <w:rPr>
                <w:rFonts w:hint="eastAsia" w:ascii="宋体" w:hAnsi="宋体" w:cs="宋体"/>
                <w:color w:val="auto"/>
                <w:szCs w:val="21"/>
                <w:highlight w:val="none"/>
              </w:rPr>
              <w:t>感染管理系统</w:t>
            </w:r>
          </w:p>
        </w:tc>
        <w:tc>
          <w:tcPr>
            <w:tcW w:w="1194" w:type="dxa"/>
            <w:tcBorders>
              <w:top w:val="nil"/>
              <w:left w:val="single" w:color="auto" w:sz="8" w:space="0"/>
              <w:bottom w:val="single" w:color="auto" w:sz="4" w:space="0"/>
              <w:right w:val="single" w:color="auto" w:sz="8" w:space="0"/>
            </w:tcBorders>
            <w:vAlign w:val="center"/>
          </w:tcPr>
          <w:p w14:paraId="37243D90">
            <w:pPr>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olor w:val="auto"/>
                <w:szCs w:val="21"/>
                <w:highlight w:val="none"/>
              </w:rPr>
            </w:pPr>
            <w:r>
              <w:rPr>
                <w:rFonts w:hint="eastAsia" w:ascii="宋体" w:hAnsi="宋体"/>
                <w:color w:val="auto"/>
                <w:szCs w:val="21"/>
                <w:highlight w:val="none"/>
              </w:rPr>
              <w:t>标准与规范</w:t>
            </w:r>
          </w:p>
        </w:tc>
        <w:tc>
          <w:tcPr>
            <w:tcW w:w="7887" w:type="dxa"/>
            <w:tcBorders>
              <w:top w:val="nil"/>
              <w:left w:val="nil"/>
              <w:bottom w:val="single" w:color="auto" w:sz="8" w:space="0"/>
              <w:right w:val="single" w:color="auto" w:sz="8" w:space="0"/>
            </w:tcBorders>
            <w:vAlign w:val="center"/>
          </w:tcPr>
          <w:p w14:paraId="045A998E">
            <w:pPr>
              <w:pStyle w:val="85"/>
              <w:keepNext w:val="0"/>
              <w:keepLines w:val="0"/>
              <w:pageBreakBefore w:val="0"/>
              <w:widowControl/>
              <w:numPr>
                <w:ilvl w:val="0"/>
                <w:numId w:val="28"/>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rPr>
            </w:pPr>
            <w:r>
              <w:rPr>
                <w:rFonts w:hint="eastAsia" w:ascii="宋体" w:hAnsi="宋体"/>
                <w:color w:val="auto"/>
                <w:highlight w:val="none"/>
                <w:lang w:val="zh-TW"/>
              </w:rPr>
              <w:t>满足卫健委2017年发布的《WS/T 547-2017医院感染管理信息系统基本功能规范》要求；</w:t>
            </w:r>
          </w:p>
          <w:p w14:paraId="22C180B4">
            <w:pPr>
              <w:pStyle w:val="85"/>
              <w:keepNext w:val="0"/>
              <w:keepLines w:val="0"/>
              <w:pageBreakBefore w:val="0"/>
              <w:widowControl/>
              <w:numPr>
                <w:ilvl w:val="0"/>
                <w:numId w:val="28"/>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rPr>
            </w:pPr>
            <w:r>
              <w:rPr>
                <w:rFonts w:hint="eastAsia" w:ascii="宋体" w:hAnsi="宋体"/>
                <w:color w:val="auto"/>
                <w:highlight w:val="none"/>
                <w:lang w:val="zh-TW"/>
              </w:rPr>
              <w:t>满足卫健委医院管理研究所2021年发布的《NIHA医院感染监测基本数据集及质量控制指标集实施指南（2021版）》中的数据采集要求及统计要求；</w:t>
            </w:r>
          </w:p>
          <w:p w14:paraId="747341FE">
            <w:pPr>
              <w:pStyle w:val="85"/>
              <w:keepNext w:val="0"/>
              <w:keepLines w:val="0"/>
              <w:pageBreakBefore w:val="0"/>
              <w:widowControl/>
              <w:numPr>
                <w:ilvl w:val="0"/>
                <w:numId w:val="28"/>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rPr>
            </w:pPr>
            <w:r>
              <w:rPr>
                <w:rFonts w:hint="eastAsia" w:ascii="宋体" w:hAnsi="宋体"/>
                <w:color w:val="auto"/>
                <w:highlight w:val="none"/>
                <w:lang w:val="zh-TW"/>
              </w:rPr>
              <w:t>满足卫健委2009年发布的《WS/T 312-2009医院感染监测规范》要求。</w:t>
            </w:r>
          </w:p>
          <w:p w14:paraId="04B7ADDB">
            <w:pPr>
              <w:pStyle w:val="85"/>
              <w:keepNext w:val="0"/>
              <w:keepLines w:val="0"/>
              <w:pageBreakBefore w:val="0"/>
              <w:widowControl/>
              <w:numPr>
                <w:ilvl w:val="0"/>
                <w:numId w:val="28"/>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rPr>
            </w:pPr>
            <w:r>
              <w:rPr>
                <w:rFonts w:hint="eastAsia" w:ascii="宋体" w:hAnsi="宋体"/>
                <w:color w:val="auto"/>
                <w:highlight w:val="none"/>
                <w:lang w:val="zh-TW"/>
              </w:rPr>
              <w:t>满足《WS670-2021医疗机构感染监测基本数据集》要求；</w:t>
            </w:r>
          </w:p>
          <w:p w14:paraId="15955259">
            <w:pPr>
              <w:pStyle w:val="85"/>
              <w:keepNext w:val="0"/>
              <w:keepLines w:val="0"/>
              <w:pageBreakBefore w:val="0"/>
              <w:widowControl/>
              <w:numPr>
                <w:ilvl w:val="0"/>
                <w:numId w:val="28"/>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rPr>
            </w:pPr>
            <w:r>
              <w:rPr>
                <w:rFonts w:hint="eastAsia" w:ascii="宋体" w:hAnsi="宋体"/>
                <w:color w:val="auto"/>
                <w:highlight w:val="none"/>
                <w:lang w:val="zh-TW"/>
              </w:rPr>
              <w:t>《医院感染信息化监测现场检查量表2017版》；</w:t>
            </w:r>
          </w:p>
          <w:p w14:paraId="1C84E51E">
            <w:pPr>
              <w:pStyle w:val="85"/>
              <w:keepNext w:val="0"/>
              <w:keepLines w:val="0"/>
              <w:pageBreakBefore w:val="0"/>
              <w:widowControl/>
              <w:numPr>
                <w:ilvl w:val="0"/>
                <w:numId w:val="28"/>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rPr>
            </w:pPr>
            <w:r>
              <w:rPr>
                <w:rFonts w:hint="eastAsia" w:ascii="宋体" w:hAnsi="宋体"/>
                <w:color w:val="auto"/>
                <w:highlight w:val="none"/>
              </w:rPr>
              <w:t>符合国家卫生健康委员会2023年8月20日发布的 《WS/T 312-2023 医院感染监测标准》要求：针对《医院感染监测标准2023版》，推出新职业暴露，多耐药去重计算等多个新标准计算模块，更好的配合医院开展新标准下的现患调查、耐药检出率、ICU感染率、血液透析等监测工作；</w:t>
            </w:r>
          </w:p>
          <w:p w14:paraId="31567FFF">
            <w:pPr>
              <w:pStyle w:val="85"/>
              <w:keepNext w:val="0"/>
              <w:keepLines w:val="0"/>
              <w:pageBreakBefore w:val="0"/>
              <w:widowControl/>
              <w:numPr>
                <w:ilvl w:val="0"/>
                <w:numId w:val="28"/>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rPr>
            </w:pPr>
            <w:r>
              <w:rPr>
                <w:rFonts w:hint="eastAsia" w:ascii="宋体" w:hAnsi="宋体"/>
                <w:color w:val="auto"/>
                <w:highlight w:val="none"/>
                <w:lang w:val="zh-TW"/>
              </w:rPr>
              <w:t>满足卫生部《三级医院评审标准（2020年版）实施细则》等级医院评审对院感模块的要求；</w:t>
            </w:r>
          </w:p>
          <w:p w14:paraId="5E793A25">
            <w:pPr>
              <w:pStyle w:val="85"/>
              <w:keepNext w:val="0"/>
              <w:keepLines w:val="0"/>
              <w:pageBreakBefore w:val="0"/>
              <w:widowControl/>
              <w:numPr>
                <w:ilvl w:val="0"/>
                <w:numId w:val="28"/>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rPr>
            </w:pPr>
            <w:r>
              <w:rPr>
                <w:rFonts w:hint="eastAsia" w:ascii="宋体" w:hAnsi="宋体"/>
                <w:color w:val="auto"/>
                <w:highlight w:val="none"/>
                <w:lang w:val="zh-TW"/>
              </w:rPr>
              <w:t>满足《医院信息互联互通标准化成熟度测评方案（2020年版）》医院互联互通</w:t>
            </w:r>
            <w:r>
              <w:rPr>
                <w:rFonts w:hint="eastAsia" w:ascii="宋体" w:hAnsi="宋体"/>
                <w:color w:val="auto"/>
                <w:highlight w:val="none"/>
              </w:rPr>
              <w:t>四级甲等</w:t>
            </w:r>
            <w:r>
              <w:rPr>
                <w:rFonts w:hint="eastAsia" w:ascii="宋体" w:hAnsi="宋体"/>
                <w:color w:val="auto"/>
                <w:highlight w:val="none"/>
                <w:lang w:val="zh-TW"/>
              </w:rPr>
              <w:t>对院感的要求；</w:t>
            </w:r>
          </w:p>
          <w:p w14:paraId="6BB8757B">
            <w:pPr>
              <w:pStyle w:val="85"/>
              <w:keepNext w:val="0"/>
              <w:keepLines w:val="0"/>
              <w:pageBreakBefore w:val="0"/>
              <w:widowControl/>
              <w:numPr>
                <w:ilvl w:val="0"/>
                <w:numId w:val="28"/>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rPr>
            </w:pPr>
            <w:r>
              <w:rPr>
                <w:rFonts w:hint="eastAsia" w:ascii="宋体" w:hAnsi="宋体"/>
                <w:color w:val="auto"/>
                <w:highlight w:val="none"/>
                <w:lang w:val="zh-TW"/>
              </w:rPr>
              <w:t>满足《电子病历系统功能应用水平分级评价方法及标准(试行)》</w:t>
            </w:r>
            <w:r>
              <w:rPr>
                <w:rFonts w:hint="eastAsia" w:ascii="宋体" w:hAnsi="宋体"/>
                <w:color w:val="auto"/>
                <w:highlight w:val="none"/>
              </w:rPr>
              <w:t>医院电子病历评级六级对院感的要求；</w:t>
            </w:r>
          </w:p>
          <w:p w14:paraId="1E7FD9EF">
            <w:pPr>
              <w:pStyle w:val="85"/>
              <w:keepNext w:val="0"/>
              <w:keepLines w:val="0"/>
              <w:pageBreakBefore w:val="0"/>
              <w:widowControl/>
              <w:numPr>
                <w:ilvl w:val="0"/>
                <w:numId w:val="28"/>
              </w:numPr>
              <w:kinsoku/>
              <w:wordWrap/>
              <w:overflowPunct/>
              <w:topLinePunct w:val="0"/>
              <w:autoSpaceDE/>
              <w:autoSpaceDN/>
              <w:bidi w:val="0"/>
              <w:adjustRightInd w:val="0"/>
              <w:snapToGrid w:val="0"/>
              <w:spacing w:line="360" w:lineRule="auto"/>
              <w:ind w:firstLineChars="0"/>
              <w:jc w:val="left"/>
              <w:textAlignment w:val="auto"/>
              <w:rPr>
                <w:rFonts w:ascii="宋体" w:hAnsi="宋体" w:cs="宋体"/>
                <w:color w:val="auto"/>
                <w:kern w:val="0"/>
                <w:szCs w:val="21"/>
                <w:highlight w:val="none"/>
              </w:rPr>
            </w:pPr>
            <w:r>
              <w:rPr>
                <w:rFonts w:hint="eastAsia" w:ascii="宋体" w:hAnsi="宋体"/>
                <w:color w:val="auto"/>
                <w:highlight w:val="none"/>
              </w:rPr>
              <w:t>满足CMISS全国医疗机构感染监测网数据采集要求</w:t>
            </w:r>
          </w:p>
          <w:p w14:paraId="29D86F2E">
            <w:pPr>
              <w:pStyle w:val="85"/>
              <w:keepNext w:val="0"/>
              <w:keepLines w:val="0"/>
              <w:pageBreakBefore w:val="0"/>
              <w:widowControl/>
              <w:numPr>
                <w:ilvl w:val="0"/>
                <w:numId w:val="28"/>
              </w:numPr>
              <w:kinsoku/>
              <w:wordWrap/>
              <w:overflowPunct/>
              <w:topLinePunct w:val="0"/>
              <w:autoSpaceDE/>
              <w:autoSpaceDN/>
              <w:bidi w:val="0"/>
              <w:adjustRightInd w:val="0"/>
              <w:snapToGrid w:val="0"/>
              <w:spacing w:line="360" w:lineRule="auto"/>
              <w:ind w:firstLineChars="0"/>
              <w:jc w:val="left"/>
              <w:textAlignment w:val="auto"/>
              <w:rPr>
                <w:rFonts w:ascii="宋体" w:hAnsi="宋体" w:cs="宋体"/>
                <w:color w:val="auto"/>
                <w:kern w:val="0"/>
                <w:szCs w:val="21"/>
                <w:highlight w:val="none"/>
              </w:rPr>
            </w:pPr>
            <w:r>
              <w:rPr>
                <w:rFonts w:hint="eastAsia" w:ascii="宋体" w:hAnsi="宋体"/>
                <w:color w:val="auto"/>
                <w:highlight w:val="none"/>
              </w:rPr>
              <w:t>满足国卫医研函〔2024〕75号-关于印发“夯实围术期感染防控，保障手术质量安全”（“感术”行动）专项行动实施方案的要求</w:t>
            </w:r>
          </w:p>
        </w:tc>
      </w:tr>
      <w:tr w14:paraId="7DDB10E2">
        <w:tblPrEx>
          <w:tblCellMar>
            <w:top w:w="0" w:type="dxa"/>
            <w:left w:w="108" w:type="dxa"/>
            <w:bottom w:w="0" w:type="dxa"/>
            <w:right w:w="108" w:type="dxa"/>
          </w:tblCellMar>
        </w:tblPrEx>
        <w:trPr>
          <w:trHeight w:val="9816" w:hRule="atLeast"/>
          <w:jc w:val="center"/>
        </w:trPr>
        <w:tc>
          <w:tcPr>
            <w:tcW w:w="878" w:type="dxa"/>
            <w:vMerge w:val="continue"/>
            <w:tcBorders>
              <w:left w:val="single" w:color="auto" w:sz="8" w:space="0"/>
              <w:right w:val="single" w:color="auto" w:sz="8" w:space="0"/>
            </w:tcBorders>
            <w:vAlign w:val="center"/>
          </w:tcPr>
          <w:p w14:paraId="54644B67">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color w:val="auto"/>
                <w:highlight w:val="none"/>
                <w:lang w:val="zh-TW" w:eastAsia="zh-TW"/>
              </w:rPr>
            </w:pPr>
          </w:p>
        </w:tc>
        <w:tc>
          <w:tcPr>
            <w:tcW w:w="1194" w:type="dxa"/>
            <w:tcBorders>
              <w:top w:val="single" w:color="auto" w:sz="4" w:space="0"/>
              <w:left w:val="single" w:color="auto" w:sz="8" w:space="0"/>
              <w:bottom w:val="single" w:color="000000" w:sz="8" w:space="0"/>
              <w:right w:val="single" w:color="auto" w:sz="8" w:space="0"/>
            </w:tcBorders>
            <w:vAlign w:val="center"/>
          </w:tcPr>
          <w:p w14:paraId="26AD9D63">
            <w:pPr>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olor w:val="auto"/>
                <w:szCs w:val="21"/>
                <w:highlight w:val="none"/>
              </w:rPr>
            </w:pPr>
            <w:r>
              <w:rPr>
                <w:rFonts w:hint="eastAsia" w:ascii="宋体" w:hAnsi="宋体"/>
                <w:color w:val="auto"/>
                <w:szCs w:val="21"/>
                <w:highlight w:val="none"/>
              </w:rPr>
              <w:t>病例预警</w:t>
            </w:r>
          </w:p>
        </w:tc>
        <w:tc>
          <w:tcPr>
            <w:tcW w:w="7887" w:type="dxa"/>
            <w:tcBorders>
              <w:top w:val="nil"/>
              <w:left w:val="nil"/>
              <w:bottom w:val="single" w:color="auto" w:sz="8" w:space="0"/>
              <w:right w:val="single" w:color="auto" w:sz="8" w:space="0"/>
            </w:tcBorders>
            <w:vAlign w:val="center"/>
          </w:tcPr>
          <w:p w14:paraId="6D7BB92D">
            <w:pPr>
              <w:pStyle w:val="85"/>
              <w:keepNext w:val="0"/>
              <w:keepLines w:val="0"/>
              <w:pageBreakBefore w:val="0"/>
              <w:widowControl/>
              <w:numPr>
                <w:ilvl w:val="0"/>
                <w:numId w:val="29"/>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rPr>
            </w:pPr>
            <w:r>
              <w:rPr>
                <w:rFonts w:hint="eastAsia" w:ascii="宋体" w:hAnsi="宋体"/>
                <w:color w:val="auto"/>
                <w:highlight w:val="none"/>
                <w:lang w:val="zh-TW"/>
              </w:rPr>
              <w:t>支持《</w:t>
            </w:r>
            <w:r>
              <w:rPr>
                <w:rFonts w:hint="eastAsia" w:ascii="宋体" w:hAnsi="宋体"/>
                <w:color w:val="auto"/>
                <w:highlight w:val="none"/>
                <w:lang w:val="zh-TW" w:eastAsia="zh-TW"/>
              </w:rPr>
              <w:t>医院感染诊断标准》</w:t>
            </w:r>
            <w:r>
              <w:rPr>
                <w:rFonts w:hint="eastAsia" w:ascii="宋体" w:hAnsi="宋体"/>
                <w:color w:val="auto"/>
                <w:highlight w:val="none"/>
              </w:rPr>
              <w:t>最新</w:t>
            </w:r>
            <w:r>
              <w:rPr>
                <w:rFonts w:hint="eastAsia" w:ascii="宋体" w:hAnsi="宋体"/>
                <w:color w:val="auto"/>
                <w:highlight w:val="none"/>
                <w:lang w:val="zh-TW"/>
              </w:rPr>
              <w:t>诊断模型。</w:t>
            </w:r>
          </w:p>
          <w:p w14:paraId="3E7BE7DD">
            <w:pPr>
              <w:pStyle w:val="85"/>
              <w:keepNext w:val="0"/>
              <w:keepLines w:val="0"/>
              <w:pageBreakBefore w:val="0"/>
              <w:widowControl/>
              <w:numPr>
                <w:ilvl w:val="0"/>
                <w:numId w:val="29"/>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rPr>
            </w:pPr>
            <w:r>
              <w:rPr>
                <w:rFonts w:hint="eastAsia" w:ascii="宋体" w:hAnsi="宋体"/>
                <w:color w:val="auto"/>
                <w:highlight w:val="none"/>
                <w:lang w:val="zh-TW" w:eastAsia="zh-TW"/>
              </w:rPr>
              <w:t>支持对纯文本、半结构化或结构化的病历内容进行自然语言分析处理，对</w:t>
            </w:r>
            <w:r>
              <w:rPr>
                <w:rFonts w:hint="eastAsia" w:ascii="宋体" w:hAnsi="宋体"/>
                <w:color w:val="auto"/>
                <w:highlight w:val="none"/>
                <w:lang w:val="zh-TW"/>
              </w:rPr>
              <w:t>xml</w:t>
            </w:r>
            <w:r>
              <w:rPr>
                <w:rFonts w:hint="eastAsia" w:ascii="宋体" w:hAnsi="宋体"/>
                <w:color w:val="auto"/>
                <w:highlight w:val="none"/>
                <w:lang w:val="zh-TW" w:eastAsia="zh-TW"/>
              </w:rPr>
              <w:t>、</w:t>
            </w:r>
            <w:r>
              <w:rPr>
                <w:rFonts w:hint="eastAsia" w:ascii="宋体" w:hAnsi="宋体"/>
                <w:color w:val="auto"/>
                <w:highlight w:val="none"/>
                <w:lang w:val="zh-TW"/>
              </w:rPr>
              <w:t>html、rtf、txt</w:t>
            </w:r>
            <w:r>
              <w:rPr>
                <w:rFonts w:hint="eastAsia" w:ascii="宋体" w:hAnsi="宋体"/>
                <w:color w:val="auto"/>
                <w:highlight w:val="none"/>
                <w:lang w:val="zh-TW" w:eastAsia="zh-TW"/>
              </w:rPr>
              <w:t>友好支持；</w:t>
            </w:r>
          </w:p>
          <w:p w14:paraId="327ACE25">
            <w:pPr>
              <w:pStyle w:val="85"/>
              <w:keepNext w:val="0"/>
              <w:keepLines w:val="0"/>
              <w:pageBreakBefore w:val="0"/>
              <w:widowControl/>
              <w:numPr>
                <w:ilvl w:val="0"/>
                <w:numId w:val="29"/>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rPr>
            </w:pPr>
            <w:r>
              <w:rPr>
                <w:rFonts w:hint="eastAsia" w:ascii="宋体" w:hAnsi="宋体"/>
                <w:color w:val="auto"/>
                <w:highlight w:val="none"/>
                <w:lang w:val="zh-TW" w:eastAsia="zh-TW"/>
              </w:rPr>
              <w:t>通过自然语言处理技术对患者病例进行语义分析，智能识别感染因素，</w:t>
            </w:r>
            <w:r>
              <w:rPr>
                <w:rFonts w:hint="eastAsia" w:ascii="宋体" w:hAnsi="宋体"/>
                <w:color w:val="auto"/>
                <w:highlight w:val="none"/>
              </w:rPr>
              <w:t>使用特殊颜色字体在病程中标注，方便用户查看，</w:t>
            </w:r>
            <w:r>
              <w:rPr>
                <w:rFonts w:hint="eastAsia" w:ascii="宋体" w:hAnsi="宋体"/>
                <w:color w:val="auto"/>
                <w:highlight w:val="none"/>
                <w:lang w:val="zh-TW" w:eastAsia="zh-TW"/>
              </w:rPr>
              <w:t>并结合检验、检查、体温等信息进行综合预警；支持标记并提取感染因素，单独一列展示感染因素；</w:t>
            </w:r>
          </w:p>
          <w:p w14:paraId="2C433882">
            <w:pPr>
              <w:pStyle w:val="85"/>
              <w:keepNext w:val="0"/>
              <w:keepLines w:val="0"/>
              <w:pageBreakBefore w:val="0"/>
              <w:widowControl/>
              <w:numPr>
                <w:ilvl w:val="0"/>
                <w:numId w:val="29"/>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rPr>
            </w:pPr>
            <w:r>
              <w:rPr>
                <w:rFonts w:hint="eastAsia" w:ascii="宋体" w:hAnsi="宋体"/>
                <w:color w:val="auto"/>
                <w:highlight w:val="none"/>
              </w:rPr>
              <w:t>预警界面支持临床医生上报院感报卡，支持院感科医生选择</w:t>
            </w:r>
          </w:p>
          <w:p w14:paraId="29DBAF9D">
            <w:pPr>
              <w:pStyle w:val="85"/>
              <w:keepNext w:val="0"/>
              <w:keepLines w:val="0"/>
              <w:pageBreakBefore w:val="0"/>
              <w:widowControl/>
              <w:numPr>
                <w:ilvl w:val="0"/>
                <w:numId w:val="29"/>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rPr>
            </w:pPr>
            <w:r>
              <w:rPr>
                <w:rFonts w:hint="eastAsia" w:ascii="宋体" w:hAnsi="宋体"/>
                <w:color w:val="auto"/>
                <w:highlight w:val="none"/>
                <w:lang w:val="zh-TW" w:eastAsia="zh-TW"/>
              </w:rPr>
              <w:t>支持对患者常规检验中感染相关重要指标进行分析并提示，如降钙素原、</w:t>
            </w:r>
            <w:r>
              <w:rPr>
                <w:rFonts w:hint="eastAsia" w:ascii="宋体" w:hAnsi="宋体"/>
                <w:color w:val="auto"/>
                <w:highlight w:val="none"/>
                <w:lang w:val="zh-TW"/>
              </w:rPr>
              <w:t>C</w:t>
            </w:r>
            <w:r>
              <w:rPr>
                <w:rFonts w:hint="eastAsia" w:ascii="宋体" w:hAnsi="宋体"/>
                <w:color w:val="auto"/>
                <w:highlight w:val="none"/>
                <w:lang w:val="zh-TW" w:eastAsia="zh-TW"/>
              </w:rPr>
              <w:t>反应蛋白、超敏</w:t>
            </w:r>
            <w:r>
              <w:rPr>
                <w:rFonts w:hint="eastAsia" w:ascii="宋体" w:hAnsi="宋体"/>
                <w:color w:val="auto"/>
                <w:highlight w:val="none"/>
                <w:lang w:val="zh-TW"/>
              </w:rPr>
              <w:t>C</w:t>
            </w:r>
            <w:r>
              <w:rPr>
                <w:rFonts w:hint="eastAsia" w:ascii="宋体" w:hAnsi="宋体"/>
                <w:color w:val="auto"/>
                <w:highlight w:val="none"/>
                <w:lang w:val="zh-TW" w:eastAsia="zh-TW"/>
              </w:rPr>
              <w:t>反应蛋白；</w:t>
            </w:r>
          </w:p>
          <w:p w14:paraId="6BECF273">
            <w:pPr>
              <w:pStyle w:val="85"/>
              <w:keepNext w:val="0"/>
              <w:keepLines w:val="0"/>
              <w:pageBreakBefore w:val="0"/>
              <w:widowControl/>
              <w:numPr>
                <w:ilvl w:val="0"/>
                <w:numId w:val="29"/>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rPr>
            </w:pPr>
            <w:r>
              <w:rPr>
                <w:rFonts w:hint="eastAsia" w:ascii="宋体" w:hAnsi="宋体"/>
                <w:color w:val="auto"/>
                <w:highlight w:val="none"/>
                <w:lang w:val="zh-TW" w:eastAsia="zh-TW"/>
              </w:rPr>
              <w:t>结合模型预警计算出患者感染部位的感染开始日期，自动区分出医院感染与社区感染；</w:t>
            </w:r>
          </w:p>
          <w:p w14:paraId="7C1E0C80">
            <w:pPr>
              <w:pStyle w:val="85"/>
              <w:keepNext w:val="0"/>
              <w:keepLines w:val="0"/>
              <w:pageBreakBefore w:val="0"/>
              <w:widowControl/>
              <w:numPr>
                <w:ilvl w:val="0"/>
                <w:numId w:val="29"/>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rPr>
            </w:pPr>
            <w:r>
              <w:rPr>
                <w:rFonts w:hint="eastAsia" w:ascii="宋体" w:hAnsi="宋体"/>
                <w:color w:val="auto"/>
                <w:highlight w:val="none"/>
                <w:lang w:val="zh-TW" w:eastAsia="zh-TW"/>
              </w:rPr>
              <w:t>自动生成待处理疑似感染病例，按在院、关注患者、出院三种患者角度进行预警病例查看，同时支持根据用户管辖科室、全院两种方式查看；</w:t>
            </w:r>
          </w:p>
          <w:p w14:paraId="27D28BE7">
            <w:pPr>
              <w:pStyle w:val="85"/>
              <w:keepNext w:val="0"/>
              <w:keepLines w:val="0"/>
              <w:pageBreakBefore w:val="0"/>
              <w:widowControl/>
              <w:numPr>
                <w:ilvl w:val="0"/>
                <w:numId w:val="29"/>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rPr>
            </w:pPr>
            <w:r>
              <w:rPr>
                <w:rFonts w:hint="eastAsia" w:ascii="宋体" w:hAnsi="宋体"/>
                <w:color w:val="auto"/>
                <w:highlight w:val="none"/>
                <w:lang w:val="zh-TW" w:eastAsia="zh-TW"/>
              </w:rPr>
              <w:t>支持对患者疑似感染病例操作的同时，可查看患者的重要关注因素；</w:t>
            </w:r>
          </w:p>
          <w:p w14:paraId="534DEB11">
            <w:pPr>
              <w:pStyle w:val="85"/>
              <w:keepNext w:val="0"/>
              <w:keepLines w:val="0"/>
              <w:pageBreakBefore w:val="0"/>
              <w:widowControl/>
              <w:numPr>
                <w:ilvl w:val="0"/>
                <w:numId w:val="29"/>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rPr>
            </w:pPr>
            <w:r>
              <w:rPr>
                <w:rFonts w:hint="eastAsia" w:ascii="宋体" w:hAnsi="宋体"/>
                <w:color w:val="auto"/>
                <w:highlight w:val="none"/>
                <w:lang w:val="zh-TW" w:eastAsia="zh-TW"/>
              </w:rPr>
              <w:t>支持专职人员对疑似病例处理，包括确认、代报、排除，处理后的疑似病例标记为已确认、已排除，未处理的则是未处理标识；</w:t>
            </w:r>
          </w:p>
          <w:p w14:paraId="6F3FD652">
            <w:pPr>
              <w:pStyle w:val="85"/>
              <w:keepNext w:val="0"/>
              <w:keepLines w:val="0"/>
              <w:pageBreakBefore w:val="0"/>
              <w:widowControl/>
              <w:numPr>
                <w:ilvl w:val="0"/>
                <w:numId w:val="29"/>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rPr>
            </w:pPr>
            <w:r>
              <w:rPr>
                <w:rFonts w:hint="eastAsia" w:ascii="宋体" w:hAnsi="宋体"/>
                <w:color w:val="auto"/>
                <w:highlight w:val="none"/>
                <w:lang w:val="zh-TW" w:eastAsia="zh-TW"/>
              </w:rPr>
              <w:t>对疑似感染病例的预警来源维度分类展示，包括：病历、检验、体温、影像、抗菌药物使用情况，方便专职人员查阅；</w:t>
            </w:r>
          </w:p>
          <w:p w14:paraId="7F0DFE3F">
            <w:pPr>
              <w:pStyle w:val="85"/>
              <w:keepNext w:val="0"/>
              <w:keepLines w:val="0"/>
              <w:pageBreakBefore w:val="0"/>
              <w:widowControl/>
              <w:numPr>
                <w:ilvl w:val="0"/>
                <w:numId w:val="29"/>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rPr>
            </w:pPr>
            <w:r>
              <w:rPr>
                <w:rFonts w:hint="eastAsia" w:ascii="宋体" w:hAnsi="宋体"/>
                <w:color w:val="auto"/>
                <w:highlight w:val="none"/>
                <w:lang w:val="zh-TW" w:eastAsia="zh-TW"/>
              </w:rPr>
              <w:t>对疑似感染病例的预警来源直观展示，包括：诊断感染依据、原文内容、出现时间段；</w:t>
            </w:r>
          </w:p>
          <w:p w14:paraId="56DFBDD5">
            <w:pPr>
              <w:pStyle w:val="85"/>
              <w:keepNext w:val="0"/>
              <w:keepLines w:val="0"/>
              <w:pageBreakBefore w:val="0"/>
              <w:widowControl/>
              <w:numPr>
                <w:ilvl w:val="0"/>
                <w:numId w:val="29"/>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rPr>
            </w:pPr>
            <w:r>
              <w:rPr>
                <w:rFonts w:hint="eastAsia" w:ascii="宋体" w:hAnsi="宋体"/>
                <w:color w:val="auto"/>
                <w:highlight w:val="none"/>
                <w:lang w:val="zh-TW" w:eastAsia="zh-TW"/>
              </w:rPr>
              <w:t>支持对病历中感染因素进行颜色标记，以便专职人员能够直观</w:t>
            </w:r>
            <w:r>
              <w:rPr>
                <w:rFonts w:hint="eastAsia" w:ascii="宋体" w:hAnsi="宋体"/>
                <w:color w:val="auto"/>
                <w:highlight w:val="none"/>
                <w:lang w:val="zh-TW"/>
              </w:rPr>
              <w:t>追溯病历重要内容；</w:t>
            </w:r>
          </w:p>
          <w:p w14:paraId="60827376">
            <w:pPr>
              <w:pStyle w:val="85"/>
              <w:keepNext w:val="0"/>
              <w:keepLines w:val="0"/>
              <w:pageBreakBefore w:val="0"/>
              <w:widowControl/>
              <w:numPr>
                <w:ilvl w:val="0"/>
                <w:numId w:val="29"/>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rPr>
            </w:pPr>
            <w:r>
              <w:rPr>
                <w:rFonts w:hint="eastAsia" w:ascii="宋体" w:hAnsi="宋体"/>
                <w:color w:val="auto"/>
                <w:highlight w:val="none"/>
                <w:lang w:val="zh-TW" w:eastAsia="zh-TW"/>
              </w:rPr>
              <w:t>支持对患者病例</w:t>
            </w:r>
            <w:r>
              <w:rPr>
                <w:rFonts w:hint="eastAsia" w:ascii="宋体" w:hAnsi="宋体"/>
                <w:color w:val="auto"/>
                <w:highlight w:val="none"/>
                <w:lang w:val="zh-TW"/>
              </w:rPr>
              <w:t>重点</w:t>
            </w:r>
            <w:r>
              <w:rPr>
                <w:rFonts w:hint="eastAsia" w:ascii="宋体" w:hAnsi="宋体"/>
                <w:color w:val="auto"/>
                <w:highlight w:val="none"/>
                <w:lang w:val="zh-TW" w:eastAsia="zh-TW"/>
              </w:rPr>
              <w:t>关注操作，同时以</w:t>
            </w:r>
            <w:r>
              <w:rPr>
                <w:rFonts w:hint="eastAsia" w:ascii="宋体" w:hAnsi="宋体"/>
                <w:color w:val="auto"/>
                <w:highlight w:val="none"/>
                <w:lang w:val="zh-TW"/>
              </w:rPr>
              <w:t>角标</w:t>
            </w:r>
            <w:r>
              <w:rPr>
                <w:rFonts w:hint="eastAsia" w:ascii="宋体" w:hAnsi="宋体"/>
                <w:color w:val="auto"/>
                <w:highlight w:val="none"/>
                <w:lang w:val="zh-TW" w:eastAsia="zh-TW"/>
              </w:rPr>
              <w:t>标记患者诊疗卡片，方便用户直观看到是否为关注患者</w:t>
            </w:r>
            <w:r>
              <w:rPr>
                <w:rFonts w:hint="eastAsia" w:ascii="宋体" w:hAnsi="宋体"/>
                <w:color w:val="auto"/>
                <w:highlight w:val="none"/>
                <w:lang w:val="zh-TW"/>
              </w:rPr>
              <w:t>，进行后续跟踪</w:t>
            </w:r>
            <w:r>
              <w:rPr>
                <w:rFonts w:hint="eastAsia" w:ascii="宋体" w:hAnsi="宋体"/>
                <w:color w:val="auto"/>
                <w:highlight w:val="none"/>
                <w:lang w:val="zh-TW" w:eastAsia="zh-TW"/>
              </w:rPr>
              <w:t>；</w:t>
            </w:r>
          </w:p>
          <w:p w14:paraId="079462F7">
            <w:pPr>
              <w:pStyle w:val="85"/>
              <w:keepNext w:val="0"/>
              <w:keepLines w:val="0"/>
              <w:pageBreakBefore w:val="0"/>
              <w:widowControl/>
              <w:numPr>
                <w:ilvl w:val="0"/>
                <w:numId w:val="29"/>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rPr>
            </w:pPr>
            <w:r>
              <w:rPr>
                <w:rFonts w:hint="eastAsia" w:ascii="宋体" w:hAnsi="宋体"/>
                <w:color w:val="auto"/>
                <w:highlight w:val="none"/>
                <w:lang w:val="zh-TW" w:eastAsia="zh-TW"/>
              </w:rPr>
              <w:t>支持对患者的疑似感染进行干预到临床操作处理，临床医生接收干预消息后，可对患者进行疑似感染病主动确认或排除操作；</w:t>
            </w:r>
          </w:p>
          <w:p w14:paraId="62A56330">
            <w:pPr>
              <w:pStyle w:val="85"/>
              <w:keepNext w:val="0"/>
              <w:keepLines w:val="0"/>
              <w:pageBreakBefore w:val="0"/>
              <w:widowControl/>
              <w:numPr>
                <w:ilvl w:val="0"/>
                <w:numId w:val="29"/>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rPr>
            </w:pPr>
            <w:r>
              <w:rPr>
                <w:rFonts w:hint="eastAsia" w:ascii="宋体" w:hAnsi="宋体"/>
                <w:color w:val="auto"/>
                <w:highlight w:val="none"/>
                <w:lang w:val="zh-TW" w:eastAsia="zh-TW"/>
              </w:rPr>
              <w:t>支持对患者的疑似感染进行感染病例代报。</w:t>
            </w:r>
          </w:p>
        </w:tc>
      </w:tr>
      <w:tr w14:paraId="5FD50B0B">
        <w:tblPrEx>
          <w:tblCellMar>
            <w:top w:w="0" w:type="dxa"/>
            <w:left w:w="108" w:type="dxa"/>
            <w:bottom w:w="0" w:type="dxa"/>
            <w:right w:w="108" w:type="dxa"/>
          </w:tblCellMar>
        </w:tblPrEx>
        <w:trPr>
          <w:trHeight w:val="3546" w:hRule="atLeast"/>
          <w:jc w:val="center"/>
        </w:trPr>
        <w:tc>
          <w:tcPr>
            <w:tcW w:w="878" w:type="dxa"/>
            <w:vMerge w:val="continue"/>
            <w:tcBorders>
              <w:left w:val="single" w:color="auto" w:sz="8" w:space="0"/>
              <w:right w:val="single" w:color="auto" w:sz="8" w:space="0"/>
            </w:tcBorders>
            <w:vAlign w:val="center"/>
          </w:tcPr>
          <w:p w14:paraId="5823B63F">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color w:val="auto"/>
                <w:highlight w:val="none"/>
                <w:lang w:val="zh-TW" w:eastAsia="zh-TW"/>
              </w:rPr>
            </w:pPr>
          </w:p>
        </w:tc>
        <w:tc>
          <w:tcPr>
            <w:tcW w:w="1194" w:type="dxa"/>
            <w:tcBorders>
              <w:top w:val="single" w:color="auto" w:sz="4" w:space="0"/>
              <w:left w:val="single" w:color="auto" w:sz="8" w:space="0"/>
              <w:bottom w:val="single" w:color="000000" w:sz="8" w:space="0"/>
              <w:right w:val="single" w:color="auto" w:sz="8" w:space="0"/>
            </w:tcBorders>
            <w:vAlign w:val="center"/>
          </w:tcPr>
          <w:p w14:paraId="6D136A5F">
            <w:pPr>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olor w:val="auto"/>
                <w:szCs w:val="21"/>
                <w:highlight w:val="none"/>
              </w:rPr>
            </w:pPr>
            <w:r>
              <w:rPr>
                <w:rFonts w:hint="eastAsia" w:ascii="宋体" w:hAnsi="宋体"/>
                <w:color w:val="auto"/>
                <w:szCs w:val="21"/>
                <w:highlight w:val="none"/>
              </w:rPr>
              <w:t>暴发预警</w:t>
            </w:r>
          </w:p>
        </w:tc>
        <w:tc>
          <w:tcPr>
            <w:tcW w:w="7887" w:type="dxa"/>
            <w:tcBorders>
              <w:top w:val="nil"/>
              <w:left w:val="nil"/>
              <w:bottom w:val="single" w:color="auto" w:sz="8" w:space="0"/>
              <w:right w:val="single" w:color="auto" w:sz="8" w:space="0"/>
            </w:tcBorders>
            <w:vAlign w:val="center"/>
          </w:tcPr>
          <w:p w14:paraId="1CE4B666">
            <w:pPr>
              <w:pStyle w:val="85"/>
              <w:keepNext w:val="0"/>
              <w:keepLines w:val="0"/>
              <w:pageBreakBefore w:val="0"/>
              <w:widowControl/>
              <w:numPr>
                <w:ilvl w:val="0"/>
                <w:numId w:val="30"/>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rPr>
            </w:pPr>
            <w:r>
              <w:rPr>
                <w:rFonts w:hint="eastAsia" w:ascii="宋体" w:hAnsi="宋体"/>
                <w:color w:val="auto"/>
                <w:highlight w:val="none"/>
                <w:lang w:val="zh-TW" w:eastAsia="zh-TW"/>
              </w:rPr>
              <w:t>以事件形式展示疑似暴发概况；</w:t>
            </w:r>
          </w:p>
          <w:p w14:paraId="0D363283">
            <w:pPr>
              <w:pStyle w:val="85"/>
              <w:keepNext w:val="0"/>
              <w:keepLines w:val="0"/>
              <w:pageBreakBefore w:val="0"/>
              <w:widowControl/>
              <w:numPr>
                <w:ilvl w:val="0"/>
                <w:numId w:val="30"/>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rPr>
            </w:pPr>
            <w:r>
              <w:rPr>
                <w:rFonts w:hint="eastAsia" w:ascii="宋体" w:hAnsi="宋体"/>
                <w:color w:val="auto"/>
                <w:highlight w:val="none"/>
                <w:lang w:val="zh-TW" w:eastAsia="zh-TW"/>
              </w:rPr>
              <w:t>支持暴发预警提示在首页监测面板显著提示，对未处理的暴发预警始终显示；</w:t>
            </w:r>
          </w:p>
          <w:p w14:paraId="733C7BB1">
            <w:pPr>
              <w:pStyle w:val="85"/>
              <w:keepNext w:val="0"/>
              <w:keepLines w:val="0"/>
              <w:pageBreakBefore w:val="0"/>
              <w:widowControl/>
              <w:numPr>
                <w:ilvl w:val="0"/>
                <w:numId w:val="30"/>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rPr>
            </w:pPr>
            <w:r>
              <w:rPr>
                <w:rFonts w:hint="eastAsia" w:ascii="宋体" w:hAnsi="宋体"/>
                <w:color w:val="auto"/>
                <w:highlight w:val="none"/>
                <w:lang w:val="zh-TW" w:eastAsia="zh-TW"/>
              </w:rPr>
              <w:t>监测项目包括：发热、腹泻、大便常规、血培养、相同耐药谱、感染部位、病原体、痰培养；</w:t>
            </w:r>
          </w:p>
          <w:p w14:paraId="726226AA">
            <w:pPr>
              <w:pStyle w:val="85"/>
              <w:keepNext w:val="0"/>
              <w:keepLines w:val="0"/>
              <w:pageBreakBefore w:val="0"/>
              <w:widowControl/>
              <w:numPr>
                <w:ilvl w:val="0"/>
                <w:numId w:val="30"/>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rPr>
            </w:pPr>
            <w:r>
              <w:rPr>
                <w:rFonts w:hint="eastAsia" w:ascii="宋体" w:hAnsi="宋体"/>
                <w:color w:val="auto"/>
                <w:highlight w:val="none"/>
                <w:lang w:val="zh-TW" w:eastAsia="zh-TW"/>
              </w:rPr>
              <w:t>支持对监测项目的关注程度进行自定义调整，包括重点关注、一般关注；</w:t>
            </w:r>
          </w:p>
          <w:p w14:paraId="3A724138">
            <w:pPr>
              <w:pStyle w:val="85"/>
              <w:keepNext w:val="0"/>
              <w:keepLines w:val="0"/>
              <w:pageBreakBefore w:val="0"/>
              <w:widowControl/>
              <w:numPr>
                <w:ilvl w:val="0"/>
                <w:numId w:val="30"/>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rPr>
            </w:pPr>
            <w:r>
              <w:rPr>
                <w:rFonts w:hint="eastAsia" w:ascii="宋体" w:hAnsi="宋体"/>
                <w:color w:val="auto"/>
                <w:highlight w:val="none"/>
                <w:lang w:val="zh-TW" w:eastAsia="zh-TW"/>
              </w:rPr>
              <w:t>支持对查询结果内容穿透查看具体明细，如血培养疑似暴发的送检项目、送检时间可直接展示查看，减少打开页面次数；</w:t>
            </w:r>
          </w:p>
          <w:p w14:paraId="4C3CC5C1">
            <w:pPr>
              <w:pStyle w:val="85"/>
              <w:keepNext w:val="0"/>
              <w:keepLines w:val="0"/>
              <w:pageBreakBefore w:val="0"/>
              <w:widowControl/>
              <w:numPr>
                <w:ilvl w:val="0"/>
                <w:numId w:val="30"/>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rPr>
            </w:pPr>
            <w:r>
              <w:rPr>
                <w:rFonts w:hint="eastAsia" w:ascii="宋体" w:hAnsi="宋体"/>
                <w:color w:val="auto"/>
                <w:highlight w:val="none"/>
                <w:lang w:val="zh-TW" w:eastAsia="zh-TW"/>
              </w:rPr>
              <w:t>支持对疑似暴发的审核操作，包括确认暴发、排除暴发、备注事件、干预；</w:t>
            </w:r>
          </w:p>
          <w:p w14:paraId="527B50BC">
            <w:pPr>
              <w:pStyle w:val="85"/>
              <w:keepNext w:val="0"/>
              <w:keepLines w:val="0"/>
              <w:pageBreakBefore w:val="0"/>
              <w:widowControl/>
              <w:numPr>
                <w:ilvl w:val="0"/>
                <w:numId w:val="30"/>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rPr>
            </w:pPr>
            <w:r>
              <w:rPr>
                <w:rFonts w:hint="eastAsia" w:ascii="宋体" w:hAnsi="宋体"/>
                <w:color w:val="auto"/>
                <w:highlight w:val="none"/>
                <w:lang w:val="zh-TW" w:eastAsia="zh-TW"/>
              </w:rPr>
              <w:t>支持对审核后的疑似暴发事件查看审核人、审核时间、备注内容；</w:t>
            </w:r>
          </w:p>
        </w:tc>
      </w:tr>
      <w:tr w14:paraId="3FAFD2A8">
        <w:tblPrEx>
          <w:tblCellMar>
            <w:top w:w="0" w:type="dxa"/>
            <w:left w:w="108" w:type="dxa"/>
            <w:bottom w:w="0" w:type="dxa"/>
            <w:right w:w="108" w:type="dxa"/>
          </w:tblCellMar>
        </w:tblPrEx>
        <w:trPr>
          <w:trHeight w:val="4330" w:hRule="atLeast"/>
          <w:jc w:val="center"/>
        </w:trPr>
        <w:tc>
          <w:tcPr>
            <w:tcW w:w="878" w:type="dxa"/>
            <w:vMerge w:val="continue"/>
            <w:tcBorders>
              <w:left w:val="single" w:color="auto" w:sz="8" w:space="0"/>
              <w:right w:val="single" w:color="auto" w:sz="8" w:space="0"/>
            </w:tcBorders>
            <w:vAlign w:val="center"/>
          </w:tcPr>
          <w:p w14:paraId="0B15A188">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color w:val="auto"/>
                <w:highlight w:val="none"/>
              </w:rPr>
            </w:pPr>
          </w:p>
        </w:tc>
        <w:tc>
          <w:tcPr>
            <w:tcW w:w="1194" w:type="dxa"/>
            <w:tcBorders>
              <w:top w:val="single" w:color="auto" w:sz="4" w:space="0"/>
              <w:left w:val="single" w:color="auto" w:sz="8" w:space="0"/>
              <w:bottom w:val="single" w:color="000000" w:sz="8" w:space="0"/>
              <w:right w:val="single" w:color="auto" w:sz="8" w:space="0"/>
            </w:tcBorders>
            <w:vAlign w:val="center"/>
          </w:tcPr>
          <w:p w14:paraId="57E28D89">
            <w:pPr>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olor w:val="auto"/>
                <w:szCs w:val="21"/>
                <w:highlight w:val="none"/>
              </w:rPr>
            </w:pPr>
            <w:r>
              <w:rPr>
                <w:rFonts w:hint="eastAsia" w:ascii="宋体" w:hAnsi="宋体"/>
                <w:color w:val="auto"/>
                <w:szCs w:val="21"/>
                <w:highlight w:val="none"/>
              </w:rPr>
              <w:t>风险分析</w:t>
            </w:r>
          </w:p>
        </w:tc>
        <w:tc>
          <w:tcPr>
            <w:tcW w:w="7887" w:type="dxa"/>
            <w:tcBorders>
              <w:top w:val="nil"/>
              <w:left w:val="nil"/>
              <w:bottom w:val="single" w:color="auto" w:sz="8" w:space="0"/>
              <w:right w:val="single" w:color="auto" w:sz="8" w:space="0"/>
            </w:tcBorders>
            <w:vAlign w:val="center"/>
          </w:tcPr>
          <w:p w14:paraId="295CA447">
            <w:pPr>
              <w:pStyle w:val="85"/>
              <w:keepNext w:val="0"/>
              <w:keepLines w:val="0"/>
              <w:pageBreakBefore w:val="0"/>
              <w:widowControl/>
              <w:numPr>
                <w:ilvl w:val="0"/>
                <w:numId w:val="31"/>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rPr>
            </w:pPr>
            <w:r>
              <w:rPr>
                <w:rFonts w:hint="eastAsia" w:ascii="宋体" w:hAnsi="宋体"/>
                <w:color w:val="auto"/>
                <w:highlight w:val="none"/>
              </w:rPr>
              <w:t>系统自带风险分析体系，根据患者的全方位易感因素，判定患者的感染风险值，预警出科室的高风险感染患者</w:t>
            </w:r>
          </w:p>
          <w:p w14:paraId="6216F3A9">
            <w:pPr>
              <w:pStyle w:val="85"/>
              <w:keepNext w:val="0"/>
              <w:keepLines w:val="0"/>
              <w:pageBreakBefore w:val="0"/>
              <w:widowControl/>
              <w:numPr>
                <w:ilvl w:val="0"/>
                <w:numId w:val="31"/>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rPr>
            </w:pPr>
            <w:r>
              <w:rPr>
                <w:rFonts w:hint="eastAsia" w:ascii="宋体" w:hAnsi="宋体"/>
                <w:color w:val="auto"/>
                <w:highlight w:val="none"/>
              </w:rPr>
              <w:t>根据时间线刻录高风险患者患者的感染风险点，系统自动提醒临床，进行风险环节的提前干预，智能的根据不同类型的风险因素发送针对性的干预形式（评估表、SOP、防控措施落实表等）和干预内容从源头上降低医院感染发生率</w:t>
            </w:r>
          </w:p>
          <w:p w14:paraId="258E7941">
            <w:pPr>
              <w:pStyle w:val="85"/>
              <w:keepNext w:val="0"/>
              <w:keepLines w:val="0"/>
              <w:pageBreakBefore w:val="0"/>
              <w:widowControl/>
              <w:numPr>
                <w:ilvl w:val="0"/>
                <w:numId w:val="31"/>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rPr>
            </w:pPr>
            <w:r>
              <w:rPr>
                <w:rFonts w:hint="eastAsia" w:ascii="宋体" w:hAnsi="宋体"/>
                <w:color w:val="auto"/>
                <w:highlight w:val="none"/>
              </w:rPr>
              <w:t>干预结果同步至院感专职人员，如果临床未及时处理，专职人员可利用系统进行人工干预</w:t>
            </w:r>
          </w:p>
          <w:p w14:paraId="65CE8ACD">
            <w:pPr>
              <w:pStyle w:val="85"/>
              <w:keepNext w:val="0"/>
              <w:keepLines w:val="0"/>
              <w:pageBreakBefore w:val="0"/>
              <w:widowControl/>
              <w:numPr>
                <w:ilvl w:val="0"/>
                <w:numId w:val="31"/>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rPr>
            </w:pPr>
            <w:r>
              <w:rPr>
                <w:rFonts w:hint="eastAsia" w:ascii="宋体" w:hAnsi="宋体"/>
                <w:color w:val="auto"/>
                <w:highlight w:val="none"/>
              </w:rPr>
              <w:t>针对高风险感染患者的感染风险点，用户可在页面上查看干预记录列表、干预详情、风险评估表，全面的掌握患者的风险点干预情况；且可直接点击进行PDCA循环质量管理，涉及问题记录、原因分析、考核结果等环节，帮助用户有针对性的、持续的改进临床医疗质量</w:t>
            </w:r>
          </w:p>
        </w:tc>
      </w:tr>
      <w:tr w14:paraId="14BCA0C0">
        <w:tblPrEx>
          <w:tblCellMar>
            <w:top w:w="0" w:type="dxa"/>
            <w:left w:w="108" w:type="dxa"/>
            <w:bottom w:w="0" w:type="dxa"/>
            <w:right w:w="108" w:type="dxa"/>
          </w:tblCellMar>
        </w:tblPrEx>
        <w:trPr>
          <w:trHeight w:val="4330" w:hRule="atLeast"/>
          <w:jc w:val="center"/>
        </w:trPr>
        <w:tc>
          <w:tcPr>
            <w:tcW w:w="878" w:type="dxa"/>
            <w:vMerge w:val="continue"/>
            <w:tcBorders>
              <w:left w:val="single" w:color="auto" w:sz="8" w:space="0"/>
              <w:right w:val="single" w:color="auto" w:sz="8" w:space="0"/>
            </w:tcBorders>
            <w:vAlign w:val="center"/>
          </w:tcPr>
          <w:p w14:paraId="57315E5B">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MS Mincho"/>
                <w:color w:val="auto"/>
                <w:highlight w:val="none"/>
              </w:rPr>
            </w:pPr>
          </w:p>
        </w:tc>
        <w:tc>
          <w:tcPr>
            <w:tcW w:w="1194" w:type="dxa"/>
            <w:tcBorders>
              <w:top w:val="single" w:color="auto" w:sz="4" w:space="0"/>
              <w:left w:val="single" w:color="auto" w:sz="8" w:space="0"/>
              <w:bottom w:val="single" w:color="000000" w:sz="8" w:space="0"/>
              <w:right w:val="single" w:color="auto" w:sz="8" w:space="0"/>
            </w:tcBorders>
            <w:vAlign w:val="center"/>
          </w:tcPr>
          <w:p w14:paraId="1BFDB568">
            <w:pPr>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olor w:val="auto"/>
                <w:szCs w:val="21"/>
                <w:highlight w:val="none"/>
              </w:rPr>
            </w:pPr>
            <w:r>
              <w:rPr>
                <w:rFonts w:ascii="宋体" w:hAnsi="宋体"/>
                <w:color w:val="auto"/>
                <w:szCs w:val="21"/>
                <w:highlight w:val="none"/>
              </w:rPr>
              <w:t>床位</w:t>
            </w:r>
            <w:r>
              <w:rPr>
                <w:rFonts w:hint="eastAsia" w:ascii="宋体" w:hAnsi="宋体"/>
                <w:color w:val="auto"/>
                <w:szCs w:val="21"/>
                <w:highlight w:val="none"/>
              </w:rPr>
              <w:t>风险</w:t>
            </w:r>
            <w:r>
              <w:rPr>
                <w:rFonts w:ascii="宋体" w:hAnsi="宋体"/>
                <w:color w:val="auto"/>
                <w:szCs w:val="21"/>
                <w:highlight w:val="none"/>
              </w:rPr>
              <w:t>分布</w:t>
            </w:r>
          </w:p>
        </w:tc>
        <w:tc>
          <w:tcPr>
            <w:tcW w:w="7887" w:type="dxa"/>
            <w:tcBorders>
              <w:top w:val="nil"/>
              <w:left w:val="nil"/>
              <w:bottom w:val="single" w:color="auto" w:sz="8" w:space="0"/>
              <w:right w:val="single" w:color="auto" w:sz="8" w:space="0"/>
            </w:tcBorders>
            <w:vAlign w:val="center"/>
          </w:tcPr>
          <w:p w14:paraId="6F252348">
            <w:pPr>
              <w:pStyle w:val="85"/>
              <w:keepNext w:val="0"/>
              <w:keepLines w:val="0"/>
              <w:pageBreakBefore w:val="0"/>
              <w:widowControl/>
              <w:numPr>
                <w:ilvl w:val="0"/>
                <w:numId w:val="32"/>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rPr>
            </w:pPr>
            <w:r>
              <w:rPr>
                <w:rFonts w:hint="eastAsia" w:ascii="宋体" w:hAnsi="宋体"/>
                <w:color w:val="auto"/>
                <w:highlight w:val="none"/>
                <w:lang w:val="zh-TW" w:eastAsia="zh-TW"/>
              </w:rPr>
              <w:t>通过图形展示科室病房的床位分布与布局，更加直观</w:t>
            </w:r>
            <w:r>
              <w:rPr>
                <w:rFonts w:hint="eastAsia" w:ascii="宋体" w:hAnsi="宋体"/>
                <w:color w:val="auto"/>
                <w:highlight w:val="none"/>
              </w:rPr>
              <w:t>的查看每个房间、每个床位患者的分布情况，直观的了解患者风险因素（如是否感染、疑似院感、是否使用抗菌药物、是否有检出细菌，是否体温异常、是否检出病毒等）</w:t>
            </w:r>
            <w:r>
              <w:rPr>
                <w:rFonts w:hint="eastAsia" w:ascii="宋体" w:hAnsi="宋体"/>
                <w:color w:val="auto"/>
                <w:highlight w:val="none"/>
                <w:lang w:val="zh-TW"/>
              </w:rPr>
              <w:t>，</w:t>
            </w:r>
            <w:r>
              <w:rPr>
                <w:rFonts w:hint="eastAsia" w:ascii="宋体" w:hAnsi="宋体"/>
                <w:color w:val="auto"/>
                <w:highlight w:val="none"/>
                <w:lang w:val="zh-TW" w:eastAsia="zh-TW"/>
              </w:rPr>
              <w:t>方便的掌握本科是否存在聚集性事件情况，有效辅助感控专职人员进行研判；</w:t>
            </w:r>
          </w:p>
          <w:p w14:paraId="7EC76C73">
            <w:pPr>
              <w:pStyle w:val="85"/>
              <w:keepNext w:val="0"/>
              <w:keepLines w:val="0"/>
              <w:pageBreakBefore w:val="0"/>
              <w:widowControl/>
              <w:numPr>
                <w:ilvl w:val="0"/>
                <w:numId w:val="32"/>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rPr>
            </w:pPr>
            <w:r>
              <w:rPr>
                <w:rFonts w:hint="eastAsia" w:ascii="宋体" w:hAnsi="宋体"/>
                <w:color w:val="auto"/>
                <w:highlight w:val="none"/>
                <w:lang w:val="zh-TW" w:eastAsia="zh-TW"/>
              </w:rPr>
              <w:t>科室病房可由临床</w:t>
            </w:r>
            <w:r>
              <w:rPr>
                <w:rFonts w:hint="eastAsia" w:ascii="宋体" w:hAnsi="宋体"/>
                <w:color w:val="auto"/>
                <w:highlight w:val="none"/>
                <w:lang w:val="zh-TW"/>
              </w:rPr>
              <w:t>科室自行进行病房数量新增、删除、名称修改，更加符合科室现有病房名称命名，支持ICU模式病房设置；</w:t>
            </w:r>
          </w:p>
          <w:p w14:paraId="43987C2D">
            <w:pPr>
              <w:pStyle w:val="85"/>
              <w:keepNext w:val="0"/>
              <w:keepLines w:val="0"/>
              <w:pageBreakBefore w:val="0"/>
              <w:widowControl/>
              <w:numPr>
                <w:ilvl w:val="0"/>
                <w:numId w:val="32"/>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rPr>
            </w:pPr>
            <w:r>
              <w:rPr>
                <w:rFonts w:hint="eastAsia" w:ascii="宋体" w:hAnsi="宋体"/>
                <w:color w:val="auto"/>
                <w:highlight w:val="none"/>
                <w:lang w:val="zh-TW" w:eastAsia="zh-TW"/>
              </w:rPr>
              <w:t>病房中床位可由临床</w:t>
            </w:r>
            <w:r>
              <w:rPr>
                <w:rFonts w:hint="eastAsia" w:ascii="宋体" w:hAnsi="宋体"/>
                <w:color w:val="auto"/>
                <w:highlight w:val="none"/>
                <w:lang w:val="zh-TW"/>
              </w:rPr>
              <w:t>客户数自行进行床位数量新增、删除、名称修改，更加符合病房中病床命名，同时支持走廊加床的新增；</w:t>
            </w:r>
          </w:p>
          <w:p w14:paraId="4BE0A2B0">
            <w:pPr>
              <w:pStyle w:val="85"/>
              <w:keepNext w:val="0"/>
              <w:keepLines w:val="0"/>
              <w:pageBreakBefore w:val="0"/>
              <w:widowControl/>
              <w:numPr>
                <w:ilvl w:val="0"/>
                <w:numId w:val="32"/>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rPr>
            </w:pPr>
            <w:r>
              <w:rPr>
                <w:rFonts w:hint="eastAsia" w:ascii="宋体" w:hAnsi="宋体"/>
                <w:color w:val="auto"/>
                <w:highlight w:val="none"/>
                <w:lang w:val="zh-TW" w:eastAsia="zh-TW"/>
              </w:rPr>
              <w:t>支持患者随床位</w:t>
            </w:r>
            <w:r>
              <w:rPr>
                <w:rFonts w:hint="eastAsia" w:ascii="宋体" w:hAnsi="宋体"/>
                <w:color w:val="auto"/>
                <w:highlight w:val="none"/>
                <w:lang w:val="zh-TW"/>
              </w:rPr>
              <w:t>号进行分配与排列，并且展示患者当前存在的风险情况；</w:t>
            </w:r>
          </w:p>
          <w:p w14:paraId="03CE19B3">
            <w:pPr>
              <w:pStyle w:val="85"/>
              <w:keepNext w:val="0"/>
              <w:keepLines w:val="0"/>
              <w:pageBreakBefore w:val="0"/>
              <w:widowControl/>
              <w:numPr>
                <w:ilvl w:val="0"/>
                <w:numId w:val="32"/>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rPr>
            </w:pPr>
            <w:r>
              <w:rPr>
                <w:rFonts w:hint="eastAsia" w:ascii="宋体" w:hAnsi="宋体"/>
                <w:color w:val="auto"/>
                <w:highlight w:val="none"/>
                <w:lang w:val="zh-TW" w:eastAsia="zh-TW"/>
              </w:rPr>
              <w:t>以不同图形展示患者正在经历</w:t>
            </w:r>
            <w:r>
              <w:rPr>
                <w:rFonts w:hint="eastAsia" w:ascii="宋体" w:hAnsi="宋体"/>
                <w:color w:val="auto"/>
                <w:highlight w:val="none"/>
                <w:lang w:val="zh-TW"/>
              </w:rPr>
              <w:t>及历史</w:t>
            </w:r>
            <w:r>
              <w:rPr>
                <w:rFonts w:hint="eastAsia" w:ascii="宋体" w:hAnsi="宋体"/>
                <w:color w:val="auto"/>
                <w:highlight w:val="none"/>
                <w:lang w:val="zh-TW" w:eastAsia="zh-TW"/>
              </w:rPr>
              <w:t>风险情况，包括：本次住院已确认感染、正在</w:t>
            </w:r>
            <w:r>
              <w:rPr>
                <w:rFonts w:hint="eastAsia" w:ascii="宋体" w:hAnsi="宋体"/>
                <w:color w:val="auto"/>
                <w:highlight w:val="none"/>
                <w:lang w:val="zh-TW"/>
              </w:rPr>
              <w:t>使用三大插管、检出多重耐药菌、近三天发热（超过38℃）</w:t>
            </w:r>
          </w:p>
        </w:tc>
      </w:tr>
      <w:tr w14:paraId="312F069B">
        <w:tblPrEx>
          <w:tblCellMar>
            <w:top w:w="0" w:type="dxa"/>
            <w:left w:w="108" w:type="dxa"/>
            <w:bottom w:w="0" w:type="dxa"/>
            <w:right w:w="108" w:type="dxa"/>
          </w:tblCellMar>
        </w:tblPrEx>
        <w:trPr>
          <w:trHeight w:val="3938" w:hRule="atLeast"/>
          <w:jc w:val="center"/>
        </w:trPr>
        <w:tc>
          <w:tcPr>
            <w:tcW w:w="878" w:type="dxa"/>
            <w:vMerge w:val="continue"/>
            <w:tcBorders>
              <w:left w:val="single" w:color="auto" w:sz="8" w:space="0"/>
              <w:right w:val="single" w:color="auto" w:sz="8" w:space="0"/>
            </w:tcBorders>
            <w:vAlign w:val="center"/>
          </w:tcPr>
          <w:p w14:paraId="236FAC7C">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color w:val="auto"/>
                <w:highlight w:val="none"/>
                <w:lang w:val="zh-TW" w:eastAsia="zh-TW"/>
              </w:rPr>
            </w:pPr>
          </w:p>
        </w:tc>
        <w:tc>
          <w:tcPr>
            <w:tcW w:w="1194" w:type="dxa"/>
            <w:tcBorders>
              <w:top w:val="single" w:color="auto" w:sz="4" w:space="0"/>
              <w:left w:val="single" w:color="auto" w:sz="8" w:space="0"/>
              <w:bottom w:val="single" w:color="000000" w:sz="8" w:space="0"/>
              <w:right w:val="single" w:color="auto" w:sz="8" w:space="0"/>
            </w:tcBorders>
            <w:vAlign w:val="center"/>
          </w:tcPr>
          <w:p w14:paraId="0E38D682">
            <w:pPr>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olor w:val="auto"/>
                <w:szCs w:val="21"/>
                <w:highlight w:val="none"/>
              </w:rPr>
            </w:pPr>
            <w:r>
              <w:rPr>
                <w:rFonts w:hint="eastAsia" w:ascii="宋体" w:hAnsi="宋体"/>
                <w:color w:val="auto"/>
                <w:szCs w:val="21"/>
                <w:highlight w:val="none"/>
              </w:rPr>
              <w:t>监测面板</w:t>
            </w:r>
          </w:p>
        </w:tc>
        <w:tc>
          <w:tcPr>
            <w:tcW w:w="7887" w:type="dxa"/>
            <w:tcBorders>
              <w:top w:val="nil"/>
              <w:left w:val="nil"/>
              <w:bottom w:val="single" w:color="auto" w:sz="8" w:space="0"/>
              <w:right w:val="single" w:color="auto" w:sz="8" w:space="0"/>
            </w:tcBorders>
            <w:vAlign w:val="center"/>
          </w:tcPr>
          <w:p w14:paraId="3589FB50">
            <w:pPr>
              <w:pStyle w:val="85"/>
              <w:keepNext w:val="0"/>
              <w:keepLines w:val="0"/>
              <w:pageBreakBefore w:val="0"/>
              <w:widowControl/>
              <w:numPr>
                <w:ilvl w:val="0"/>
                <w:numId w:val="33"/>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提供友好的用户交互界面，能够集中展示全院概况、待处理事宜、重点指标监测；</w:t>
            </w:r>
          </w:p>
          <w:p w14:paraId="097B0DD9">
            <w:pPr>
              <w:pStyle w:val="85"/>
              <w:keepNext w:val="0"/>
              <w:keepLines w:val="0"/>
              <w:pageBreakBefore w:val="0"/>
              <w:widowControl/>
              <w:numPr>
                <w:ilvl w:val="0"/>
                <w:numId w:val="33"/>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全院概况，能够支持用户查看及穿透至对应页面，全院概况内容包括：在院患者人数、体温异常人数（体温≥38℃）、三大插管人数、MDRO检出人数，重点菌检出人数；</w:t>
            </w:r>
          </w:p>
          <w:p w14:paraId="50CEF2E1">
            <w:pPr>
              <w:pStyle w:val="85"/>
              <w:keepNext w:val="0"/>
              <w:keepLines w:val="0"/>
              <w:pageBreakBefore w:val="0"/>
              <w:widowControl/>
              <w:numPr>
                <w:ilvl w:val="0"/>
                <w:numId w:val="33"/>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待办事宜，能够对1个月内未处理的内容总数展示及穿透相应功能进行业务处理，待办事宜内容包括：暴发预警、感染预警、感染报卡、暴露上报，暴露复查；</w:t>
            </w:r>
          </w:p>
          <w:p w14:paraId="2E4892A8">
            <w:pPr>
              <w:pStyle w:val="85"/>
              <w:keepNext w:val="0"/>
              <w:keepLines w:val="0"/>
              <w:pageBreakBefore w:val="0"/>
              <w:widowControl/>
              <w:numPr>
                <w:ilvl w:val="0"/>
                <w:numId w:val="33"/>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重点指标监测，能够对重点的指标进行监测及穿透查询相应统计分析，包括：感染部位构成（年度）、送检标本构成（年度）、检出重点菌构成（年度）、检出重点菌构成（年度）、职业暴露人员构成（年度）、全院发热患者趋势（近7天）、MRSA相关血流感染（近7天）、多重耐药菌检出率趋势（近7天）、发病率趋势（近12个月）。</w:t>
            </w:r>
          </w:p>
        </w:tc>
      </w:tr>
      <w:tr w14:paraId="67B08E5E">
        <w:tblPrEx>
          <w:tblCellMar>
            <w:top w:w="0" w:type="dxa"/>
            <w:left w:w="108" w:type="dxa"/>
            <w:bottom w:w="0" w:type="dxa"/>
            <w:right w:w="108" w:type="dxa"/>
          </w:tblCellMar>
        </w:tblPrEx>
        <w:trPr>
          <w:trHeight w:val="2862" w:hRule="atLeast"/>
          <w:jc w:val="center"/>
        </w:trPr>
        <w:tc>
          <w:tcPr>
            <w:tcW w:w="878" w:type="dxa"/>
            <w:vMerge w:val="continue"/>
            <w:tcBorders>
              <w:left w:val="single" w:color="auto" w:sz="8" w:space="0"/>
              <w:right w:val="single" w:color="auto" w:sz="8" w:space="0"/>
            </w:tcBorders>
            <w:vAlign w:val="center"/>
          </w:tcPr>
          <w:p w14:paraId="741D3E66">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olor w:val="auto"/>
                <w:highlight w:val="none"/>
              </w:rPr>
            </w:pPr>
          </w:p>
        </w:tc>
        <w:tc>
          <w:tcPr>
            <w:tcW w:w="1194" w:type="dxa"/>
            <w:tcBorders>
              <w:top w:val="single" w:color="auto" w:sz="4" w:space="0"/>
              <w:left w:val="single" w:color="auto" w:sz="8" w:space="0"/>
              <w:bottom w:val="single" w:color="000000" w:sz="8" w:space="0"/>
              <w:right w:val="single" w:color="auto" w:sz="8" w:space="0"/>
            </w:tcBorders>
            <w:vAlign w:val="center"/>
          </w:tcPr>
          <w:p w14:paraId="20EFC3F2">
            <w:pPr>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olor w:val="auto"/>
                <w:szCs w:val="21"/>
                <w:highlight w:val="none"/>
              </w:rPr>
            </w:pPr>
            <w:r>
              <w:rPr>
                <w:rFonts w:ascii="宋体" w:hAnsi="宋体"/>
                <w:color w:val="auto"/>
                <w:szCs w:val="21"/>
                <w:highlight w:val="none"/>
              </w:rPr>
              <w:t>PDCA</w:t>
            </w:r>
            <w:r>
              <w:rPr>
                <w:rFonts w:hint="eastAsia" w:ascii="宋体" w:hAnsi="宋体"/>
                <w:color w:val="auto"/>
                <w:szCs w:val="21"/>
                <w:highlight w:val="none"/>
              </w:rPr>
              <w:t>持续改进</w:t>
            </w:r>
          </w:p>
        </w:tc>
        <w:tc>
          <w:tcPr>
            <w:tcW w:w="7887" w:type="dxa"/>
            <w:tcBorders>
              <w:top w:val="nil"/>
              <w:left w:val="nil"/>
              <w:bottom w:val="single" w:color="auto" w:sz="8" w:space="0"/>
              <w:right w:val="single" w:color="auto" w:sz="8" w:space="0"/>
            </w:tcBorders>
            <w:vAlign w:val="center"/>
          </w:tcPr>
          <w:p w14:paraId="293CDC2E">
            <w:pPr>
              <w:pStyle w:val="85"/>
              <w:keepNext w:val="0"/>
              <w:keepLines w:val="0"/>
              <w:pageBreakBefore w:val="0"/>
              <w:widowControl/>
              <w:numPr>
                <w:ilvl w:val="0"/>
                <w:numId w:val="34"/>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支持建立全院的PDCA持续改进机制，能够有效地根据发现问题进行项目PDCA；</w:t>
            </w:r>
          </w:p>
          <w:p w14:paraId="1ED78C35">
            <w:pPr>
              <w:pStyle w:val="85"/>
              <w:keepNext w:val="0"/>
              <w:keepLines w:val="0"/>
              <w:pageBreakBefore w:val="0"/>
              <w:widowControl/>
              <w:numPr>
                <w:ilvl w:val="0"/>
                <w:numId w:val="34"/>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能够支持感控专职人员维护PDCA流程模板中的模板名称、过程名称；</w:t>
            </w:r>
          </w:p>
          <w:p w14:paraId="4E2A8945">
            <w:pPr>
              <w:pStyle w:val="85"/>
              <w:keepNext w:val="0"/>
              <w:keepLines w:val="0"/>
              <w:pageBreakBefore w:val="0"/>
              <w:widowControl/>
              <w:numPr>
                <w:ilvl w:val="0"/>
                <w:numId w:val="34"/>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支持感控专职人员发起新增PDCA持续改进，包括关联科室名称、监测项目、预期目标、资料来源、监测结果、问题叙述、原因分析、督导项目负责人、参与人员、是否开展调查与改进、具体PDCA调查与改进步骤；</w:t>
            </w:r>
          </w:p>
          <w:p w14:paraId="50E108DD">
            <w:pPr>
              <w:pStyle w:val="85"/>
              <w:keepNext w:val="0"/>
              <w:keepLines w:val="0"/>
              <w:pageBreakBefore w:val="0"/>
              <w:widowControl/>
              <w:numPr>
                <w:ilvl w:val="0"/>
                <w:numId w:val="34"/>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支持PDCA内容打印报告、另存为PDCA改进模板；</w:t>
            </w:r>
          </w:p>
          <w:p w14:paraId="641DD63B">
            <w:pPr>
              <w:pStyle w:val="85"/>
              <w:keepNext w:val="0"/>
              <w:keepLines w:val="0"/>
              <w:pageBreakBefore w:val="0"/>
              <w:widowControl/>
              <w:numPr>
                <w:ilvl w:val="0"/>
                <w:numId w:val="34"/>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支持医院对PDCA流程的自定义及顺序调整。</w:t>
            </w:r>
          </w:p>
        </w:tc>
      </w:tr>
      <w:tr w14:paraId="7452F933">
        <w:tblPrEx>
          <w:tblCellMar>
            <w:top w:w="0" w:type="dxa"/>
            <w:left w:w="108" w:type="dxa"/>
            <w:bottom w:w="0" w:type="dxa"/>
            <w:right w:w="108" w:type="dxa"/>
          </w:tblCellMar>
        </w:tblPrEx>
        <w:trPr>
          <w:trHeight w:val="5506" w:hRule="atLeast"/>
          <w:jc w:val="center"/>
        </w:trPr>
        <w:tc>
          <w:tcPr>
            <w:tcW w:w="878" w:type="dxa"/>
            <w:vMerge w:val="continue"/>
            <w:tcBorders>
              <w:left w:val="single" w:color="auto" w:sz="8" w:space="0"/>
              <w:right w:val="single" w:color="auto" w:sz="8" w:space="0"/>
            </w:tcBorders>
            <w:vAlign w:val="center"/>
          </w:tcPr>
          <w:p w14:paraId="7B528C6E">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color w:val="auto"/>
                <w:highlight w:val="none"/>
                <w:lang w:val="zh-TW" w:eastAsia="zh-TW"/>
              </w:rPr>
            </w:pPr>
          </w:p>
        </w:tc>
        <w:tc>
          <w:tcPr>
            <w:tcW w:w="1194" w:type="dxa"/>
            <w:tcBorders>
              <w:top w:val="single" w:color="auto" w:sz="4" w:space="0"/>
              <w:left w:val="single" w:color="auto" w:sz="8" w:space="0"/>
              <w:bottom w:val="single" w:color="000000" w:sz="8" w:space="0"/>
              <w:right w:val="single" w:color="auto" w:sz="8" w:space="0"/>
            </w:tcBorders>
            <w:vAlign w:val="center"/>
          </w:tcPr>
          <w:p w14:paraId="28E24176">
            <w:pPr>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olor w:val="auto"/>
                <w:szCs w:val="21"/>
                <w:highlight w:val="none"/>
              </w:rPr>
            </w:pPr>
            <w:r>
              <w:rPr>
                <w:rFonts w:hint="eastAsia" w:ascii="宋体" w:hAnsi="宋体"/>
                <w:color w:val="auto"/>
                <w:szCs w:val="21"/>
                <w:highlight w:val="none"/>
              </w:rPr>
              <w:t>干预会话</w:t>
            </w:r>
          </w:p>
        </w:tc>
        <w:tc>
          <w:tcPr>
            <w:tcW w:w="7887" w:type="dxa"/>
            <w:tcBorders>
              <w:top w:val="nil"/>
              <w:left w:val="nil"/>
              <w:bottom w:val="single" w:color="auto" w:sz="8" w:space="0"/>
              <w:right w:val="single" w:color="auto" w:sz="8" w:space="0"/>
            </w:tcBorders>
            <w:vAlign w:val="center"/>
          </w:tcPr>
          <w:p w14:paraId="0AF61C1E">
            <w:pPr>
              <w:pStyle w:val="85"/>
              <w:keepNext w:val="0"/>
              <w:keepLines w:val="0"/>
              <w:pageBreakBefore w:val="0"/>
              <w:widowControl/>
              <w:numPr>
                <w:ilvl w:val="0"/>
                <w:numId w:val="35"/>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更为灵活的消息盒子，支持与医院主业务系统消息对接，如HIS系统、电子病历系统，对接后使消息接收和传送更加统一；</w:t>
            </w:r>
          </w:p>
          <w:p w14:paraId="1EA172FB">
            <w:pPr>
              <w:pStyle w:val="85"/>
              <w:keepNext w:val="0"/>
              <w:keepLines w:val="0"/>
              <w:pageBreakBefore w:val="0"/>
              <w:widowControl/>
              <w:numPr>
                <w:ilvl w:val="0"/>
                <w:numId w:val="35"/>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支持两种消息发送方式，包括：个人与个人的一对一实时沟通，个人至科室的一对多消息发送；</w:t>
            </w:r>
          </w:p>
          <w:p w14:paraId="32C4D6FC">
            <w:pPr>
              <w:pStyle w:val="85"/>
              <w:keepNext w:val="0"/>
              <w:keepLines w:val="0"/>
              <w:pageBreakBefore w:val="0"/>
              <w:widowControl/>
              <w:numPr>
                <w:ilvl w:val="0"/>
                <w:numId w:val="35"/>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支持查</w:t>
            </w:r>
            <w:r>
              <w:rPr>
                <w:rFonts w:hint="eastAsia" w:ascii="宋体" w:hAnsi="宋体"/>
                <w:color w:val="auto"/>
                <w:highlight w:val="none"/>
                <w:lang w:val="zh-TW"/>
              </w:rPr>
              <w:t>、</w:t>
            </w:r>
            <w:r>
              <w:rPr>
                <w:rFonts w:hint="eastAsia" w:ascii="宋体" w:hAnsi="宋体"/>
                <w:color w:val="auto"/>
                <w:highlight w:val="none"/>
                <w:lang w:val="zh-TW" w:eastAsia="zh-TW"/>
              </w:rPr>
              <w:t>看发送的消息接收人数和未读人数；</w:t>
            </w:r>
          </w:p>
          <w:p w14:paraId="4478462E">
            <w:pPr>
              <w:pStyle w:val="85"/>
              <w:keepNext w:val="0"/>
              <w:keepLines w:val="0"/>
              <w:pageBreakBefore w:val="0"/>
              <w:widowControl/>
              <w:numPr>
                <w:ilvl w:val="0"/>
                <w:numId w:val="35"/>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支持对未读的消息一键已读操作，同时可查看全部消息；</w:t>
            </w:r>
          </w:p>
          <w:p w14:paraId="55293B3C">
            <w:pPr>
              <w:pStyle w:val="85"/>
              <w:keepNext w:val="0"/>
              <w:keepLines w:val="0"/>
              <w:pageBreakBefore w:val="0"/>
              <w:widowControl/>
              <w:numPr>
                <w:ilvl w:val="0"/>
                <w:numId w:val="35"/>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消息发送支持个人到个人的一对一方式、个人到科室的一对多方式；</w:t>
            </w:r>
          </w:p>
          <w:p w14:paraId="29D2558C">
            <w:pPr>
              <w:pStyle w:val="85"/>
              <w:keepNext w:val="0"/>
              <w:keepLines w:val="0"/>
              <w:pageBreakBefore w:val="0"/>
              <w:widowControl/>
              <w:numPr>
                <w:ilvl w:val="0"/>
                <w:numId w:val="35"/>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支持临床科室接收感控管理端的消息，包括：感染病例审核结果提醒、职业暴露复查提醒、干预消息提醒、即时通讯消息提醒、SOP感控标准操作流程提醒；</w:t>
            </w:r>
          </w:p>
          <w:p w14:paraId="0528B328">
            <w:pPr>
              <w:pStyle w:val="85"/>
              <w:keepNext w:val="0"/>
              <w:keepLines w:val="0"/>
              <w:pageBreakBefore w:val="0"/>
              <w:widowControl/>
              <w:numPr>
                <w:ilvl w:val="0"/>
                <w:numId w:val="35"/>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支持感控管理端接收临床科室的消息，包括：感染病例报卡提醒、职业暴露上报提醒、即时通讯消息提醒；</w:t>
            </w:r>
          </w:p>
          <w:p w14:paraId="056DAA1A">
            <w:pPr>
              <w:pStyle w:val="85"/>
              <w:keepNext w:val="0"/>
              <w:keepLines w:val="0"/>
              <w:pageBreakBefore w:val="0"/>
              <w:widowControl/>
              <w:numPr>
                <w:ilvl w:val="0"/>
                <w:numId w:val="35"/>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不同的消息类型，点击后可进入不同的界面，进行查看、审核等业务操作，减少用户跳转操作；</w:t>
            </w:r>
          </w:p>
          <w:p w14:paraId="5B234D22">
            <w:pPr>
              <w:pStyle w:val="85"/>
              <w:keepNext w:val="0"/>
              <w:keepLines w:val="0"/>
              <w:pageBreakBefore w:val="0"/>
              <w:widowControl/>
              <w:numPr>
                <w:ilvl w:val="0"/>
                <w:numId w:val="35"/>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支持以患者为中心，查看贯穿患者在院期间所有干预信息及即时消息内容。</w:t>
            </w:r>
          </w:p>
        </w:tc>
      </w:tr>
      <w:tr w14:paraId="08643CE6">
        <w:tblPrEx>
          <w:tblCellMar>
            <w:top w:w="0" w:type="dxa"/>
            <w:left w:w="108" w:type="dxa"/>
            <w:bottom w:w="0" w:type="dxa"/>
            <w:right w:w="108" w:type="dxa"/>
          </w:tblCellMar>
        </w:tblPrEx>
        <w:trPr>
          <w:trHeight w:val="4879" w:hRule="atLeast"/>
          <w:jc w:val="center"/>
        </w:trPr>
        <w:tc>
          <w:tcPr>
            <w:tcW w:w="878" w:type="dxa"/>
            <w:vMerge w:val="continue"/>
            <w:tcBorders>
              <w:left w:val="single" w:color="auto" w:sz="8" w:space="0"/>
              <w:right w:val="single" w:color="auto" w:sz="8" w:space="0"/>
            </w:tcBorders>
            <w:vAlign w:val="center"/>
          </w:tcPr>
          <w:p w14:paraId="2E2F104A">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color w:val="auto"/>
                <w:highlight w:val="none"/>
                <w:lang w:val="zh-TW" w:eastAsia="zh-TW"/>
              </w:rPr>
            </w:pPr>
          </w:p>
        </w:tc>
        <w:tc>
          <w:tcPr>
            <w:tcW w:w="1194" w:type="dxa"/>
            <w:tcBorders>
              <w:top w:val="single" w:color="auto" w:sz="4" w:space="0"/>
              <w:left w:val="single" w:color="auto" w:sz="8" w:space="0"/>
              <w:bottom w:val="single" w:color="000000" w:sz="8" w:space="0"/>
              <w:right w:val="single" w:color="auto" w:sz="8" w:space="0"/>
            </w:tcBorders>
            <w:vAlign w:val="center"/>
          </w:tcPr>
          <w:p w14:paraId="5E90BCF9">
            <w:pPr>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olor w:val="auto"/>
                <w:szCs w:val="21"/>
                <w:highlight w:val="none"/>
              </w:rPr>
            </w:pPr>
            <w:r>
              <w:rPr>
                <w:rFonts w:hint="eastAsia" w:ascii="宋体" w:hAnsi="宋体"/>
                <w:color w:val="auto"/>
                <w:szCs w:val="21"/>
                <w:highlight w:val="none"/>
              </w:rPr>
              <w:t>感染监测</w:t>
            </w:r>
          </w:p>
        </w:tc>
        <w:tc>
          <w:tcPr>
            <w:tcW w:w="7887" w:type="dxa"/>
            <w:tcBorders>
              <w:top w:val="nil"/>
              <w:left w:val="nil"/>
              <w:bottom w:val="single" w:color="auto" w:sz="8" w:space="0"/>
              <w:right w:val="single" w:color="auto" w:sz="8" w:space="0"/>
            </w:tcBorders>
            <w:vAlign w:val="center"/>
          </w:tcPr>
          <w:p w14:paraId="71AE9158">
            <w:pPr>
              <w:pStyle w:val="85"/>
              <w:keepNext w:val="0"/>
              <w:keepLines w:val="0"/>
              <w:pageBreakBefore w:val="0"/>
              <w:widowControl/>
              <w:numPr>
                <w:ilvl w:val="0"/>
                <w:numId w:val="36"/>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支持对感染病例报卡的审核操作，报卡信息的补充及修改、报卡退回；</w:t>
            </w:r>
          </w:p>
          <w:p w14:paraId="510AC498">
            <w:pPr>
              <w:pStyle w:val="85"/>
              <w:keepNext w:val="0"/>
              <w:keepLines w:val="0"/>
              <w:pageBreakBefore w:val="0"/>
              <w:widowControl/>
              <w:numPr>
                <w:ilvl w:val="0"/>
                <w:numId w:val="36"/>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支持对感染病例审核时，可查看患者历史报卡的记录概况；</w:t>
            </w:r>
          </w:p>
          <w:p w14:paraId="2524DD27">
            <w:pPr>
              <w:pStyle w:val="85"/>
              <w:keepNext w:val="0"/>
              <w:keepLines w:val="0"/>
              <w:pageBreakBefore w:val="0"/>
              <w:widowControl/>
              <w:numPr>
                <w:ilvl w:val="0"/>
                <w:numId w:val="36"/>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 xml:space="preserve">支持按不同筛选条件进行感染病例查询，如：日期类别、感染类别、感染诊断名称、导管相关性条件、致病菌名称； </w:t>
            </w:r>
          </w:p>
          <w:p w14:paraId="1244E428">
            <w:pPr>
              <w:pStyle w:val="85"/>
              <w:keepNext w:val="0"/>
              <w:keepLines w:val="0"/>
              <w:pageBreakBefore w:val="0"/>
              <w:widowControl/>
              <w:numPr>
                <w:ilvl w:val="0"/>
                <w:numId w:val="36"/>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支持对感染病例进行感染终止日期修改、感染转归情况；</w:t>
            </w:r>
          </w:p>
          <w:p w14:paraId="77F194D7">
            <w:pPr>
              <w:pStyle w:val="85"/>
              <w:keepNext w:val="0"/>
              <w:keepLines w:val="0"/>
              <w:pageBreakBefore w:val="0"/>
              <w:widowControl/>
              <w:numPr>
                <w:ilvl w:val="0"/>
                <w:numId w:val="36"/>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支持对已确认的感染病例报卡删除操作；</w:t>
            </w:r>
          </w:p>
          <w:p w14:paraId="09E7F2CC">
            <w:pPr>
              <w:pStyle w:val="85"/>
              <w:keepNext w:val="0"/>
              <w:keepLines w:val="0"/>
              <w:pageBreakBefore w:val="0"/>
              <w:widowControl/>
              <w:numPr>
                <w:ilvl w:val="0"/>
                <w:numId w:val="36"/>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支持最新全国医院感染培训基地的现患率横断面个案调查表；</w:t>
            </w:r>
          </w:p>
          <w:p w14:paraId="225A24CC">
            <w:pPr>
              <w:pStyle w:val="85"/>
              <w:keepNext w:val="0"/>
              <w:keepLines w:val="0"/>
              <w:pageBreakBefore w:val="0"/>
              <w:widowControl/>
              <w:numPr>
                <w:ilvl w:val="0"/>
                <w:numId w:val="36"/>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支持不限次数的现患率横断面调查；</w:t>
            </w:r>
          </w:p>
          <w:p w14:paraId="774271C9">
            <w:pPr>
              <w:pStyle w:val="85"/>
              <w:keepNext w:val="0"/>
              <w:keepLines w:val="0"/>
              <w:pageBreakBefore w:val="0"/>
              <w:widowControl/>
              <w:numPr>
                <w:ilvl w:val="0"/>
                <w:numId w:val="36"/>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支持一键自动生成调查日在院患者及出院患者现患数据，如：患者基本信息、所在科室，调查者可对调查表进行信息补充；</w:t>
            </w:r>
          </w:p>
          <w:p w14:paraId="4B141764">
            <w:pPr>
              <w:pStyle w:val="85"/>
              <w:keepNext w:val="0"/>
              <w:keepLines w:val="0"/>
              <w:pageBreakBefore w:val="0"/>
              <w:widowControl/>
              <w:numPr>
                <w:ilvl w:val="0"/>
                <w:numId w:val="36"/>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支持对完成的调查数据可直接上报至全国医院感染监控管理培训基地；</w:t>
            </w:r>
          </w:p>
          <w:p w14:paraId="5CD23C68">
            <w:pPr>
              <w:pStyle w:val="85"/>
              <w:keepNext w:val="0"/>
              <w:keepLines w:val="0"/>
              <w:pageBreakBefore w:val="0"/>
              <w:widowControl/>
              <w:numPr>
                <w:ilvl w:val="0"/>
                <w:numId w:val="36"/>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支持查询在院患者及出院患者，并可按住院号、病案号、姓名模糊查询。</w:t>
            </w:r>
          </w:p>
        </w:tc>
      </w:tr>
      <w:tr w14:paraId="15EE349B">
        <w:tblPrEx>
          <w:tblCellMar>
            <w:top w:w="0" w:type="dxa"/>
            <w:left w:w="108" w:type="dxa"/>
            <w:bottom w:w="0" w:type="dxa"/>
            <w:right w:w="108" w:type="dxa"/>
          </w:tblCellMar>
        </w:tblPrEx>
        <w:trPr>
          <w:trHeight w:val="4737" w:hRule="atLeast"/>
          <w:jc w:val="center"/>
        </w:trPr>
        <w:tc>
          <w:tcPr>
            <w:tcW w:w="878" w:type="dxa"/>
            <w:vMerge w:val="continue"/>
            <w:tcBorders>
              <w:left w:val="single" w:color="auto" w:sz="8" w:space="0"/>
              <w:right w:val="single" w:color="auto" w:sz="8" w:space="0"/>
            </w:tcBorders>
            <w:vAlign w:val="center"/>
          </w:tcPr>
          <w:p w14:paraId="0880F23D">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color w:val="auto"/>
                <w:highlight w:val="none"/>
                <w:lang w:val="zh-TW" w:eastAsia="zh-TW"/>
              </w:rPr>
            </w:pPr>
          </w:p>
        </w:tc>
        <w:tc>
          <w:tcPr>
            <w:tcW w:w="1194" w:type="dxa"/>
            <w:tcBorders>
              <w:top w:val="single" w:color="auto" w:sz="4" w:space="0"/>
              <w:left w:val="single" w:color="auto" w:sz="8" w:space="0"/>
              <w:bottom w:val="single" w:color="000000" w:sz="8" w:space="0"/>
              <w:right w:val="single" w:color="auto" w:sz="8" w:space="0"/>
            </w:tcBorders>
            <w:vAlign w:val="center"/>
          </w:tcPr>
          <w:p w14:paraId="55D9C7DB">
            <w:pPr>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olor w:val="auto"/>
                <w:szCs w:val="21"/>
                <w:highlight w:val="none"/>
              </w:rPr>
            </w:pPr>
            <w:r>
              <w:rPr>
                <w:rFonts w:hint="eastAsia" w:ascii="宋体" w:hAnsi="宋体"/>
                <w:color w:val="auto"/>
                <w:szCs w:val="21"/>
                <w:highlight w:val="none"/>
              </w:rPr>
              <w:t>细菌监测</w:t>
            </w:r>
          </w:p>
        </w:tc>
        <w:tc>
          <w:tcPr>
            <w:tcW w:w="7887" w:type="dxa"/>
            <w:tcBorders>
              <w:top w:val="nil"/>
              <w:left w:val="nil"/>
              <w:bottom w:val="single" w:color="auto" w:sz="8" w:space="0"/>
              <w:right w:val="single" w:color="auto" w:sz="8" w:space="0"/>
            </w:tcBorders>
            <w:vAlign w:val="center"/>
          </w:tcPr>
          <w:p w14:paraId="1ED4F128">
            <w:pPr>
              <w:pStyle w:val="85"/>
              <w:keepNext w:val="0"/>
              <w:keepLines w:val="0"/>
              <w:pageBreakBefore w:val="0"/>
              <w:widowControl/>
              <w:numPr>
                <w:ilvl w:val="0"/>
                <w:numId w:val="37"/>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自动对微生物数据进行加载，结合最新多耐定义标准《医疗机构耐药菌MDR、XDR、PDR的定义专家建议（草案）》</w:t>
            </w:r>
            <w:r>
              <w:rPr>
                <w:rFonts w:hint="eastAsia" w:ascii="宋体" w:hAnsi="宋体"/>
                <w:color w:val="auto"/>
                <w:highlight w:val="none"/>
              </w:rPr>
              <w:t>自动判断是否为MDR\XDR\PDR、对特殊耐药菌自动进行颜色醒目标识。对多重耐药</w:t>
            </w:r>
            <w:r>
              <w:rPr>
                <w:rFonts w:hint="eastAsia" w:ascii="宋体" w:hAnsi="宋体"/>
                <w:color w:val="auto"/>
                <w:highlight w:val="none"/>
                <w:lang w:val="zh-TW" w:eastAsia="zh-TW"/>
              </w:rPr>
              <w:t>进行多耐分析</w:t>
            </w:r>
            <w:r>
              <w:rPr>
                <w:rFonts w:hint="eastAsia" w:ascii="宋体" w:hAnsi="宋体"/>
                <w:color w:val="auto"/>
                <w:highlight w:val="none"/>
                <w:lang w:val="zh-TW"/>
              </w:rPr>
              <w:t>，</w:t>
            </w:r>
            <w:r>
              <w:rPr>
                <w:rFonts w:hint="eastAsia" w:ascii="宋体" w:hAnsi="宋体"/>
                <w:color w:val="auto"/>
                <w:highlight w:val="none"/>
                <w:lang w:val="zh-TW" w:eastAsia="zh-TW"/>
              </w:rPr>
              <w:t>及时对临床科室和感控科预警提示</w:t>
            </w:r>
          </w:p>
          <w:p w14:paraId="6A3441C7">
            <w:pPr>
              <w:pStyle w:val="85"/>
              <w:keepNext w:val="0"/>
              <w:keepLines w:val="0"/>
              <w:pageBreakBefore w:val="0"/>
              <w:widowControl/>
              <w:numPr>
                <w:ilvl w:val="0"/>
                <w:numId w:val="37"/>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rPr>
              <w:t>细菌监测界面列表显示多耐/特耐审核状态、多重耐药菌防控措施的督导情况、多重耐药菌感染病例上报情况、隔离状态、是否出院、评分、管床医生、感染部位、感染类型、是否落实、备注等信息。</w:t>
            </w:r>
          </w:p>
          <w:p w14:paraId="71CC5C9C">
            <w:pPr>
              <w:pStyle w:val="85"/>
              <w:keepNext w:val="0"/>
              <w:keepLines w:val="0"/>
              <w:pageBreakBefore w:val="0"/>
              <w:widowControl/>
              <w:numPr>
                <w:ilvl w:val="0"/>
                <w:numId w:val="37"/>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rPr>
              <w:t>对每种抗菌药物的药敏结果进行展示，</w:t>
            </w:r>
            <w:r>
              <w:rPr>
                <w:rFonts w:hint="eastAsia" w:ascii="宋体" w:hAnsi="宋体"/>
                <w:color w:val="auto"/>
                <w:highlight w:val="none"/>
                <w:lang w:val="zh-TW" w:eastAsia="zh-TW"/>
              </w:rPr>
              <w:t>并按照药敏药物的药品类别分组显示</w:t>
            </w:r>
            <w:r>
              <w:rPr>
                <w:rFonts w:hint="eastAsia" w:ascii="宋体" w:hAnsi="宋体"/>
                <w:color w:val="auto"/>
                <w:highlight w:val="none"/>
                <w:lang w:val="zh-TW"/>
              </w:rPr>
              <w:t>，</w:t>
            </w:r>
            <w:r>
              <w:rPr>
                <w:rFonts w:hint="eastAsia" w:ascii="宋体" w:hAnsi="宋体"/>
                <w:color w:val="auto"/>
                <w:highlight w:val="none"/>
              </w:rPr>
              <w:t>包括：β-内酰胺与β-内酰胺酶抑制复合物、</w:t>
            </w:r>
            <w:r>
              <w:rPr>
                <w:rFonts w:hint="eastAsia" w:ascii="宋体" w:hAnsi="宋体"/>
                <w:color w:val="auto"/>
                <w:highlight w:val="none"/>
                <w:lang w:val="zh-TW" w:eastAsia="zh-TW"/>
              </w:rPr>
              <w:t>氨基糖苷类</w:t>
            </w:r>
            <w:r>
              <w:rPr>
                <w:rFonts w:hint="eastAsia" w:ascii="宋体" w:hAnsi="宋体"/>
                <w:color w:val="auto"/>
                <w:highlight w:val="none"/>
                <w:lang w:val="zh-TW"/>
              </w:rPr>
              <w:t>、</w:t>
            </w:r>
            <w:r>
              <w:rPr>
                <w:rFonts w:hint="eastAsia" w:ascii="宋体" w:hAnsi="宋体"/>
                <w:color w:val="auto"/>
                <w:highlight w:val="none"/>
                <w:lang w:val="zh-TW" w:eastAsia="zh-TW"/>
              </w:rPr>
              <w:t>单环β-内酰胺类</w:t>
            </w:r>
            <w:r>
              <w:rPr>
                <w:rFonts w:hint="eastAsia" w:ascii="宋体" w:hAnsi="宋体"/>
                <w:color w:val="auto"/>
                <w:highlight w:val="none"/>
                <w:lang w:val="zh-TW"/>
              </w:rPr>
              <w:t>、</w:t>
            </w:r>
            <w:r>
              <w:rPr>
                <w:rFonts w:hint="eastAsia" w:ascii="宋体" w:hAnsi="宋体"/>
                <w:color w:val="auto"/>
                <w:highlight w:val="none"/>
                <w:lang w:val="zh-TW" w:eastAsia="zh-TW"/>
              </w:rPr>
              <w:t>青霉素类</w:t>
            </w:r>
            <w:r>
              <w:rPr>
                <w:rFonts w:hint="eastAsia" w:ascii="宋体" w:hAnsi="宋体"/>
                <w:color w:val="auto"/>
                <w:highlight w:val="none"/>
                <w:lang w:val="zh-TW"/>
              </w:rPr>
              <w:t>、</w:t>
            </w:r>
            <w:r>
              <w:rPr>
                <w:rFonts w:hint="eastAsia" w:ascii="宋体" w:hAnsi="宋体"/>
                <w:color w:val="auto"/>
                <w:highlight w:val="none"/>
                <w:lang w:val="zh-TW" w:eastAsia="zh-TW"/>
              </w:rPr>
              <w:t>碳青霉烯类</w:t>
            </w:r>
            <w:r>
              <w:rPr>
                <w:rFonts w:hint="eastAsia" w:ascii="宋体" w:hAnsi="宋体"/>
                <w:color w:val="auto"/>
                <w:highlight w:val="none"/>
                <w:lang w:val="zh-TW"/>
              </w:rPr>
              <w:t>、</w:t>
            </w:r>
            <w:r>
              <w:rPr>
                <w:rFonts w:hint="eastAsia" w:ascii="宋体" w:hAnsi="宋体"/>
                <w:color w:val="auto"/>
                <w:highlight w:val="none"/>
                <w:lang w:val="zh-TW" w:eastAsia="zh-TW"/>
              </w:rPr>
              <w:t>头孢类</w:t>
            </w:r>
            <w:r>
              <w:rPr>
                <w:rFonts w:hint="eastAsia" w:ascii="宋体" w:hAnsi="宋体"/>
                <w:color w:val="auto"/>
                <w:highlight w:val="none"/>
                <w:lang w:val="zh-TW"/>
              </w:rPr>
              <w:t>、</w:t>
            </w:r>
            <w:r>
              <w:rPr>
                <w:rFonts w:hint="eastAsia" w:ascii="宋体" w:hAnsi="宋体"/>
                <w:color w:val="auto"/>
                <w:highlight w:val="none"/>
                <w:lang w:val="zh-TW" w:eastAsia="zh-TW"/>
              </w:rPr>
              <w:t>硝基呋喃类</w:t>
            </w:r>
            <w:r>
              <w:rPr>
                <w:rFonts w:hint="eastAsia" w:ascii="宋体" w:hAnsi="宋体"/>
                <w:color w:val="auto"/>
                <w:highlight w:val="none"/>
                <w:lang w:val="zh-TW"/>
              </w:rPr>
              <w:t>、</w:t>
            </w:r>
            <w:r>
              <w:rPr>
                <w:rFonts w:hint="eastAsia" w:ascii="宋体" w:hAnsi="宋体"/>
                <w:color w:val="auto"/>
                <w:highlight w:val="none"/>
                <w:lang w:val="zh-TW" w:eastAsia="zh-TW"/>
              </w:rPr>
              <w:t>叶酸代谢途径抑制剂(磺胺类)</w:t>
            </w:r>
            <w:r>
              <w:rPr>
                <w:rFonts w:hint="eastAsia" w:ascii="宋体" w:hAnsi="宋体"/>
                <w:color w:val="auto"/>
                <w:highlight w:val="none"/>
                <w:lang w:val="zh-TW"/>
              </w:rPr>
              <w:t>、</w:t>
            </w:r>
            <w:r>
              <w:rPr>
                <w:rFonts w:hint="eastAsia" w:ascii="宋体" w:hAnsi="宋体"/>
                <w:color w:val="auto"/>
                <w:highlight w:val="none"/>
                <w:lang w:val="zh-TW" w:eastAsia="zh-TW"/>
              </w:rPr>
              <w:t>喹诺酮类</w:t>
            </w:r>
            <w:r>
              <w:rPr>
                <w:rFonts w:hint="eastAsia" w:ascii="宋体" w:hAnsi="宋体"/>
                <w:color w:val="auto"/>
                <w:highlight w:val="none"/>
              </w:rPr>
              <w:t>等，如果</w:t>
            </w:r>
            <w:r>
              <w:rPr>
                <w:rFonts w:hint="eastAsia" w:ascii="宋体" w:hAnsi="宋体"/>
                <w:color w:val="auto"/>
                <w:highlight w:val="none"/>
                <w:lang w:val="zh-TW" w:eastAsia="zh-TW"/>
              </w:rPr>
              <w:t>是天然耐药</w:t>
            </w:r>
            <w:r>
              <w:rPr>
                <w:rFonts w:hint="eastAsia" w:ascii="宋体" w:hAnsi="宋体"/>
                <w:color w:val="auto"/>
                <w:highlight w:val="none"/>
              </w:rPr>
              <w:t>的抗菌药物</w:t>
            </w:r>
            <w:r>
              <w:rPr>
                <w:rFonts w:hint="eastAsia" w:ascii="宋体" w:hAnsi="宋体"/>
                <w:color w:val="auto"/>
                <w:highlight w:val="none"/>
                <w:lang w:val="zh-TW" w:eastAsia="zh-TW"/>
              </w:rPr>
              <w:t>，有</w:t>
            </w:r>
            <w:r>
              <w:rPr>
                <w:rFonts w:hint="eastAsia" w:ascii="宋体" w:hAnsi="宋体"/>
                <w:color w:val="auto"/>
                <w:highlight w:val="none"/>
              </w:rPr>
              <w:t>不同颜色区分的</w:t>
            </w:r>
            <w:r>
              <w:rPr>
                <w:rFonts w:hint="eastAsia" w:ascii="宋体" w:hAnsi="宋体"/>
                <w:color w:val="auto"/>
                <w:highlight w:val="none"/>
                <w:lang w:val="zh-TW" w:eastAsia="zh-TW"/>
              </w:rPr>
              <w:t>显眼提示</w:t>
            </w:r>
            <w:r>
              <w:rPr>
                <w:rFonts w:hint="eastAsia" w:ascii="宋体" w:hAnsi="宋体"/>
                <w:color w:val="auto"/>
                <w:highlight w:val="none"/>
                <w:lang w:val="zh-TW"/>
              </w:rPr>
              <w:t>。</w:t>
            </w:r>
          </w:p>
          <w:p w14:paraId="4809CD66">
            <w:pPr>
              <w:pStyle w:val="85"/>
              <w:keepNext w:val="0"/>
              <w:keepLines w:val="0"/>
              <w:pageBreakBefore w:val="0"/>
              <w:widowControl/>
              <w:numPr>
                <w:ilvl w:val="0"/>
                <w:numId w:val="37"/>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支持根据最新规范标准，自动区分出MDR、XDR、PDR、特殊耐药菌、能够自动剔除天然耐药。</w:t>
            </w:r>
          </w:p>
          <w:p w14:paraId="3B199E4B">
            <w:pPr>
              <w:pStyle w:val="85"/>
              <w:keepNext w:val="0"/>
              <w:keepLines w:val="0"/>
              <w:pageBreakBefore w:val="0"/>
              <w:widowControl/>
              <w:numPr>
                <w:ilvl w:val="0"/>
                <w:numId w:val="37"/>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支持每日检出菌中按管辖科室或全院视角查看，自动优先展示未审核的重点菌内容，对聚焦重点菌的审核、干预；</w:t>
            </w:r>
          </w:p>
          <w:p w14:paraId="60DA6DB9">
            <w:pPr>
              <w:pStyle w:val="85"/>
              <w:keepNext w:val="0"/>
              <w:keepLines w:val="0"/>
              <w:pageBreakBefore w:val="0"/>
              <w:widowControl/>
              <w:numPr>
                <w:ilvl w:val="0"/>
                <w:numId w:val="37"/>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支持自动关联感染的致病菌信息，包括：感染类型、感染时间、感染部位；</w:t>
            </w:r>
          </w:p>
          <w:p w14:paraId="36B0412D">
            <w:pPr>
              <w:pStyle w:val="85"/>
              <w:keepNext w:val="0"/>
              <w:keepLines w:val="0"/>
              <w:pageBreakBefore w:val="0"/>
              <w:widowControl/>
              <w:numPr>
                <w:ilvl w:val="0"/>
                <w:numId w:val="37"/>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rPr>
              <w:t>该界面</w:t>
            </w:r>
            <w:r>
              <w:rPr>
                <w:rFonts w:hint="eastAsia" w:ascii="宋体" w:hAnsi="宋体"/>
                <w:color w:val="auto"/>
                <w:highlight w:val="none"/>
                <w:lang w:val="zh-TW" w:eastAsia="zh-TW"/>
              </w:rPr>
              <w:t>支持</w:t>
            </w:r>
            <w:r>
              <w:rPr>
                <w:rFonts w:hint="eastAsia" w:ascii="宋体" w:hAnsi="宋体"/>
                <w:color w:val="auto"/>
                <w:highlight w:val="none"/>
              </w:rPr>
              <w:t>支持在该界面对多重耐药菌进行多耐、特耐审核；</w:t>
            </w:r>
            <w:r>
              <w:rPr>
                <w:rFonts w:hint="eastAsia" w:ascii="宋体" w:hAnsi="宋体"/>
                <w:color w:val="auto"/>
                <w:highlight w:val="none"/>
                <w:lang w:val="zh-TW" w:eastAsia="zh-TW"/>
              </w:rPr>
              <w:t>对</w:t>
            </w:r>
            <w:r>
              <w:rPr>
                <w:rFonts w:hint="eastAsia" w:ascii="宋体" w:hAnsi="宋体"/>
                <w:color w:val="auto"/>
                <w:highlight w:val="none"/>
              </w:rPr>
              <w:t>细菌</w:t>
            </w:r>
            <w:r>
              <w:rPr>
                <w:rFonts w:hint="eastAsia" w:ascii="宋体" w:hAnsi="宋体"/>
                <w:color w:val="auto"/>
                <w:highlight w:val="none"/>
                <w:lang w:val="zh-TW" w:eastAsia="zh-TW"/>
              </w:rPr>
              <w:t>的感染类型审核处理，包括：院感、社感、定植、污染、不确定、未审核</w:t>
            </w:r>
            <w:r>
              <w:rPr>
                <w:rFonts w:hint="eastAsia" w:ascii="宋体" w:hAnsi="宋体"/>
                <w:color w:val="auto"/>
                <w:highlight w:val="none"/>
              </w:rPr>
              <w:t>等操作；</w:t>
            </w:r>
            <w:r>
              <w:rPr>
                <w:rFonts w:hint="eastAsia" w:ascii="宋体" w:hAnsi="宋体"/>
                <w:color w:val="auto"/>
                <w:highlight w:val="none"/>
                <w:lang w:val="zh-TW" w:eastAsia="zh-TW"/>
              </w:rPr>
              <w:t>审核为院感时，可优先干预到临床，要求临床先进行院感致病菌报告；</w:t>
            </w:r>
          </w:p>
          <w:p w14:paraId="22C13590">
            <w:pPr>
              <w:pStyle w:val="85"/>
              <w:keepNext w:val="0"/>
              <w:keepLines w:val="0"/>
              <w:pageBreakBefore w:val="0"/>
              <w:widowControl/>
              <w:numPr>
                <w:ilvl w:val="0"/>
                <w:numId w:val="37"/>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支持根据患者医嘱情况，自动展示患者隔离标识，自动计算出患者开始隔离日期、解除隔离日期，可钻取隔离标识的医嘱明细；</w:t>
            </w:r>
          </w:p>
          <w:p w14:paraId="6930A376">
            <w:pPr>
              <w:pStyle w:val="85"/>
              <w:keepNext w:val="0"/>
              <w:keepLines w:val="0"/>
              <w:pageBreakBefore w:val="0"/>
              <w:widowControl/>
              <w:numPr>
                <w:ilvl w:val="0"/>
                <w:numId w:val="37"/>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支持对干预的检出菌患者，进行隔离干预消息操作，干预自动生成；</w:t>
            </w:r>
          </w:p>
          <w:p w14:paraId="09FBD105">
            <w:pPr>
              <w:pStyle w:val="85"/>
              <w:keepNext w:val="0"/>
              <w:keepLines w:val="0"/>
              <w:pageBreakBefore w:val="0"/>
              <w:widowControl/>
              <w:numPr>
                <w:ilvl w:val="0"/>
                <w:numId w:val="37"/>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支持调阅查看多重耐药菌患者的感染防控评估表执行情况；</w:t>
            </w:r>
          </w:p>
          <w:p w14:paraId="1C8E568E">
            <w:pPr>
              <w:pStyle w:val="85"/>
              <w:keepNext w:val="0"/>
              <w:keepLines w:val="0"/>
              <w:pageBreakBefore w:val="0"/>
              <w:widowControl/>
              <w:numPr>
                <w:ilvl w:val="0"/>
                <w:numId w:val="37"/>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按多条件查询检出菌明细，条件包括：时间类型（送检日期、检出日期），患者检索、科室类型、科室名称、重点菌和非重点菌、细菌名称、革兰氏G+/G-、菌属分类、感染类型、隔离医嘱情况、管辖科室/全院；</w:t>
            </w:r>
          </w:p>
          <w:p w14:paraId="1B9B3FBC">
            <w:pPr>
              <w:pStyle w:val="85"/>
              <w:keepNext w:val="0"/>
              <w:keepLines w:val="0"/>
              <w:pageBreakBefore w:val="0"/>
              <w:widowControl/>
              <w:numPr>
                <w:ilvl w:val="0"/>
                <w:numId w:val="37"/>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支持对查询的菌结果，可直接导出XLS。</w:t>
            </w:r>
          </w:p>
          <w:p w14:paraId="2DE8C0FA">
            <w:pPr>
              <w:pStyle w:val="85"/>
              <w:keepNext w:val="0"/>
              <w:keepLines w:val="0"/>
              <w:pageBreakBefore w:val="0"/>
              <w:widowControl/>
              <w:numPr>
                <w:ilvl w:val="0"/>
                <w:numId w:val="37"/>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可按多种条件进行查询统计，包括：时间类型（送检日期、检出日期）按月度、季度、年度、自定义时间段，科室类型、科室名称、细菌名称、标本名称、革兰氏G+/G-、菌属分类、感染类型、管辖科室/全院维度，自动剔除重复；</w:t>
            </w:r>
          </w:p>
          <w:p w14:paraId="553FFAB4">
            <w:pPr>
              <w:pStyle w:val="85"/>
              <w:keepNext w:val="0"/>
              <w:keepLines w:val="0"/>
              <w:pageBreakBefore w:val="0"/>
              <w:widowControl/>
              <w:numPr>
                <w:ilvl w:val="0"/>
                <w:numId w:val="37"/>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指标包括：送检阳性率（科室）、送检多耐率（科室）、检出菌耐药率统计（按耐药率程度颜色标记）、检出菌标本分布、检出菌科室分布、感染类型分布、多重耐药菌感染人（例次）数、多重耐药菌感染发生（例次）率、多重耐药菌千日感染（例次）率、重点菌感染次数、检出菌标本分布、标本检出菌分布、体温异常血培养送检率；</w:t>
            </w:r>
          </w:p>
          <w:p w14:paraId="1281BAF6">
            <w:pPr>
              <w:pStyle w:val="85"/>
              <w:keepNext w:val="0"/>
              <w:keepLines w:val="0"/>
              <w:pageBreakBefore w:val="0"/>
              <w:widowControl/>
              <w:numPr>
                <w:ilvl w:val="0"/>
                <w:numId w:val="37"/>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按月度、季度、年度的环比分析检出率趋势、多耐率趋势、菌的耐药率趋势</w:t>
            </w:r>
            <w:r>
              <w:rPr>
                <w:rFonts w:hint="eastAsia" w:ascii="宋体" w:hAnsi="宋体"/>
                <w:color w:val="auto"/>
                <w:highlight w:val="none"/>
                <w:lang w:val="zh-TW"/>
              </w:rPr>
              <w:t>。</w:t>
            </w:r>
          </w:p>
        </w:tc>
      </w:tr>
      <w:tr w14:paraId="56BDAB52">
        <w:tblPrEx>
          <w:tblCellMar>
            <w:top w:w="0" w:type="dxa"/>
            <w:left w:w="108" w:type="dxa"/>
            <w:bottom w:w="0" w:type="dxa"/>
            <w:right w:w="108" w:type="dxa"/>
          </w:tblCellMar>
        </w:tblPrEx>
        <w:trPr>
          <w:trHeight w:val="3938" w:hRule="atLeast"/>
          <w:jc w:val="center"/>
        </w:trPr>
        <w:tc>
          <w:tcPr>
            <w:tcW w:w="878" w:type="dxa"/>
            <w:vMerge w:val="continue"/>
            <w:tcBorders>
              <w:left w:val="single" w:color="auto" w:sz="8" w:space="0"/>
              <w:right w:val="single" w:color="auto" w:sz="8" w:space="0"/>
            </w:tcBorders>
            <w:vAlign w:val="center"/>
          </w:tcPr>
          <w:p w14:paraId="6E64CB7D">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color w:val="auto"/>
                <w:highlight w:val="none"/>
              </w:rPr>
            </w:pPr>
          </w:p>
        </w:tc>
        <w:tc>
          <w:tcPr>
            <w:tcW w:w="1194" w:type="dxa"/>
            <w:tcBorders>
              <w:top w:val="single" w:color="auto" w:sz="4" w:space="0"/>
              <w:left w:val="single" w:color="auto" w:sz="8" w:space="0"/>
              <w:bottom w:val="single" w:color="000000" w:sz="8" w:space="0"/>
              <w:right w:val="single" w:color="auto" w:sz="8" w:space="0"/>
            </w:tcBorders>
            <w:vAlign w:val="center"/>
          </w:tcPr>
          <w:p w14:paraId="2BDF688E">
            <w:pPr>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olor w:val="auto"/>
                <w:szCs w:val="21"/>
                <w:highlight w:val="none"/>
              </w:rPr>
            </w:pPr>
            <w:r>
              <w:rPr>
                <w:rFonts w:hint="eastAsia" w:ascii="宋体" w:hAnsi="宋体"/>
                <w:color w:val="auto"/>
                <w:szCs w:val="21"/>
                <w:highlight w:val="none"/>
              </w:rPr>
              <w:t>多重耐药菌防控措施评估</w:t>
            </w:r>
          </w:p>
        </w:tc>
        <w:tc>
          <w:tcPr>
            <w:tcW w:w="7887" w:type="dxa"/>
            <w:tcBorders>
              <w:top w:val="nil"/>
              <w:left w:val="nil"/>
              <w:bottom w:val="single" w:color="auto" w:sz="8" w:space="0"/>
              <w:right w:val="single" w:color="auto" w:sz="8" w:space="0"/>
            </w:tcBorders>
            <w:vAlign w:val="center"/>
          </w:tcPr>
          <w:p w14:paraId="34BAEA07">
            <w:pPr>
              <w:pStyle w:val="85"/>
              <w:keepNext w:val="0"/>
              <w:keepLines w:val="0"/>
              <w:pageBreakBefore w:val="0"/>
              <w:widowControl/>
              <w:numPr>
                <w:ilvl w:val="0"/>
                <w:numId w:val="38"/>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w:t>
            </w:r>
            <w:r>
              <w:rPr>
                <w:rFonts w:hint="eastAsia" w:ascii="宋体" w:hAnsi="宋体"/>
                <w:color w:val="auto"/>
                <w:highlight w:val="none"/>
              </w:rPr>
              <w:t>多种耐药菌的防控措施进行评估及督导，对于检出的多重耐药菌，系统自动预警并发送防控措施表至管床医生、护士，院感科医生下到临床进行防控措施的督导，临床的防控措施记录，以及院感科的督导评价将全部记录在系统，可溯源。可对防控记录和督导表进行打印</w:t>
            </w:r>
          </w:p>
          <w:p w14:paraId="01B0CB3D">
            <w:pPr>
              <w:pStyle w:val="85"/>
              <w:keepNext w:val="0"/>
              <w:keepLines w:val="0"/>
              <w:pageBreakBefore w:val="0"/>
              <w:widowControl/>
              <w:numPr>
                <w:ilvl w:val="0"/>
                <w:numId w:val="38"/>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rPr>
              <w:t>支持</w:t>
            </w:r>
            <w:r>
              <w:rPr>
                <w:rFonts w:hint="eastAsia" w:ascii="宋体" w:hAnsi="宋体"/>
                <w:color w:val="auto"/>
                <w:highlight w:val="none"/>
                <w:lang w:val="zh-TW" w:eastAsia="zh-TW"/>
              </w:rPr>
              <w:t>对防控措施评估表进行医院个性化的配置与设定；</w:t>
            </w:r>
          </w:p>
          <w:p w14:paraId="76719B94">
            <w:pPr>
              <w:pStyle w:val="85"/>
              <w:keepNext w:val="0"/>
              <w:keepLines w:val="0"/>
              <w:pageBreakBefore w:val="0"/>
              <w:widowControl/>
              <w:numPr>
                <w:ilvl w:val="0"/>
                <w:numId w:val="38"/>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支持评估项的不限定项目数的新增；</w:t>
            </w:r>
          </w:p>
          <w:p w14:paraId="7F6A745A">
            <w:pPr>
              <w:pStyle w:val="85"/>
              <w:keepNext w:val="0"/>
              <w:keepLines w:val="0"/>
              <w:pageBreakBefore w:val="0"/>
              <w:widowControl/>
              <w:numPr>
                <w:ilvl w:val="0"/>
                <w:numId w:val="38"/>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支持对评估项的分值设定；</w:t>
            </w:r>
          </w:p>
          <w:p w14:paraId="31FE8DB8">
            <w:pPr>
              <w:pStyle w:val="85"/>
              <w:keepNext w:val="0"/>
              <w:keepLines w:val="0"/>
              <w:pageBreakBefore w:val="0"/>
              <w:widowControl/>
              <w:numPr>
                <w:ilvl w:val="0"/>
                <w:numId w:val="38"/>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支持对防控措施评估表的开启、暂停的设置；</w:t>
            </w:r>
          </w:p>
          <w:p w14:paraId="0D8F8A6A">
            <w:pPr>
              <w:pStyle w:val="85"/>
              <w:keepNext w:val="0"/>
              <w:keepLines w:val="0"/>
              <w:pageBreakBefore w:val="0"/>
              <w:widowControl/>
              <w:numPr>
                <w:ilvl w:val="0"/>
                <w:numId w:val="38"/>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支持临床医生与护士对多重耐药菌患者的防控措施评估表的填报，评估结果直接同步至感控管理端。</w:t>
            </w:r>
          </w:p>
        </w:tc>
      </w:tr>
      <w:tr w14:paraId="6B9B882C">
        <w:tblPrEx>
          <w:tblCellMar>
            <w:top w:w="0" w:type="dxa"/>
            <w:left w:w="108" w:type="dxa"/>
            <w:bottom w:w="0" w:type="dxa"/>
            <w:right w:w="108" w:type="dxa"/>
          </w:tblCellMar>
        </w:tblPrEx>
        <w:trPr>
          <w:trHeight w:val="2762" w:hRule="atLeast"/>
          <w:jc w:val="center"/>
        </w:trPr>
        <w:tc>
          <w:tcPr>
            <w:tcW w:w="878" w:type="dxa"/>
            <w:vMerge w:val="continue"/>
            <w:tcBorders>
              <w:left w:val="single" w:color="auto" w:sz="8" w:space="0"/>
              <w:right w:val="single" w:color="auto" w:sz="8" w:space="0"/>
            </w:tcBorders>
            <w:vAlign w:val="center"/>
          </w:tcPr>
          <w:p w14:paraId="45624613">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olor w:val="auto"/>
                <w:highlight w:val="none"/>
              </w:rPr>
            </w:pPr>
          </w:p>
        </w:tc>
        <w:tc>
          <w:tcPr>
            <w:tcW w:w="1194" w:type="dxa"/>
            <w:tcBorders>
              <w:top w:val="single" w:color="auto" w:sz="4" w:space="0"/>
              <w:left w:val="single" w:color="auto" w:sz="8" w:space="0"/>
              <w:bottom w:val="single" w:color="000000" w:sz="8" w:space="0"/>
              <w:right w:val="single" w:color="auto" w:sz="8" w:space="0"/>
            </w:tcBorders>
            <w:vAlign w:val="center"/>
          </w:tcPr>
          <w:p w14:paraId="66272636">
            <w:pPr>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olor w:val="auto"/>
                <w:szCs w:val="21"/>
                <w:highlight w:val="none"/>
              </w:rPr>
            </w:pPr>
            <w:r>
              <w:rPr>
                <w:rFonts w:ascii="宋体" w:hAnsi="宋体"/>
                <w:color w:val="auto"/>
                <w:szCs w:val="21"/>
                <w:highlight w:val="none"/>
              </w:rPr>
              <w:t>ICU</w:t>
            </w:r>
            <w:r>
              <w:rPr>
                <w:rFonts w:hint="eastAsia" w:ascii="宋体" w:hAnsi="宋体"/>
                <w:color w:val="auto"/>
                <w:szCs w:val="21"/>
                <w:highlight w:val="none"/>
              </w:rPr>
              <w:t>监测</w:t>
            </w:r>
          </w:p>
        </w:tc>
        <w:tc>
          <w:tcPr>
            <w:tcW w:w="7887" w:type="dxa"/>
            <w:tcBorders>
              <w:top w:val="nil"/>
              <w:left w:val="nil"/>
              <w:bottom w:val="single" w:color="auto" w:sz="8" w:space="0"/>
              <w:right w:val="single" w:color="auto" w:sz="8" w:space="0"/>
            </w:tcBorders>
            <w:vAlign w:val="center"/>
          </w:tcPr>
          <w:p w14:paraId="06F1C142">
            <w:pPr>
              <w:pStyle w:val="85"/>
              <w:keepNext w:val="0"/>
              <w:keepLines w:val="0"/>
              <w:pageBreakBefore w:val="0"/>
              <w:widowControl/>
              <w:numPr>
                <w:ilvl w:val="0"/>
                <w:numId w:val="39"/>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支持对全院ICU、PICU、CCU、MICU等ICU病房监测；</w:t>
            </w:r>
          </w:p>
          <w:p w14:paraId="038FBA13">
            <w:pPr>
              <w:pStyle w:val="85"/>
              <w:keepNext w:val="0"/>
              <w:keepLines w:val="0"/>
              <w:pageBreakBefore w:val="0"/>
              <w:widowControl/>
              <w:numPr>
                <w:ilvl w:val="0"/>
                <w:numId w:val="39"/>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支持自动生成新住进患者数、住在患者数、留置导尿管使用患者数、中心静脉插管使用患者数、呼吸机使用患者数；</w:t>
            </w:r>
          </w:p>
          <w:p w14:paraId="3BE22E1D">
            <w:pPr>
              <w:pStyle w:val="85"/>
              <w:keepNext w:val="0"/>
              <w:keepLines w:val="0"/>
              <w:pageBreakBefore w:val="0"/>
              <w:widowControl/>
              <w:numPr>
                <w:ilvl w:val="0"/>
                <w:numId w:val="39"/>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支持对监测月报中的患者数列表穿透，可查看插管使用开始时间、结束时间、使用天数、插管评估概况；</w:t>
            </w:r>
          </w:p>
          <w:p w14:paraId="6F0FE5C0">
            <w:pPr>
              <w:pStyle w:val="85"/>
              <w:keepNext w:val="0"/>
              <w:keepLines w:val="0"/>
              <w:pageBreakBefore w:val="0"/>
              <w:widowControl/>
              <w:numPr>
                <w:ilvl w:val="0"/>
                <w:numId w:val="39"/>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支持对高危新生儿病房监测；</w:t>
            </w:r>
          </w:p>
          <w:p w14:paraId="4FEDE113">
            <w:pPr>
              <w:pStyle w:val="85"/>
              <w:keepNext w:val="0"/>
              <w:keepLines w:val="0"/>
              <w:pageBreakBefore w:val="0"/>
              <w:widowControl/>
              <w:numPr>
                <w:ilvl w:val="0"/>
                <w:numId w:val="39"/>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能够自动生成监测月报按（≤1000g、（1001-1500）g、（1501-2500）g、≥2500g）进行分组的新生儿监测月报,同时也分组（≤751g、（751-1000）g、（1001-1500）g、（1501-2500）g、≥2500g）；分组的新住进患者数、住在患者数、脐/中心静脉插管使用患者数、呼吸机使用患者数；</w:t>
            </w:r>
          </w:p>
          <w:p w14:paraId="73E06626">
            <w:pPr>
              <w:pStyle w:val="85"/>
              <w:keepNext w:val="0"/>
              <w:keepLines w:val="0"/>
              <w:pageBreakBefore w:val="0"/>
              <w:widowControl/>
              <w:numPr>
                <w:ilvl w:val="0"/>
                <w:numId w:val="39"/>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支持对未填写体重的新生儿提供维护窗口；</w:t>
            </w:r>
          </w:p>
          <w:p w14:paraId="02BBAE41">
            <w:pPr>
              <w:pStyle w:val="85"/>
              <w:keepNext w:val="0"/>
              <w:keepLines w:val="0"/>
              <w:pageBreakBefore w:val="0"/>
              <w:widowControl/>
              <w:numPr>
                <w:ilvl w:val="0"/>
                <w:numId w:val="39"/>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支持对监测月报中的患儿数列表穿透，可查看插管使用开始时间、结束时间、使用天数、插管评估概况；</w:t>
            </w:r>
          </w:p>
          <w:p w14:paraId="75189D32">
            <w:pPr>
              <w:pStyle w:val="85"/>
              <w:keepNext w:val="0"/>
              <w:keepLines w:val="0"/>
              <w:pageBreakBefore w:val="0"/>
              <w:widowControl/>
              <w:numPr>
                <w:ilvl w:val="0"/>
                <w:numId w:val="39"/>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支持临床病情等级评分功能，医生根据患者病情，对患者病情进行评分操作，一周内选定任意一日进行病情等级评定；</w:t>
            </w:r>
          </w:p>
          <w:p w14:paraId="4C53801A">
            <w:pPr>
              <w:pStyle w:val="85"/>
              <w:keepNext w:val="0"/>
              <w:keepLines w:val="0"/>
              <w:pageBreakBefore w:val="0"/>
              <w:widowControl/>
              <w:numPr>
                <w:ilvl w:val="0"/>
                <w:numId w:val="39"/>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支持临床病情等级未评分人进行归纳，方便查询及评分；</w:t>
            </w:r>
          </w:p>
          <w:p w14:paraId="3A663672">
            <w:pPr>
              <w:pStyle w:val="85"/>
              <w:keepNext w:val="0"/>
              <w:keepLines w:val="0"/>
              <w:pageBreakBefore w:val="0"/>
              <w:widowControl/>
              <w:numPr>
                <w:ilvl w:val="0"/>
                <w:numId w:val="39"/>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支持对普通病房的ICU床位进行ICU级别监测。</w:t>
            </w:r>
          </w:p>
          <w:p w14:paraId="7E437473">
            <w:pPr>
              <w:pStyle w:val="85"/>
              <w:keepNext w:val="0"/>
              <w:keepLines w:val="0"/>
              <w:pageBreakBefore w:val="0"/>
              <w:widowControl/>
              <w:numPr>
                <w:ilvl w:val="0"/>
                <w:numId w:val="39"/>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CN" w:eastAsia="zh-TW"/>
              </w:rPr>
              <w:t>支持按照住院患者人数的时间段查询，</w:t>
            </w:r>
            <w:r>
              <w:rPr>
                <w:rFonts w:hint="eastAsia" w:ascii="宋体" w:hAnsi="宋体"/>
                <w:color w:val="auto"/>
                <w:highlight w:val="none"/>
                <w:lang w:val="zh-TW" w:eastAsia="zh-TW"/>
              </w:rPr>
              <w:t>科室感染率（%）、科室感染例次率（%）、日感染率（‰）调整感染率（%）、调整日感染率（‰）、中心静脉插管使用率（%）、呼吸机使用率（%）、总器械使用率（%）；</w:t>
            </w:r>
          </w:p>
          <w:p w14:paraId="7CD75317">
            <w:pPr>
              <w:pStyle w:val="85"/>
              <w:keepNext w:val="0"/>
              <w:keepLines w:val="0"/>
              <w:pageBreakBefore w:val="0"/>
              <w:widowControl/>
              <w:numPr>
                <w:ilvl w:val="0"/>
                <w:numId w:val="39"/>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统计高危新生儿，按照体重进行分组的感染率（%）、感染例次率（%）、患儿日感染率（‰）、调整日感染率（‰）、脐/中心静脉插管使用率（%）、呼吸机使用率（%）、总器械使用率（%）、脐/中心静脉插管血流感染发病率（‰）、呼吸机相关肺炎发病率（‰）。</w:t>
            </w:r>
          </w:p>
        </w:tc>
      </w:tr>
      <w:tr w14:paraId="5CA0A7AB">
        <w:tblPrEx>
          <w:tblCellMar>
            <w:top w:w="0" w:type="dxa"/>
            <w:left w:w="108" w:type="dxa"/>
            <w:bottom w:w="0" w:type="dxa"/>
            <w:right w:w="108" w:type="dxa"/>
          </w:tblCellMar>
        </w:tblPrEx>
        <w:trPr>
          <w:trHeight w:val="3131" w:hRule="atLeast"/>
          <w:jc w:val="center"/>
        </w:trPr>
        <w:tc>
          <w:tcPr>
            <w:tcW w:w="878" w:type="dxa"/>
            <w:vMerge w:val="continue"/>
            <w:tcBorders>
              <w:left w:val="single" w:color="auto" w:sz="8" w:space="0"/>
              <w:right w:val="single" w:color="auto" w:sz="8" w:space="0"/>
            </w:tcBorders>
            <w:vAlign w:val="center"/>
          </w:tcPr>
          <w:p w14:paraId="48C3F2B3">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color w:val="auto"/>
                <w:highlight w:val="none"/>
                <w:lang w:val="zh-TW" w:eastAsia="zh-TW"/>
              </w:rPr>
            </w:pPr>
          </w:p>
        </w:tc>
        <w:tc>
          <w:tcPr>
            <w:tcW w:w="1194" w:type="dxa"/>
            <w:tcBorders>
              <w:top w:val="single" w:color="auto" w:sz="4" w:space="0"/>
              <w:left w:val="single" w:color="auto" w:sz="8" w:space="0"/>
              <w:bottom w:val="single" w:color="000000" w:sz="8" w:space="0"/>
              <w:right w:val="single" w:color="auto" w:sz="8" w:space="0"/>
            </w:tcBorders>
            <w:vAlign w:val="center"/>
          </w:tcPr>
          <w:p w14:paraId="20429A77">
            <w:pPr>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olor w:val="auto"/>
                <w:szCs w:val="21"/>
                <w:highlight w:val="none"/>
              </w:rPr>
            </w:pPr>
            <w:r>
              <w:rPr>
                <w:rFonts w:hint="eastAsia" w:ascii="宋体" w:hAnsi="宋体"/>
                <w:color w:val="auto"/>
                <w:szCs w:val="21"/>
                <w:highlight w:val="none"/>
              </w:rPr>
              <w:t>抗菌药物监测</w:t>
            </w:r>
          </w:p>
        </w:tc>
        <w:tc>
          <w:tcPr>
            <w:tcW w:w="7887" w:type="dxa"/>
            <w:tcBorders>
              <w:top w:val="nil"/>
              <w:left w:val="nil"/>
              <w:bottom w:val="single" w:color="auto" w:sz="8" w:space="0"/>
              <w:right w:val="single" w:color="auto" w:sz="8" w:space="0"/>
            </w:tcBorders>
            <w:vAlign w:val="center"/>
          </w:tcPr>
          <w:p w14:paraId="362C8E1D">
            <w:pPr>
              <w:pStyle w:val="85"/>
              <w:keepNext w:val="0"/>
              <w:keepLines w:val="0"/>
              <w:pageBreakBefore w:val="0"/>
              <w:widowControl/>
              <w:numPr>
                <w:ilvl w:val="0"/>
                <w:numId w:val="40"/>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可按多种条件进行查询统计，包括：出院患者抗菌药物使用率、住院患者抗菌药物使用率、抗菌药物预防使用构成比、抗菌药物治疗使用构成比、出院患者人均使用抗菌药物品种数、出院患者人均使用抗菌药物天数、出院患者使用抗菌药物病原学送检率、出院患者治疗性使用抗菌药物病原学送检率、住院患者抗菌药物治疗前病原学送检率、住院患者限制使用级抗菌药物治疗前病原学送检率、住院患者特殊使用级抗菌药物治疗前病原学送检率、住院患者限制使用级抗菌药物治疗前血培养送检率、住院患者特殊使用级抗菌药物治疗前血培养送检率。</w:t>
            </w:r>
          </w:p>
          <w:p w14:paraId="6654C1EE">
            <w:pPr>
              <w:keepNext w:val="0"/>
              <w:keepLines w:val="0"/>
              <w:pageBreakBefore w:val="0"/>
              <w:kinsoku/>
              <w:wordWrap/>
              <w:overflowPunct/>
              <w:topLinePunct w:val="0"/>
              <w:autoSpaceDE/>
              <w:autoSpaceDN/>
              <w:bidi w:val="0"/>
              <w:adjustRightInd w:val="0"/>
              <w:snapToGrid w:val="0"/>
              <w:spacing w:line="360" w:lineRule="auto"/>
              <w:jc w:val="left"/>
              <w:textAlignment w:val="auto"/>
              <w:rPr>
                <w:color w:val="auto"/>
                <w:highlight w:val="none"/>
                <w:lang w:val="zh-TW" w:eastAsia="zh-TW"/>
              </w:rPr>
            </w:pPr>
          </w:p>
        </w:tc>
      </w:tr>
      <w:tr w14:paraId="7F81E5B4">
        <w:tblPrEx>
          <w:tblCellMar>
            <w:top w:w="0" w:type="dxa"/>
            <w:left w:w="108" w:type="dxa"/>
            <w:bottom w:w="0" w:type="dxa"/>
            <w:right w:w="108" w:type="dxa"/>
          </w:tblCellMar>
        </w:tblPrEx>
        <w:trPr>
          <w:trHeight w:val="525" w:hRule="atLeast"/>
          <w:jc w:val="center"/>
        </w:trPr>
        <w:tc>
          <w:tcPr>
            <w:tcW w:w="878" w:type="dxa"/>
            <w:vMerge w:val="continue"/>
            <w:tcBorders>
              <w:left w:val="single" w:color="auto" w:sz="8" w:space="0"/>
              <w:right w:val="single" w:color="auto" w:sz="8" w:space="0"/>
            </w:tcBorders>
            <w:vAlign w:val="center"/>
          </w:tcPr>
          <w:p w14:paraId="1A4D2DA8">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color w:val="auto"/>
                <w:highlight w:val="none"/>
                <w:lang w:val="zh-TW"/>
              </w:rPr>
            </w:pPr>
          </w:p>
        </w:tc>
        <w:tc>
          <w:tcPr>
            <w:tcW w:w="1194" w:type="dxa"/>
            <w:tcBorders>
              <w:top w:val="single" w:color="auto" w:sz="4" w:space="0"/>
              <w:left w:val="single" w:color="auto" w:sz="8" w:space="0"/>
              <w:bottom w:val="single" w:color="000000" w:sz="8" w:space="0"/>
              <w:right w:val="single" w:color="auto" w:sz="8" w:space="0"/>
            </w:tcBorders>
            <w:vAlign w:val="center"/>
          </w:tcPr>
          <w:p w14:paraId="1DDD340A">
            <w:pPr>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olor w:val="auto"/>
                <w:szCs w:val="21"/>
                <w:highlight w:val="none"/>
              </w:rPr>
            </w:pPr>
            <w:r>
              <w:rPr>
                <w:rFonts w:hint="eastAsia" w:ascii="宋体" w:hAnsi="宋体"/>
                <w:color w:val="auto"/>
                <w:szCs w:val="21"/>
                <w:highlight w:val="none"/>
              </w:rPr>
              <w:t>手术感染监测</w:t>
            </w:r>
          </w:p>
        </w:tc>
        <w:tc>
          <w:tcPr>
            <w:tcW w:w="7887" w:type="dxa"/>
            <w:tcBorders>
              <w:top w:val="nil"/>
              <w:left w:val="nil"/>
              <w:bottom w:val="single" w:color="auto" w:sz="8" w:space="0"/>
              <w:right w:val="single" w:color="auto" w:sz="8" w:space="0"/>
            </w:tcBorders>
            <w:vAlign w:val="center"/>
          </w:tcPr>
          <w:p w14:paraId="4A222B57">
            <w:pPr>
              <w:pStyle w:val="85"/>
              <w:keepNext w:val="0"/>
              <w:keepLines w:val="0"/>
              <w:pageBreakBefore w:val="0"/>
              <w:widowControl/>
              <w:numPr>
                <w:ilvl w:val="0"/>
                <w:numId w:val="41"/>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支持与医院HIS 手术记录单、手术麻醉系统自动匹配手术监测相关数据；</w:t>
            </w:r>
          </w:p>
          <w:p w14:paraId="1BE57BEE">
            <w:pPr>
              <w:pStyle w:val="85"/>
              <w:keepNext w:val="0"/>
              <w:keepLines w:val="0"/>
              <w:pageBreakBefore w:val="0"/>
              <w:widowControl/>
              <w:numPr>
                <w:ilvl w:val="0"/>
                <w:numId w:val="41"/>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支持优先进行重点手术监测，重点监测手术可根据医院开展情况进行手术目录调整；</w:t>
            </w:r>
          </w:p>
          <w:p w14:paraId="4DD00C56">
            <w:pPr>
              <w:pStyle w:val="85"/>
              <w:keepNext w:val="0"/>
              <w:keepLines w:val="0"/>
              <w:pageBreakBefore w:val="0"/>
              <w:widowControl/>
              <w:numPr>
                <w:ilvl w:val="0"/>
                <w:numId w:val="41"/>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支持手术与已上报的手术切口感染诊断自动关联；</w:t>
            </w:r>
          </w:p>
          <w:p w14:paraId="417625E5">
            <w:pPr>
              <w:pStyle w:val="85"/>
              <w:keepNext w:val="0"/>
              <w:keepLines w:val="0"/>
              <w:pageBreakBefore w:val="0"/>
              <w:widowControl/>
              <w:numPr>
                <w:ilvl w:val="0"/>
                <w:numId w:val="41"/>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支持手术信息登记表信息修改补充，标红且优先显示影响统计分析的重要信息；</w:t>
            </w:r>
          </w:p>
          <w:p w14:paraId="6C98962F">
            <w:pPr>
              <w:pStyle w:val="85"/>
              <w:keepNext w:val="0"/>
              <w:keepLines w:val="0"/>
              <w:pageBreakBefore w:val="0"/>
              <w:widowControl/>
              <w:numPr>
                <w:ilvl w:val="0"/>
                <w:numId w:val="41"/>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支持手术信息登记表归档功能，可进行归档和撤销归档操作；</w:t>
            </w:r>
          </w:p>
          <w:p w14:paraId="34C67AAB">
            <w:pPr>
              <w:pStyle w:val="85"/>
              <w:keepNext w:val="0"/>
              <w:keepLines w:val="0"/>
              <w:pageBreakBefore w:val="0"/>
              <w:widowControl/>
              <w:numPr>
                <w:ilvl w:val="0"/>
                <w:numId w:val="41"/>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支持对手术用药自动匹配设定规则，选定手术后，直接一键自动匹配；</w:t>
            </w:r>
          </w:p>
          <w:p w14:paraId="3D5CB3AF">
            <w:pPr>
              <w:pStyle w:val="85"/>
              <w:keepNext w:val="0"/>
              <w:keepLines w:val="0"/>
              <w:pageBreakBefore w:val="0"/>
              <w:widowControl/>
              <w:numPr>
                <w:ilvl w:val="0"/>
                <w:numId w:val="41"/>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支持外科手术监测多条件查询，包括：手术日期、患者姓名、申请科室、重点手术、手术操作类别、手术部位、切口等级、手术名称、手术医生、手术间、手术时长；</w:t>
            </w:r>
          </w:p>
          <w:p w14:paraId="286617F1">
            <w:pPr>
              <w:pStyle w:val="85"/>
              <w:keepNext w:val="0"/>
              <w:keepLines w:val="0"/>
              <w:pageBreakBefore w:val="0"/>
              <w:widowControl/>
              <w:numPr>
                <w:ilvl w:val="0"/>
                <w:numId w:val="41"/>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能够根据手术搜索条件进行多条件搜索，并查询的结果导出为xls。</w:t>
            </w:r>
          </w:p>
          <w:p w14:paraId="6FB14A72">
            <w:pPr>
              <w:pStyle w:val="85"/>
              <w:keepNext w:val="0"/>
              <w:keepLines w:val="0"/>
              <w:pageBreakBefore w:val="0"/>
              <w:widowControl/>
              <w:numPr>
                <w:ilvl w:val="0"/>
                <w:numId w:val="41"/>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可按多种条件进行查询月度、季度、年度、自定义时间、其他条件（住院患者、切口等级、愈合等级、麻醉方式、手术间、感染名称、重点手术、手术操作分类、手术部位分类）统计手术相关指标，包括：与手术相关医院感染发生率、手术部位感染发生率、手术患者肺部感染发生率、择期手术术后相关感染发生率、择期手术术后相关感染发生率、择期手术患者肺部感染发生率、急诊手术相关感染发生率、急诊手术患者肺部感染发生率、NNIS分级手术部位感染率、外科医生感染率（科室）、外科医生感染率（医生）、术前预防用药使用率、术中预防用药使用率、术前0.5-2小时预防用药使用率、术前0.5-1小时预防用药使用率、术后用药使用率、术后24小时内停药率、术后48小时内停药率</w:t>
            </w:r>
          </w:p>
        </w:tc>
      </w:tr>
      <w:tr w14:paraId="74BFD41F">
        <w:tblPrEx>
          <w:tblCellMar>
            <w:top w:w="0" w:type="dxa"/>
            <w:left w:w="108" w:type="dxa"/>
            <w:bottom w:w="0" w:type="dxa"/>
            <w:right w:w="108" w:type="dxa"/>
          </w:tblCellMar>
        </w:tblPrEx>
        <w:trPr>
          <w:trHeight w:val="2862" w:hRule="atLeast"/>
          <w:jc w:val="center"/>
        </w:trPr>
        <w:tc>
          <w:tcPr>
            <w:tcW w:w="878" w:type="dxa"/>
            <w:vMerge w:val="continue"/>
            <w:tcBorders>
              <w:left w:val="single" w:color="auto" w:sz="8" w:space="0"/>
              <w:right w:val="single" w:color="auto" w:sz="8" w:space="0"/>
            </w:tcBorders>
            <w:vAlign w:val="center"/>
          </w:tcPr>
          <w:p w14:paraId="355638FB">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color w:val="auto"/>
                <w:highlight w:val="none"/>
                <w:lang w:val="zh-TW" w:eastAsia="zh-TW"/>
              </w:rPr>
            </w:pPr>
          </w:p>
        </w:tc>
        <w:tc>
          <w:tcPr>
            <w:tcW w:w="1194" w:type="dxa"/>
            <w:tcBorders>
              <w:top w:val="single" w:color="auto" w:sz="4" w:space="0"/>
              <w:left w:val="single" w:color="auto" w:sz="8" w:space="0"/>
              <w:bottom w:val="single" w:color="000000" w:sz="8" w:space="0"/>
              <w:right w:val="single" w:color="auto" w:sz="8" w:space="0"/>
            </w:tcBorders>
            <w:vAlign w:val="center"/>
          </w:tcPr>
          <w:p w14:paraId="47D4C223">
            <w:pPr>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olor w:val="auto"/>
                <w:szCs w:val="21"/>
                <w:highlight w:val="none"/>
              </w:rPr>
            </w:pPr>
            <w:r>
              <w:rPr>
                <w:rFonts w:hint="eastAsia" w:ascii="宋体" w:hAnsi="宋体"/>
                <w:color w:val="auto"/>
                <w:szCs w:val="21"/>
                <w:highlight w:val="none"/>
              </w:rPr>
              <w:t>全院三管监测</w:t>
            </w:r>
          </w:p>
        </w:tc>
        <w:tc>
          <w:tcPr>
            <w:tcW w:w="7887" w:type="dxa"/>
            <w:tcBorders>
              <w:top w:val="nil"/>
              <w:left w:val="nil"/>
              <w:bottom w:val="single" w:color="auto" w:sz="8" w:space="0"/>
              <w:right w:val="single" w:color="auto" w:sz="8" w:space="0"/>
            </w:tcBorders>
            <w:vAlign w:val="center"/>
          </w:tcPr>
          <w:p w14:paraId="48288118">
            <w:pPr>
              <w:pStyle w:val="85"/>
              <w:keepNext w:val="0"/>
              <w:keepLines w:val="0"/>
              <w:pageBreakBefore w:val="0"/>
              <w:widowControl/>
              <w:numPr>
                <w:ilvl w:val="0"/>
                <w:numId w:val="42"/>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支持进行全院各科室的侵入性操作监测日志；</w:t>
            </w:r>
          </w:p>
          <w:p w14:paraId="54ED6164">
            <w:pPr>
              <w:pStyle w:val="85"/>
              <w:keepNext w:val="0"/>
              <w:keepLines w:val="0"/>
              <w:pageBreakBefore w:val="0"/>
              <w:widowControl/>
              <w:numPr>
                <w:ilvl w:val="0"/>
                <w:numId w:val="42"/>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支持进行全院各科室的侵入性操作监测月报；</w:t>
            </w:r>
          </w:p>
          <w:p w14:paraId="31BE13D8">
            <w:pPr>
              <w:pStyle w:val="85"/>
              <w:keepNext w:val="0"/>
              <w:keepLines w:val="0"/>
              <w:pageBreakBefore w:val="0"/>
              <w:widowControl/>
              <w:numPr>
                <w:ilvl w:val="0"/>
                <w:numId w:val="42"/>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支持自动生成新住进患者数、住在患者数、发热人数、留置导尿管使用患者数、中心静脉插管使用患者数、呼吸机使用患者数；</w:t>
            </w:r>
          </w:p>
          <w:p w14:paraId="640C0921">
            <w:pPr>
              <w:pStyle w:val="85"/>
              <w:keepNext w:val="0"/>
              <w:keepLines w:val="0"/>
              <w:pageBreakBefore w:val="0"/>
              <w:widowControl/>
              <w:numPr>
                <w:ilvl w:val="0"/>
                <w:numId w:val="42"/>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支持穿透监测日志中的患者数列表，可查看插管使用开始时间、结束时间、使用天数；</w:t>
            </w:r>
          </w:p>
          <w:p w14:paraId="3CC711A7">
            <w:pPr>
              <w:pStyle w:val="85"/>
              <w:keepNext w:val="0"/>
              <w:keepLines w:val="0"/>
              <w:pageBreakBefore w:val="0"/>
              <w:widowControl/>
              <w:numPr>
                <w:ilvl w:val="0"/>
                <w:numId w:val="42"/>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提供三大插管匹配医嘱的维护界面；</w:t>
            </w:r>
          </w:p>
          <w:p w14:paraId="3BFD0544">
            <w:pPr>
              <w:pStyle w:val="85"/>
              <w:keepNext w:val="0"/>
              <w:keepLines w:val="0"/>
              <w:pageBreakBefore w:val="0"/>
              <w:widowControl/>
              <w:numPr>
                <w:ilvl w:val="0"/>
                <w:numId w:val="42"/>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支持查看患者三管督导措施评估情况明细内容；</w:t>
            </w:r>
          </w:p>
        </w:tc>
      </w:tr>
      <w:tr w14:paraId="3BD243EB">
        <w:tblPrEx>
          <w:tblCellMar>
            <w:top w:w="0" w:type="dxa"/>
            <w:left w:w="108" w:type="dxa"/>
            <w:bottom w:w="0" w:type="dxa"/>
            <w:right w:w="108" w:type="dxa"/>
          </w:tblCellMar>
        </w:tblPrEx>
        <w:trPr>
          <w:trHeight w:val="2862" w:hRule="atLeast"/>
          <w:jc w:val="center"/>
        </w:trPr>
        <w:tc>
          <w:tcPr>
            <w:tcW w:w="878" w:type="dxa"/>
            <w:vMerge w:val="continue"/>
            <w:tcBorders>
              <w:left w:val="single" w:color="auto" w:sz="8" w:space="0"/>
              <w:right w:val="single" w:color="auto" w:sz="8" w:space="0"/>
            </w:tcBorders>
            <w:vAlign w:val="center"/>
          </w:tcPr>
          <w:p w14:paraId="7E39A1F8">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MS Mincho" w:hAnsi="MS Mincho" w:eastAsia="MS Mincho" w:cs="MS Mincho"/>
                <w:color w:val="auto"/>
                <w:highlight w:val="none"/>
              </w:rPr>
            </w:pPr>
          </w:p>
        </w:tc>
        <w:tc>
          <w:tcPr>
            <w:tcW w:w="1194" w:type="dxa"/>
            <w:tcBorders>
              <w:top w:val="single" w:color="auto" w:sz="4" w:space="0"/>
              <w:left w:val="single" w:color="auto" w:sz="8" w:space="0"/>
              <w:bottom w:val="single" w:color="000000" w:sz="8" w:space="0"/>
              <w:right w:val="single" w:color="auto" w:sz="8" w:space="0"/>
            </w:tcBorders>
            <w:vAlign w:val="center"/>
          </w:tcPr>
          <w:p w14:paraId="040798EA">
            <w:pPr>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olor w:val="auto"/>
                <w:szCs w:val="21"/>
                <w:highlight w:val="none"/>
              </w:rPr>
            </w:pPr>
            <w:r>
              <w:rPr>
                <w:rFonts w:ascii="宋体" w:hAnsi="宋体"/>
                <w:color w:val="auto"/>
                <w:szCs w:val="21"/>
                <w:highlight w:val="none"/>
              </w:rPr>
              <w:t>插管</w:t>
            </w:r>
            <w:r>
              <w:rPr>
                <w:rFonts w:hint="eastAsia" w:ascii="宋体" w:hAnsi="宋体"/>
                <w:color w:val="auto"/>
                <w:szCs w:val="21"/>
                <w:highlight w:val="none"/>
              </w:rPr>
              <w:t>风险评</w:t>
            </w:r>
            <w:r>
              <w:rPr>
                <w:rFonts w:ascii="宋体" w:hAnsi="宋体"/>
                <w:color w:val="auto"/>
                <w:szCs w:val="21"/>
                <w:highlight w:val="none"/>
              </w:rPr>
              <w:t>估</w:t>
            </w:r>
          </w:p>
        </w:tc>
        <w:tc>
          <w:tcPr>
            <w:tcW w:w="7887" w:type="dxa"/>
            <w:tcBorders>
              <w:top w:val="nil"/>
              <w:left w:val="nil"/>
              <w:bottom w:val="single" w:color="auto" w:sz="8" w:space="0"/>
              <w:right w:val="single" w:color="auto" w:sz="8" w:space="0"/>
            </w:tcBorders>
            <w:vAlign w:val="center"/>
          </w:tcPr>
          <w:p w14:paraId="3281F930">
            <w:pPr>
              <w:pStyle w:val="85"/>
              <w:keepNext w:val="0"/>
              <w:keepLines w:val="0"/>
              <w:pageBreakBefore w:val="0"/>
              <w:widowControl/>
              <w:numPr>
                <w:ilvl w:val="0"/>
                <w:numId w:val="43"/>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支持感控管理端以及临床科室打开系统便可看到插管未评估患者人数，点击进行未评估的具体科室与人员清单；</w:t>
            </w:r>
          </w:p>
          <w:p w14:paraId="3F417869">
            <w:pPr>
              <w:pStyle w:val="85"/>
              <w:keepNext w:val="0"/>
              <w:keepLines w:val="0"/>
              <w:pageBreakBefore w:val="0"/>
              <w:widowControl/>
              <w:numPr>
                <w:ilvl w:val="0"/>
                <w:numId w:val="43"/>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支持点击插管患者后，直观展示患者的插管自然日历表，分析的结果来自患者三管的医嘱执行情况；</w:t>
            </w:r>
          </w:p>
          <w:p w14:paraId="4DB5230B">
            <w:pPr>
              <w:pStyle w:val="85"/>
              <w:keepNext w:val="0"/>
              <w:keepLines w:val="0"/>
              <w:pageBreakBefore w:val="0"/>
              <w:widowControl/>
              <w:numPr>
                <w:ilvl w:val="0"/>
                <w:numId w:val="43"/>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插管日历表以红底白字表示患者插管但未评估，以白底</w:t>
            </w:r>
            <w:r>
              <w:rPr>
                <w:rFonts w:hint="eastAsia" w:ascii="宋体" w:hAnsi="宋体"/>
                <w:color w:val="auto"/>
                <w:highlight w:val="none"/>
              </w:rPr>
              <w:t>蓝</w:t>
            </w:r>
            <w:r>
              <w:rPr>
                <w:rFonts w:hint="eastAsia" w:ascii="宋体" w:hAnsi="宋体"/>
                <w:color w:val="auto"/>
                <w:highlight w:val="none"/>
                <w:lang w:val="zh-TW" w:eastAsia="zh-TW"/>
              </w:rPr>
              <w:t>字表示患者插管已评估；</w:t>
            </w:r>
          </w:p>
          <w:p w14:paraId="390E411A">
            <w:pPr>
              <w:pStyle w:val="85"/>
              <w:keepNext w:val="0"/>
              <w:keepLines w:val="0"/>
              <w:pageBreakBefore w:val="0"/>
              <w:widowControl/>
              <w:numPr>
                <w:ilvl w:val="0"/>
                <w:numId w:val="43"/>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插管指征评估操作可由临床人员进行每日评估，系统不限定具体评估的人员角色；</w:t>
            </w:r>
          </w:p>
          <w:p w14:paraId="72E44FB2">
            <w:pPr>
              <w:pStyle w:val="85"/>
              <w:keepNext w:val="0"/>
              <w:keepLines w:val="0"/>
              <w:pageBreakBefore w:val="0"/>
              <w:widowControl/>
              <w:numPr>
                <w:ilvl w:val="0"/>
                <w:numId w:val="43"/>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插管指征评估表可随医院具体开展评估内容自由灵活设定，设定后立即生效；</w:t>
            </w:r>
          </w:p>
        </w:tc>
      </w:tr>
      <w:tr w14:paraId="37F03F1C">
        <w:tblPrEx>
          <w:tblCellMar>
            <w:top w:w="0" w:type="dxa"/>
            <w:left w:w="108" w:type="dxa"/>
            <w:bottom w:w="0" w:type="dxa"/>
            <w:right w:w="108" w:type="dxa"/>
          </w:tblCellMar>
        </w:tblPrEx>
        <w:trPr>
          <w:trHeight w:val="743" w:hRule="atLeast"/>
          <w:jc w:val="center"/>
        </w:trPr>
        <w:tc>
          <w:tcPr>
            <w:tcW w:w="878" w:type="dxa"/>
            <w:vMerge w:val="continue"/>
            <w:tcBorders>
              <w:left w:val="single" w:color="auto" w:sz="8" w:space="0"/>
              <w:right w:val="single" w:color="auto" w:sz="8" w:space="0"/>
            </w:tcBorders>
            <w:vAlign w:val="center"/>
          </w:tcPr>
          <w:p w14:paraId="0C8469B6">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color w:val="auto"/>
                <w:highlight w:val="none"/>
                <w:lang w:val="zh-TW" w:eastAsia="zh-TW"/>
              </w:rPr>
            </w:pPr>
          </w:p>
        </w:tc>
        <w:tc>
          <w:tcPr>
            <w:tcW w:w="1194" w:type="dxa"/>
            <w:tcBorders>
              <w:top w:val="single" w:color="auto" w:sz="4" w:space="0"/>
              <w:left w:val="single" w:color="auto" w:sz="8" w:space="0"/>
              <w:bottom w:val="single" w:color="000000" w:sz="8" w:space="0"/>
              <w:right w:val="single" w:color="auto" w:sz="8" w:space="0"/>
            </w:tcBorders>
            <w:vAlign w:val="center"/>
          </w:tcPr>
          <w:p w14:paraId="4ED82EB4">
            <w:pPr>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olor w:val="auto"/>
                <w:szCs w:val="21"/>
                <w:highlight w:val="none"/>
              </w:rPr>
            </w:pPr>
            <w:r>
              <w:rPr>
                <w:rFonts w:hint="eastAsia" w:ascii="宋体" w:hAnsi="宋体"/>
                <w:color w:val="auto"/>
                <w:szCs w:val="21"/>
                <w:highlight w:val="none"/>
              </w:rPr>
              <w:t>消毒灭菌、环境卫生学监测</w:t>
            </w:r>
          </w:p>
        </w:tc>
        <w:tc>
          <w:tcPr>
            <w:tcW w:w="7887" w:type="dxa"/>
            <w:tcBorders>
              <w:top w:val="nil"/>
              <w:left w:val="nil"/>
              <w:bottom w:val="single" w:color="auto" w:sz="8" w:space="0"/>
              <w:right w:val="single" w:color="auto" w:sz="8" w:space="0"/>
            </w:tcBorders>
            <w:vAlign w:val="center"/>
          </w:tcPr>
          <w:p w14:paraId="56848316">
            <w:pPr>
              <w:pStyle w:val="85"/>
              <w:keepNext w:val="0"/>
              <w:keepLines w:val="0"/>
              <w:pageBreakBefore w:val="0"/>
              <w:widowControl/>
              <w:numPr>
                <w:ilvl w:val="0"/>
                <w:numId w:val="44"/>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支持对空气、物表、手卫生、医疗器械、消毒物品、灭菌物品、一次性物品、污水等项目监测单申请，并支持全院联网查看监测项目和监测结果；</w:t>
            </w:r>
          </w:p>
          <w:p w14:paraId="34A5B8B6">
            <w:pPr>
              <w:pStyle w:val="85"/>
              <w:keepNext w:val="0"/>
              <w:keepLines w:val="0"/>
              <w:pageBreakBefore w:val="0"/>
              <w:widowControl/>
              <w:numPr>
                <w:ilvl w:val="0"/>
                <w:numId w:val="44"/>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支持临床科室监测项目自查与感控科抽查工作，可根据医院监测流程进行配置；</w:t>
            </w:r>
          </w:p>
          <w:p w14:paraId="54ABF02A">
            <w:pPr>
              <w:pStyle w:val="85"/>
              <w:keepNext w:val="0"/>
              <w:keepLines w:val="0"/>
              <w:pageBreakBefore w:val="0"/>
              <w:widowControl/>
              <w:numPr>
                <w:ilvl w:val="0"/>
                <w:numId w:val="44"/>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监测单据直接查看送检科室、监测项目、监测类型、采样场所、采样标本、采样点数、采样方法、采样人、采样日期、检验日期、检验人、检验结果、是否需要复查；</w:t>
            </w:r>
          </w:p>
          <w:p w14:paraId="63295120">
            <w:pPr>
              <w:pStyle w:val="85"/>
              <w:keepNext w:val="0"/>
              <w:keepLines w:val="0"/>
              <w:pageBreakBefore w:val="0"/>
              <w:widowControl/>
              <w:numPr>
                <w:ilvl w:val="0"/>
                <w:numId w:val="44"/>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支持对常用监测内容保存为常用模板，方便后续使用，常用模板支持科室级、全院级；</w:t>
            </w:r>
          </w:p>
          <w:p w14:paraId="431A189C">
            <w:pPr>
              <w:pStyle w:val="85"/>
              <w:keepNext w:val="0"/>
              <w:keepLines w:val="0"/>
              <w:pageBreakBefore w:val="0"/>
              <w:widowControl/>
              <w:numPr>
                <w:ilvl w:val="0"/>
                <w:numId w:val="44"/>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支持监测结果报告单支持全院联网打印，以及在线查看监测结果报告；</w:t>
            </w:r>
          </w:p>
          <w:p w14:paraId="5B2EE64C">
            <w:pPr>
              <w:pStyle w:val="85"/>
              <w:keepNext w:val="0"/>
              <w:keepLines w:val="0"/>
              <w:pageBreakBefore w:val="0"/>
              <w:widowControl/>
              <w:numPr>
                <w:ilvl w:val="0"/>
                <w:numId w:val="44"/>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具有独立的监测授权管理模块，灵活设定单个用户管辖多科室、监测项目授权等，与系统基础用户授权不冲突；</w:t>
            </w:r>
          </w:p>
          <w:p w14:paraId="3145D258">
            <w:pPr>
              <w:pStyle w:val="85"/>
              <w:keepNext w:val="0"/>
              <w:keepLines w:val="0"/>
              <w:pageBreakBefore w:val="0"/>
              <w:widowControl/>
              <w:numPr>
                <w:ilvl w:val="0"/>
                <w:numId w:val="44"/>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可根据医院情况，在标准上修改、增加环境卫生消毒灭菌监测项目、监测标准、采样场所、采样标本、采样方法、采样点等相关的字典数据；</w:t>
            </w:r>
          </w:p>
          <w:p w14:paraId="5EA3408D">
            <w:pPr>
              <w:pStyle w:val="85"/>
              <w:keepNext w:val="0"/>
              <w:keepLines w:val="0"/>
              <w:pageBreakBefore w:val="0"/>
              <w:widowControl/>
              <w:numPr>
                <w:ilvl w:val="0"/>
                <w:numId w:val="44"/>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支持自动按照监测项目类别、监测科室统计分析监测数目数、合格数、合格率、不合格数、不合格率</w:t>
            </w:r>
          </w:p>
        </w:tc>
      </w:tr>
      <w:tr w14:paraId="1C90891F">
        <w:tblPrEx>
          <w:tblCellMar>
            <w:top w:w="0" w:type="dxa"/>
            <w:left w:w="108" w:type="dxa"/>
            <w:bottom w:w="0" w:type="dxa"/>
            <w:right w:w="108" w:type="dxa"/>
          </w:tblCellMar>
        </w:tblPrEx>
        <w:trPr>
          <w:trHeight w:val="4475" w:hRule="atLeast"/>
          <w:jc w:val="center"/>
        </w:trPr>
        <w:tc>
          <w:tcPr>
            <w:tcW w:w="878" w:type="dxa"/>
            <w:vMerge w:val="continue"/>
            <w:tcBorders>
              <w:left w:val="single" w:color="auto" w:sz="8" w:space="0"/>
              <w:right w:val="single" w:color="auto" w:sz="8" w:space="0"/>
            </w:tcBorders>
            <w:vAlign w:val="center"/>
          </w:tcPr>
          <w:p w14:paraId="16B1DF81">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color w:val="auto"/>
                <w:highlight w:val="none"/>
                <w:lang w:val="zh-TW" w:eastAsia="zh-TW"/>
              </w:rPr>
            </w:pPr>
          </w:p>
        </w:tc>
        <w:tc>
          <w:tcPr>
            <w:tcW w:w="1194" w:type="dxa"/>
            <w:tcBorders>
              <w:top w:val="single" w:color="auto" w:sz="4" w:space="0"/>
              <w:left w:val="single" w:color="auto" w:sz="8" w:space="0"/>
              <w:bottom w:val="single" w:color="000000" w:sz="8" w:space="0"/>
              <w:right w:val="single" w:color="auto" w:sz="8" w:space="0"/>
            </w:tcBorders>
            <w:vAlign w:val="center"/>
          </w:tcPr>
          <w:p w14:paraId="40D81288">
            <w:pPr>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olor w:val="auto"/>
                <w:szCs w:val="21"/>
                <w:highlight w:val="none"/>
              </w:rPr>
            </w:pPr>
            <w:r>
              <w:rPr>
                <w:rFonts w:hint="eastAsia" w:ascii="宋体" w:hAnsi="宋体"/>
                <w:color w:val="auto"/>
                <w:szCs w:val="21"/>
                <w:highlight w:val="none"/>
              </w:rPr>
              <w:t>职业暴露</w:t>
            </w:r>
          </w:p>
        </w:tc>
        <w:tc>
          <w:tcPr>
            <w:tcW w:w="7887" w:type="dxa"/>
            <w:tcBorders>
              <w:top w:val="nil"/>
              <w:left w:val="nil"/>
              <w:bottom w:val="single" w:color="auto" w:sz="8" w:space="0"/>
              <w:right w:val="single" w:color="auto" w:sz="8" w:space="0"/>
            </w:tcBorders>
            <w:vAlign w:val="center"/>
          </w:tcPr>
          <w:p w14:paraId="3C4BCDDD">
            <w:pPr>
              <w:pStyle w:val="85"/>
              <w:keepNext w:val="0"/>
              <w:keepLines w:val="0"/>
              <w:pageBreakBefore w:val="0"/>
              <w:widowControl/>
              <w:numPr>
                <w:ilvl w:val="0"/>
                <w:numId w:val="45"/>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支持医务人员及护工进行职业暴露内容的信息登记填写；</w:t>
            </w:r>
          </w:p>
          <w:p w14:paraId="432564B0">
            <w:pPr>
              <w:pStyle w:val="85"/>
              <w:keepNext w:val="0"/>
              <w:keepLines w:val="0"/>
              <w:pageBreakBefore w:val="0"/>
              <w:widowControl/>
              <w:numPr>
                <w:ilvl w:val="0"/>
                <w:numId w:val="45"/>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支持暴露填报前告知《职业暴露的标准处置流程》及《职业暴露的处置制度》，要求暴露填报人员在线掌握了解，告知内容可随医院定制性调整；</w:t>
            </w:r>
          </w:p>
          <w:p w14:paraId="0C947FC5">
            <w:pPr>
              <w:pStyle w:val="85"/>
              <w:keepNext w:val="0"/>
              <w:keepLines w:val="0"/>
              <w:pageBreakBefore w:val="0"/>
              <w:widowControl/>
              <w:numPr>
                <w:ilvl w:val="0"/>
                <w:numId w:val="45"/>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支持填报职业暴露登记表后，在感控管理端上实时提示新暴露填报消息；</w:t>
            </w:r>
          </w:p>
          <w:p w14:paraId="37F65526">
            <w:pPr>
              <w:pStyle w:val="85"/>
              <w:keepNext w:val="0"/>
              <w:keepLines w:val="0"/>
              <w:pageBreakBefore w:val="0"/>
              <w:widowControl/>
              <w:numPr>
                <w:ilvl w:val="0"/>
                <w:numId w:val="45"/>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支持职业暴露信息登记、评估预防、临床观察、临床诊断完整随访闭环，感染性疾病科医生可对评估预防操作，支持跨部门联网的评估跟踪；</w:t>
            </w:r>
          </w:p>
          <w:p w14:paraId="002D6F92">
            <w:pPr>
              <w:pStyle w:val="85"/>
              <w:keepNext w:val="0"/>
              <w:keepLines w:val="0"/>
              <w:pageBreakBefore w:val="0"/>
              <w:widowControl/>
              <w:numPr>
                <w:ilvl w:val="0"/>
                <w:numId w:val="45"/>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支持对检验复查项目多时间点设定，在监测面板首页显示当前暴露需进行复查人员提醒，钻取后展示需复查人员姓名、发生科室、暴露人员所属科室、暴露时间、检查项目、复查时间、上次复查时间；</w:t>
            </w:r>
          </w:p>
          <w:p w14:paraId="6A1DE291">
            <w:pPr>
              <w:pStyle w:val="85"/>
              <w:keepNext w:val="0"/>
              <w:keepLines w:val="0"/>
              <w:pageBreakBefore w:val="0"/>
              <w:widowControl/>
              <w:numPr>
                <w:ilvl w:val="0"/>
                <w:numId w:val="45"/>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支持按照科室统计职业暴露情况，并计算科室构成比；</w:t>
            </w:r>
          </w:p>
          <w:p w14:paraId="1789CD2A">
            <w:pPr>
              <w:pStyle w:val="85"/>
              <w:keepNext w:val="0"/>
              <w:keepLines w:val="0"/>
              <w:pageBreakBefore w:val="0"/>
              <w:widowControl/>
              <w:numPr>
                <w:ilvl w:val="0"/>
                <w:numId w:val="45"/>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支持按工别、年龄、性别等内容计算科室构成比。</w:t>
            </w:r>
          </w:p>
        </w:tc>
      </w:tr>
      <w:tr w14:paraId="0ADF35AA">
        <w:tblPrEx>
          <w:tblCellMar>
            <w:top w:w="0" w:type="dxa"/>
            <w:left w:w="108" w:type="dxa"/>
            <w:bottom w:w="0" w:type="dxa"/>
            <w:right w:w="108" w:type="dxa"/>
          </w:tblCellMar>
        </w:tblPrEx>
        <w:trPr>
          <w:trHeight w:val="2762" w:hRule="atLeast"/>
          <w:jc w:val="center"/>
        </w:trPr>
        <w:tc>
          <w:tcPr>
            <w:tcW w:w="878" w:type="dxa"/>
            <w:vMerge w:val="continue"/>
            <w:tcBorders>
              <w:left w:val="single" w:color="auto" w:sz="8" w:space="0"/>
              <w:right w:val="single" w:color="auto" w:sz="8" w:space="0"/>
            </w:tcBorders>
            <w:vAlign w:val="center"/>
          </w:tcPr>
          <w:p w14:paraId="6FE91AF6">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color w:val="auto"/>
                <w:highlight w:val="none"/>
                <w:lang w:val="zh-TW" w:eastAsia="zh-TW"/>
              </w:rPr>
            </w:pPr>
          </w:p>
        </w:tc>
        <w:tc>
          <w:tcPr>
            <w:tcW w:w="1194" w:type="dxa"/>
            <w:tcBorders>
              <w:top w:val="single" w:color="auto" w:sz="4" w:space="0"/>
              <w:left w:val="single" w:color="auto" w:sz="8" w:space="0"/>
              <w:bottom w:val="single" w:color="000000" w:sz="8" w:space="0"/>
              <w:right w:val="single" w:color="auto" w:sz="8" w:space="0"/>
            </w:tcBorders>
            <w:vAlign w:val="center"/>
          </w:tcPr>
          <w:p w14:paraId="5CBC521E">
            <w:pPr>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olor w:val="auto"/>
                <w:szCs w:val="21"/>
                <w:highlight w:val="none"/>
              </w:rPr>
            </w:pPr>
            <w:r>
              <w:rPr>
                <w:rFonts w:hint="eastAsia" w:ascii="宋体" w:hAnsi="宋体"/>
                <w:color w:val="auto"/>
                <w:szCs w:val="21"/>
                <w:highlight w:val="none"/>
              </w:rPr>
              <w:t>手卫生监测</w:t>
            </w:r>
          </w:p>
        </w:tc>
        <w:tc>
          <w:tcPr>
            <w:tcW w:w="7887" w:type="dxa"/>
            <w:tcBorders>
              <w:top w:val="nil"/>
              <w:left w:val="nil"/>
              <w:bottom w:val="single" w:color="auto" w:sz="8" w:space="0"/>
              <w:right w:val="single" w:color="auto" w:sz="8" w:space="0"/>
            </w:tcBorders>
            <w:vAlign w:val="center"/>
          </w:tcPr>
          <w:p w14:paraId="3FA72164">
            <w:pPr>
              <w:pStyle w:val="85"/>
              <w:keepNext w:val="0"/>
              <w:keepLines w:val="0"/>
              <w:pageBreakBefore w:val="0"/>
              <w:widowControl/>
              <w:numPr>
                <w:ilvl w:val="0"/>
                <w:numId w:val="46"/>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掌握全院各科室手卫生用品消耗量情况，如手消毒液、抗菌洗手液、干手纸，分析手卫生依从性的，协同促进医务人员手卫生执行的依从率；</w:t>
            </w:r>
          </w:p>
          <w:p w14:paraId="09B8C0AA">
            <w:pPr>
              <w:pStyle w:val="85"/>
              <w:keepNext w:val="0"/>
              <w:keepLines w:val="0"/>
              <w:pageBreakBefore w:val="0"/>
              <w:widowControl/>
              <w:numPr>
                <w:ilvl w:val="0"/>
                <w:numId w:val="46"/>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支持临床感控兼职人员进行本科科室用品本月领取量和库存量的在线录入；</w:t>
            </w:r>
          </w:p>
          <w:p w14:paraId="0FC3EA3D">
            <w:pPr>
              <w:pStyle w:val="85"/>
              <w:keepNext w:val="0"/>
              <w:keepLines w:val="0"/>
              <w:pageBreakBefore w:val="0"/>
              <w:widowControl/>
              <w:numPr>
                <w:ilvl w:val="0"/>
                <w:numId w:val="46"/>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支持在线完成手卫生依从性调查，包括被调查人员类型、时机、指征、手卫生行为、正确性；</w:t>
            </w:r>
          </w:p>
          <w:p w14:paraId="69FDEDA4">
            <w:pPr>
              <w:pStyle w:val="85"/>
              <w:keepNext w:val="0"/>
              <w:keepLines w:val="0"/>
              <w:pageBreakBefore w:val="0"/>
              <w:widowControl/>
              <w:numPr>
                <w:ilvl w:val="0"/>
                <w:numId w:val="46"/>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支持调查完成后，对本次调查结果进行回顾性分析，如医护人员手卫生意识低等内容；</w:t>
            </w:r>
          </w:p>
          <w:p w14:paraId="4D92915B">
            <w:pPr>
              <w:pStyle w:val="85"/>
              <w:keepNext w:val="0"/>
              <w:keepLines w:val="0"/>
              <w:pageBreakBefore w:val="0"/>
              <w:widowControl/>
              <w:numPr>
                <w:ilvl w:val="0"/>
                <w:numId w:val="46"/>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支持按科室、人员类型、指征、时机多类型进行统计分析。</w:t>
            </w:r>
          </w:p>
        </w:tc>
      </w:tr>
      <w:tr w14:paraId="17C5C640">
        <w:tblPrEx>
          <w:tblCellMar>
            <w:top w:w="0" w:type="dxa"/>
            <w:left w:w="108" w:type="dxa"/>
            <w:bottom w:w="0" w:type="dxa"/>
            <w:right w:w="108" w:type="dxa"/>
          </w:tblCellMar>
        </w:tblPrEx>
        <w:trPr>
          <w:trHeight w:val="2762" w:hRule="atLeast"/>
          <w:jc w:val="center"/>
        </w:trPr>
        <w:tc>
          <w:tcPr>
            <w:tcW w:w="878" w:type="dxa"/>
            <w:vMerge w:val="continue"/>
            <w:tcBorders>
              <w:left w:val="single" w:color="auto" w:sz="8" w:space="0"/>
              <w:right w:val="single" w:color="auto" w:sz="8" w:space="0"/>
            </w:tcBorders>
            <w:vAlign w:val="center"/>
          </w:tcPr>
          <w:p w14:paraId="301A79EC">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color w:val="auto"/>
                <w:highlight w:val="none"/>
                <w:lang w:val="zh-TW" w:eastAsia="zh-TW"/>
              </w:rPr>
            </w:pPr>
          </w:p>
        </w:tc>
        <w:tc>
          <w:tcPr>
            <w:tcW w:w="1194" w:type="dxa"/>
            <w:tcBorders>
              <w:top w:val="single" w:color="auto" w:sz="4" w:space="0"/>
              <w:left w:val="single" w:color="auto" w:sz="8" w:space="0"/>
              <w:bottom w:val="single" w:color="000000" w:sz="8" w:space="0"/>
              <w:right w:val="single" w:color="auto" w:sz="8" w:space="0"/>
            </w:tcBorders>
            <w:vAlign w:val="center"/>
          </w:tcPr>
          <w:p w14:paraId="02C4314C">
            <w:pPr>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olor w:val="auto"/>
                <w:szCs w:val="21"/>
                <w:highlight w:val="none"/>
              </w:rPr>
            </w:pPr>
            <w:r>
              <w:rPr>
                <w:rFonts w:hint="eastAsia" w:ascii="宋体" w:hAnsi="宋体"/>
                <w:color w:val="auto"/>
                <w:szCs w:val="21"/>
                <w:highlight w:val="none"/>
              </w:rPr>
              <w:t>血透监测</w:t>
            </w:r>
          </w:p>
        </w:tc>
        <w:tc>
          <w:tcPr>
            <w:tcW w:w="7887" w:type="dxa"/>
            <w:tcBorders>
              <w:top w:val="nil"/>
              <w:left w:val="nil"/>
              <w:bottom w:val="single" w:color="auto" w:sz="8" w:space="0"/>
              <w:right w:val="single" w:color="auto" w:sz="8" w:space="0"/>
            </w:tcBorders>
            <w:vAlign w:val="center"/>
          </w:tcPr>
          <w:p w14:paraId="3BA3ECED">
            <w:pPr>
              <w:pStyle w:val="85"/>
              <w:keepNext w:val="0"/>
              <w:keepLines w:val="0"/>
              <w:pageBreakBefore w:val="0"/>
              <w:widowControl/>
              <w:numPr>
                <w:ilvl w:val="0"/>
                <w:numId w:val="47"/>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血透患者感染监测信息登记及上报，信息包括：患者基本信息、血透频率（曾经在几所医院接受过血透、当前每周几次血透、感染时血透机号、透析日期、累计透析次数）、透析前检查项目及时间、透析中复查项目及时间、感染日期、感染部位、相关病原学检查、相关抗菌药物使用情况；</w:t>
            </w:r>
          </w:p>
          <w:p w14:paraId="1AC52269">
            <w:pPr>
              <w:pStyle w:val="85"/>
              <w:keepNext w:val="0"/>
              <w:keepLines w:val="0"/>
              <w:pageBreakBefore w:val="0"/>
              <w:widowControl/>
              <w:numPr>
                <w:ilvl w:val="0"/>
                <w:numId w:val="47"/>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对血液透析室血透日志的登记，登记信息包括：新入血液透析人次数、已在血液透析人次数、透析路径内瘘人次数、长期置管人数、临时置管人数、相关导管相关血流感染性操作人次数、乙肝丙肝等病毒感染人次数、其他医院感染人次数。</w:t>
            </w:r>
          </w:p>
        </w:tc>
      </w:tr>
      <w:tr w14:paraId="33DA54FF">
        <w:tblPrEx>
          <w:tblCellMar>
            <w:top w:w="0" w:type="dxa"/>
            <w:left w:w="108" w:type="dxa"/>
            <w:bottom w:w="0" w:type="dxa"/>
            <w:right w:w="108" w:type="dxa"/>
          </w:tblCellMar>
        </w:tblPrEx>
        <w:trPr>
          <w:trHeight w:val="3937" w:hRule="atLeast"/>
          <w:jc w:val="center"/>
        </w:trPr>
        <w:tc>
          <w:tcPr>
            <w:tcW w:w="878" w:type="dxa"/>
            <w:vMerge w:val="continue"/>
            <w:tcBorders>
              <w:left w:val="single" w:color="auto" w:sz="8" w:space="0"/>
              <w:right w:val="single" w:color="auto" w:sz="8" w:space="0"/>
            </w:tcBorders>
            <w:vAlign w:val="center"/>
          </w:tcPr>
          <w:p w14:paraId="19535042">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color w:val="auto"/>
                <w:highlight w:val="none"/>
                <w:lang w:val="zh-TW" w:eastAsia="zh-TW"/>
              </w:rPr>
            </w:pPr>
          </w:p>
        </w:tc>
        <w:tc>
          <w:tcPr>
            <w:tcW w:w="1194" w:type="dxa"/>
            <w:tcBorders>
              <w:top w:val="single" w:color="auto" w:sz="4" w:space="0"/>
              <w:left w:val="single" w:color="auto" w:sz="8" w:space="0"/>
              <w:bottom w:val="single" w:color="000000" w:sz="8" w:space="0"/>
              <w:right w:val="single" w:color="auto" w:sz="8" w:space="0"/>
            </w:tcBorders>
            <w:vAlign w:val="center"/>
          </w:tcPr>
          <w:p w14:paraId="2C3AA0A3">
            <w:pPr>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olor w:val="auto"/>
                <w:szCs w:val="21"/>
                <w:highlight w:val="none"/>
              </w:rPr>
            </w:pPr>
            <w:r>
              <w:rPr>
                <w:rFonts w:hint="eastAsia" w:ascii="宋体" w:hAnsi="宋体"/>
                <w:color w:val="auto"/>
                <w:szCs w:val="21"/>
                <w:highlight w:val="none"/>
              </w:rPr>
              <w:t>网络直报</w:t>
            </w:r>
          </w:p>
        </w:tc>
        <w:tc>
          <w:tcPr>
            <w:tcW w:w="7887" w:type="dxa"/>
            <w:tcBorders>
              <w:top w:val="nil"/>
              <w:left w:val="nil"/>
              <w:bottom w:val="single" w:color="auto" w:sz="8" w:space="0"/>
              <w:right w:val="single" w:color="auto" w:sz="8" w:space="0"/>
            </w:tcBorders>
            <w:vAlign w:val="center"/>
          </w:tcPr>
          <w:p w14:paraId="60314A94">
            <w:pPr>
              <w:pStyle w:val="85"/>
              <w:keepNext w:val="0"/>
              <w:keepLines w:val="0"/>
              <w:pageBreakBefore w:val="0"/>
              <w:widowControl/>
              <w:numPr>
                <w:ilvl w:val="0"/>
                <w:numId w:val="48"/>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支持建立“医院→全国医院感染监控管理培训基地”上报体系；</w:t>
            </w:r>
          </w:p>
          <w:p w14:paraId="5E0706E6">
            <w:pPr>
              <w:pStyle w:val="85"/>
              <w:keepNext w:val="0"/>
              <w:keepLines w:val="0"/>
              <w:pageBreakBefore w:val="0"/>
              <w:widowControl/>
              <w:numPr>
                <w:ilvl w:val="0"/>
                <w:numId w:val="48"/>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支持自动分析出已上报记录数、总未上报记录数；</w:t>
            </w:r>
          </w:p>
          <w:p w14:paraId="4EA09E6A">
            <w:pPr>
              <w:pStyle w:val="85"/>
              <w:keepNext w:val="0"/>
              <w:keepLines w:val="0"/>
              <w:pageBreakBefore w:val="0"/>
              <w:widowControl/>
              <w:numPr>
                <w:ilvl w:val="0"/>
                <w:numId w:val="48"/>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支持数据单项上报，也支持全选项上报，能够进行断点续传功能，多线程上报技术，上传速度快，不影响其他业务模块的操作；</w:t>
            </w:r>
          </w:p>
          <w:p w14:paraId="02EA21D4">
            <w:pPr>
              <w:pStyle w:val="85"/>
              <w:keepNext w:val="0"/>
              <w:keepLines w:val="0"/>
              <w:pageBreakBefore w:val="0"/>
              <w:widowControl/>
              <w:numPr>
                <w:ilvl w:val="0"/>
                <w:numId w:val="48"/>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数据上报数据包括：感染病例监测（感染数、出院记录数）、现患率调查（实查数、应监测记录数）、外科手术感染监测、职业暴露监测、ICU病人感染监测（感染数、监测日志记录数）、高危新生儿监测（感染数、日志记录数）、抗菌药物监测、环境卫生消毒药械监测、一次性用品监测、污水监测；</w:t>
            </w:r>
          </w:p>
          <w:p w14:paraId="6B2062E8">
            <w:pPr>
              <w:pStyle w:val="85"/>
              <w:keepNext w:val="0"/>
              <w:keepLines w:val="0"/>
              <w:pageBreakBefore w:val="0"/>
              <w:widowControl/>
              <w:numPr>
                <w:ilvl w:val="0"/>
                <w:numId w:val="48"/>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支持数据上报结果的日志查看及保存；</w:t>
            </w:r>
          </w:p>
          <w:p w14:paraId="547F5485">
            <w:pPr>
              <w:keepNext w:val="0"/>
              <w:keepLines w:val="0"/>
              <w:pageBreakBefore w:val="0"/>
              <w:kinsoku/>
              <w:wordWrap/>
              <w:overflowPunct/>
              <w:topLinePunct w:val="0"/>
              <w:autoSpaceDE/>
              <w:autoSpaceDN/>
              <w:bidi w:val="0"/>
              <w:adjustRightInd w:val="0"/>
              <w:snapToGrid w:val="0"/>
              <w:spacing w:line="360" w:lineRule="auto"/>
              <w:jc w:val="left"/>
              <w:textAlignment w:val="auto"/>
              <w:rPr>
                <w:color w:val="auto"/>
                <w:highlight w:val="none"/>
                <w:lang w:val="zh-TW" w:eastAsia="zh-TW"/>
              </w:rPr>
            </w:pPr>
          </w:p>
        </w:tc>
      </w:tr>
      <w:tr w14:paraId="3153D8E6">
        <w:tblPrEx>
          <w:tblCellMar>
            <w:top w:w="0" w:type="dxa"/>
            <w:left w:w="108" w:type="dxa"/>
            <w:bottom w:w="0" w:type="dxa"/>
            <w:right w:w="108" w:type="dxa"/>
          </w:tblCellMar>
        </w:tblPrEx>
        <w:trPr>
          <w:trHeight w:val="2054" w:hRule="atLeast"/>
          <w:jc w:val="center"/>
        </w:trPr>
        <w:tc>
          <w:tcPr>
            <w:tcW w:w="878" w:type="dxa"/>
            <w:vMerge w:val="continue"/>
            <w:tcBorders>
              <w:left w:val="single" w:color="auto" w:sz="8" w:space="0"/>
              <w:right w:val="single" w:color="auto" w:sz="8" w:space="0"/>
            </w:tcBorders>
            <w:vAlign w:val="center"/>
          </w:tcPr>
          <w:p w14:paraId="59FB9CF1">
            <w:pPr>
              <w:keepNext w:val="0"/>
              <w:keepLines w:val="0"/>
              <w:pageBreakBefore w:val="0"/>
              <w:kinsoku/>
              <w:wordWrap/>
              <w:overflowPunct/>
              <w:topLinePunct w:val="0"/>
              <w:autoSpaceDE/>
              <w:autoSpaceDN/>
              <w:bidi w:val="0"/>
              <w:adjustRightInd w:val="0"/>
              <w:snapToGrid w:val="0"/>
              <w:spacing w:line="360" w:lineRule="auto"/>
              <w:jc w:val="left"/>
              <w:textAlignment w:val="auto"/>
              <w:rPr>
                <w:color w:val="auto"/>
                <w:highlight w:val="none"/>
              </w:rPr>
            </w:pPr>
          </w:p>
        </w:tc>
        <w:tc>
          <w:tcPr>
            <w:tcW w:w="1194" w:type="dxa"/>
            <w:tcBorders>
              <w:top w:val="single" w:color="auto" w:sz="4" w:space="0"/>
              <w:left w:val="single" w:color="auto" w:sz="8" w:space="0"/>
              <w:bottom w:val="single" w:color="000000" w:sz="8" w:space="0"/>
              <w:right w:val="single" w:color="auto" w:sz="8" w:space="0"/>
            </w:tcBorders>
            <w:vAlign w:val="center"/>
          </w:tcPr>
          <w:p w14:paraId="24C0AF61">
            <w:pPr>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olor w:val="auto"/>
                <w:szCs w:val="21"/>
                <w:highlight w:val="none"/>
              </w:rPr>
            </w:pPr>
            <w:r>
              <w:rPr>
                <w:rFonts w:hint="eastAsia" w:ascii="宋体" w:hAnsi="宋体"/>
                <w:color w:val="auto"/>
                <w:szCs w:val="21"/>
                <w:highlight w:val="none"/>
              </w:rPr>
              <w:t>国家的感控指标</w:t>
            </w:r>
          </w:p>
        </w:tc>
        <w:tc>
          <w:tcPr>
            <w:tcW w:w="7887" w:type="dxa"/>
            <w:tcBorders>
              <w:top w:val="nil"/>
              <w:left w:val="nil"/>
              <w:bottom w:val="single" w:color="auto" w:sz="8" w:space="0"/>
              <w:right w:val="single" w:color="auto" w:sz="8" w:space="0"/>
            </w:tcBorders>
            <w:vAlign w:val="center"/>
          </w:tcPr>
          <w:p w14:paraId="0F14F050">
            <w:pPr>
              <w:pStyle w:val="85"/>
              <w:keepNext w:val="0"/>
              <w:keepLines w:val="0"/>
              <w:pageBreakBefore w:val="0"/>
              <w:widowControl/>
              <w:numPr>
                <w:ilvl w:val="0"/>
                <w:numId w:val="49"/>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可按患者维住院患者人数进行时间段查询；医院感染发病（例次）率、医院感染现患（例次）率、医院感染病例漏报率、多重耐药菌感染发现率、多重耐药菌检出率、医务人员手卫生依从率、住院患者抗菌药物使用率、抗菌药物治疗前病原学送检率、Ⅰ类切口手术部位感染率、Ⅰ类切口手术抗菌药物预防使用率、血管内导管相关血流感染发病率、呼吸机相关肺炎发病率、导尿管相关泌尿系统感染发病率</w:t>
            </w:r>
          </w:p>
        </w:tc>
      </w:tr>
      <w:tr w14:paraId="47533598">
        <w:tblPrEx>
          <w:tblCellMar>
            <w:top w:w="0" w:type="dxa"/>
            <w:left w:w="108" w:type="dxa"/>
            <w:bottom w:w="0" w:type="dxa"/>
            <w:right w:w="108" w:type="dxa"/>
          </w:tblCellMar>
        </w:tblPrEx>
        <w:trPr>
          <w:trHeight w:val="3409" w:hRule="atLeast"/>
          <w:jc w:val="center"/>
        </w:trPr>
        <w:tc>
          <w:tcPr>
            <w:tcW w:w="878" w:type="dxa"/>
            <w:vMerge w:val="continue"/>
            <w:tcBorders>
              <w:left w:val="single" w:color="auto" w:sz="8" w:space="0"/>
              <w:right w:val="single" w:color="auto" w:sz="8" w:space="0"/>
            </w:tcBorders>
            <w:vAlign w:val="center"/>
          </w:tcPr>
          <w:p w14:paraId="78B4ACFE">
            <w:pPr>
              <w:keepNext w:val="0"/>
              <w:keepLines w:val="0"/>
              <w:pageBreakBefore w:val="0"/>
              <w:kinsoku/>
              <w:wordWrap/>
              <w:overflowPunct/>
              <w:topLinePunct w:val="0"/>
              <w:autoSpaceDE/>
              <w:autoSpaceDN/>
              <w:bidi w:val="0"/>
              <w:adjustRightInd w:val="0"/>
              <w:snapToGrid w:val="0"/>
              <w:spacing w:line="360" w:lineRule="auto"/>
              <w:jc w:val="left"/>
              <w:textAlignment w:val="auto"/>
              <w:rPr>
                <w:color w:val="auto"/>
                <w:highlight w:val="none"/>
              </w:rPr>
            </w:pPr>
          </w:p>
        </w:tc>
        <w:tc>
          <w:tcPr>
            <w:tcW w:w="1194" w:type="dxa"/>
            <w:tcBorders>
              <w:top w:val="single" w:color="auto" w:sz="4" w:space="0"/>
              <w:left w:val="single" w:color="auto" w:sz="8" w:space="0"/>
              <w:bottom w:val="single" w:color="000000" w:sz="8" w:space="0"/>
              <w:right w:val="single" w:color="auto" w:sz="8" w:space="0"/>
            </w:tcBorders>
            <w:vAlign w:val="center"/>
          </w:tcPr>
          <w:p w14:paraId="465D8A61">
            <w:pPr>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olor w:val="auto"/>
                <w:szCs w:val="21"/>
                <w:highlight w:val="none"/>
              </w:rPr>
            </w:pPr>
            <w:r>
              <w:rPr>
                <w:rFonts w:hint="eastAsia" w:ascii="宋体" w:hAnsi="宋体"/>
                <w:color w:val="auto"/>
                <w:szCs w:val="21"/>
                <w:highlight w:val="none"/>
              </w:rPr>
              <w:t>提升抗菌药物治疗前病原学送检率哨点医院专项行动指标统计分析</w:t>
            </w:r>
          </w:p>
        </w:tc>
        <w:tc>
          <w:tcPr>
            <w:tcW w:w="7887" w:type="dxa"/>
            <w:tcBorders>
              <w:top w:val="nil"/>
              <w:left w:val="nil"/>
              <w:bottom w:val="single" w:color="auto" w:sz="8" w:space="0"/>
              <w:right w:val="single" w:color="auto" w:sz="8" w:space="0"/>
            </w:tcBorders>
            <w:vAlign w:val="center"/>
          </w:tcPr>
          <w:p w14:paraId="0D9279B1">
            <w:pPr>
              <w:pStyle w:val="85"/>
              <w:keepNext w:val="0"/>
              <w:keepLines w:val="0"/>
              <w:pageBreakBefore w:val="0"/>
              <w:widowControl/>
              <w:numPr>
                <w:ilvl w:val="0"/>
                <w:numId w:val="50"/>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rPr>
            </w:pPr>
            <w:r>
              <w:rPr>
                <w:rFonts w:hint="eastAsia" w:ascii="宋体" w:hAnsi="宋体"/>
                <w:color w:val="auto"/>
                <w:highlight w:val="none"/>
              </w:rPr>
              <w:t>统计分析抗菌药物（分级）治疗前病原学送检率、联合使用重点药物前病原学送检率、医院感染诊断相关病原学送检率。可按照不同条件进行筛选，如是否包含降钙素原、PRC、白介素、G试验、显微镜检查、免疫学检测、分子快速判断、相关标志物等。并且通过红色标志数字显示警戒线。</w:t>
            </w:r>
          </w:p>
        </w:tc>
      </w:tr>
      <w:tr w14:paraId="129C1EBF">
        <w:tblPrEx>
          <w:tblCellMar>
            <w:top w:w="0" w:type="dxa"/>
            <w:left w:w="108" w:type="dxa"/>
            <w:bottom w:w="0" w:type="dxa"/>
            <w:right w:w="108" w:type="dxa"/>
          </w:tblCellMar>
        </w:tblPrEx>
        <w:trPr>
          <w:trHeight w:val="1651" w:hRule="atLeast"/>
          <w:jc w:val="center"/>
        </w:trPr>
        <w:tc>
          <w:tcPr>
            <w:tcW w:w="878" w:type="dxa"/>
            <w:vMerge w:val="continue"/>
            <w:tcBorders>
              <w:left w:val="single" w:color="auto" w:sz="8" w:space="0"/>
              <w:right w:val="single" w:color="auto" w:sz="8" w:space="0"/>
            </w:tcBorders>
            <w:vAlign w:val="center"/>
          </w:tcPr>
          <w:p w14:paraId="5E3BEE32">
            <w:pPr>
              <w:keepNext w:val="0"/>
              <w:keepLines w:val="0"/>
              <w:pageBreakBefore w:val="0"/>
              <w:kinsoku/>
              <w:wordWrap/>
              <w:overflowPunct/>
              <w:topLinePunct w:val="0"/>
              <w:autoSpaceDE/>
              <w:autoSpaceDN/>
              <w:bidi w:val="0"/>
              <w:adjustRightInd w:val="0"/>
              <w:snapToGrid w:val="0"/>
              <w:spacing w:line="360" w:lineRule="auto"/>
              <w:jc w:val="left"/>
              <w:textAlignment w:val="auto"/>
              <w:rPr>
                <w:color w:val="auto"/>
                <w:highlight w:val="none"/>
              </w:rPr>
            </w:pPr>
          </w:p>
        </w:tc>
        <w:tc>
          <w:tcPr>
            <w:tcW w:w="1194" w:type="dxa"/>
            <w:tcBorders>
              <w:top w:val="single" w:color="auto" w:sz="4" w:space="0"/>
              <w:left w:val="single" w:color="auto" w:sz="8" w:space="0"/>
              <w:bottom w:val="single" w:color="000000" w:sz="8" w:space="0"/>
              <w:right w:val="single" w:color="auto" w:sz="8" w:space="0"/>
            </w:tcBorders>
            <w:vAlign w:val="center"/>
          </w:tcPr>
          <w:p w14:paraId="3C2DD62C">
            <w:pPr>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olor w:val="auto"/>
                <w:szCs w:val="21"/>
                <w:highlight w:val="none"/>
              </w:rPr>
            </w:pPr>
            <w:r>
              <w:rPr>
                <w:rFonts w:hint="eastAsia" w:ascii="宋体" w:hAnsi="宋体"/>
                <w:color w:val="auto"/>
                <w:szCs w:val="21"/>
                <w:highlight w:val="none"/>
              </w:rPr>
              <w:t>感染统计</w:t>
            </w:r>
          </w:p>
        </w:tc>
        <w:tc>
          <w:tcPr>
            <w:tcW w:w="7887" w:type="dxa"/>
            <w:tcBorders>
              <w:top w:val="nil"/>
              <w:left w:val="nil"/>
              <w:bottom w:val="single" w:color="auto" w:sz="8" w:space="0"/>
              <w:right w:val="single" w:color="auto" w:sz="8" w:space="0"/>
            </w:tcBorders>
            <w:vAlign w:val="center"/>
          </w:tcPr>
          <w:p w14:paraId="457E1FF0">
            <w:pPr>
              <w:pStyle w:val="85"/>
              <w:keepNext w:val="0"/>
              <w:keepLines w:val="0"/>
              <w:pageBreakBefore w:val="0"/>
              <w:widowControl/>
              <w:numPr>
                <w:ilvl w:val="0"/>
                <w:numId w:val="51"/>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rPr>
              <w:t>可按照时间段、患者科室等维度统计分析：</w:t>
            </w:r>
            <w:r>
              <w:rPr>
                <w:rFonts w:hint="eastAsia" w:ascii="宋体" w:hAnsi="宋体"/>
                <w:color w:val="auto"/>
                <w:highlight w:val="none"/>
                <w:lang w:val="zh-TW" w:eastAsia="zh-TW"/>
              </w:rPr>
              <w:t>医院感染率、社区感染率、医院感染日感染率、医院感染部位分布、社区感染部位分布、医院感染病原体部位分布、社区感染病原体部位分布、易感因素、CLABSI（血管内导管相关血流感染发病率）、VAP（呼吸机相关肺炎发病率）、CAUTI（导尿管相关泌尿系统感染发病率）</w:t>
            </w:r>
          </w:p>
        </w:tc>
      </w:tr>
      <w:tr w14:paraId="7E07C72D">
        <w:tblPrEx>
          <w:tblCellMar>
            <w:top w:w="0" w:type="dxa"/>
            <w:left w:w="108" w:type="dxa"/>
            <w:bottom w:w="0" w:type="dxa"/>
            <w:right w:w="108" w:type="dxa"/>
          </w:tblCellMar>
        </w:tblPrEx>
        <w:trPr>
          <w:trHeight w:val="1195" w:hRule="atLeast"/>
          <w:jc w:val="center"/>
        </w:trPr>
        <w:tc>
          <w:tcPr>
            <w:tcW w:w="878" w:type="dxa"/>
            <w:vMerge w:val="continue"/>
            <w:tcBorders>
              <w:left w:val="single" w:color="auto" w:sz="8" w:space="0"/>
              <w:right w:val="single" w:color="auto" w:sz="8" w:space="0"/>
            </w:tcBorders>
            <w:vAlign w:val="center"/>
          </w:tcPr>
          <w:p w14:paraId="0A542FBA">
            <w:pPr>
              <w:keepNext w:val="0"/>
              <w:keepLines w:val="0"/>
              <w:pageBreakBefore w:val="0"/>
              <w:kinsoku/>
              <w:wordWrap/>
              <w:overflowPunct/>
              <w:topLinePunct w:val="0"/>
              <w:autoSpaceDE/>
              <w:autoSpaceDN/>
              <w:bidi w:val="0"/>
              <w:adjustRightInd w:val="0"/>
              <w:snapToGrid w:val="0"/>
              <w:spacing w:line="360" w:lineRule="auto"/>
              <w:jc w:val="left"/>
              <w:textAlignment w:val="auto"/>
              <w:rPr>
                <w:color w:val="auto"/>
                <w:highlight w:val="none"/>
              </w:rPr>
            </w:pPr>
          </w:p>
        </w:tc>
        <w:tc>
          <w:tcPr>
            <w:tcW w:w="1194" w:type="dxa"/>
            <w:tcBorders>
              <w:top w:val="single" w:color="auto" w:sz="4" w:space="0"/>
              <w:left w:val="single" w:color="auto" w:sz="8" w:space="0"/>
              <w:bottom w:val="single" w:color="000000" w:sz="8" w:space="0"/>
              <w:right w:val="single" w:color="auto" w:sz="8" w:space="0"/>
            </w:tcBorders>
            <w:vAlign w:val="center"/>
          </w:tcPr>
          <w:p w14:paraId="5AB797BC">
            <w:pPr>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olor w:val="auto"/>
                <w:szCs w:val="21"/>
                <w:highlight w:val="none"/>
              </w:rPr>
            </w:pPr>
            <w:r>
              <w:rPr>
                <w:rFonts w:hint="eastAsia" w:ascii="宋体" w:hAnsi="宋体"/>
                <w:color w:val="auto"/>
                <w:szCs w:val="21"/>
                <w:highlight w:val="none"/>
              </w:rPr>
              <w:t>感染率趋势分析</w:t>
            </w:r>
          </w:p>
        </w:tc>
        <w:tc>
          <w:tcPr>
            <w:tcW w:w="7887" w:type="dxa"/>
            <w:tcBorders>
              <w:top w:val="nil"/>
              <w:left w:val="nil"/>
              <w:bottom w:val="single" w:color="auto" w:sz="8" w:space="0"/>
              <w:right w:val="single" w:color="auto" w:sz="8" w:space="0"/>
            </w:tcBorders>
            <w:vAlign w:val="center"/>
          </w:tcPr>
          <w:p w14:paraId="5044E4BB">
            <w:pPr>
              <w:pStyle w:val="85"/>
              <w:keepNext w:val="0"/>
              <w:keepLines w:val="0"/>
              <w:pageBreakBefore w:val="0"/>
              <w:widowControl/>
              <w:numPr>
                <w:ilvl w:val="0"/>
                <w:numId w:val="52"/>
              </w:numPr>
              <w:kinsoku/>
              <w:wordWrap/>
              <w:overflowPunct/>
              <w:topLinePunct w:val="0"/>
              <w:autoSpaceDE/>
              <w:autoSpaceDN/>
              <w:bidi w:val="0"/>
              <w:adjustRightInd w:val="0"/>
              <w:snapToGrid w:val="0"/>
              <w:spacing w:line="360" w:lineRule="auto"/>
              <w:ind w:firstLineChars="0"/>
              <w:jc w:val="left"/>
              <w:textAlignment w:val="auto"/>
              <w:rPr>
                <w:color w:val="auto"/>
                <w:highlight w:val="none"/>
                <w:lang w:val="zh-TW" w:eastAsia="zh-TW"/>
              </w:rPr>
            </w:pPr>
            <w:r>
              <w:rPr>
                <w:rFonts w:hint="eastAsia" w:ascii="宋体" w:hAnsi="宋体"/>
                <w:color w:val="auto"/>
                <w:highlight w:val="none"/>
                <w:lang w:val="zh-TW" w:eastAsia="zh-TW"/>
              </w:rPr>
              <w:t>医院感染率、社区感染率、医院感染日感染率、CLABSI（血管内导管相关血流感染发病率）、VAP（呼吸机相关肺炎发病率）、CAUTI（导尿管相关泌尿系统感染发病率）。</w:t>
            </w:r>
          </w:p>
        </w:tc>
      </w:tr>
      <w:tr w14:paraId="2CB30BCF">
        <w:tblPrEx>
          <w:tblCellMar>
            <w:top w:w="0" w:type="dxa"/>
            <w:left w:w="108" w:type="dxa"/>
            <w:bottom w:w="0" w:type="dxa"/>
            <w:right w:w="108" w:type="dxa"/>
          </w:tblCellMar>
        </w:tblPrEx>
        <w:trPr>
          <w:trHeight w:val="1195" w:hRule="atLeast"/>
          <w:jc w:val="center"/>
        </w:trPr>
        <w:tc>
          <w:tcPr>
            <w:tcW w:w="878" w:type="dxa"/>
            <w:vMerge w:val="continue"/>
            <w:tcBorders>
              <w:left w:val="single" w:color="auto" w:sz="8" w:space="0"/>
              <w:right w:val="single" w:color="auto" w:sz="8" w:space="0"/>
            </w:tcBorders>
            <w:vAlign w:val="center"/>
          </w:tcPr>
          <w:p w14:paraId="0B71031C">
            <w:pPr>
              <w:keepNext w:val="0"/>
              <w:keepLines w:val="0"/>
              <w:pageBreakBefore w:val="0"/>
              <w:kinsoku/>
              <w:wordWrap/>
              <w:overflowPunct/>
              <w:topLinePunct w:val="0"/>
              <w:autoSpaceDE/>
              <w:autoSpaceDN/>
              <w:bidi w:val="0"/>
              <w:adjustRightInd w:val="0"/>
              <w:snapToGrid w:val="0"/>
              <w:spacing w:line="360" w:lineRule="auto"/>
              <w:jc w:val="left"/>
              <w:textAlignment w:val="auto"/>
              <w:rPr>
                <w:color w:val="auto"/>
                <w:highlight w:val="none"/>
              </w:rPr>
            </w:pPr>
          </w:p>
        </w:tc>
        <w:tc>
          <w:tcPr>
            <w:tcW w:w="1194" w:type="dxa"/>
            <w:tcBorders>
              <w:top w:val="single" w:color="auto" w:sz="4" w:space="0"/>
              <w:left w:val="single" w:color="auto" w:sz="8" w:space="0"/>
              <w:bottom w:val="single" w:color="000000" w:sz="8" w:space="0"/>
              <w:right w:val="single" w:color="auto" w:sz="8" w:space="0"/>
            </w:tcBorders>
            <w:vAlign w:val="center"/>
          </w:tcPr>
          <w:p w14:paraId="09910318">
            <w:pPr>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olor w:val="auto"/>
                <w:szCs w:val="21"/>
                <w:highlight w:val="none"/>
              </w:rPr>
            </w:pPr>
            <w:r>
              <w:rPr>
                <w:rFonts w:hint="eastAsia" w:ascii="宋体" w:hAnsi="宋体"/>
                <w:color w:val="auto"/>
                <w:szCs w:val="21"/>
                <w:highlight w:val="none"/>
              </w:rPr>
              <w:t>现患率统计</w:t>
            </w:r>
          </w:p>
        </w:tc>
        <w:tc>
          <w:tcPr>
            <w:tcW w:w="7887" w:type="dxa"/>
            <w:tcBorders>
              <w:top w:val="nil"/>
              <w:left w:val="nil"/>
              <w:bottom w:val="single" w:color="auto" w:sz="8" w:space="0"/>
              <w:right w:val="single" w:color="auto" w:sz="8" w:space="0"/>
            </w:tcBorders>
            <w:vAlign w:val="center"/>
          </w:tcPr>
          <w:p w14:paraId="1B3072DB">
            <w:pPr>
              <w:pStyle w:val="85"/>
              <w:keepNext w:val="0"/>
              <w:keepLines w:val="0"/>
              <w:pageBreakBefore w:val="0"/>
              <w:widowControl/>
              <w:numPr>
                <w:ilvl w:val="0"/>
                <w:numId w:val="53"/>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根据横断面调查进行现患统计；医院感染率、社区感染率、医院感染病原体部位分布、抗菌药物使用情况、医院感染率现患趋势分析</w:t>
            </w:r>
          </w:p>
        </w:tc>
      </w:tr>
      <w:tr w14:paraId="29B9E152">
        <w:tblPrEx>
          <w:tblCellMar>
            <w:top w:w="0" w:type="dxa"/>
            <w:left w:w="108" w:type="dxa"/>
            <w:bottom w:w="0" w:type="dxa"/>
            <w:right w:w="108" w:type="dxa"/>
          </w:tblCellMar>
        </w:tblPrEx>
        <w:trPr>
          <w:trHeight w:val="9816" w:hRule="atLeast"/>
          <w:jc w:val="center"/>
        </w:trPr>
        <w:tc>
          <w:tcPr>
            <w:tcW w:w="878" w:type="dxa"/>
            <w:vMerge w:val="continue"/>
            <w:tcBorders>
              <w:left w:val="single" w:color="auto" w:sz="8" w:space="0"/>
              <w:right w:val="single" w:color="auto" w:sz="8" w:space="0"/>
            </w:tcBorders>
            <w:vAlign w:val="center"/>
          </w:tcPr>
          <w:p w14:paraId="6BD8CC47">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color w:val="auto"/>
                <w:highlight w:val="none"/>
                <w:lang w:val="zh-TW" w:eastAsia="zh-TW"/>
              </w:rPr>
            </w:pPr>
          </w:p>
        </w:tc>
        <w:tc>
          <w:tcPr>
            <w:tcW w:w="1194" w:type="dxa"/>
            <w:tcBorders>
              <w:top w:val="single" w:color="auto" w:sz="4" w:space="0"/>
              <w:left w:val="single" w:color="auto" w:sz="8" w:space="0"/>
              <w:bottom w:val="single" w:color="000000" w:sz="8" w:space="0"/>
              <w:right w:val="single" w:color="auto" w:sz="8" w:space="0"/>
            </w:tcBorders>
            <w:vAlign w:val="center"/>
          </w:tcPr>
          <w:p w14:paraId="7721B5F4">
            <w:pPr>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olor w:val="auto"/>
                <w:szCs w:val="21"/>
                <w:highlight w:val="none"/>
              </w:rPr>
            </w:pPr>
            <w:r>
              <w:rPr>
                <w:rFonts w:hint="eastAsia" w:ascii="宋体" w:hAnsi="宋体"/>
                <w:color w:val="auto"/>
                <w:szCs w:val="21"/>
                <w:highlight w:val="none"/>
              </w:rPr>
              <w:t>患者诊疗信息</w:t>
            </w:r>
          </w:p>
        </w:tc>
        <w:tc>
          <w:tcPr>
            <w:tcW w:w="7887" w:type="dxa"/>
            <w:tcBorders>
              <w:top w:val="nil"/>
              <w:left w:val="nil"/>
              <w:bottom w:val="single" w:color="auto" w:sz="8" w:space="0"/>
              <w:right w:val="single" w:color="auto" w:sz="8" w:space="0"/>
            </w:tcBorders>
            <w:vAlign w:val="center"/>
          </w:tcPr>
          <w:p w14:paraId="634E3CB6">
            <w:pPr>
              <w:pStyle w:val="85"/>
              <w:keepNext w:val="0"/>
              <w:keepLines w:val="0"/>
              <w:pageBreakBefore w:val="0"/>
              <w:widowControl/>
              <w:numPr>
                <w:ilvl w:val="0"/>
                <w:numId w:val="54"/>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支持查看患者历次本院住院诊疗信息，包括住院号、入院科室、入院时间、出院科室、出院时间、入院诊断、住院次数；</w:t>
            </w:r>
          </w:p>
          <w:p w14:paraId="4B7C01AF">
            <w:pPr>
              <w:pStyle w:val="85"/>
              <w:keepNext w:val="0"/>
              <w:keepLines w:val="0"/>
              <w:pageBreakBefore w:val="0"/>
              <w:widowControl/>
              <w:numPr>
                <w:ilvl w:val="0"/>
                <w:numId w:val="54"/>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支持查看患者基本信息，包括住院号、病案号、姓名、性别、年龄、住院次数、体重、入院诊断、当前科室信息；</w:t>
            </w:r>
          </w:p>
          <w:p w14:paraId="6F59822B">
            <w:pPr>
              <w:pStyle w:val="85"/>
              <w:keepNext w:val="0"/>
              <w:keepLines w:val="0"/>
              <w:pageBreakBefore w:val="0"/>
              <w:widowControl/>
              <w:numPr>
                <w:ilvl w:val="0"/>
                <w:numId w:val="54"/>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支持查看患者住院综合图示重要关注因素的时序图，包括三大插管、三大常规、C反应蛋白、降钙素原、检出菌、隔离标识；</w:t>
            </w:r>
          </w:p>
          <w:p w14:paraId="57E3A587">
            <w:pPr>
              <w:pStyle w:val="85"/>
              <w:keepNext w:val="0"/>
              <w:keepLines w:val="0"/>
              <w:pageBreakBefore w:val="0"/>
              <w:widowControl/>
              <w:numPr>
                <w:ilvl w:val="0"/>
                <w:numId w:val="54"/>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支持在综合图示中，可查看三大常规、C反应蛋白的历次送检信息及检验结果的趋势走向；</w:t>
            </w:r>
          </w:p>
          <w:p w14:paraId="53521A43">
            <w:pPr>
              <w:pStyle w:val="85"/>
              <w:keepNext w:val="0"/>
              <w:keepLines w:val="0"/>
              <w:pageBreakBefore w:val="0"/>
              <w:widowControl/>
              <w:numPr>
                <w:ilvl w:val="0"/>
                <w:numId w:val="54"/>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支持查看住院综合图示重要风险因素明细，包括：抗菌药物使用、侵入性操作、检出菌、手术、体温异常；</w:t>
            </w:r>
          </w:p>
          <w:p w14:paraId="0FC65D9A">
            <w:pPr>
              <w:pStyle w:val="85"/>
              <w:keepNext w:val="0"/>
              <w:keepLines w:val="0"/>
              <w:pageBreakBefore w:val="0"/>
              <w:widowControl/>
              <w:numPr>
                <w:ilvl w:val="0"/>
                <w:numId w:val="54"/>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支持查看医嘱信息，侵入性操作、抗菌药物优先置顶，并可进行关键词搜索医嘱；</w:t>
            </w:r>
          </w:p>
          <w:p w14:paraId="48018794">
            <w:pPr>
              <w:pStyle w:val="85"/>
              <w:keepNext w:val="0"/>
              <w:keepLines w:val="0"/>
              <w:pageBreakBefore w:val="0"/>
              <w:widowControl/>
              <w:numPr>
                <w:ilvl w:val="0"/>
                <w:numId w:val="54"/>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支持查看检验信息，对存在异常检验项目，标记红点显目提示，异常检验结果优先置顶；</w:t>
            </w:r>
          </w:p>
          <w:p w14:paraId="7DBB202A">
            <w:pPr>
              <w:pStyle w:val="85"/>
              <w:keepNext w:val="0"/>
              <w:keepLines w:val="0"/>
              <w:pageBreakBefore w:val="0"/>
              <w:widowControl/>
              <w:numPr>
                <w:ilvl w:val="0"/>
                <w:numId w:val="54"/>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支持查看菌培养信息，优先置顶，药敏结果为耐药标红显示；</w:t>
            </w:r>
          </w:p>
          <w:p w14:paraId="0ECDDE93">
            <w:pPr>
              <w:pStyle w:val="85"/>
              <w:keepNext w:val="0"/>
              <w:keepLines w:val="0"/>
              <w:pageBreakBefore w:val="0"/>
              <w:widowControl/>
              <w:numPr>
                <w:ilvl w:val="0"/>
                <w:numId w:val="54"/>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支持查看手术信息，可穿透查看手术登记表；</w:t>
            </w:r>
          </w:p>
          <w:p w14:paraId="0AE075DD">
            <w:pPr>
              <w:pStyle w:val="85"/>
              <w:keepNext w:val="0"/>
              <w:keepLines w:val="0"/>
              <w:pageBreakBefore w:val="0"/>
              <w:widowControl/>
              <w:numPr>
                <w:ilvl w:val="0"/>
                <w:numId w:val="54"/>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支持查看体温信息，时间段内体温走向，超过38℃显目提示；</w:t>
            </w:r>
          </w:p>
          <w:p w14:paraId="60164532">
            <w:pPr>
              <w:pStyle w:val="85"/>
              <w:keepNext w:val="0"/>
              <w:keepLines w:val="0"/>
              <w:pageBreakBefore w:val="0"/>
              <w:widowControl/>
              <w:numPr>
                <w:ilvl w:val="0"/>
                <w:numId w:val="54"/>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支持查看病历信息，对存在感染因素的标记显示，分别展示分析后病历和原文病历，分析后病历中关键词按颜色区分否定式、阳性词；</w:t>
            </w:r>
          </w:p>
          <w:p w14:paraId="51698BEB">
            <w:pPr>
              <w:pStyle w:val="85"/>
              <w:keepNext w:val="0"/>
              <w:keepLines w:val="0"/>
              <w:pageBreakBefore w:val="0"/>
              <w:widowControl/>
              <w:numPr>
                <w:ilvl w:val="0"/>
                <w:numId w:val="54"/>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支持查看影像信息，对存在感染因素的标记显示，分析后影像报告中关键词按颜色区分否定式、阳性词；</w:t>
            </w:r>
          </w:p>
          <w:p w14:paraId="5929A0C5">
            <w:pPr>
              <w:pStyle w:val="85"/>
              <w:keepNext w:val="0"/>
              <w:keepLines w:val="0"/>
              <w:pageBreakBefore w:val="0"/>
              <w:widowControl/>
              <w:numPr>
                <w:ilvl w:val="0"/>
                <w:numId w:val="54"/>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支持查看诊断信息，包括入院诊断、出院诊断、其他诊断；</w:t>
            </w:r>
          </w:p>
          <w:p w14:paraId="2D097CB6">
            <w:pPr>
              <w:pStyle w:val="85"/>
              <w:keepNext w:val="0"/>
              <w:keepLines w:val="0"/>
              <w:pageBreakBefore w:val="0"/>
              <w:widowControl/>
              <w:numPr>
                <w:ilvl w:val="0"/>
                <w:numId w:val="54"/>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支持查看在院期间出入科记录；</w:t>
            </w:r>
          </w:p>
          <w:p w14:paraId="60020F1B">
            <w:pPr>
              <w:pStyle w:val="85"/>
              <w:keepNext w:val="0"/>
              <w:keepLines w:val="0"/>
              <w:pageBreakBefore w:val="0"/>
              <w:widowControl/>
              <w:numPr>
                <w:ilvl w:val="0"/>
                <w:numId w:val="54"/>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支持查看当前患者干预历史情况，并支持干预会话发起；</w:t>
            </w:r>
          </w:p>
          <w:p w14:paraId="4A0A7977">
            <w:pPr>
              <w:pStyle w:val="85"/>
              <w:keepNext w:val="0"/>
              <w:keepLines w:val="0"/>
              <w:pageBreakBefore w:val="0"/>
              <w:widowControl/>
              <w:numPr>
                <w:ilvl w:val="0"/>
                <w:numId w:val="54"/>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支持查看当前患者疑似感染信息，并可直接进行干预、排除、确认操作；</w:t>
            </w:r>
          </w:p>
          <w:p w14:paraId="0EE2B156">
            <w:pPr>
              <w:pStyle w:val="85"/>
              <w:keepNext w:val="0"/>
              <w:keepLines w:val="0"/>
              <w:pageBreakBefore w:val="0"/>
              <w:widowControl/>
              <w:numPr>
                <w:ilvl w:val="0"/>
                <w:numId w:val="54"/>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支持查看当前患者感染病例历史上报情况；</w:t>
            </w:r>
          </w:p>
        </w:tc>
      </w:tr>
      <w:tr w14:paraId="29E06CF7">
        <w:tblPrEx>
          <w:tblCellMar>
            <w:top w:w="0" w:type="dxa"/>
            <w:left w:w="108" w:type="dxa"/>
            <w:bottom w:w="0" w:type="dxa"/>
            <w:right w:w="108" w:type="dxa"/>
          </w:tblCellMar>
        </w:tblPrEx>
        <w:trPr>
          <w:trHeight w:val="2762" w:hRule="atLeast"/>
          <w:jc w:val="center"/>
        </w:trPr>
        <w:tc>
          <w:tcPr>
            <w:tcW w:w="878" w:type="dxa"/>
            <w:vMerge w:val="continue"/>
            <w:tcBorders>
              <w:left w:val="single" w:color="auto" w:sz="8" w:space="0"/>
              <w:right w:val="single" w:color="auto" w:sz="8" w:space="0"/>
            </w:tcBorders>
            <w:vAlign w:val="center"/>
          </w:tcPr>
          <w:p w14:paraId="5B05DFA7">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color w:val="auto"/>
                <w:highlight w:val="none"/>
                <w:lang w:val="zh-TW" w:eastAsia="zh-TW"/>
              </w:rPr>
            </w:pPr>
          </w:p>
        </w:tc>
        <w:tc>
          <w:tcPr>
            <w:tcW w:w="1194" w:type="dxa"/>
            <w:tcBorders>
              <w:top w:val="single" w:color="auto" w:sz="4" w:space="0"/>
              <w:left w:val="single" w:color="auto" w:sz="8" w:space="0"/>
              <w:bottom w:val="single" w:color="000000" w:sz="8" w:space="0"/>
              <w:right w:val="single" w:color="auto" w:sz="8" w:space="0"/>
            </w:tcBorders>
            <w:vAlign w:val="center"/>
          </w:tcPr>
          <w:p w14:paraId="0B61F3D8">
            <w:pPr>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olor w:val="auto"/>
                <w:szCs w:val="21"/>
                <w:highlight w:val="none"/>
              </w:rPr>
            </w:pPr>
            <w:r>
              <w:rPr>
                <w:rFonts w:hint="eastAsia" w:ascii="宋体" w:hAnsi="宋体"/>
                <w:color w:val="auto"/>
                <w:szCs w:val="21"/>
                <w:highlight w:val="none"/>
              </w:rPr>
              <w:t>患者数据数据采集</w:t>
            </w:r>
          </w:p>
        </w:tc>
        <w:tc>
          <w:tcPr>
            <w:tcW w:w="7887" w:type="dxa"/>
            <w:tcBorders>
              <w:top w:val="nil"/>
              <w:left w:val="nil"/>
              <w:bottom w:val="single" w:color="auto" w:sz="8" w:space="0"/>
              <w:right w:val="single" w:color="auto" w:sz="8" w:space="0"/>
            </w:tcBorders>
            <w:vAlign w:val="center"/>
          </w:tcPr>
          <w:p w14:paraId="47D467B5">
            <w:pPr>
              <w:pStyle w:val="85"/>
              <w:keepNext w:val="0"/>
              <w:keepLines w:val="0"/>
              <w:pageBreakBefore w:val="0"/>
              <w:widowControl/>
              <w:numPr>
                <w:ilvl w:val="0"/>
                <w:numId w:val="55"/>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支持与医院现有系统的数据对接，自动完成HIS、LIS、PACS、EMR(电子病历)、手术麻醉、护理系统系统的数据加载，并自动完成各项院感数据匹配工作；</w:t>
            </w:r>
          </w:p>
          <w:p w14:paraId="3A9B541C">
            <w:pPr>
              <w:pStyle w:val="85"/>
              <w:keepNext w:val="0"/>
              <w:keepLines w:val="0"/>
              <w:pageBreakBefore w:val="0"/>
              <w:widowControl/>
              <w:numPr>
                <w:ilvl w:val="0"/>
                <w:numId w:val="55"/>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支持对接Sqlserver、Mysql、Oracle、DB2、Cache数据库；</w:t>
            </w:r>
          </w:p>
          <w:p w14:paraId="73F68957">
            <w:pPr>
              <w:pStyle w:val="85"/>
              <w:keepNext w:val="0"/>
              <w:keepLines w:val="0"/>
              <w:pageBreakBefore w:val="0"/>
              <w:widowControl/>
              <w:numPr>
                <w:ilvl w:val="0"/>
                <w:numId w:val="55"/>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支持完成自动加载患者基本信息；</w:t>
            </w:r>
          </w:p>
          <w:p w14:paraId="53FFC045">
            <w:pPr>
              <w:pStyle w:val="85"/>
              <w:keepNext w:val="0"/>
              <w:keepLines w:val="0"/>
              <w:pageBreakBefore w:val="0"/>
              <w:widowControl/>
              <w:numPr>
                <w:ilvl w:val="0"/>
                <w:numId w:val="55"/>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支持完成自动加载患者出入院信息，包括出入院日期、科室、床位、住院总费用信息；</w:t>
            </w:r>
          </w:p>
          <w:p w14:paraId="1580060A">
            <w:pPr>
              <w:pStyle w:val="85"/>
              <w:keepNext w:val="0"/>
              <w:keepLines w:val="0"/>
              <w:pageBreakBefore w:val="0"/>
              <w:widowControl/>
              <w:numPr>
                <w:ilvl w:val="0"/>
                <w:numId w:val="55"/>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支持完成自动加载患者转科信息；</w:t>
            </w:r>
          </w:p>
          <w:p w14:paraId="6B74617B">
            <w:pPr>
              <w:pStyle w:val="85"/>
              <w:keepNext w:val="0"/>
              <w:keepLines w:val="0"/>
              <w:pageBreakBefore w:val="0"/>
              <w:widowControl/>
              <w:numPr>
                <w:ilvl w:val="0"/>
                <w:numId w:val="55"/>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支持完成自动加载患者诊断信息，入院诊断、疾病诊断、出院诊断；</w:t>
            </w:r>
          </w:p>
          <w:p w14:paraId="6ACCA032">
            <w:pPr>
              <w:pStyle w:val="85"/>
              <w:keepNext w:val="0"/>
              <w:keepLines w:val="0"/>
              <w:pageBreakBefore w:val="0"/>
              <w:widowControl/>
              <w:numPr>
                <w:ilvl w:val="0"/>
                <w:numId w:val="55"/>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支持完成自动加载患者电子体温信息及大便次数信息；</w:t>
            </w:r>
          </w:p>
          <w:p w14:paraId="472A8963">
            <w:pPr>
              <w:pStyle w:val="85"/>
              <w:keepNext w:val="0"/>
              <w:keepLines w:val="0"/>
              <w:pageBreakBefore w:val="0"/>
              <w:widowControl/>
              <w:numPr>
                <w:ilvl w:val="0"/>
                <w:numId w:val="55"/>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支持完成自动加载患者手术申请、安排，详细的手术情况，如麻醉类型、手术时间等；</w:t>
            </w:r>
          </w:p>
          <w:p w14:paraId="45E5721B">
            <w:pPr>
              <w:pStyle w:val="85"/>
              <w:keepNext w:val="0"/>
              <w:keepLines w:val="0"/>
              <w:pageBreakBefore w:val="0"/>
              <w:widowControl/>
              <w:numPr>
                <w:ilvl w:val="0"/>
                <w:numId w:val="55"/>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支持完成自动加载患者医嘱信息，包括检验检查项目、用药情况等；</w:t>
            </w:r>
          </w:p>
          <w:p w14:paraId="0E57592B">
            <w:pPr>
              <w:pStyle w:val="85"/>
              <w:keepNext w:val="0"/>
              <w:keepLines w:val="0"/>
              <w:pageBreakBefore w:val="0"/>
              <w:widowControl/>
              <w:numPr>
                <w:ilvl w:val="0"/>
                <w:numId w:val="55"/>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支持完成自动加载患者检验信息，包括常规检验、细菌培养、检验结果等；</w:t>
            </w:r>
          </w:p>
          <w:p w14:paraId="4804748D">
            <w:pPr>
              <w:pStyle w:val="85"/>
              <w:keepNext w:val="0"/>
              <w:keepLines w:val="0"/>
              <w:pageBreakBefore w:val="0"/>
              <w:widowControl/>
              <w:numPr>
                <w:ilvl w:val="0"/>
                <w:numId w:val="55"/>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支持完成自动加载患者微生物培养情况（包括送检信息、病原体检出情况、药敏试验情况等）；</w:t>
            </w:r>
          </w:p>
          <w:p w14:paraId="6DF82C52">
            <w:pPr>
              <w:pStyle w:val="85"/>
              <w:keepNext w:val="0"/>
              <w:keepLines w:val="0"/>
              <w:pageBreakBefore w:val="0"/>
              <w:widowControl/>
              <w:numPr>
                <w:ilvl w:val="0"/>
                <w:numId w:val="55"/>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支持完成自动加载患者抗菌药物使用情况；</w:t>
            </w:r>
          </w:p>
          <w:p w14:paraId="64C94397">
            <w:pPr>
              <w:pStyle w:val="85"/>
              <w:keepNext w:val="0"/>
              <w:keepLines w:val="0"/>
              <w:pageBreakBefore w:val="0"/>
              <w:widowControl/>
              <w:numPr>
                <w:ilvl w:val="0"/>
                <w:numId w:val="55"/>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支持完成自动加载患者影像诊断信息；</w:t>
            </w:r>
          </w:p>
          <w:p w14:paraId="1832F729">
            <w:pPr>
              <w:pStyle w:val="85"/>
              <w:keepNext w:val="0"/>
              <w:keepLines w:val="0"/>
              <w:pageBreakBefore w:val="0"/>
              <w:widowControl/>
              <w:numPr>
                <w:ilvl w:val="0"/>
                <w:numId w:val="55"/>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支持完成自动加载患者病历记录；</w:t>
            </w:r>
          </w:p>
          <w:p w14:paraId="7640AAAC">
            <w:pPr>
              <w:pStyle w:val="85"/>
              <w:keepNext w:val="0"/>
              <w:keepLines w:val="0"/>
              <w:pageBreakBefore w:val="0"/>
              <w:widowControl/>
              <w:numPr>
                <w:ilvl w:val="0"/>
                <w:numId w:val="55"/>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科室信息、医生信息（包括职称）、药品信息等基础资料；</w:t>
            </w:r>
          </w:p>
        </w:tc>
      </w:tr>
      <w:tr w14:paraId="19F68674">
        <w:tblPrEx>
          <w:tblCellMar>
            <w:top w:w="0" w:type="dxa"/>
            <w:left w:w="108" w:type="dxa"/>
            <w:bottom w:w="0" w:type="dxa"/>
            <w:right w:w="108" w:type="dxa"/>
          </w:tblCellMar>
        </w:tblPrEx>
        <w:trPr>
          <w:trHeight w:val="4722" w:hRule="atLeast"/>
          <w:jc w:val="center"/>
        </w:trPr>
        <w:tc>
          <w:tcPr>
            <w:tcW w:w="878" w:type="dxa"/>
            <w:vMerge w:val="continue"/>
            <w:tcBorders>
              <w:left w:val="single" w:color="auto" w:sz="8" w:space="0"/>
              <w:right w:val="single" w:color="auto" w:sz="8" w:space="0"/>
            </w:tcBorders>
            <w:vAlign w:val="center"/>
          </w:tcPr>
          <w:p w14:paraId="21C10989">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仿宋"/>
                <w:color w:val="auto"/>
                <w:highlight w:val="none"/>
              </w:rPr>
            </w:pPr>
          </w:p>
        </w:tc>
        <w:tc>
          <w:tcPr>
            <w:tcW w:w="1194" w:type="dxa"/>
            <w:tcBorders>
              <w:top w:val="single" w:color="auto" w:sz="4" w:space="0"/>
              <w:left w:val="single" w:color="auto" w:sz="8" w:space="0"/>
              <w:bottom w:val="single" w:color="000000" w:sz="8" w:space="0"/>
              <w:right w:val="single" w:color="auto" w:sz="8" w:space="0"/>
            </w:tcBorders>
            <w:vAlign w:val="center"/>
          </w:tcPr>
          <w:p w14:paraId="0597A364">
            <w:pPr>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olor w:val="auto"/>
                <w:szCs w:val="21"/>
                <w:highlight w:val="none"/>
              </w:rPr>
            </w:pPr>
            <w:r>
              <w:rPr>
                <w:rFonts w:hint="eastAsia" w:ascii="宋体" w:hAnsi="宋体"/>
                <w:color w:val="auto"/>
                <w:szCs w:val="21"/>
                <w:highlight w:val="none"/>
              </w:rPr>
              <w:t>重点监测细菌</w:t>
            </w:r>
          </w:p>
        </w:tc>
        <w:tc>
          <w:tcPr>
            <w:tcW w:w="7887" w:type="dxa"/>
            <w:tcBorders>
              <w:top w:val="nil"/>
              <w:left w:val="nil"/>
              <w:bottom w:val="single" w:color="auto" w:sz="8" w:space="0"/>
              <w:right w:val="single" w:color="auto" w:sz="8" w:space="0"/>
            </w:tcBorders>
            <w:vAlign w:val="center"/>
          </w:tcPr>
          <w:p w14:paraId="2563E5E8">
            <w:pPr>
              <w:pStyle w:val="85"/>
              <w:keepNext w:val="0"/>
              <w:keepLines w:val="0"/>
              <w:pageBreakBefore w:val="0"/>
              <w:widowControl/>
              <w:numPr>
                <w:ilvl w:val="0"/>
                <w:numId w:val="56"/>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对国家卫计委要求的重点监测菌的维护，重点监测菌包括：耐甲氧西林金黄色葡萄球菌（MRSA）、耐碳氢霉烯类抗菌药物铜绿假单胞菌（CR-PA）、耐碳氢霉烯类抗菌药物肠杆菌科细菌(CRE)、耐碳氢霉烯类抗菌药物鲍曼不动杆菌(CR-AB)、耐万古霉素肠球菌(VRE)、耐万古霉素金黄色葡萄球菌(VRSA)、产超广谱β-内酰胺酶疑似菌株（ESBLs）；</w:t>
            </w:r>
          </w:p>
          <w:p w14:paraId="0477C010">
            <w:pPr>
              <w:pStyle w:val="85"/>
              <w:keepNext w:val="0"/>
              <w:keepLines w:val="0"/>
              <w:pageBreakBefore w:val="0"/>
              <w:widowControl/>
              <w:numPr>
                <w:ilvl w:val="0"/>
                <w:numId w:val="56"/>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提供重点监测细菌可定制化操作界面，通过简单的点与选可完成对重点监测细菌的增加、修改、停用的操作；</w:t>
            </w:r>
          </w:p>
          <w:p w14:paraId="010FE3EF">
            <w:pPr>
              <w:pStyle w:val="85"/>
              <w:keepNext w:val="0"/>
              <w:keepLines w:val="0"/>
              <w:pageBreakBefore w:val="0"/>
              <w:widowControl/>
              <w:numPr>
                <w:ilvl w:val="0"/>
                <w:numId w:val="56"/>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重点监测细菌内容可随医院细菌监测业务的变化随之调整，如对金黄色葡萄球菌作为重点菌，则增加成功后；或增加大肠埃希菌对碳青霉烯类中亚胺培南、美罗培南、厄他培南任一耐药（CR-CEO），增加成功后，立即生效；</w:t>
            </w:r>
          </w:p>
          <w:p w14:paraId="59A7EB30">
            <w:pPr>
              <w:pStyle w:val="85"/>
              <w:keepNext w:val="0"/>
              <w:keepLines w:val="0"/>
              <w:pageBreakBefore w:val="0"/>
              <w:widowControl/>
              <w:numPr>
                <w:ilvl w:val="0"/>
                <w:numId w:val="56"/>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重点监测菌的菌对药物药敏结果可以设定耐药或耐药+中介，两种方式，设定规则独立，互不影响；</w:t>
            </w:r>
          </w:p>
        </w:tc>
      </w:tr>
      <w:tr w14:paraId="7A02D8DB">
        <w:tblPrEx>
          <w:tblCellMar>
            <w:top w:w="0" w:type="dxa"/>
            <w:left w:w="108" w:type="dxa"/>
            <w:bottom w:w="0" w:type="dxa"/>
            <w:right w:w="108" w:type="dxa"/>
          </w:tblCellMar>
        </w:tblPrEx>
        <w:trPr>
          <w:trHeight w:val="5113" w:hRule="atLeast"/>
          <w:jc w:val="center"/>
        </w:trPr>
        <w:tc>
          <w:tcPr>
            <w:tcW w:w="878" w:type="dxa"/>
            <w:vMerge w:val="continue"/>
            <w:tcBorders>
              <w:left w:val="single" w:color="auto" w:sz="8" w:space="0"/>
              <w:right w:val="single" w:color="auto" w:sz="8" w:space="0"/>
            </w:tcBorders>
            <w:vAlign w:val="center"/>
          </w:tcPr>
          <w:p w14:paraId="2190D24E">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color w:val="auto"/>
                <w:highlight w:val="none"/>
                <w:lang w:val="zh-TW" w:eastAsia="zh-TW"/>
              </w:rPr>
            </w:pPr>
          </w:p>
        </w:tc>
        <w:tc>
          <w:tcPr>
            <w:tcW w:w="1194" w:type="dxa"/>
            <w:tcBorders>
              <w:top w:val="single" w:color="auto" w:sz="4" w:space="0"/>
              <w:left w:val="single" w:color="auto" w:sz="8" w:space="0"/>
              <w:bottom w:val="single" w:color="000000" w:sz="8" w:space="0"/>
              <w:right w:val="single" w:color="auto" w:sz="8" w:space="0"/>
            </w:tcBorders>
            <w:vAlign w:val="center"/>
          </w:tcPr>
          <w:p w14:paraId="4BE0BCB9">
            <w:pPr>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olor w:val="auto"/>
                <w:szCs w:val="21"/>
                <w:highlight w:val="none"/>
              </w:rPr>
            </w:pPr>
            <w:r>
              <w:rPr>
                <w:rFonts w:hint="eastAsia" w:ascii="宋体" w:hAnsi="宋体"/>
                <w:color w:val="auto"/>
                <w:szCs w:val="21"/>
                <w:highlight w:val="none"/>
              </w:rPr>
              <w:t>临床感控工作站</w:t>
            </w:r>
          </w:p>
        </w:tc>
        <w:tc>
          <w:tcPr>
            <w:tcW w:w="7887" w:type="dxa"/>
            <w:tcBorders>
              <w:top w:val="nil"/>
              <w:left w:val="nil"/>
              <w:bottom w:val="single" w:color="auto" w:sz="8" w:space="0"/>
              <w:right w:val="single" w:color="auto" w:sz="8" w:space="0"/>
            </w:tcBorders>
            <w:vAlign w:val="center"/>
          </w:tcPr>
          <w:p w14:paraId="07B4DC81">
            <w:pPr>
              <w:pStyle w:val="85"/>
              <w:keepNext w:val="0"/>
              <w:keepLines w:val="0"/>
              <w:pageBreakBefore w:val="0"/>
              <w:widowControl/>
              <w:numPr>
                <w:ilvl w:val="0"/>
                <w:numId w:val="57"/>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支持单个用户管辖多科室时，提供临床用户进行科室切换的操作；</w:t>
            </w:r>
          </w:p>
          <w:p w14:paraId="407BE56E">
            <w:pPr>
              <w:pStyle w:val="85"/>
              <w:keepNext w:val="0"/>
              <w:keepLines w:val="0"/>
              <w:pageBreakBefore w:val="0"/>
              <w:widowControl/>
              <w:numPr>
                <w:ilvl w:val="0"/>
                <w:numId w:val="57"/>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支持打开工作站直接查看当前科室的疑似感染病例，并可对疑似并进行上报或排除操作；</w:t>
            </w:r>
          </w:p>
          <w:p w14:paraId="6C1D7903">
            <w:pPr>
              <w:pStyle w:val="85"/>
              <w:keepNext w:val="0"/>
              <w:keepLines w:val="0"/>
              <w:pageBreakBefore w:val="0"/>
              <w:widowControl/>
              <w:numPr>
                <w:ilvl w:val="0"/>
                <w:numId w:val="57"/>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支持按管床医生视角查看所管患者的疑似感染病例；</w:t>
            </w:r>
          </w:p>
          <w:p w14:paraId="41B84FF1">
            <w:pPr>
              <w:pStyle w:val="85"/>
              <w:keepNext w:val="0"/>
              <w:keepLines w:val="0"/>
              <w:pageBreakBefore w:val="0"/>
              <w:widowControl/>
              <w:numPr>
                <w:ilvl w:val="0"/>
                <w:numId w:val="57"/>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支持查看患者历史上报感染病例报卡合计数，并可穿透感染病例报卡明细内容；</w:t>
            </w:r>
          </w:p>
          <w:p w14:paraId="56DFA119">
            <w:pPr>
              <w:pStyle w:val="85"/>
              <w:keepNext w:val="0"/>
              <w:keepLines w:val="0"/>
              <w:pageBreakBefore w:val="0"/>
              <w:widowControl/>
              <w:numPr>
                <w:ilvl w:val="0"/>
                <w:numId w:val="57"/>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支持对患者主动感染病例的上报，自动获取患者基本信息，完善感染病例信息、易感因素、插管相关性、致病菌信息，对既往已报过同类感染诊断友好提示，并可穿透查看此病例；</w:t>
            </w:r>
          </w:p>
          <w:p w14:paraId="5C342009">
            <w:pPr>
              <w:pStyle w:val="85"/>
              <w:keepNext w:val="0"/>
              <w:keepLines w:val="0"/>
              <w:pageBreakBefore w:val="0"/>
              <w:widowControl/>
              <w:numPr>
                <w:ilvl w:val="0"/>
                <w:numId w:val="57"/>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支持对曾转科至本科室及从本科室出院的患者搜索，并进行病例上报；</w:t>
            </w:r>
          </w:p>
          <w:p w14:paraId="56BDDEF2">
            <w:pPr>
              <w:pStyle w:val="85"/>
              <w:keepNext w:val="0"/>
              <w:keepLines w:val="0"/>
              <w:pageBreakBefore w:val="0"/>
              <w:widowControl/>
              <w:numPr>
                <w:ilvl w:val="0"/>
                <w:numId w:val="57"/>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支持临床用户对ICU患者进行临床病情等级评定；</w:t>
            </w:r>
          </w:p>
          <w:p w14:paraId="4D1ED669">
            <w:pPr>
              <w:pStyle w:val="85"/>
              <w:keepNext w:val="0"/>
              <w:keepLines w:val="0"/>
              <w:pageBreakBefore w:val="0"/>
              <w:widowControl/>
              <w:numPr>
                <w:ilvl w:val="0"/>
                <w:numId w:val="57"/>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支持20</w:t>
            </w:r>
            <w:r>
              <w:rPr>
                <w:rFonts w:hint="eastAsia" w:ascii="宋体" w:hAnsi="宋体"/>
                <w:color w:val="auto"/>
                <w:highlight w:val="none"/>
              </w:rPr>
              <w:t>23</w:t>
            </w:r>
            <w:r>
              <w:rPr>
                <w:rFonts w:hint="eastAsia" w:ascii="宋体" w:hAnsi="宋体"/>
                <w:color w:val="auto"/>
                <w:highlight w:val="none"/>
                <w:lang w:val="zh-TW" w:eastAsia="zh-TW"/>
              </w:rPr>
              <w:t>年版医院感染横断面调查信息的录入；</w:t>
            </w:r>
          </w:p>
          <w:p w14:paraId="33145496">
            <w:pPr>
              <w:pStyle w:val="85"/>
              <w:keepNext w:val="0"/>
              <w:keepLines w:val="0"/>
              <w:pageBreakBefore w:val="0"/>
              <w:widowControl/>
              <w:numPr>
                <w:ilvl w:val="0"/>
                <w:numId w:val="57"/>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支持职业暴露在线填写暴露信息，并上报至感控科；</w:t>
            </w:r>
          </w:p>
          <w:p w14:paraId="2DFDBB2F">
            <w:pPr>
              <w:pStyle w:val="85"/>
              <w:keepNext w:val="0"/>
              <w:keepLines w:val="0"/>
              <w:pageBreakBefore w:val="0"/>
              <w:widowControl/>
              <w:numPr>
                <w:ilvl w:val="0"/>
                <w:numId w:val="57"/>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支持感控兼职人员及微生物室对环境卫生消毒药械监测内容填报，单个用户可管辖多科室。</w:t>
            </w:r>
          </w:p>
        </w:tc>
      </w:tr>
      <w:tr w14:paraId="55FDED9B">
        <w:tblPrEx>
          <w:tblCellMar>
            <w:top w:w="0" w:type="dxa"/>
            <w:left w:w="108" w:type="dxa"/>
            <w:bottom w:w="0" w:type="dxa"/>
            <w:right w:w="108" w:type="dxa"/>
          </w:tblCellMar>
        </w:tblPrEx>
        <w:trPr>
          <w:trHeight w:val="3546" w:hRule="atLeast"/>
          <w:jc w:val="center"/>
        </w:trPr>
        <w:tc>
          <w:tcPr>
            <w:tcW w:w="878" w:type="dxa"/>
            <w:vMerge w:val="continue"/>
            <w:tcBorders>
              <w:left w:val="single" w:color="auto" w:sz="8" w:space="0"/>
              <w:right w:val="single" w:color="auto" w:sz="8" w:space="0"/>
            </w:tcBorders>
            <w:vAlign w:val="center"/>
          </w:tcPr>
          <w:p w14:paraId="5A464125">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color w:val="auto"/>
                <w:highlight w:val="none"/>
                <w:lang w:val="zh-TW" w:eastAsia="zh-TW"/>
              </w:rPr>
            </w:pPr>
          </w:p>
        </w:tc>
        <w:tc>
          <w:tcPr>
            <w:tcW w:w="1194" w:type="dxa"/>
            <w:tcBorders>
              <w:top w:val="single" w:color="auto" w:sz="4" w:space="0"/>
              <w:left w:val="single" w:color="auto" w:sz="8" w:space="0"/>
              <w:bottom w:val="single" w:color="000000" w:sz="8" w:space="0"/>
              <w:right w:val="single" w:color="auto" w:sz="8" w:space="0"/>
            </w:tcBorders>
            <w:vAlign w:val="center"/>
          </w:tcPr>
          <w:p w14:paraId="543DFE62">
            <w:pPr>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olor w:val="auto"/>
                <w:szCs w:val="21"/>
                <w:highlight w:val="none"/>
              </w:rPr>
            </w:pPr>
            <w:r>
              <w:rPr>
                <w:rFonts w:hint="eastAsia" w:ascii="宋体" w:hAnsi="宋体"/>
                <w:color w:val="auto"/>
                <w:szCs w:val="21"/>
                <w:highlight w:val="none"/>
              </w:rPr>
              <w:t>嵌入式报卡</w:t>
            </w:r>
          </w:p>
        </w:tc>
        <w:tc>
          <w:tcPr>
            <w:tcW w:w="7887" w:type="dxa"/>
            <w:tcBorders>
              <w:top w:val="nil"/>
              <w:left w:val="nil"/>
              <w:bottom w:val="single" w:color="auto" w:sz="8" w:space="0"/>
              <w:right w:val="single" w:color="auto" w:sz="8" w:space="0"/>
            </w:tcBorders>
            <w:vAlign w:val="center"/>
          </w:tcPr>
          <w:p w14:paraId="6954DC8D">
            <w:pPr>
              <w:pStyle w:val="85"/>
              <w:keepNext w:val="0"/>
              <w:keepLines w:val="0"/>
              <w:pageBreakBefore w:val="0"/>
              <w:widowControl/>
              <w:numPr>
                <w:ilvl w:val="0"/>
                <w:numId w:val="58"/>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支持嵌入式调用页面链接给HIS、电子病历系统进行院感相关功能的调用，实现与HIS、电子病历系统的无缝对接；</w:t>
            </w:r>
          </w:p>
          <w:p w14:paraId="779DFD16">
            <w:pPr>
              <w:pStyle w:val="85"/>
              <w:keepNext w:val="0"/>
              <w:keepLines w:val="0"/>
              <w:pageBreakBefore w:val="0"/>
              <w:widowControl/>
              <w:numPr>
                <w:ilvl w:val="0"/>
                <w:numId w:val="58"/>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支持多种开发语言的程序调用，如DELPHI、PB、C#、JAVA、PHP常用开发语言的实例，调用简单；</w:t>
            </w:r>
          </w:p>
          <w:p w14:paraId="03033C77">
            <w:pPr>
              <w:pStyle w:val="85"/>
              <w:keepNext w:val="0"/>
              <w:keepLines w:val="0"/>
              <w:pageBreakBefore w:val="0"/>
              <w:widowControl/>
              <w:numPr>
                <w:ilvl w:val="0"/>
                <w:numId w:val="58"/>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支持报卡完全B/S（浏览器）模式，更加方便、快捷、灵活；</w:t>
            </w:r>
          </w:p>
          <w:p w14:paraId="2E33644B">
            <w:pPr>
              <w:pStyle w:val="85"/>
              <w:keepNext w:val="0"/>
              <w:keepLines w:val="0"/>
              <w:pageBreakBefore w:val="0"/>
              <w:widowControl/>
              <w:numPr>
                <w:ilvl w:val="0"/>
                <w:numId w:val="58"/>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支持感染病例报卡、现患率横断面登记表、职业暴露登记的可调用；</w:t>
            </w:r>
          </w:p>
          <w:p w14:paraId="049B5A88">
            <w:pPr>
              <w:pStyle w:val="85"/>
              <w:keepNext w:val="0"/>
              <w:keepLines w:val="0"/>
              <w:pageBreakBefore w:val="0"/>
              <w:widowControl/>
              <w:numPr>
                <w:ilvl w:val="0"/>
                <w:numId w:val="58"/>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支持医生仅需用鼠标点选各项内容（如感染诊断、切口等级、易感因素等），操作方便快捷；</w:t>
            </w:r>
          </w:p>
          <w:p w14:paraId="56ECD03F">
            <w:pPr>
              <w:pStyle w:val="85"/>
              <w:keepNext w:val="0"/>
              <w:keepLines w:val="0"/>
              <w:pageBreakBefore w:val="0"/>
              <w:widowControl/>
              <w:numPr>
                <w:ilvl w:val="0"/>
                <w:numId w:val="58"/>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支持自动提示院感科报告情况。</w:t>
            </w:r>
          </w:p>
        </w:tc>
      </w:tr>
      <w:tr w14:paraId="48B0BD49">
        <w:tblPrEx>
          <w:tblCellMar>
            <w:top w:w="0" w:type="dxa"/>
            <w:left w:w="108" w:type="dxa"/>
            <w:bottom w:w="0" w:type="dxa"/>
            <w:right w:w="108" w:type="dxa"/>
          </w:tblCellMar>
        </w:tblPrEx>
        <w:trPr>
          <w:trHeight w:val="1651" w:hRule="atLeast"/>
          <w:jc w:val="center"/>
        </w:trPr>
        <w:tc>
          <w:tcPr>
            <w:tcW w:w="878" w:type="dxa"/>
            <w:vMerge w:val="continue"/>
            <w:tcBorders>
              <w:left w:val="single" w:color="auto" w:sz="8" w:space="0"/>
              <w:right w:val="single" w:color="auto" w:sz="8" w:space="0"/>
            </w:tcBorders>
            <w:vAlign w:val="center"/>
          </w:tcPr>
          <w:p w14:paraId="099142A8">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color w:val="auto"/>
                <w:highlight w:val="none"/>
                <w:lang w:val="zh-TW" w:eastAsia="zh-TW"/>
              </w:rPr>
            </w:pPr>
          </w:p>
        </w:tc>
        <w:tc>
          <w:tcPr>
            <w:tcW w:w="1194" w:type="dxa"/>
            <w:tcBorders>
              <w:top w:val="single" w:color="auto" w:sz="4" w:space="0"/>
              <w:left w:val="single" w:color="auto" w:sz="8" w:space="0"/>
              <w:bottom w:val="single" w:color="000000" w:sz="8" w:space="0"/>
              <w:right w:val="single" w:color="auto" w:sz="8" w:space="0"/>
            </w:tcBorders>
            <w:vAlign w:val="center"/>
          </w:tcPr>
          <w:p w14:paraId="24B6D75D">
            <w:pPr>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olor w:val="auto"/>
                <w:szCs w:val="21"/>
                <w:highlight w:val="none"/>
              </w:rPr>
            </w:pPr>
            <w:r>
              <w:rPr>
                <w:rFonts w:hint="eastAsia" w:ascii="宋体" w:hAnsi="宋体"/>
                <w:color w:val="auto"/>
                <w:szCs w:val="21"/>
                <w:highlight w:val="none"/>
              </w:rPr>
              <w:t>资料分享</w:t>
            </w:r>
          </w:p>
        </w:tc>
        <w:tc>
          <w:tcPr>
            <w:tcW w:w="7887" w:type="dxa"/>
            <w:tcBorders>
              <w:top w:val="nil"/>
              <w:left w:val="nil"/>
              <w:bottom w:val="single" w:color="auto" w:sz="8" w:space="0"/>
              <w:right w:val="single" w:color="auto" w:sz="8" w:space="0"/>
            </w:tcBorders>
            <w:vAlign w:val="center"/>
          </w:tcPr>
          <w:p w14:paraId="1570C455">
            <w:pPr>
              <w:pStyle w:val="85"/>
              <w:keepNext w:val="0"/>
              <w:keepLines w:val="0"/>
              <w:pageBreakBefore w:val="0"/>
              <w:widowControl/>
              <w:numPr>
                <w:ilvl w:val="0"/>
                <w:numId w:val="59"/>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支持感控专职人员对本院感控相关资料分类进行新建、停用；</w:t>
            </w:r>
          </w:p>
          <w:p w14:paraId="2228B78A">
            <w:pPr>
              <w:pStyle w:val="85"/>
              <w:keepNext w:val="0"/>
              <w:keepLines w:val="0"/>
              <w:pageBreakBefore w:val="0"/>
              <w:widowControl/>
              <w:numPr>
                <w:ilvl w:val="0"/>
                <w:numId w:val="59"/>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支持对资料进行上传，归类操作，以便临床人员的下载学习；</w:t>
            </w:r>
          </w:p>
          <w:p w14:paraId="0F15E7A0">
            <w:pPr>
              <w:pStyle w:val="85"/>
              <w:keepNext w:val="0"/>
              <w:keepLines w:val="0"/>
              <w:pageBreakBefore w:val="0"/>
              <w:widowControl/>
              <w:numPr>
                <w:ilvl w:val="0"/>
                <w:numId w:val="59"/>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院内网用户均可登录后下载本院内的感控相关资讯；</w:t>
            </w:r>
          </w:p>
          <w:p w14:paraId="5663AB55">
            <w:pPr>
              <w:pStyle w:val="85"/>
              <w:keepNext w:val="0"/>
              <w:keepLines w:val="0"/>
              <w:pageBreakBefore w:val="0"/>
              <w:widowControl/>
              <w:numPr>
                <w:ilvl w:val="0"/>
                <w:numId w:val="59"/>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lang w:val="zh-TW" w:eastAsia="zh-TW"/>
              </w:rPr>
            </w:pPr>
            <w:r>
              <w:rPr>
                <w:rFonts w:hint="eastAsia" w:ascii="宋体" w:hAnsi="宋体"/>
                <w:color w:val="auto"/>
                <w:highlight w:val="none"/>
                <w:lang w:val="zh-TW" w:eastAsia="zh-TW"/>
              </w:rPr>
              <w:t>支持多种格式文件的上传（包括但不止ppt、word、excel、pdf）</w:t>
            </w:r>
          </w:p>
        </w:tc>
      </w:tr>
      <w:tr w14:paraId="39CFB5E6">
        <w:tblPrEx>
          <w:tblCellMar>
            <w:top w:w="0" w:type="dxa"/>
            <w:left w:w="108" w:type="dxa"/>
            <w:bottom w:w="0" w:type="dxa"/>
            <w:right w:w="108" w:type="dxa"/>
          </w:tblCellMar>
        </w:tblPrEx>
        <w:trPr>
          <w:trHeight w:val="2054" w:hRule="atLeast"/>
          <w:jc w:val="center"/>
        </w:trPr>
        <w:tc>
          <w:tcPr>
            <w:tcW w:w="878" w:type="dxa"/>
            <w:vMerge w:val="continue"/>
            <w:tcBorders>
              <w:left w:val="single" w:color="auto" w:sz="8" w:space="0"/>
              <w:right w:val="single" w:color="auto" w:sz="8" w:space="0"/>
            </w:tcBorders>
            <w:vAlign w:val="center"/>
          </w:tcPr>
          <w:p w14:paraId="3F5A7874">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color w:val="auto"/>
                <w:highlight w:val="none"/>
              </w:rPr>
            </w:pPr>
          </w:p>
        </w:tc>
        <w:tc>
          <w:tcPr>
            <w:tcW w:w="1194" w:type="dxa"/>
            <w:tcBorders>
              <w:top w:val="single" w:color="auto" w:sz="4" w:space="0"/>
              <w:left w:val="single" w:color="auto" w:sz="8" w:space="0"/>
              <w:bottom w:val="single" w:color="000000" w:sz="8" w:space="0"/>
              <w:right w:val="single" w:color="auto" w:sz="8" w:space="0"/>
            </w:tcBorders>
            <w:vAlign w:val="center"/>
          </w:tcPr>
          <w:p w14:paraId="0CCBD94E">
            <w:pPr>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olor w:val="auto"/>
                <w:szCs w:val="21"/>
                <w:highlight w:val="none"/>
              </w:rPr>
            </w:pPr>
            <w:r>
              <w:rPr>
                <w:rFonts w:hint="eastAsia" w:ascii="宋体" w:hAnsi="宋体"/>
                <w:color w:val="auto"/>
                <w:szCs w:val="21"/>
                <w:highlight w:val="none"/>
              </w:rPr>
              <w:t>院感预警配置</w:t>
            </w:r>
          </w:p>
        </w:tc>
        <w:tc>
          <w:tcPr>
            <w:tcW w:w="7887" w:type="dxa"/>
            <w:tcBorders>
              <w:top w:val="nil"/>
              <w:left w:val="nil"/>
              <w:bottom w:val="single" w:color="auto" w:sz="8" w:space="0"/>
              <w:right w:val="single" w:color="auto" w:sz="8" w:space="0"/>
            </w:tcBorders>
            <w:vAlign w:val="center"/>
          </w:tcPr>
          <w:p w14:paraId="035C2CAD">
            <w:pPr>
              <w:pStyle w:val="85"/>
              <w:keepNext w:val="0"/>
              <w:keepLines w:val="0"/>
              <w:pageBreakBefore w:val="0"/>
              <w:widowControl/>
              <w:numPr>
                <w:ilvl w:val="0"/>
                <w:numId w:val="60"/>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rPr>
            </w:pPr>
            <w:r>
              <w:rPr>
                <w:rFonts w:hint="eastAsia" w:ascii="宋体" w:hAnsi="宋体"/>
                <w:color w:val="auto"/>
                <w:highlight w:val="none"/>
              </w:rPr>
              <w:t>针对每种医院感染的疾病，可根据用户个性化需求，灵活配置预警方案。包括预警关键词的增删改，关键词的同义词、权重值、预警规则等</w:t>
            </w:r>
          </w:p>
          <w:p w14:paraId="022AAA30">
            <w:pPr>
              <w:pStyle w:val="85"/>
              <w:keepNext w:val="0"/>
              <w:keepLines w:val="0"/>
              <w:pageBreakBefore w:val="0"/>
              <w:widowControl/>
              <w:numPr>
                <w:ilvl w:val="0"/>
                <w:numId w:val="60"/>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rPr>
            </w:pPr>
            <w:r>
              <w:rPr>
                <w:rFonts w:hint="eastAsia" w:ascii="宋体" w:hAnsi="宋体"/>
                <w:color w:val="auto"/>
                <w:highlight w:val="none"/>
              </w:rPr>
              <w:t>预警方案配置：不同类型医院的特征（如：精神专科医院、中医医院、口腔医院等）可配置不同的预警方案，针对预警五大依据来源：病例影响记录、检查信息、细菌培养、抗菌药物、特异性指标，分配不同的权重百分比配置预警方案</w:t>
            </w:r>
          </w:p>
        </w:tc>
      </w:tr>
      <w:tr w14:paraId="231E1EC1">
        <w:tblPrEx>
          <w:tblCellMar>
            <w:top w:w="0" w:type="dxa"/>
            <w:left w:w="108" w:type="dxa"/>
            <w:bottom w:w="0" w:type="dxa"/>
            <w:right w:w="108" w:type="dxa"/>
          </w:tblCellMar>
        </w:tblPrEx>
        <w:trPr>
          <w:trHeight w:val="1998" w:hRule="atLeast"/>
          <w:jc w:val="center"/>
        </w:trPr>
        <w:tc>
          <w:tcPr>
            <w:tcW w:w="878" w:type="dxa"/>
            <w:vMerge w:val="continue"/>
            <w:tcBorders>
              <w:left w:val="single" w:color="auto" w:sz="8" w:space="0"/>
              <w:right w:val="single" w:color="auto" w:sz="8" w:space="0"/>
            </w:tcBorders>
            <w:vAlign w:val="center"/>
          </w:tcPr>
          <w:p w14:paraId="708216D0">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color w:val="auto"/>
                <w:highlight w:val="none"/>
              </w:rPr>
            </w:pPr>
          </w:p>
        </w:tc>
        <w:tc>
          <w:tcPr>
            <w:tcW w:w="1194" w:type="dxa"/>
            <w:tcBorders>
              <w:top w:val="single" w:color="auto" w:sz="4" w:space="0"/>
              <w:left w:val="single" w:color="auto" w:sz="8" w:space="0"/>
              <w:bottom w:val="single" w:color="auto" w:sz="4" w:space="0"/>
              <w:right w:val="single" w:color="auto" w:sz="8" w:space="0"/>
            </w:tcBorders>
            <w:vAlign w:val="center"/>
          </w:tcPr>
          <w:p w14:paraId="49B22DBC">
            <w:pPr>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olor w:val="auto"/>
                <w:szCs w:val="21"/>
                <w:highlight w:val="none"/>
              </w:rPr>
            </w:pPr>
            <w:r>
              <w:rPr>
                <w:rFonts w:hint="eastAsia" w:ascii="宋体" w:hAnsi="宋体"/>
                <w:color w:val="auto"/>
                <w:szCs w:val="21"/>
                <w:highlight w:val="none"/>
              </w:rPr>
              <w:t>知识库(考试系统)</w:t>
            </w:r>
          </w:p>
        </w:tc>
        <w:tc>
          <w:tcPr>
            <w:tcW w:w="7887" w:type="dxa"/>
            <w:tcBorders>
              <w:top w:val="nil"/>
              <w:left w:val="nil"/>
              <w:bottom w:val="nil"/>
              <w:right w:val="single" w:color="auto" w:sz="8" w:space="0"/>
            </w:tcBorders>
            <w:vAlign w:val="center"/>
          </w:tcPr>
          <w:p w14:paraId="53916F05">
            <w:pPr>
              <w:pStyle w:val="85"/>
              <w:keepNext w:val="0"/>
              <w:keepLines w:val="0"/>
              <w:pageBreakBefore w:val="0"/>
              <w:widowControl/>
              <w:numPr>
                <w:ilvl w:val="0"/>
                <w:numId w:val="61"/>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rPr>
            </w:pPr>
            <w:r>
              <w:rPr>
                <w:rFonts w:hint="eastAsia" w:ascii="宋体" w:hAnsi="宋体"/>
                <w:color w:val="auto"/>
                <w:highlight w:val="none"/>
              </w:rPr>
              <w:t>提供在线考试平台管理模块；</w:t>
            </w:r>
          </w:p>
          <w:p w14:paraId="0D5CF7F9">
            <w:pPr>
              <w:pStyle w:val="85"/>
              <w:keepNext w:val="0"/>
              <w:keepLines w:val="0"/>
              <w:pageBreakBefore w:val="0"/>
              <w:widowControl/>
              <w:numPr>
                <w:ilvl w:val="0"/>
                <w:numId w:val="61"/>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rPr>
            </w:pPr>
            <w:r>
              <w:rPr>
                <w:rFonts w:hint="eastAsia" w:ascii="宋体" w:hAnsi="宋体"/>
                <w:color w:val="auto"/>
                <w:highlight w:val="none"/>
              </w:rPr>
              <w:t>多种文件格式学习材料提供上传和下载管理；</w:t>
            </w:r>
          </w:p>
          <w:p w14:paraId="42A1C72D">
            <w:pPr>
              <w:pStyle w:val="85"/>
              <w:keepNext w:val="0"/>
              <w:keepLines w:val="0"/>
              <w:pageBreakBefore w:val="0"/>
              <w:widowControl/>
              <w:numPr>
                <w:ilvl w:val="0"/>
                <w:numId w:val="61"/>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rPr>
            </w:pPr>
            <w:r>
              <w:rPr>
                <w:rFonts w:hint="eastAsia" w:ascii="宋体" w:hAnsi="宋体"/>
                <w:color w:val="auto"/>
                <w:highlight w:val="none"/>
              </w:rPr>
              <w:t>内置医院感染考试题库数达5400+，每个题目设有知识标签分类，包括行业标准、感染性疾病诊断、职业防护、医疗废物、手卫生、消毒灭菌、医院感染与暴发、织物清洗等；</w:t>
            </w:r>
          </w:p>
          <w:p w14:paraId="5362DA45">
            <w:pPr>
              <w:pStyle w:val="85"/>
              <w:keepNext w:val="0"/>
              <w:keepLines w:val="0"/>
              <w:pageBreakBefore w:val="0"/>
              <w:widowControl/>
              <w:numPr>
                <w:ilvl w:val="0"/>
                <w:numId w:val="61"/>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rPr>
            </w:pPr>
            <w:r>
              <w:rPr>
                <w:rFonts w:hint="eastAsia" w:ascii="宋体" w:hAnsi="宋体"/>
                <w:color w:val="auto"/>
                <w:highlight w:val="none"/>
              </w:rPr>
              <w:t>支持考试题库新增、编辑、删除、统计功能；</w:t>
            </w:r>
          </w:p>
          <w:p w14:paraId="125C6981">
            <w:pPr>
              <w:pStyle w:val="85"/>
              <w:keepNext w:val="0"/>
              <w:keepLines w:val="0"/>
              <w:pageBreakBefore w:val="0"/>
              <w:widowControl/>
              <w:numPr>
                <w:ilvl w:val="0"/>
                <w:numId w:val="61"/>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rPr>
            </w:pPr>
            <w:r>
              <w:rPr>
                <w:rFonts w:hint="eastAsia" w:ascii="宋体" w:hAnsi="宋体"/>
                <w:color w:val="auto"/>
                <w:highlight w:val="none"/>
              </w:rPr>
              <w:t>支持视频学习，可在线发布与查看视频，系统记录学员的有效学习时间，并对学员的学习效果进行评估。支持学习后，学员进行对应的考试测评，测评后记录保存学员的测评时间及分数；</w:t>
            </w:r>
          </w:p>
          <w:p w14:paraId="7E482492">
            <w:pPr>
              <w:pStyle w:val="85"/>
              <w:keepNext w:val="0"/>
              <w:keepLines w:val="0"/>
              <w:pageBreakBefore w:val="0"/>
              <w:widowControl/>
              <w:numPr>
                <w:ilvl w:val="0"/>
                <w:numId w:val="61"/>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rPr>
            </w:pPr>
            <w:r>
              <w:rPr>
                <w:rFonts w:hint="eastAsia" w:ascii="宋体" w:hAnsi="宋体"/>
                <w:color w:val="auto"/>
                <w:highlight w:val="none"/>
              </w:rPr>
              <w:t>批量导入题库及题目功能；</w:t>
            </w:r>
          </w:p>
          <w:p w14:paraId="30AFE369">
            <w:pPr>
              <w:pStyle w:val="85"/>
              <w:keepNext w:val="0"/>
              <w:keepLines w:val="0"/>
              <w:pageBreakBefore w:val="0"/>
              <w:widowControl/>
              <w:numPr>
                <w:ilvl w:val="0"/>
                <w:numId w:val="61"/>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rPr>
            </w:pPr>
            <w:r>
              <w:rPr>
                <w:rFonts w:hint="eastAsia" w:ascii="宋体" w:hAnsi="宋体"/>
                <w:color w:val="auto"/>
                <w:highlight w:val="none"/>
              </w:rPr>
              <w:t>对题目进行编辑、删除、新增功能；</w:t>
            </w:r>
          </w:p>
          <w:p w14:paraId="66B3FC0C">
            <w:pPr>
              <w:pStyle w:val="85"/>
              <w:keepNext w:val="0"/>
              <w:keepLines w:val="0"/>
              <w:pageBreakBefore w:val="0"/>
              <w:widowControl/>
              <w:numPr>
                <w:ilvl w:val="0"/>
                <w:numId w:val="61"/>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rPr>
            </w:pPr>
            <w:r>
              <w:rPr>
                <w:rFonts w:hint="eastAsia" w:ascii="宋体" w:hAnsi="宋体"/>
                <w:color w:val="auto"/>
                <w:highlight w:val="none"/>
              </w:rPr>
              <w:t>试卷新增 、删除、编辑、导出、统计分析功能；</w:t>
            </w:r>
          </w:p>
          <w:p w14:paraId="21D94E73">
            <w:pPr>
              <w:pStyle w:val="85"/>
              <w:keepNext w:val="0"/>
              <w:keepLines w:val="0"/>
              <w:pageBreakBefore w:val="0"/>
              <w:widowControl/>
              <w:numPr>
                <w:ilvl w:val="0"/>
                <w:numId w:val="61"/>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rPr>
            </w:pPr>
            <w:r>
              <w:rPr>
                <w:rFonts w:hint="eastAsia" w:ascii="宋体" w:hAnsi="宋体"/>
                <w:color w:val="auto"/>
                <w:highlight w:val="none"/>
              </w:rPr>
              <w:t>系统自动随机试卷功能；</w:t>
            </w:r>
          </w:p>
          <w:p w14:paraId="28A34F72">
            <w:pPr>
              <w:pStyle w:val="85"/>
              <w:keepNext w:val="0"/>
              <w:keepLines w:val="0"/>
              <w:pageBreakBefore w:val="0"/>
              <w:widowControl/>
              <w:numPr>
                <w:ilvl w:val="0"/>
                <w:numId w:val="61"/>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rPr>
            </w:pPr>
            <w:r>
              <w:rPr>
                <w:rFonts w:hint="eastAsia" w:ascii="宋体" w:hAnsi="宋体"/>
                <w:color w:val="auto"/>
                <w:highlight w:val="none"/>
              </w:rPr>
              <w:t>可以创建固定试卷功能；</w:t>
            </w:r>
          </w:p>
          <w:p w14:paraId="1C2B8EB3">
            <w:pPr>
              <w:pStyle w:val="85"/>
              <w:keepNext w:val="0"/>
              <w:keepLines w:val="0"/>
              <w:pageBreakBefore w:val="0"/>
              <w:widowControl/>
              <w:numPr>
                <w:ilvl w:val="0"/>
                <w:numId w:val="61"/>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rPr>
            </w:pPr>
            <w:r>
              <w:rPr>
                <w:rFonts w:hint="eastAsia" w:ascii="宋体" w:hAnsi="宋体"/>
                <w:color w:val="auto"/>
                <w:highlight w:val="none"/>
              </w:rPr>
              <w:t>对单选、多选、判断等多种题型自动算分、自动解析功能；</w:t>
            </w:r>
          </w:p>
          <w:p w14:paraId="4E0E2B0A">
            <w:pPr>
              <w:pStyle w:val="85"/>
              <w:keepNext w:val="0"/>
              <w:keepLines w:val="0"/>
              <w:pageBreakBefore w:val="0"/>
              <w:widowControl/>
              <w:numPr>
                <w:ilvl w:val="0"/>
                <w:numId w:val="61"/>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rPr>
            </w:pPr>
            <w:r>
              <w:rPr>
                <w:rFonts w:hint="eastAsia" w:ascii="宋体" w:hAnsi="宋体"/>
                <w:color w:val="auto"/>
                <w:highlight w:val="none"/>
              </w:rPr>
              <w:t>对试题正确率详细分析；</w:t>
            </w:r>
          </w:p>
          <w:p w14:paraId="1095F973">
            <w:pPr>
              <w:pStyle w:val="85"/>
              <w:keepNext w:val="0"/>
              <w:keepLines w:val="0"/>
              <w:pageBreakBefore w:val="0"/>
              <w:widowControl/>
              <w:numPr>
                <w:ilvl w:val="0"/>
                <w:numId w:val="61"/>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rPr>
            </w:pPr>
            <w:r>
              <w:rPr>
                <w:rFonts w:hint="eastAsia" w:ascii="宋体" w:hAnsi="宋体"/>
                <w:color w:val="auto"/>
                <w:highlight w:val="none"/>
              </w:rPr>
              <w:t>对分数统计，包括最高分、最低分、低分人数、低分率、 平均分、及格人数、及格率、优分人数、优分率及参加人数、缺考人数等；</w:t>
            </w:r>
          </w:p>
          <w:p w14:paraId="648F69F2">
            <w:pPr>
              <w:pStyle w:val="85"/>
              <w:keepNext w:val="0"/>
              <w:keepLines w:val="0"/>
              <w:pageBreakBefore w:val="0"/>
              <w:widowControl/>
              <w:numPr>
                <w:ilvl w:val="0"/>
                <w:numId w:val="61"/>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rPr>
            </w:pPr>
            <w:r>
              <w:rPr>
                <w:rFonts w:hint="eastAsia" w:ascii="宋体" w:hAnsi="宋体"/>
                <w:color w:val="auto"/>
                <w:highlight w:val="none"/>
              </w:rPr>
              <w:t>可以按科室统计不同分数区间得分人数；</w:t>
            </w:r>
          </w:p>
          <w:p w14:paraId="6CE05974">
            <w:pPr>
              <w:pStyle w:val="85"/>
              <w:keepNext w:val="0"/>
              <w:keepLines w:val="0"/>
              <w:pageBreakBefore w:val="0"/>
              <w:widowControl/>
              <w:numPr>
                <w:ilvl w:val="0"/>
                <w:numId w:val="61"/>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rPr>
            </w:pPr>
            <w:r>
              <w:rPr>
                <w:rFonts w:hint="eastAsia" w:ascii="宋体" w:hAnsi="宋体"/>
                <w:color w:val="auto"/>
                <w:highlight w:val="none"/>
              </w:rPr>
              <w:t>用户自主选择在线考试时间，考试时自动时间提示；</w:t>
            </w:r>
          </w:p>
          <w:p w14:paraId="75D4B099">
            <w:pPr>
              <w:pStyle w:val="85"/>
              <w:keepNext w:val="0"/>
              <w:keepLines w:val="0"/>
              <w:pageBreakBefore w:val="0"/>
              <w:widowControl/>
              <w:numPr>
                <w:ilvl w:val="0"/>
                <w:numId w:val="61"/>
              </w:numPr>
              <w:kinsoku/>
              <w:wordWrap/>
              <w:overflowPunct/>
              <w:topLinePunct w:val="0"/>
              <w:autoSpaceDE/>
              <w:autoSpaceDN/>
              <w:bidi w:val="0"/>
              <w:adjustRightInd w:val="0"/>
              <w:snapToGrid w:val="0"/>
              <w:spacing w:line="360" w:lineRule="auto"/>
              <w:ind w:firstLineChars="0"/>
              <w:jc w:val="left"/>
              <w:textAlignment w:val="auto"/>
              <w:rPr>
                <w:rFonts w:ascii="宋体" w:hAnsi="宋体"/>
                <w:color w:val="auto"/>
                <w:highlight w:val="none"/>
              </w:rPr>
            </w:pPr>
            <w:r>
              <w:rPr>
                <w:rFonts w:hint="eastAsia" w:ascii="宋体" w:hAnsi="宋体"/>
                <w:color w:val="auto"/>
                <w:highlight w:val="none"/>
              </w:rPr>
              <w:t>试卷对不同用户、用户组配置功能；</w:t>
            </w:r>
          </w:p>
          <w:p w14:paraId="7B87C85A">
            <w:pPr>
              <w:pStyle w:val="85"/>
              <w:keepNext w:val="0"/>
              <w:keepLines w:val="0"/>
              <w:pageBreakBefore w:val="0"/>
              <w:widowControl/>
              <w:numPr>
                <w:ilvl w:val="0"/>
                <w:numId w:val="61"/>
              </w:numPr>
              <w:kinsoku/>
              <w:wordWrap/>
              <w:overflowPunct/>
              <w:topLinePunct w:val="0"/>
              <w:autoSpaceDE/>
              <w:autoSpaceDN/>
              <w:bidi w:val="0"/>
              <w:adjustRightInd w:val="0"/>
              <w:snapToGrid w:val="0"/>
              <w:spacing w:line="360" w:lineRule="auto"/>
              <w:ind w:firstLineChars="0"/>
              <w:jc w:val="left"/>
              <w:textAlignment w:val="auto"/>
              <w:rPr>
                <w:color w:val="auto"/>
                <w:highlight w:val="none"/>
              </w:rPr>
            </w:pPr>
            <w:r>
              <w:rPr>
                <w:rFonts w:hint="eastAsia" w:ascii="宋体" w:hAnsi="宋体"/>
                <w:color w:val="auto"/>
                <w:highlight w:val="none"/>
              </w:rPr>
              <w:t>提供在线专题练习、自动评分、自动解析功能；</w:t>
            </w:r>
          </w:p>
        </w:tc>
      </w:tr>
      <w:tr w14:paraId="06DFE472">
        <w:tblPrEx>
          <w:tblCellMar>
            <w:top w:w="0" w:type="dxa"/>
            <w:left w:w="108" w:type="dxa"/>
            <w:bottom w:w="0" w:type="dxa"/>
            <w:right w:w="108" w:type="dxa"/>
          </w:tblCellMar>
        </w:tblPrEx>
        <w:trPr>
          <w:trHeight w:val="1998" w:hRule="atLeast"/>
          <w:jc w:val="center"/>
        </w:trPr>
        <w:tc>
          <w:tcPr>
            <w:tcW w:w="878" w:type="dxa"/>
            <w:tcBorders>
              <w:left w:val="single" w:color="auto" w:sz="8" w:space="0"/>
              <w:right w:val="single" w:color="auto" w:sz="8" w:space="0"/>
            </w:tcBorders>
            <w:vAlign w:val="center"/>
          </w:tcPr>
          <w:p w14:paraId="25F621E6">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color w:val="auto"/>
                <w:highlight w:val="none"/>
              </w:rPr>
            </w:pPr>
          </w:p>
        </w:tc>
        <w:tc>
          <w:tcPr>
            <w:tcW w:w="1194" w:type="dxa"/>
            <w:tcBorders>
              <w:top w:val="single" w:color="auto" w:sz="4" w:space="0"/>
              <w:left w:val="single" w:color="auto" w:sz="8" w:space="0"/>
              <w:bottom w:val="single" w:color="auto" w:sz="4" w:space="0"/>
              <w:right w:val="single" w:color="auto" w:sz="8" w:space="0"/>
            </w:tcBorders>
            <w:shd w:val="clear" w:color="auto" w:fill="auto"/>
            <w:vAlign w:val="center"/>
          </w:tcPr>
          <w:p w14:paraId="6E726BF2">
            <w:pPr>
              <w:keepNext w:val="0"/>
              <w:keepLines w:val="0"/>
              <w:pageBreakBefore w:val="0"/>
              <w:numPr>
                <w:ilvl w:val="-1"/>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left"/>
              <w:textAlignment w:val="auto"/>
              <w:rPr>
                <w:rFonts w:hint="eastAsia" w:ascii="宋体" w:hAnsi="宋体" w:eastAsia="宋体" w:cs="Times New Roman"/>
                <w:color w:val="auto"/>
                <w:kern w:val="2"/>
                <w:sz w:val="21"/>
                <w:szCs w:val="21"/>
                <w:highlight w:val="none"/>
                <w:lang w:val="en-US" w:eastAsia="zh-CN" w:bidi="ar-SA"/>
              </w:rPr>
            </w:pPr>
            <w:r>
              <w:rPr>
                <w:rStyle w:val="277"/>
                <w:rFonts w:hint="eastAsia" w:ascii="宋体" w:hAnsi="宋体" w:cs="宋体"/>
                <w:i w:val="0"/>
                <w:iCs w:val="0"/>
                <w:sz w:val="21"/>
                <w:szCs w:val="21"/>
                <w:lang w:val="en-US" w:eastAsia="zh-CN" w:bidi="ar"/>
              </w:rPr>
              <w:t>信息化现患率调查模块</w:t>
            </w:r>
          </w:p>
        </w:tc>
        <w:tc>
          <w:tcPr>
            <w:tcW w:w="7887" w:type="dxa"/>
            <w:tcBorders>
              <w:top w:val="nil"/>
              <w:left w:val="nil"/>
              <w:bottom w:val="nil"/>
              <w:right w:val="single" w:color="auto" w:sz="8" w:space="0"/>
            </w:tcBorders>
            <w:shd w:val="clear" w:color="auto" w:fill="auto"/>
            <w:vAlign w:val="center"/>
          </w:tcPr>
          <w:p w14:paraId="763E01C2">
            <w:pPr>
              <w:keepNext w:val="0"/>
              <w:keepLines w:val="0"/>
              <w:widowControl w:val="0"/>
              <w:numPr>
                <w:ilvl w:val="0"/>
                <w:numId w:val="62"/>
              </w:numPr>
              <w:suppressLineNumbers w:val="0"/>
              <w:spacing w:before="0" w:beforeAutospacing="0" w:after="0" w:afterAutospacing="0"/>
              <w:ind w:left="425" w:leftChars="0" w:right="0" w:hanging="425" w:firstLineChars="0"/>
              <w:jc w:val="both"/>
              <w:rPr>
                <w:rFonts w:hint="default" w:ascii="宋体" w:hAnsi="宋体" w:eastAsia="宋体" w:cs="Times New Roman"/>
                <w:b w:val="0"/>
                <w:bCs w:val="0"/>
                <w:color w:val="auto"/>
                <w:kern w:val="2"/>
                <w:sz w:val="21"/>
                <w:szCs w:val="22"/>
                <w:highlight w:val="none"/>
              </w:rPr>
            </w:pPr>
            <w:r>
              <w:rPr>
                <w:rFonts w:hint="eastAsia" w:ascii="宋体" w:hAnsi="宋体" w:eastAsia="宋体" w:cs="Times New Roman"/>
                <w:b w:val="0"/>
                <w:bCs w:val="0"/>
                <w:color w:val="auto"/>
                <w:spacing w:val="0"/>
                <w:kern w:val="2"/>
                <w:sz w:val="21"/>
                <w:szCs w:val="22"/>
                <w:highlight w:val="none"/>
                <w:lang w:val="en-US" w:eastAsia="zh-CN" w:bidi="ar-SA"/>
              </w:rPr>
              <w:t>系统提供</w:t>
            </w:r>
            <w:r>
              <w:rPr>
                <w:rFonts w:hint="eastAsia" w:ascii="宋体" w:hAnsi="宋体" w:eastAsia="宋体" w:cs="Times New Roman"/>
                <w:b w:val="0"/>
                <w:bCs w:val="0"/>
                <w:color w:val="auto"/>
                <w:kern w:val="2"/>
                <w:sz w:val="21"/>
                <w:szCs w:val="22"/>
                <w:highlight w:val="none"/>
                <w:lang w:val="en-US" w:eastAsia="zh-CN" w:bidi="ar-SA"/>
              </w:rPr>
              <w:t>现患调查工作的功能。</w:t>
            </w:r>
          </w:p>
          <w:p w14:paraId="5E6D3BBB">
            <w:pPr>
              <w:keepNext w:val="0"/>
              <w:keepLines w:val="0"/>
              <w:widowControl w:val="0"/>
              <w:numPr>
                <w:ilvl w:val="0"/>
                <w:numId w:val="63"/>
              </w:numPr>
              <w:suppressLineNumbers w:val="0"/>
              <w:spacing w:before="0" w:beforeAutospacing="0" w:after="0" w:afterAutospacing="0" w:line="360" w:lineRule="auto"/>
              <w:ind w:left="425" w:right="0" w:hanging="425"/>
              <w:jc w:val="both"/>
              <w:rPr>
                <w:rFonts w:hint="default" w:ascii="宋体" w:hAnsi="宋体" w:eastAsia="宋体" w:cs="Times New Roman"/>
                <w:color w:val="auto"/>
                <w:kern w:val="2"/>
                <w:sz w:val="21"/>
                <w:szCs w:val="22"/>
                <w:highlight w:val="none"/>
              </w:rPr>
            </w:pPr>
            <w:r>
              <w:rPr>
                <w:rFonts w:hint="eastAsia" w:ascii="宋体" w:hAnsi="宋体" w:eastAsia="宋体" w:cs="Times New Roman"/>
                <w:color w:val="auto"/>
                <w:kern w:val="2"/>
                <w:sz w:val="21"/>
                <w:szCs w:val="22"/>
                <w:highlight w:val="none"/>
                <w:lang w:val="en-US" w:eastAsia="zh-CN" w:bidi="ar-SA"/>
              </w:rPr>
              <w:t>系统提供按照医院实际现患调查工作的流程定制报卡登记功能，支持代替原有的纸质现患个案表登记流程，帮助院感专职人员进行线上数据采集、审核工作的功能。</w:t>
            </w:r>
          </w:p>
          <w:p w14:paraId="6199AF44">
            <w:pPr>
              <w:keepNext w:val="0"/>
              <w:keepLines w:val="0"/>
              <w:widowControl w:val="0"/>
              <w:numPr>
                <w:ilvl w:val="0"/>
                <w:numId w:val="63"/>
              </w:numPr>
              <w:suppressLineNumbers w:val="0"/>
              <w:spacing w:before="0" w:beforeAutospacing="0" w:after="0" w:afterAutospacing="0" w:line="360" w:lineRule="auto"/>
              <w:ind w:left="425" w:right="0" w:hanging="425"/>
              <w:jc w:val="both"/>
              <w:rPr>
                <w:rFonts w:hint="default" w:ascii="宋体" w:hAnsi="宋体" w:eastAsia="宋体" w:cs="Times New Roman"/>
                <w:color w:val="auto"/>
                <w:kern w:val="2"/>
                <w:sz w:val="21"/>
                <w:szCs w:val="22"/>
                <w:highlight w:val="none"/>
              </w:rPr>
            </w:pPr>
            <w:r>
              <w:rPr>
                <w:rFonts w:hint="eastAsia" w:ascii="宋体" w:hAnsi="宋体" w:eastAsia="宋体" w:cs="Times New Roman"/>
                <w:color w:val="auto"/>
                <w:kern w:val="2"/>
                <w:sz w:val="21"/>
                <w:szCs w:val="22"/>
                <w:highlight w:val="none"/>
                <w:lang w:val="en-US" w:eastAsia="zh-CN" w:bidi="ar-SA"/>
              </w:rPr>
              <w:t>系统提供批量生成现患个案登记表报卡的功能。</w:t>
            </w:r>
          </w:p>
          <w:p w14:paraId="5721398F">
            <w:pPr>
              <w:keepNext w:val="0"/>
              <w:keepLines w:val="0"/>
              <w:widowControl w:val="0"/>
              <w:numPr>
                <w:ilvl w:val="0"/>
                <w:numId w:val="63"/>
              </w:numPr>
              <w:suppressLineNumbers w:val="0"/>
              <w:spacing w:before="0" w:beforeAutospacing="0" w:after="0" w:afterAutospacing="0" w:line="360" w:lineRule="auto"/>
              <w:ind w:left="425" w:right="0" w:hanging="425"/>
              <w:jc w:val="both"/>
              <w:rPr>
                <w:rFonts w:hint="default" w:ascii="宋体" w:hAnsi="宋体" w:eastAsia="宋体" w:cs="Times New Roman"/>
                <w:color w:val="auto"/>
                <w:kern w:val="2"/>
                <w:sz w:val="21"/>
                <w:szCs w:val="22"/>
                <w:highlight w:val="none"/>
              </w:rPr>
            </w:pPr>
            <w:r>
              <w:rPr>
                <w:rFonts w:hint="eastAsia" w:ascii="宋体" w:hAnsi="宋体" w:eastAsia="宋体" w:cs="Times New Roman"/>
                <w:color w:val="auto"/>
                <w:kern w:val="2"/>
                <w:sz w:val="21"/>
                <w:szCs w:val="22"/>
                <w:highlight w:val="none"/>
                <w:lang w:val="en-US" w:eastAsia="zh-CN" w:bidi="ar-SA"/>
              </w:rPr>
              <w:t>系统提供现患报卡权限管理的功能，支持不同用户不同管理权限。</w:t>
            </w:r>
          </w:p>
          <w:p w14:paraId="2B09AB90">
            <w:pPr>
              <w:keepNext w:val="0"/>
              <w:keepLines w:val="0"/>
              <w:widowControl w:val="0"/>
              <w:numPr>
                <w:ilvl w:val="0"/>
                <w:numId w:val="63"/>
              </w:numPr>
              <w:suppressLineNumbers w:val="0"/>
              <w:spacing w:before="0" w:beforeAutospacing="0" w:after="0" w:afterAutospacing="0" w:line="360" w:lineRule="auto"/>
              <w:ind w:left="425" w:right="0" w:hanging="425"/>
              <w:jc w:val="both"/>
              <w:rPr>
                <w:rFonts w:hint="default" w:ascii="宋体" w:hAnsi="宋体" w:eastAsia="宋体" w:cs="Times New Roman"/>
                <w:color w:val="auto"/>
                <w:kern w:val="2"/>
                <w:sz w:val="21"/>
                <w:szCs w:val="22"/>
                <w:highlight w:val="none"/>
              </w:rPr>
            </w:pPr>
            <w:r>
              <w:rPr>
                <w:rFonts w:hint="eastAsia" w:ascii="宋体" w:hAnsi="宋体" w:eastAsia="宋体" w:cs="Times New Roman"/>
                <w:color w:val="auto"/>
                <w:kern w:val="2"/>
                <w:sz w:val="21"/>
                <w:szCs w:val="22"/>
                <w:highlight w:val="none"/>
                <w:lang w:val="en-US" w:eastAsia="zh-CN" w:bidi="ar-SA"/>
              </w:rPr>
              <w:t>系统提供现患报卡自动填充的功能，自动填充填写项目。</w:t>
            </w:r>
          </w:p>
          <w:p w14:paraId="1C7FBE02">
            <w:pPr>
              <w:keepNext w:val="0"/>
              <w:keepLines w:val="0"/>
              <w:widowControl w:val="0"/>
              <w:numPr>
                <w:ilvl w:val="0"/>
                <w:numId w:val="63"/>
              </w:numPr>
              <w:suppressLineNumbers w:val="0"/>
              <w:spacing w:before="0" w:beforeAutospacing="0" w:after="0" w:afterAutospacing="0" w:line="360" w:lineRule="auto"/>
              <w:ind w:left="425" w:right="0" w:hanging="425"/>
              <w:jc w:val="both"/>
              <w:rPr>
                <w:rFonts w:hint="default" w:ascii="宋体" w:hAnsi="宋体" w:eastAsia="宋体" w:cs="Times New Roman"/>
                <w:color w:val="auto"/>
                <w:kern w:val="2"/>
                <w:sz w:val="21"/>
                <w:szCs w:val="22"/>
                <w:highlight w:val="none"/>
              </w:rPr>
            </w:pPr>
            <w:r>
              <w:rPr>
                <w:rFonts w:hint="eastAsia" w:ascii="宋体" w:hAnsi="宋体" w:eastAsia="宋体" w:cs="Times New Roman"/>
                <w:color w:val="auto"/>
                <w:kern w:val="2"/>
                <w:sz w:val="21"/>
                <w:szCs w:val="22"/>
                <w:highlight w:val="none"/>
                <w:lang w:val="en-US" w:eastAsia="zh-CN" w:bidi="ar-SA"/>
              </w:rPr>
              <w:t>系统提供现患报卡展示操作日志的功能，能展示用户操作记录。</w:t>
            </w:r>
          </w:p>
          <w:p w14:paraId="5DB3C470">
            <w:pPr>
              <w:keepNext w:val="0"/>
              <w:keepLines w:val="0"/>
              <w:widowControl w:val="0"/>
              <w:numPr>
                <w:ilvl w:val="0"/>
                <w:numId w:val="63"/>
              </w:numPr>
              <w:suppressLineNumbers w:val="0"/>
              <w:spacing w:before="0" w:beforeAutospacing="0" w:after="0" w:afterAutospacing="0" w:line="360" w:lineRule="auto"/>
              <w:ind w:left="425" w:right="0" w:hanging="425"/>
              <w:jc w:val="both"/>
              <w:rPr>
                <w:rFonts w:hint="default" w:ascii="宋体" w:hAnsi="宋体" w:eastAsia="宋体" w:cs="Times New Roman"/>
                <w:color w:val="auto"/>
                <w:kern w:val="2"/>
                <w:sz w:val="21"/>
                <w:szCs w:val="22"/>
                <w:highlight w:val="none"/>
              </w:rPr>
            </w:pPr>
            <w:r>
              <w:rPr>
                <w:rFonts w:hint="eastAsia" w:ascii="宋体" w:hAnsi="宋体" w:eastAsia="宋体" w:cs="Times New Roman"/>
                <w:color w:val="auto"/>
                <w:kern w:val="2"/>
                <w:sz w:val="21"/>
                <w:szCs w:val="22"/>
                <w:highlight w:val="none"/>
                <w:lang w:val="en-US" w:eastAsia="zh-CN" w:bidi="ar-SA"/>
              </w:rPr>
              <w:t>系统提供现患报卡联动登记的功能，填写项目不同显示不同的登记内容。</w:t>
            </w:r>
          </w:p>
          <w:p w14:paraId="7C48343C">
            <w:pPr>
              <w:keepNext w:val="0"/>
              <w:keepLines w:val="0"/>
              <w:widowControl w:val="0"/>
              <w:numPr>
                <w:ilvl w:val="0"/>
                <w:numId w:val="63"/>
              </w:numPr>
              <w:suppressLineNumbers w:val="0"/>
              <w:spacing w:before="0" w:beforeAutospacing="0" w:after="0" w:afterAutospacing="0" w:line="360" w:lineRule="auto"/>
              <w:ind w:left="425" w:right="0" w:hanging="425"/>
              <w:jc w:val="both"/>
              <w:rPr>
                <w:rFonts w:hint="default" w:ascii="宋体" w:hAnsi="宋体" w:eastAsia="宋体" w:cs="Times New Roman"/>
                <w:color w:val="auto"/>
                <w:kern w:val="2"/>
                <w:sz w:val="21"/>
                <w:szCs w:val="22"/>
                <w:highlight w:val="none"/>
              </w:rPr>
            </w:pPr>
            <w:r>
              <w:rPr>
                <w:rFonts w:hint="eastAsia" w:ascii="宋体" w:hAnsi="宋体" w:eastAsia="宋体" w:cs="Times New Roman"/>
                <w:color w:val="auto"/>
                <w:kern w:val="2"/>
                <w:sz w:val="21"/>
                <w:szCs w:val="22"/>
                <w:highlight w:val="none"/>
                <w:lang w:val="en-US" w:eastAsia="zh-CN" w:bidi="ar-SA"/>
              </w:rPr>
              <w:t>系统提供现患报卡统计的功能，按照登记内容进行统计。</w:t>
            </w:r>
          </w:p>
          <w:p w14:paraId="3D0BF3DE">
            <w:pPr>
              <w:keepNext w:val="0"/>
              <w:keepLines w:val="0"/>
              <w:widowControl w:val="0"/>
              <w:numPr>
                <w:ilvl w:val="0"/>
                <w:numId w:val="63"/>
              </w:numPr>
              <w:suppressLineNumbers w:val="0"/>
              <w:spacing w:before="0" w:beforeAutospacing="0" w:after="0" w:afterAutospacing="0" w:line="360" w:lineRule="auto"/>
              <w:ind w:left="425" w:right="0" w:hanging="425"/>
              <w:jc w:val="both"/>
              <w:rPr>
                <w:rFonts w:hint="default" w:ascii="宋体" w:hAnsi="宋体" w:eastAsia="宋体" w:cs="Times New Roman"/>
                <w:color w:val="auto"/>
                <w:kern w:val="2"/>
                <w:sz w:val="21"/>
                <w:szCs w:val="22"/>
                <w:highlight w:val="none"/>
              </w:rPr>
            </w:pPr>
            <w:r>
              <w:rPr>
                <w:rFonts w:hint="eastAsia" w:ascii="宋体" w:hAnsi="宋体" w:eastAsia="宋体" w:cs="Times New Roman"/>
                <w:color w:val="auto"/>
                <w:kern w:val="2"/>
                <w:sz w:val="21"/>
                <w:szCs w:val="22"/>
                <w:highlight w:val="none"/>
                <w:lang w:val="en-US" w:eastAsia="zh-CN" w:bidi="ar-SA"/>
              </w:rPr>
              <w:t>系统提供统计结果明细和导出的功能。</w:t>
            </w:r>
          </w:p>
          <w:p w14:paraId="554F668E">
            <w:pPr>
              <w:keepNext w:val="0"/>
              <w:keepLines w:val="0"/>
              <w:widowControl w:val="0"/>
              <w:numPr>
                <w:ilvl w:val="0"/>
                <w:numId w:val="63"/>
              </w:numPr>
              <w:suppressLineNumbers w:val="0"/>
              <w:spacing w:before="0" w:beforeAutospacing="0" w:after="0" w:afterAutospacing="0" w:line="360" w:lineRule="auto"/>
              <w:ind w:left="425" w:right="0" w:hanging="425"/>
              <w:jc w:val="both"/>
              <w:rPr>
                <w:rFonts w:hint="default" w:ascii="宋体" w:hAnsi="宋体" w:eastAsia="宋体" w:cs="Times New Roman"/>
                <w:color w:val="auto"/>
                <w:kern w:val="2"/>
                <w:sz w:val="21"/>
                <w:szCs w:val="22"/>
                <w:highlight w:val="none"/>
              </w:rPr>
            </w:pPr>
            <w:r>
              <w:rPr>
                <w:rFonts w:hint="eastAsia" w:ascii="宋体" w:hAnsi="宋体" w:eastAsia="宋体" w:cs="Times New Roman"/>
                <w:color w:val="auto"/>
                <w:kern w:val="2"/>
                <w:sz w:val="21"/>
                <w:szCs w:val="22"/>
                <w:highlight w:val="none"/>
                <w:lang w:val="en-US" w:eastAsia="zh-CN" w:bidi="ar-SA"/>
              </w:rPr>
              <w:t>系统提供现患报卡自动生成的功能，按照定制规则自动生成待处理报卡。</w:t>
            </w:r>
          </w:p>
          <w:p w14:paraId="0AD9B8C8">
            <w:pPr>
              <w:keepNext w:val="0"/>
              <w:keepLines w:val="0"/>
              <w:widowControl w:val="0"/>
              <w:numPr>
                <w:ilvl w:val="0"/>
                <w:numId w:val="63"/>
              </w:numPr>
              <w:suppressLineNumbers w:val="0"/>
              <w:spacing w:before="0" w:beforeAutospacing="0" w:after="0" w:afterAutospacing="0" w:line="360" w:lineRule="auto"/>
              <w:ind w:left="425" w:right="0" w:hanging="425"/>
              <w:jc w:val="both"/>
              <w:rPr>
                <w:rFonts w:hint="default" w:ascii="宋体" w:hAnsi="宋体" w:eastAsia="宋体" w:cs="Times New Roman"/>
                <w:color w:val="auto"/>
                <w:kern w:val="2"/>
                <w:sz w:val="21"/>
                <w:szCs w:val="22"/>
                <w:highlight w:val="none"/>
              </w:rPr>
            </w:pPr>
            <w:r>
              <w:rPr>
                <w:rFonts w:hint="eastAsia" w:ascii="宋体" w:hAnsi="宋体" w:eastAsia="宋体" w:cs="Times New Roman"/>
                <w:color w:val="auto"/>
                <w:kern w:val="2"/>
                <w:sz w:val="21"/>
                <w:szCs w:val="22"/>
                <w:highlight w:val="none"/>
                <w:lang w:val="en-US" w:eastAsia="zh-CN" w:bidi="ar-SA"/>
              </w:rPr>
              <w:t>系统提供现患报卡登记结果搜索的功能</w:t>
            </w:r>
          </w:p>
          <w:p w14:paraId="2FD74812">
            <w:pPr>
              <w:keepNext w:val="0"/>
              <w:keepLines w:val="0"/>
              <w:widowControl w:val="0"/>
              <w:numPr>
                <w:ilvl w:val="0"/>
                <w:numId w:val="63"/>
              </w:numPr>
              <w:suppressLineNumbers w:val="0"/>
              <w:spacing w:before="0" w:beforeAutospacing="0" w:after="0" w:afterAutospacing="0" w:line="360" w:lineRule="auto"/>
              <w:ind w:left="425" w:right="0" w:hanging="425"/>
              <w:jc w:val="both"/>
              <w:rPr>
                <w:rFonts w:hint="default" w:ascii="宋体" w:hAnsi="宋体" w:eastAsia="宋体" w:cs="Times New Roman"/>
                <w:color w:val="auto"/>
                <w:kern w:val="2"/>
                <w:sz w:val="21"/>
                <w:szCs w:val="22"/>
                <w:highlight w:val="none"/>
              </w:rPr>
            </w:pPr>
          </w:p>
          <w:p w14:paraId="0F616A77">
            <w:pPr>
              <w:pStyle w:val="85"/>
              <w:keepNext w:val="0"/>
              <w:keepLines w:val="0"/>
              <w:pageBreakBefore w:val="0"/>
              <w:widowControl/>
              <w:numPr>
                <w:ilvl w:val="-1"/>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left"/>
              <w:textAlignment w:val="auto"/>
              <w:rPr>
                <w:rFonts w:hint="eastAsia" w:ascii="宋体" w:hAnsi="宋体" w:eastAsia="宋体" w:cs="Times New Roman"/>
                <w:color w:val="auto"/>
                <w:kern w:val="2"/>
                <w:sz w:val="21"/>
                <w:szCs w:val="22"/>
                <w:highlight w:val="none"/>
                <w:lang w:val="en-US" w:eastAsia="zh-CN" w:bidi="ar-SA"/>
              </w:rPr>
            </w:pPr>
            <w:r>
              <w:rPr>
                <w:rFonts w:hint="eastAsia" w:ascii="宋体" w:hAnsi="宋体" w:eastAsia="宋体" w:cs="Times New Roman"/>
                <w:color w:val="auto"/>
                <w:kern w:val="2"/>
                <w:sz w:val="21"/>
                <w:szCs w:val="22"/>
                <w:highlight w:val="none"/>
              </w:rPr>
              <w:t>系统提供现患报卡在线预览、导出打印的功能。</w:t>
            </w:r>
          </w:p>
        </w:tc>
      </w:tr>
      <w:tr w14:paraId="54E695D4">
        <w:tblPrEx>
          <w:tblCellMar>
            <w:top w:w="0" w:type="dxa"/>
            <w:left w:w="108" w:type="dxa"/>
            <w:bottom w:w="0" w:type="dxa"/>
            <w:right w:w="108" w:type="dxa"/>
          </w:tblCellMar>
        </w:tblPrEx>
        <w:trPr>
          <w:trHeight w:val="1998" w:hRule="atLeast"/>
          <w:jc w:val="center"/>
        </w:trPr>
        <w:tc>
          <w:tcPr>
            <w:tcW w:w="878" w:type="dxa"/>
            <w:tcBorders>
              <w:left w:val="single" w:color="auto" w:sz="8" w:space="0"/>
              <w:right w:val="single" w:color="auto" w:sz="8" w:space="0"/>
            </w:tcBorders>
            <w:vAlign w:val="center"/>
          </w:tcPr>
          <w:p w14:paraId="08D005D4">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color w:val="auto"/>
                <w:highlight w:val="none"/>
              </w:rPr>
            </w:pPr>
          </w:p>
        </w:tc>
        <w:tc>
          <w:tcPr>
            <w:tcW w:w="1194" w:type="dxa"/>
            <w:tcBorders>
              <w:top w:val="single" w:color="auto" w:sz="4" w:space="0"/>
              <w:left w:val="single" w:color="auto" w:sz="8" w:space="0"/>
              <w:bottom w:val="single" w:color="auto" w:sz="4" w:space="0"/>
              <w:right w:val="single" w:color="auto" w:sz="8" w:space="0"/>
            </w:tcBorders>
            <w:shd w:val="clear" w:color="auto" w:fill="auto"/>
            <w:vAlign w:val="center"/>
          </w:tcPr>
          <w:p w14:paraId="0DD59B93">
            <w:pPr>
              <w:keepNext w:val="0"/>
              <w:keepLines w:val="0"/>
              <w:pageBreakBefore w:val="0"/>
              <w:numPr>
                <w:ilvl w:val="-1"/>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jc w:val="left"/>
              <w:textAlignment w:val="auto"/>
              <w:rPr>
                <w:rFonts w:hint="eastAsia" w:ascii="宋体" w:hAnsi="宋体"/>
                <w:color w:val="auto"/>
                <w:szCs w:val="21"/>
                <w:highlight w:val="none"/>
              </w:rPr>
            </w:pPr>
            <w:r>
              <w:rPr>
                <w:rFonts w:hint="eastAsia" w:ascii="宋体" w:hAnsi="宋体"/>
                <w:color w:val="auto"/>
                <w:szCs w:val="21"/>
                <w:highlight w:val="none"/>
                <w:lang w:val="en-US" w:eastAsia="zh-CN"/>
              </w:rPr>
              <w:t xml:space="preserve">【感控期刊】 </w:t>
            </w:r>
          </w:p>
          <w:p w14:paraId="3E4E3380">
            <w:pPr>
              <w:keepNext w:val="0"/>
              <w:keepLines w:val="0"/>
              <w:pageBreakBefore w:val="0"/>
              <w:numPr>
                <w:ilvl w:val="-1"/>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left"/>
              <w:textAlignment w:val="auto"/>
              <w:rPr>
                <w:rFonts w:hint="eastAsia" w:ascii="宋体" w:hAnsi="宋体" w:eastAsia="宋体" w:cs="Times New Roman"/>
                <w:color w:val="auto"/>
                <w:kern w:val="2"/>
                <w:sz w:val="21"/>
                <w:szCs w:val="21"/>
                <w:highlight w:val="none"/>
                <w:lang w:val="en-US" w:eastAsia="zh-CN" w:bidi="ar-SA"/>
              </w:rPr>
            </w:pPr>
          </w:p>
        </w:tc>
        <w:tc>
          <w:tcPr>
            <w:tcW w:w="7887" w:type="dxa"/>
            <w:tcBorders>
              <w:top w:val="nil"/>
              <w:left w:val="nil"/>
              <w:bottom w:val="nil"/>
              <w:right w:val="single" w:color="auto" w:sz="8" w:space="0"/>
            </w:tcBorders>
            <w:shd w:val="clear" w:color="auto" w:fill="auto"/>
            <w:vAlign w:val="center"/>
          </w:tcPr>
          <w:p w14:paraId="085D46AA">
            <w:pPr>
              <w:pStyle w:val="85"/>
              <w:keepNext w:val="0"/>
              <w:keepLines w:val="0"/>
              <w:pageBreakBefore w:val="0"/>
              <w:widowControl/>
              <w:numPr>
                <w:ilvl w:val="-1"/>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left"/>
              <w:textAlignment w:val="auto"/>
              <w:rPr>
                <w:rFonts w:hint="eastAsia" w:ascii="宋体" w:hAnsi="宋体" w:eastAsia="宋体" w:cs="Times New Roman"/>
                <w:color w:val="auto"/>
                <w:sz w:val="21"/>
                <w:szCs w:val="22"/>
                <w:highlight w:val="none"/>
                <w:lang w:val="en-US" w:eastAsia="zh-CN"/>
              </w:rPr>
            </w:pPr>
            <w:r>
              <w:rPr>
                <w:rFonts w:hint="eastAsia" w:ascii="宋体" w:hAnsi="宋体" w:eastAsia="宋体" w:cs="Times New Roman"/>
                <w:color w:val="auto"/>
                <w:sz w:val="21"/>
                <w:szCs w:val="22"/>
                <w:highlight w:val="none"/>
                <w:lang w:val="en-US" w:eastAsia="zh-CN"/>
              </w:rPr>
              <w:t>1</w:t>
            </w:r>
            <w:r>
              <w:rPr>
                <w:rFonts w:hint="eastAsia" w:ascii="宋体" w:hAnsi="宋体" w:cs="Times New Roman"/>
                <w:color w:val="auto"/>
                <w:sz w:val="21"/>
                <w:szCs w:val="22"/>
                <w:highlight w:val="none"/>
                <w:lang w:val="en-US" w:eastAsia="zh-CN"/>
              </w:rPr>
              <w:t>）</w:t>
            </w:r>
            <w:r>
              <w:rPr>
                <w:rFonts w:hint="eastAsia" w:ascii="宋体" w:hAnsi="宋体" w:eastAsia="宋体"/>
                <w:color w:val="auto"/>
                <w:highlight w:val="none"/>
                <w:lang w:val="en-US" w:eastAsia="zh-CN"/>
              </w:rPr>
              <w:t>根据院感系统获取的数据，对医院感染病例监测、重点科室相关感染监测、器械相关感染监测、多重耐药菌监测、围术期抗菌药物预防性使用监测、抗菌药物使用及治疗性使用抗菌药物病原学送检情况、医院感染预警处理等方面进行汇总统计，并定期根据院内固定模板出具个性化期刊</w:t>
            </w:r>
            <w:r>
              <w:rPr>
                <w:rFonts w:hint="eastAsia" w:ascii="宋体" w:hAnsi="宋体" w:eastAsia="宋体" w:cs="Times New Roman"/>
                <w:color w:val="auto"/>
                <w:sz w:val="21"/>
                <w:szCs w:val="22"/>
                <w:highlight w:val="none"/>
                <w:lang w:val="en-US" w:eastAsia="zh-CN"/>
              </w:rPr>
              <w:t>。</w:t>
            </w:r>
          </w:p>
          <w:p w14:paraId="377C2918">
            <w:pPr>
              <w:pStyle w:val="85"/>
              <w:keepNext w:val="0"/>
              <w:keepLines w:val="0"/>
              <w:pageBreakBefore w:val="0"/>
              <w:widowControl/>
              <w:numPr>
                <w:ilvl w:val="-1"/>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left"/>
              <w:textAlignment w:val="auto"/>
              <w:rPr>
                <w:rFonts w:hint="default" w:ascii="宋体" w:hAnsi="宋体" w:eastAsia="宋体" w:cs="Times New Roman"/>
                <w:color w:val="auto"/>
                <w:sz w:val="21"/>
                <w:szCs w:val="22"/>
                <w:highlight w:val="none"/>
                <w:lang w:eastAsia="zh-CN"/>
              </w:rPr>
            </w:pPr>
            <w:r>
              <w:rPr>
                <w:rFonts w:hint="eastAsia" w:ascii="宋体" w:hAnsi="宋体"/>
                <w:color w:val="auto"/>
                <w:sz w:val="21"/>
                <w:szCs w:val="22"/>
                <w:highlight w:val="none"/>
                <w:lang w:val="en-US" w:eastAsia="zh-CN"/>
              </w:rPr>
              <w:t>2）</w:t>
            </w:r>
            <w:r>
              <w:rPr>
                <w:rFonts w:hint="eastAsia" w:ascii="宋体" w:hAnsi="宋体" w:eastAsia="宋体" w:cs="Times New Roman"/>
                <w:color w:val="auto"/>
                <w:sz w:val="21"/>
                <w:szCs w:val="22"/>
                <w:highlight w:val="none"/>
              </w:rPr>
              <w:t>支持提供感控模板库中通讯模版作为参考</w:t>
            </w:r>
            <w:r>
              <w:rPr>
                <w:rFonts w:hint="eastAsia" w:ascii="宋体" w:hAnsi="宋体" w:eastAsia="宋体" w:cs="Times New Roman"/>
                <w:color w:val="auto"/>
                <w:sz w:val="21"/>
                <w:szCs w:val="22"/>
                <w:highlight w:val="none"/>
                <w:lang w:eastAsia="zh-CN"/>
              </w:rPr>
              <w:t>；</w:t>
            </w:r>
          </w:p>
          <w:p w14:paraId="265E295A">
            <w:pPr>
              <w:pStyle w:val="85"/>
              <w:keepNext w:val="0"/>
              <w:keepLines w:val="0"/>
              <w:pageBreakBefore w:val="0"/>
              <w:widowControl/>
              <w:numPr>
                <w:ilvl w:val="-1"/>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left"/>
              <w:textAlignment w:val="auto"/>
              <w:rPr>
                <w:rFonts w:hint="default" w:ascii="宋体" w:hAnsi="宋体"/>
                <w:color w:val="auto"/>
                <w:sz w:val="21"/>
                <w:szCs w:val="22"/>
                <w:highlight w:val="none"/>
              </w:rPr>
            </w:pPr>
            <w:r>
              <w:rPr>
                <w:rFonts w:hint="eastAsia" w:ascii="宋体" w:hAnsi="宋体"/>
                <w:color w:val="auto"/>
                <w:sz w:val="21"/>
                <w:szCs w:val="22"/>
                <w:highlight w:val="none"/>
                <w:lang w:val="en-US" w:eastAsia="zh-CN"/>
              </w:rPr>
              <w:t>3）</w:t>
            </w:r>
            <w:r>
              <w:rPr>
                <w:rFonts w:hint="eastAsia" w:ascii="宋体" w:hAnsi="宋体" w:eastAsia="宋体" w:cs="Times New Roman"/>
                <w:color w:val="auto"/>
                <w:sz w:val="21"/>
                <w:szCs w:val="22"/>
                <w:highlight w:val="none"/>
              </w:rPr>
              <w:t>支持按照医院模板实现感控月报出具。即每年根据院内模板出具十二份份月度报告</w:t>
            </w:r>
            <w:r>
              <w:rPr>
                <w:rFonts w:hint="eastAsia" w:ascii="宋体" w:hAnsi="宋体" w:eastAsia="宋体" w:cs="Times New Roman"/>
                <w:color w:val="auto"/>
                <w:sz w:val="21"/>
                <w:szCs w:val="22"/>
                <w:highlight w:val="none"/>
                <w:lang w:eastAsia="zh-CN"/>
              </w:rPr>
              <w:t>；</w:t>
            </w:r>
          </w:p>
          <w:p w14:paraId="6E800DC6">
            <w:pPr>
              <w:pStyle w:val="85"/>
              <w:keepNext w:val="0"/>
              <w:keepLines w:val="0"/>
              <w:pageBreakBefore w:val="0"/>
              <w:widowControl/>
              <w:numPr>
                <w:ilvl w:val="-1"/>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left"/>
              <w:textAlignment w:val="auto"/>
              <w:rPr>
                <w:rFonts w:hint="default" w:ascii="宋体" w:hAnsi="宋体"/>
                <w:color w:val="auto"/>
                <w:highlight w:val="none"/>
              </w:rPr>
            </w:pPr>
            <w:r>
              <w:rPr>
                <w:rFonts w:hint="eastAsia" w:ascii="宋体" w:hAnsi="宋体" w:cs="Times New Roman"/>
                <w:color w:val="auto"/>
                <w:sz w:val="21"/>
                <w:szCs w:val="22"/>
                <w:highlight w:val="none"/>
                <w:lang w:val="en-US" w:eastAsia="zh-CN"/>
              </w:rPr>
              <w:t>4）</w:t>
            </w:r>
            <w:r>
              <w:rPr>
                <w:rFonts w:hint="eastAsia" w:ascii="宋体" w:hAnsi="宋体" w:eastAsia="宋体" w:cs="Times New Roman"/>
                <w:color w:val="auto"/>
                <w:sz w:val="21"/>
                <w:szCs w:val="22"/>
                <w:highlight w:val="none"/>
              </w:rPr>
              <w:t>支持按照医院模板实现感控月报出具。即每年根据院内模板出具十二份份月度报告</w:t>
            </w:r>
            <w:r>
              <w:rPr>
                <w:rFonts w:hint="eastAsia" w:ascii="宋体" w:hAnsi="宋体" w:eastAsia="宋体" w:cs="Times New Roman"/>
                <w:color w:val="auto"/>
                <w:sz w:val="21"/>
                <w:szCs w:val="22"/>
                <w:highlight w:val="none"/>
                <w:lang w:eastAsia="zh-CN"/>
              </w:rPr>
              <w:t>；</w:t>
            </w:r>
          </w:p>
          <w:p w14:paraId="3759888C">
            <w:pPr>
              <w:pStyle w:val="85"/>
              <w:keepNext w:val="0"/>
              <w:keepLines w:val="0"/>
              <w:pageBreakBefore w:val="0"/>
              <w:widowControl/>
              <w:numPr>
                <w:ilvl w:val="-1"/>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left"/>
              <w:textAlignment w:val="auto"/>
              <w:rPr>
                <w:rFonts w:hint="eastAsia" w:ascii="宋体" w:hAnsi="宋体" w:eastAsia="宋体" w:cs="Times New Roman"/>
                <w:color w:val="auto"/>
                <w:kern w:val="2"/>
                <w:sz w:val="21"/>
                <w:szCs w:val="22"/>
                <w:highlight w:val="none"/>
                <w:lang w:val="en-US" w:eastAsia="zh-CN" w:bidi="ar-SA"/>
              </w:rPr>
            </w:pPr>
            <w:r>
              <w:rPr>
                <w:rFonts w:hint="eastAsia" w:ascii="宋体" w:hAnsi="宋体" w:cs="Times New Roman"/>
                <w:color w:val="auto"/>
                <w:sz w:val="21"/>
                <w:szCs w:val="22"/>
                <w:highlight w:val="none"/>
                <w:lang w:val="en-US" w:eastAsia="zh-CN"/>
              </w:rPr>
              <w:t>5）</w:t>
            </w:r>
            <w:r>
              <w:rPr>
                <w:rFonts w:hint="default" w:ascii="宋体" w:hAnsi="宋体" w:eastAsia="宋体" w:cs="Times New Roman"/>
                <w:color w:val="auto"/>
                <w:sz w:val="21"/>
                <w:szCs w:val="22"/>
                <w:highlight w:val="none"/>
              </w:rPr>
              <w:t>支持按照医院模板实现感控通讯年报出具。即每年根据院内模板出具一份年度报告</w:t>
            </w:r>
            <w:r>
              <w:rPr>
                <w:rFonts w:hint="eastAsia" w:ascii="宋体" w:hAnsi="宋体" w:eastAsia="宋体" w:cs="Times New Roman"/>
                <w:color w:val="auto"/>
                <w:sz w:val="21"/>
                <w:szCs w:val="22"/>
                <w:highlight w:val="none"/>
                <w:lang w:eastAsia="zh-CN"/>
              </w:rPr>
              <w:t>；</w:t>
            </w:r>
          </w:p>
        </w:tc>
      </w:tr>
      <w:tr w14:paraId="18018F58">
        <w:tblPrEx>
          <w:tblCellMar>
            <w:top w:w="0" w:type="dxa"/>
            <w:left w:w="108" w:type="dxa"/>
            <w:bottom w:w="0" w:type="dxa"/>
            <w:right w:w="108" w:type="dxa"/>
          </w:tblCellMar>
        </w:tblPrEx>
        <w:trPr>
          <w:trHeight w:val="1998" w:hRule="atLeast"/>
          <w:jc w:val="center"/>
        </w:trPr>
        <w:tc>
          <w:tcPr>
            <w:tcW w:w="878" w:type="dxa"/>
            <w:tcBorders>
              <w:left w:val="single" w:color="auto" w:sz="8" w:space="0"/>
              <w:bottom w:val="single" w:color="000000" w:sz="8" w:space="0"/>
              <w:right w:val="single" w:color="auto" w:sz="8" w:space="0"/>
            </w:tcBorders>
            <w:vAlign w:val="center"/>
          </w:tcPr>
          <w:p w14:paraId="4BF68261">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color w:val="auto"/>
                <w:highlight w:val="none"/>
              </w:rPr>
            </w:pPr>
          </w:p>
        </w:tc>
        <w:tc>
          <w:tcPr>
            <w:tcW w:w="1194" w:type="dxa"/>
            <w:tcBorders>
              <w:top w:val="single" w:color="auto" w:sz="4" w:space="0"/>
              <w:left w:val="single" w:color="auto" w:sz="8" w:space="0"/>
              <w:bottom w:val="single" w:color="000000" w:sz="8" w:space="0"/>
              <w:right w:val="single" w:color="auto" w:sz="8" w:space="0"/>
            </w:tcBorders>
            <w:shd w:val="clear" w:color="auto" w:fill="auto"/>
            <w:vAlign w:val="center"/>
          </w:tcPr>
          <w:p w14:paraId="778CD8F6">
            <w:pPr>
              <w:keepNext w:val="0"/>
              <w:keepLines w:val="0"/>
              <w:pageBreakBefore w:val="0"/>
              <w:numPr>
                <w:ilvl w:val="-1"/>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left"/>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highlight w:val="none"/>
                <w:lang w:val="en-US" w:eastAsia="zh-CN"/>
              </w:rPr>
              <w:t>深圳市质控中心2.0平台</w:t>
            </w:r>
            <w:r>
              <w:rPr>
                <w:rFonts w:hint="eastAsia" w:ascii="宋体" w:hAnsi="宋体"/>
                <w:color w:val="auto"/>
                <w:szCs w:val="21"/>
                <w:highlight w:val="none"/>
                <w:lang w:val="en-US" w:eastAsia="zh-CN"/>
              </w:rPr>
              <w:t>数据对接</w:t>
            </w:r>
          </w:p>
        </w:tc>
        <w:tc>
          <w:tcPr>
            <w:tcW w:w="7887" w:type="dxa"/>
            <w:tcBorders>
              <w:top w:val="nil"/>
              <w:left w:val="nil"/>
              <w:bottom w:val="single" w:color="auto" w:sz="8" w:space="0"/>
              <w:right w:val="single" w:color="auto" w:sz="8" w:space="0"/>
            </w:tcBorders>
            <w:shd w:val="clear" w:color="auto" w:fill="auto"/>
            <w:vAlign w:val="center"/>
          </w:tcPr>
          <w:p w14:paraId="040FA128">
            <w:pPr>
              <w:pStyle w:val="85"/>
              <w:keepNext w:val="0"/>
              <w:keepLines w:val="0"/>
              <w:pageBreakBefore w:val="0"/>
              <w:widowControl/>
              <w:numPr>
                <w:ilvl w:val="-1"/>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left"/>
              <w:textAlignment w:val="auto"/>
              <w:rPr>
                <w:rFonts w:hint="eastAsia" w:ascii="宋体" w:hAnsi="宋体"/>
                <w:color w:val="auto"/>
                <w:highlight w:val="none"/>
                <w:lang w:val="en-US" w:eastAsia="zh-CN"/>
              </w:rPr>
            </w:pPr>
            <w:r>
              <w:rPr>
                <w:rFonts w:hint="eastAsia" w:ascii="宋体" w:hAnsi="宋体"/>
                <w:color w:val="auto"/>
                <w:highlight w:val="none"/>
                <w:lang w:val="en-US" w:eastAsia="zh-CN"/>
              </w:rPr>
              <w:t>对接深圳市质控中心2.0平台增加以下数据接口：</w:t>
            </w:r>
          </w:p>
          <w:p w14:paraId="1CB06FFA">
            <w:pPr>
              <w:pStyle w:val="85"/>
              <w:keepNext w:val="0"/>
              <w:keepLines w:val="0"/>
              <w:pageBreakBefore w:val="0"/>
              <w:widowControl/>
              <w:numPr>
                <w:ilvl w:val="-1"/>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left"/>
              <w:textAlignment w:val="auto"/>
              <w:rPr>
                <w:rFonts w:hint="eastAsia" w:ascii="宋体" w:hAnsi="宋体"/>
                <w:color w:val="auto"/>
                <w:highlight w:val="none"/>
                <w:lang w:val="en-US" w:eastAsia="zh-CN"/>
              </w:rPr>
            </w:pPr>
            <w:r>
              <w:rPr>
                <w:rFonts w:hint="eastAsia" w:ascii="宋体" w:hAnsi="宋体"/>
                <w:color w:val="auto"/>
                <w:highlight w:val="none"/>
                <w:lang w:val="en-US" w:eastAsia="zh-CN"/>
              </w:rPr>
              <w:t>1）手术患者入室时间、出手术室时间、患者去向（PACU、病房、ICU等）</w:t>
            </w:r>
          </w:p>
          <w:p w14:paraId="1D86C149">
            <w:pPr>
              <w:pStyle w:val="85"/>
              <w:keepNext w:val="0"/>
              <w:keepLines w:val="0"/>
              <w:pageBreakBefore w:val="0"/>
              <w:widowControl/>
              <w:numPr>
                <w:ilvl w:val="-1"/>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left"/>
              <w:textAlignment w:val="auto"/>
              <w:rPr>
                <w:rFonts w:hint="eastAsia" w:ascii="宋体" w:hAnsi="宋体"/>
                <w:color w:val="auto"/>
                <w:highlight w:val="none"/>
                <w:lang w:val="en-US" w:eastAsia="zh-CN"/>
              </w:rPr>
            </w:pPr>
            <w:r>
              <w:rPr>
                <w:rFonts w:hint="eastAsia" w:ascii="宋体" w:hAnsi="宋体"/>
                <w:color w:val="auto"/>
                <w:highlight w:val="none"/>
                <w:lang w:val="en-US" w:eastAsia="zh-CN"/>
              </w:rPr>
              <w:t>2）手术抗菌药物执行时间（含手麻系统抗菌药物及执行时间）</w:t>
            </w:r>
          </w:p>
          <w:p w14:paraId="56192482">
            <w:pPr>
              <w:pStyle w:val="85"/>
              <w:keepNext w:val="0"/>
              <w:keepLines w:val="0"/>
              <w:pageBreakBefore w:val="0"/>
              <w:widowControl/>
              <w:numPr>
                <w:ilvl w:val="-1"/>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left"/>
              <w:textAlignment w:val="auto"/>
              <w:rPr>
                <w:rFonts w:hint="eastAsia" w:ascii="宋体" w:hAnsi="宋体"/>
                <w:color w:val="auto"/>
                <w:highlight w:val="none"/>
                <w:lang w:val="en-US" w:eastAsia="zh-CN"/>
              </w:rPr>
            </w:pPr>
            <w:r>
              <w:rPr>
                <w:rFonts w:hint="eastAsia" w:ascii="宋体" w:hAnsi="宋体"/>
                <w:color w:val="auto"/>
                <w:highlight w:val="none"/>
                <w:lang w:val="en-US" w:eastAsia="zh-CN"/>
              </w:rPr>
              <w:t>3）手麻系统中体温及监测时间，含在PACU的体温监测数据</w:t>
            </w:r>
          </w:p>
          <w:p w14:paraId="29C8A0DE">
            <w:pPr>
              <w:pStyle w:val="85"/>
              <w:keepNext w:val="0"/>
              <w:keepLines w:val="0"/>
              <w:pageBreakBefore w:val="0"/>
              <w:widowControl/>
              <w:numPr>
                <w:ilvl w:val="-1"/>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left"/>
              <w:textAlignment w:val="auto"/>
              <w:rPr>
                <w:rFonts w:hint="eastAsia" w:ascii="宋体" w:hAnsi="宋体"/>
                <w:color w:val="auto"/>
                <w:highlight w:val="none"/>
                <w:lang w:val="en-US" w:eastAsia="zh-CN"/>
              </w:rPr>
            </w:pPr>
            <w:r>
              <w:rPr>
                <w:rFonts w:hint="eastAsia" w:ascii="宋体" w:hAnsi="宋体"/>
                <w:color w:val="auto"/>
                <w:highlight w:val="none"/>
                <w:lang w:val="en-US" w:eastAsia="zh-CN"/>
              </w:rPr>
              <w:t>4）病原学送检时间：采样执行时间、实验室接收时间需要分别提取及上传。</w:t>
            </w:r>
          </w:p>
          <w:p w14:paraId="2F28A8D1">
            <w:pPr>
              <w:pStyle w:val="85"/>
              <w:keepNext w:val="0"/>
              <w:keepLines w:val="0"/>
              <w:pageBreakBefore w:val="0"/>
              <w:widowControl/>
              <w:numPr>
                <w:ilvl w:val="-1"/>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left"/>
              <w:textAlignment w:val="auto"/>
              <w:rPr>
                <w:rFonts w:hint="eastAsia" w:ascii="宋体" w:hAnsi="宋体" w:eastAsia="宋体" w:cs="Times New Roman"/>
                <w:color w:val="auto"/>
                <w:kern w:val="2"/>
                <w:sz w:val="21"/>
                <w:szCs w:val="22"/>
                <w:highlight w:val="none"/>
                <w:lang w:val="en-US" w:eastAsia="zh-CN" w:bidi="ar-SA"/>
              </w:rPr>
            </w:pPr>
            <w:r>
              <w:rPr>
                <w:rFonts w:hint="eastAsia" w:ascii="宋体" w:hAnsi="宋体"/>
                <w:color w:val="auto"/>
                <w:highlight w:val="none"/>
                <w:lang w:val="en-US" w:eastAsia="zh-CN"/>
              </w:rPr>
              <w:t>5）手术患者手术麻醉的方式。</w:t>
            </w:r>
          </w:p>
        </w:tc>
      </w:tr>
    </w:tbl>
    <w:p w14:paraId="32F64FDD">
      <w:pPr>
        <w:rPr>
          <w:rFonts w:ascii="宋体" w:hAnsi="宋体"/>
          <w:color w:val="auto"/>
          <w:highlight w:val="none"/>
        </w:rPr>
      </w:pPr>
    </w:p>
    <w:p w14:paraId="63F094E6">
      <w:pPr>
        <w:rPr>
          <w:rFonts w:ascii="宋体" w:hAnsi="宋体"/>
          <w:color w:val="auto"/>
          <w:highlight w:val="none"/>
        </w:rPr>
      </w:pPr>
    </w:p>
    <w:p w14:paraId="6A366017">
      <w:pPr>
        <w:rPr>
          <w:rFonts w:ascii="宋体" w:hAnsi="宋体"/>
          <w:color w:val="auto"/>
          <w:highlight w:val="none"/>
        </w:rPr>
      </w:pPr>
    </w:p>
    <w:p w14:paraId="44428070">
      <w:pPr>
        <w:pStyle w:val="4"/>
        <w:numPr>
          <w:ilvl w:val="2"/>
          <w:numId w:val="1"/>
        </w:numPr>
        <w:spacing w:before="0" w:after="0" w:line="360" w:lineRule="auto"/>
        <w:ind w:left="567" w:hanging="567"/>
        <w:rPr>
          <w:color w:val="auto"/>
          <w:sz w:val="24"/>
          <w:highlight w:val="none"/>
        </w:rPr>
      </w:pPr>
      <w:bookmarkStart w:id="80" w:name="_Toc32148"/>
      <w:bookmarkStart w:id="81" w:name="_Toc6464"/>
      <w:bookmarkStart w:id="82" w:name="_Toc23126"/>
      <w:bookmarkStart w:id="83" w:name="_Toc30622"/>
      <w:bookmarkStart w:id="84" w:name="_Toc6157"/>
      <w:r>
        <w:rPr>
          <w:rFonts w:hint="eastAsia" w:eastAsia="宋体"/>
          <w:color w:val="auto"/>
          <w:kern w:val="2"/>
          <w:sz w:val="24"/>
          <w:szCs w:val="24"/>
          <w:highlight w:val="none"/>
        </w:rPr>
        <w:t>基础信息维护系统</w:t>
      </w:r>
      <w:bookmarkEnd w:id="80"/>
      <w:bookmarkEnd w:id="81"/>
      <w:bookmarkEnd w:id="82"/>
      <w:bookmarkEnd w:id="83"/>
      <w:bookmarkEnd w:id="84"/>
    </w:p>
    <w:p w14:paraId="0221D62F">
      <w:pPr>
        <w:rPr>
          <w:rFonts w:ascii="宋体" w:hAnsi="宋体"/>
          <w:color w:val="auto"/>
          <w:highlight w:val="none"/>
        </w:rPr>
      </w:pPr>
    </w:p>
    <w:tbl>
      <w:tblPr>
        <w:tblStyle w:val="46"/>
        <w:tblW w:w="102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3"/>
        <w:gridCol w:w="1266"/>
        <w:gridCol w:w="7939"/>
      </w:tblGrid>
      <w:tr w14:paraId="0EC09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13" w:type="dxa"/>
            <w:shd w:val="clear" w:color="auto" w:fill="FFFFFF"/>
            <w:vAlign w:val="center"/>
          </w:tcPr>
          <w:p w14:paraId="67C29C09">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r>
              <w:rPr>
                <w:rFonts w:hint="eastAsia" w:ascii="宋体" w:hAnsi="宋体" w:cs="宋体"/>
                <w:color w:val="auto"/>
                <w:kern w:val="0"/>
                <w:sz w:val="21"/>
                <w:szCs w:val="21"/>
                <w:highlight w:val="none"/>
              </w:rPr>
              <w:t>需求名称</w:t>
            </w:r>
          </w:p>
        </w:tc>
        <w:tc>
          <w:tcPr>
            <w:tcW w:w="1266" w:type="dxa"/>
            <w:shd w:val="clear" w:color="auto" w:fill="FFFFFF"/>
            <w:vAlign w:val="center"/>
          </w:tcPr>
          <w:p w14:paraId="2FE8FFEE">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olor w:val="auto"/>
                <w:sz w:val="21"/>
                <w:szCs w:val="21"/>
                <w:highlight w:val="none"/>
              </w:rPr>
            </w:pPr>
            <w:r>
              <w:rPr>
                <w:rFonts w:hint="eastAsia" w:ascii="宋体" w:hAnsi="宋体" w:cs="宋体"/>
                <w:color w:val="auto"/>
                <w:kern w:val="0"/>
                <w:sz w:val="21"/>
                <w:szCs w:val="21"/>
                <w:highlight w:val="none"/>
              </w:rPr>
              <w:t>序号</w:t>
            </w:r>
          </w:p>
        </w:tc>
        <w:tc>
          <w:tcPr>
            <w:tcW w:w="7939" w:type="dxa"/>
            <w:shd w:val="clear" w:color="auto" w:fill="FFFFFF"/>
            <w:vAlign w:val="center"/>
          </w:tcPr>
          <w:p w14:paraId="18AF0E34">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olor w:val="auto"/>
                <w:sz w:val="21"/>
                <w:szCs w:val="21"/>
                <w:highlight w:val="none"/>
              </w:rPr>
            </w:pPr>
            <w:r>
              <w:rPr>
                <w:rFonts w:hint="eastAsia" w:ascii="宋体" w:hAnsi="宋体" w:cs="宋体"/>
                <w:color w:val="auto"/>
                <w:kern w:val="0"/>
                <w:sz w:val="21"/>
                <w:szCs w:val="21"/>
                <w:highlight w:val="none"/>
              </w:rPr>
              <w:t>需求描述</w:t>
            </w:r>
          </w:p>
        </w:tc>
      </w:tr>
      <w:tr w14:paraId="5BC98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13" w:type="dxa"/>
            <w:vMerge w:val="restart"/>
            <w:shd w:val="clear" w:color="auto" w:fill="FFFFFF"/>
            <w:vAlign w:val="center"/>
          </w:tcPr>
          <w:p w14:paraId="0CACAFF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sz w:val="21"/>
                <w:szCs w:val="21"/>
                <w:highlight w:val="none"/>
              </w:rPr>
            </w:pPr>
            <w:r>
              <w:rPr>
                <w:rFonts w:hint="eastAsia" w:ascii="宋体" w:hAnsi="宋体" w:cs="宋体"/>
                <w:color w:val="auto"/>
                <w:sz w:val="21"/>
                <w:szCs w:val="21"/>
                <w:highlight w:val="none"/>
              </w:rPr>
              <w:t>基础信息维护系统</w:t>
            </w:r>
          </w:p>
        </w:tc>
        <w:tc>
          <w:tcPr>
            <w:tcW w:w="9205" w:type="dxa"/>
            <w:gridSpan w:val="2"/>
            <w:shd w:val="clear" w:color="auto" w:fill="FFFFFF"/>
            <w:vAlign w:val="center"/>
          </w:tcPr>
          <w:p w14:paraId="57E7342D">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 w:val="21"/>
                <w:szCs w:val="21"/>
                <w:highlight w:val="none"/>
              </w:rPr>
            </w:pPr>
            <w:r>
              <w:rPr>
                <w:rFonts w:hint="eastAsia" w:ascii="宋体" w:hAnsi="宋体"/>
                <w:color w:val="auto"/>
                <w:sz w:val="21"/>
                <w:szCs w:val="21"/>
                <w:highlight w:val="none"/>
              </w:rPr>
              <w:t>统一门户域</w:t>
            </w:r>
          </w:p>
        </w:tc>
      </w:tr>
      <w:tr w14:paraId="534F0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13" w:type="dxa"/>
            <w:vMerge w:val="continue"/>
            <w:shd w:val="clear" w:color="auto" w:fill="FFFFFF"/>
            <w:vAlign w:val="center"/>
          </w:tcPr>
          <w:p w14:paraId="5DE455A1">
            <w:pPr>
              <w:keepNext w:val="0"/>
              <w:keepLines w:val="0"/>
              <w:pageBreakBefore w:val="0"/>
              <w:widowControl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66" w:type="dxa"/>
            <w:shd w:val="clear" w:color="auto" w:fill="FFFFFF"/>
            <w:vAlign w:val="center"/>
          </w:tcPr>
          <w:p w14:paraId="1BB5FB06">
            <w:pPr>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olor w:val="auto"/>
                <w:sz w:val="21"/>
                <w:szCs w:val="21"/>
                <w:highlight w:val="none"/>
              </w:rPr>
            </w:pPr>
            <w:r>
              <w:rPr>
                <w:rFonts w:hint="eastAsia" w:ascii="宋体" w:hAnsi="宋体"/>
                <w:color w:val="auto"/>
                <w:sz w:val="21"/>
                <w:szCs w:val="21"/>
                <w:highlight w:val="none"/>
              </w:rPr>
              <w:t>租户管理</w:t>
            </w:r>
          </w:p>
        </w:tc>
        <w:tc>
          <w:tcPr>
            <w:tcW w:w="7939" w:type="dxa"/>
            <w:shd w:val="clear" w:color="auto" w:fill="FFFFFF"/>
            <w:vAlign w:val="center"/>
          </w:tcPr>
          <w:p w14:paraId="2F6BE07C">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提供产品销售包配置，针对不同规模的医院可制定对应的产品销售包，每个销售包可自行选择需要的产品及产品功能；</w:t>
            </w:r>
          </w:p>
          <w:p w14:paraId="588FBD94">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提供租户产品配置，每个租户可关联一个产品销售包，允许修改所关联产品销售包预定义的产品功能；租户一般为医联体、医疗集团、多院区医院，一个租户下存在多个医疗机构；</w:t>
            </w:r>
          </w:p>
          <w:p w14:paraId="1D68AA03">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提供基础数据账户配置，每个基础数据账户下包含一套基础数据；支持一个租户下的多个医疗机构可共用一套基础数据，也可分开管理；</w:t>
            </w:r>
          </w:p>
        </w:tc>
      </w:tr>
      <w:tr w14:paraId="518CB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13" w:type="dxa"/>
            <w:vMerge w:val="continue"/>
            <w:shd w:val="clear" w:color="auto" w:fill="FFFFFF"/>
            <w:vAlign w:val="center"/>
          </w:tcPr>
          <w:p w14:paraId="19DA3F33">
            <w:pPr>
              <w:keepNext w:val="0"/>
              <w:keepLines w:val="0"/>
              <w:pageBreakBefore w:val="0"/>
              <w:widowControl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66" w:type="dxa"/>
            <w:shd w:val="clear" w:color="auto" w:fill="FFFFFF"/>
            <w:vAlign w:val="center"/>
          </w:tcPr>
          <w:p w14:paraId="64B734C8">
            <w:pPr>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olor w:val="auto"/>
                <w:sz w:val="21"/>
                <w:szCs w:val="21"/>
                <w:highlight w:val="none"/>
              </w:rPr>
            </w:pPr>
            <w:r>
              <w:rPr>
                <w:rFonts w:hint="eastAsia" w:ascii="宋体" w:hAnsi="宋体"/>
                <w:color w:val="auto"/>
                <w:sz w:val="21"/>
                <w:szCs w:val="21"/>
                <w:highlight w:val="none"/>
              </w:rPr>
              <w:t>组织管理</w:t>
            </w:r>
          </w:p>
        </w:tc>
        <w:tc>
          <w:tcPr>
            <w:tcW w:w="7939" w:type="dxa"/>
            <w:shd w:val="clear" w:color="auto" w:fill="FFFFFF"/>
            <w:vAlign w:val="center"/>
          </w:tcPr>
          <w:p w14:paraId="6370D1C4">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提供机构配置功能，包括医疗机构、供应商、生产厂家、合作单位、客户单位等机构的维护；</w:t>
            </w:r>
          </w:p>
          <w:p w14:paraId="7A2C48BB">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机构归属于租户，默认使用租户的基础数据账户，但也可以设置独立的基础数据账户；</w:t>
            </w:r>
          </w:p>
          <w:p w14:paraId="0FEF29CB">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支持机构间业务关系维护，如机构间相互转诊业务、机构间互相挂号、机构间互相结算等；</w:t>
            </w:r>
          </w:p>
          <w:p w14:paraId="65230DF6">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提供部门配置功能，包括部门/科室、小组/团队、医疗组、护理组、窗口、诊室等部门的维护；</w:t>
            </w:r>
          </w:p>
          <w:p w14:paraId="0CDB7F92">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部门区分类型，包括医疗、专科、全科、护理、治疗、药房、放射、检验等，根据不同的类型维护不同的属性；</w:t>
            </w:r>
          </w:p>
          <w:p w14:paraId="5BB9B86A">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支持部门间业务关系维护，如就诊科室与护理单元关系、药房与病区发放关系、手术室与麻醉室关系等；</w:t>
            </w:r>
          </w:p>
          <w:p w14:paraId="7EE49312">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提供人员配置功能，新增医疗机构的用户信息，设置用户角色和所属部门；</w:t>
            </w:r>
          </w:p>
          <w:p w14:paraId="21EB0E34">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提供库存配置功能；</w:t>
            </w:r>
          </w:p>
        </w:tc>
      </w:tr>
      <w:tr w14:paraId="4FD1A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13" w:type="dxa"/>
            <w:vMerge w:val="continue"/>
            <w:shd w:val="clear" w:color="auto" w:fill="FFFFFF"/>
            <w:vAlign w:val="center"/>
          </w:tcPr>
          <w:p w14:paraId="1DD635C4">
            <w:pPr>
              <w:keepNext w:val="0"/>
              <w:keepLines w:val="0"/>
              <w:pageBreakBefore w:val="0"/>
              <w:widowControl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66" w:type="dxa"/>
            <w:shd w:val="clear" w:color="auto" w:fill="FFFFFF"/>
            <w:vAlign w:val="center"/>
          </w:tcPr>
          <w:p w14:paraId="3DD956FA">
            <w:pPr>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olor w:val="auto"/>
                <w:sz w:val="21"/>
                <w:szCs w:val="21"/>
                <w:highlight w:val="none"/>
              </w:rPr>
            </w:pPr>
            <w:r>
              <w:rPr>
                <w:rFonts w:hint="eastAsia" w:ascii="宋体" w:hAnsi="宋体"/>
                <w:color w:val="auto"/>
                <w:sz w:val="21"/>
                <w:szCs w:val="21"/>
                <w:highlight w:val="none"/>
              </w:rPr>
              <w:t>权限管理</w:t>
            </w:r>
          </w:p>
        </w:tc>
        <w:tc>
          <w:tcPr>
            <w:tcW w:w="7939" w:type="dxa"/>
            <w:shd w:val="clear" w:color="auto" w:fill="FFFFFF"/>
            <w:vAlign w:val="center"/>
          </w:tcPr>
          <w:p w14:paraId="55EA8631">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提供用户角色配置功能，包括管理员、收费员、主治医师、主任医师、病区护士、技师、药剂师等；</w:t>
            </w:r>
          </w:p>
          <w:p w14:paraId="212AE9AF">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提供功能配置，自定义系统的产品功能；</w:t>
            </w:r>
          </w:p>
          <w:p w14:paraId="065396ED">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提供部门权限配置；</w:t>
            </w:r>
          </w:p>
        </w:tc>
      </w:tr>
      <w:tr w14:paraId="33C24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13" w:type="dxa"/>
            <w:vMerge w:val="continue"/>
            <w:shd w:val="clear" w:color="auto" w:fill="FFFFFF"/>
            <w:vAlign w:val="center"/>
          </w:tcPr>
          <w:p w14:paraId="38D9B4FA">
            <w:pPr>
              <w:keepNext w:val="0"/>
              <w:keepLines w:val="0"/>
              <w:pageBreakBefore w:val="0"/>
              <w:widowControl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66" w:type="dxa"/>
            <w:shd w:val="clear" w:color="auto" w:fill="FFFFFF"/>
            <w:vAlign w:val="center"/>
          </w:tcPr>
          <w:p w14:paraId="13009B09">
            <w:pPr>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olor w:val="auto"/>
                <w:sz w:val="21"/>
                <w:szCs w:val="21"/>
                <w:highlight w:val="none"/>
              </w:rPr>
            </w:pPr>
            <w:r>
              <w:rPr>
                <w:rFonts w:hint="eastAsia" w:ascii="宋体" w:hAnsi="宋体"/>
                <w:color w:val="auto"/>
                <w:sz w:val="21"/>
                <w:szCs w:val="21"/>
                <w:highlight w:val="none"/>
              </w:rPr>
              <w:t>标准管理</w:t>
            </w:r>
          </w:p>
        </w:tc>
        <w:tc>
          <w:tcPr>
            <w:tcW w:w="7939" w:type="dxa"/>
            <w:shd w:val="clear" w:color="auto" w:fill="FFFFFF"/>
            <w:vAlign w:val="center"/>
          </w:tcPr>
          <w:p w14:paraId="1948754C">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支持数据类字典维护功能，如保险计划、皮试液类型、包装单位类型、疾病分类等等；</w:t>
            </w:r>
          </w:p>
          <w:p w14:paraId="0BC8B3F6">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支持系统参数配置，包括参数生效时间、失效时间、默认值的设置；</w:t>
            </w:r>
          </w:p>
          <w:p w14:paraId="2DACA58E">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提供字典回收站功能；</w:t>
            </w:r>
          </w:p>
          <w:p w14:paraId="53581379">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提供参数限定配置功能，可设置参数使用的限定条件；</w:t>
            </w:r>
          </w:p>
          <w:p w14:paraId="74EFEF75">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提供标准编码配置功能，如静配中心配置条码、打包条码、装箱条码的生成规则配置；</w:t>
            </w:r>
          </w:p>
        </w:tc>
      </w:tr>
      <w:tr w14:paraId="2AD59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13" w:type="dxa"/>
            <w:vMerge w:val="continue"/>
            <w:shd w:val="clear" w:color="auto" w:fill="FFFFFF"/>
            <w:vAlign w:val="center"/>
          </w:tcPr>
          <w:p w14:paraId="3F4E22A5">
            <w:pPr>
              <w:keepNext w:val="0"/>
              <w:keepLines w:val="0"/>
              <w:pageBreakBefore w:val="0"/>
              <w:widowControl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66" w:type="dxa"/>
            <w:shd w:val="clear" w:color="auto" w:fill="FFFFFF"/>
            <w:vAlign w:val="center"/>
          </w:tcPr>
          <w:p w14:paraId="3393DBB9">
            <w:pPr>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olor w:val="auto"/>
                <w:sz w:val="21"/>
                <w:szCs w:val="21"/>
                <w:highlight w:val="none"/>
              </w:rPr>
            </w:pPr>
            <w:r>
              <w:rPr>
                <w:rFonts w:hint="eastAsia" w:ascii="宋体" w:hAnsi="宋体"/>
                <w:color w:val="auto"/>
                <w:sz w:val="21"/>
                <w:szCs w:val="21"/>
                <w:highlight w:val="none"/>
              </w:rPr>
              <w:t>日历日期</w:t>
            </w:r>
          </w:p>
        </w:tc>
        <w:tc>
          <w:tcPr>
            <w:tcW w:w="7939" w:type="dxa"/>
            <w:shd w:val="clear" w:color="auto" w:fill="FFFFFF"/>
            <w:vAlign w:val="center"/>
          </w:tcPr>
          <w:p w14:paraId="4A61227F">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提供日历日期维护；</w:t>
            </w:r>
          </w:p>
          <w:p w14:paraId="0B753742">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提供日历日期分组维护，用来维护每一种排班（比如门诊排班）的时间划分；</w:t>
            </w:r>
          </w:p>
        </w:tc>
      </w:tr>
      <w:tr w14:paraId="7DB19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13" w:type="dxa"/>
            <w:vMerge w:val="continue"/>
            <w:shd w:val="clear" w:color="auto" w:fill="FFFFFF"/>
            <w:vAlign w:val="center"/>
          </w:tcPr>
          <w:p w14:paraId="605A270D">
            <w:pPr>
              <w:keepNext w:val="0"/>
              <w:keepLines w:val="0"/>
              <w:pageBreakBefore w:val="0"/>
              <w:widowControl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66" w:type="dxa"/>
            <w:shd w:val="clear" w:color="auto" w:fill="FFFFFF"/>
            <w:vAlign w:val="center"/>
          </w:tcPr>
          <w:p w14:paraId="7D98FAB5">
            <w:pPr>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olor w:val="auto"/>
                <w:sz w:val="21"/>
                <w:szCs w:val="21"/>
                <w:highlight w:val="none"/>
              </w:rPr>
            </w:pPr>
            <w:r>
              <w:rPr>
                <w:rFonts w:hint="eastAsia" w:ascii="宋体" w:hAnsi="宋体"/>
                <w:color w:val="auto"/>
                <w:sz w:val="21"/>
                <w:szCs w:val="21"/>
                <w:highlight w:val="none"/>
              </w:rPr>
              <w:t>选项设置</w:t>
            </w:r>
          </w:p>
        </w:tc>
        <w:tc>
          <w:tcPr>
            <w:tcW w:w="7939" w:type="dxa"/>
            <w:shd w:val="clear" w:color="auto" w:fill="FFFFFF"/>
            <w:vAlign w:val="center"/>
          </w:tcPr>
          <w:p w14:paraId="70D6DB8D">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提供用户设置、系统设置、全局设置、单点登录维护功能；</w:t>
            </w:r>
          </w:p>
        </w:tc>
      </w:tr>
      <w:tr w14:paraId="1CB72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13" w:type="dxa"/>
            <w:vMerge w:val="continue"/>
            <w:shd w:val="clear" w:color="auto" w:fill="FFFFFF"/>
            <w:vAlign w:val="center"/>
          </w:tcPr>
          <w:p w14:paraId="21C7BA02">
            <w:pPr>
              <w:keepNext w:val="0"/>
              <w:keepLines w:val="0"/>
              <w:pageBreakBefore w:val="0"/>
              <w:widowControl w:val="0"/>
              <w:numPr>
                <w:ilvl w:val="1"/>
                <w:numId w:val="15"/>
              </w:numPr>
              <w:kinsoku/>
              <w:wordWrap/>
              <w:overflowPunct/>
              <w:topLinePunct w:val="0"/>
              <w:autoSpaceDE/>
              <w:autoSpaceDN/>
              <w:bidi w:val="0"/>
              <w:adjustRightInd w:val="0"/>
              <w:snapToGrid w:val="0"/>
              <w:spacing w:line="360" w:lineRule="auto"/>
              <w:ind w:left="0" w:firstLine="0"/>
              <w:jc w:val="left"/>
              <w:textAlignment w:val="auto"/>
              <w:rPr>
                <w:rFonts w:ascii="宋体" w:hAnsi="宋体"/>
                <w:color w:val="auto"/>
                <w:sz w:val="21"/>
                <w:szCs w:val="21"/>
                <w:highlight w:val="none"/>
              </w:rPr>
            </w:pPr>
          </w:p>
        </w:tc>
        <w:tc>
          <w:tcPr>
            <w:tcW w:w="9205" w:type="dxa"/>
            <w:gridSpan w:val="2"/>
            <w:shd w:val="clear" w:color="auto" w:fill="FFFFFF"/>
            <w:vAlign w:val="center"/>
          </w:tcPr>
          <w:p w14:paraId="063790B5">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olor w:val="auto"/>
                <w:sz w:val="21"/>
                <w:szCs w:val="21"/>
                <w:highlight w:val="none"/>
              </w:rPr>
            </w:pPr>
            <w:r>
              <w:rPr>
                <w:rFonts w:hint="eastAsia" w:ascii="宋体" w:hAnsi="宋体"/>
                <w:color w:val="auto"/>
                <w:sz w:val="21"/>
                <w:szCs w:val="21"/>
                <w:highlight w:val="none"/>
              </w:rPr>
              <w:t>基础数据域</w:t>
            </w:r>
          </w:p>
        </w:tc>
      </w:tr>
      <w:tr w14:paraId="6C1F9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13" w:type="dxa"/>
            <w:vMerge w:val="continue"/>
            <w:shd w:val="clear" w:color="auto" w:fill="FFFFFF"/>
            <w:vAlign w:val="center"/>
          </w:tcPr>
          <w:p w14:paraId="39B275E4">
            <w:pPr>
              <w:keepNext w:val="0"/>
              <w:keepLines w:val="0"/>
              <w:pageBreakBefore w:val="0"/>
              <w:widowControl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66" w:type="dxa"/>
            <w:shd w:val="clear" w:color="auto" w:fill="FFFFFF"/>
            <w:vAlign w:val="center"/>
          </w:tcPr>
          <w:p w14:paraId="0E617290">
            <w:pPr>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olor w:val="auto"/>
                <w:sz w:val="21"/>
                <w:szCs w:val="21"/>
                <w:highlight w:val="none"/>
              </w:rPr>
            </w:pPr>
            <w:r>
              <w:rPr>
                <w:rFonts w:hint="eastAsia" w:ascii="宋体" w:hAnsi="宋体"/>
                <w:color w:val="auto"/>
                <w:sz w:val="21"/>
                <w:szCs w:val="21"/>
                <w:highlight w:val="none"/>
              </w:rPr>
              <w:t>医健服务</w:t>
            </w:r>
          </w:p>
        </w:tc>
        <w:tc>
          <w:tcPr>
            <w:tcW w:w="7939" w:type="dxa"/>
            <w:shd w:val="clear" w:color="auto" w:fill="FFFFFF"/>
            <w:vAlign w:val="center"/>
          </w:tcPr>
          <w:p w14:paraId="4B74C3C5">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支持医健服务项目的增加，修改与注销；</w:t>
            </w:r>
          </w:p>
          <w:p w14:paraId="59874504">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支持医健服务项目变动的审核功能；</w:t>
            </w:r>
          </w:p>
          <w:p w14:paraId="356F8C3C">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支持各类医健服务的组合类型，包括非组合项、指标组合项、服务组合项、服务组合包；</w:t>
            </w:r>
          </w:p>
          <w:p w14:paraId="1363B536">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支持检验、检查、手术、治疗、护理、饮食、出院、会诊、转科、费用项目维护，可设置基本属性、扩展属性；</w:t>
            </w:r>
          </w:p>
          <w:p w14:paraId="732BA32B">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支持服务项目可配置指定医嘱医疗单，实现个性化开嘱；</w:t>
            </w:r>
          </w:p>
        </w:tc>
      </w:tr>
      <w:tr w14:paraId="6B4B1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13" w:type="dxa"/>
            <w:vMerge w:val="continue"/>
            <w:shd w:val="clear" w:color="auto" w:fill="FFFFFF"/>
            <w:vAlign w:val="center"/>
          </w:tcPr>
          <w:p w14:paraId="1412AA32">
            <w:pPr>
              <w:keepNext w:val="0"/>
              <w:keepLines w:val="0"/>
              <w:pageBreakBefore w:val="0"/>
              <w:widowControl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66" w:type="dxa"/>
            <w:shd w:val="clear" w:color="auto" w:fill="FFFFFF"/>
            <w:vAlign w:val="center"/>
          </w:tcPr>
          <w:p w14:paraId="2B17F657">
            <w:pPr>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olor w:val="auto"/>
                <w:sz w:val="21"/>
                <w:szCs w:val="21"/>
                <w:highlight w:val="none"/>
              </w:rPr>
            </w:pPr>
            <w:r>
              <w:rPr>
                <w:rFonts w:hint="eastAsia" w:ascii="宋体" w:hAnsi="宋体"/>
                <w:color w:val="auto"/>
                <w:sz w:val="21"/>
                <w:szCs w:val="21"/>
                <w:highlight w:val="none"/>
              </w:rPr>
              <w:t>医健物品</w:t>
            </w:r>
          </w:p>
        </w:tc>
        <w:tc>
          <w:tcPr>
            <w:tcW w:w="7939" w:type="dxa"/>
            <w:shd w:val="clear" w:color="auto" w:fill="FFFFFF"/>
            <w:vAlign w:val="center"/>
          </w:tcPr>
          <w:p w14:paraId="51522798">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药品、材料等医疗物品维护，包括生产厂商、规格、基本单位、库存单位、价格、条码等信息维护。医健物品必须关联药品/耗材类服务项目，医生按服务项目(药品通用名、耗材通用名)开立医嘱，在执行节点绑定具体医疗物品扣减库存并计费；</w:t>
            </w:r>
          </w:p>
          <w:p w14:paraId="57C5D0B4">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提供医用耗材标准字典库，以国家药品监督管理局耗材为依据建立；</w:t>
            </w:r>
          </w:p>
          <w:p w14:paraId="5AE4651A">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支持医用耗材分类管理，共8大类，下分47个子类,121个子类。依据《医保耗材分类与代码》、《医院财务会计制度》标准分类；</w:t>
            </w:r>
          </w:p>
          <w:p w14:paraId="07077CE0">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支持医疗器械类耗材目录按68码分类进行管理；</w:t>
            </w:r>
          </w:p>
          <w:p w14:paraId="454E5C77">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支持药品供应协议维护，维护物品与供应商之间的合同，一种医疗物品会有多家供应商，不同的供应商的价格不同；</w:t>
            </w:r>
          </w:p>
          <w:p w14:paraId="6A3E18D2">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支持仓库申领关系维护，维护药品库房、或材料库房之间物品的申领关系；</w:t>
            </w:r>
          </w:p>
        </w:tc>
      </w:tr>
      <w:tr w14:paraId="3F42C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13" w:type="dxa"/>
            <w:vMerge w:val="continue"/>
            <w:shd w:val="clear" w:color="auto" w:fill="FFFFFF"/>
            <w:vAlign w:val="center"/>
          </w:tcPr>
          <w:p w14:paraId="3AC1AF4A">
            <w:pPr>
              <w:keepNext w:val="0"/>
              <w:keepLines w:val="0"/>
              <w:pageBreakBefore w:val="0"/>
              <w:widowControl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66" w:type="dxa"/>
            <w:shd w:val="clear" w:color="auto" w:fill="FFFFFF"/>
            <w:vAlign w:val="center"/>
          </w:tcPr>
          <w:p w14:paraId="336E6CF2">
            <w:pPr>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olor w:val="auto"/>
                <w:sz w:val="21"/>
                <w:szCs w:val="21"/>
                <w:highlight w:val="none"/>
              </w:rPr>
            </w:pPr>
            <w:r>
              <w:rPr>
                <w:rFonts w:hint="eastAsia" w:ascii="宋体" w:hAnsi="宋体"/>
                <w:color w:val="auto"/>
                <w:sz w:val="21"/>
                <w:szCs w:val="21"/>
                <w:highlight w:val="none"/>
              </w:rPr>
              <w:t>手术项</w:t>
            </w:r>
          </w:p>
        </w:tc>
        <w:tc>
          <w:tcPr>
            <w:tcW w:w="7939" w:type="dxa"/>
            <w:shd w:val="clear" w:color="auto" w:fill="FFFFFF"/>
            <w:vAlign w:val="center"/>
          </w:tcPr>
          <w:p w14:paraId="2E564932">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手术项目维护，遵循医保部门ICD-9-CM-3的编码规则，维护手术编码(章、类目、亚目、细目)、手术名称、手术时长、手术分级等信息，手术项必须关联手术类服务项目，医生按服务项目(手术通用名)申请手术，在执行节点绑定具体手术项进行计费；</w:t>
            </w:r>
          </w:p>
        </w:tc>
      </w:tr>
      <w:tr w14:paraId="39FEF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13" w:type="dxa"/>
            <w:vMerge w:val="continue"/>
            <w:shd w:val="clear" w:color="auto" w:fill="FFFFFF"/>
            <w:vAlign w:val="center"/>
          </w:tcPr>
          <w:p w14:paraId="011A1894">
            <w:pPr>
              <w:keepNext w:val="0"/>
              <w:keepLines w:val="0"/>
              <w:pageBreakBefore w:val="0"/>
              <w:widowControl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66" w:type="dxa"/>
            <w:shd w:val="clear" w:color="auto" w:fill="FFFFFF"/>
            <w:vAlign w:val="center"/>
          </w:tcPr>
          <w:p w14:paraId="612D878E">
            <w:pPr>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olor w:val="auto"/>
                <w:sz w:val="21"/>
                <w:szCs w:val="21"/>
                <w:highlight w:val="none"/>
              </w:rPr>
            </w:pPr>
            <w:r>
              <w:rPr>
                <w:rFonts w:hint="eastAsia" w:ascii="宋体" w:hAnsi="宋体"/>
                <w:color w:val="auto"/>
                <w:sz w:val="21"/>
                <w:szCs w:val="21"/>
                <w:highlight w:val="none"/>
              </w:rPr>
              <w:t>指标项</w:t>
            </w:r>
          </w:p>
        </w:tc>
        <w:tc>
          <w:tcPr>
            <w:tcW w:w="7939" w:type="dxa"/>
            <w:shd w:val="clear" w:color="auto" w:fill="FFFFFF"/>
            <w:vAlign w:val="center"/>
          </w:tcPr>
          <w:p w14:paraId="2AB64FB8">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支持检验项目指标项维护，一个检验类服务项目可以关联多个检验项目指标项，医嘱开立时可以选择开立一个或多个指标项；</w:t>
            </w:r>
          </w:p>
          <w:p w14:paraId="2F1D11D3">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支持检查部位指标项维护，一个检查类服务项目可以对应多个检查部位指标项，医嘱开立时可以选择开立一个或多个指标项；</w:t>
            </w:r>
          </w:p>
          <w:p w14:paraId="0941862D">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支持护理指标项维护，一个护理类服务项目可以对应多个护理指标项，医嘱开立时可以选择开立一个或多个指标项；</w:t>
            </w:r>
          </w:p>
          <w:p w14:paraId="31C51A81">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支持血液成分指标项维护，一个血液类服务项目只可以对应一个护理指标项；</w:t>
            </w:r>
          </w:p>
          <w:p w14:paraId="71969C81">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支持指标组合服务项目按指标个数范围进行定价。</w:t>
            </w:r>
          </w:p>
        </w:tc>
      </w:tr>
      <w:tr w14:paraId="7A419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13" w:type="dxa"/>
            <w:vMerge w:val="continue"/>
            <w:shd w:val="clear" w:color="auto" w:fill="FFFFFF"/>
            <w:vAlign w:val="center"/>
          </w:tcPr>
          <w:p w14:paraId="04A2747B">
            <w:pPr>
              <w:keepNext w:val="0"/>
              <w:keepLines w:val="0"/>
              <w:pageBreakBefore w:val="0"/>
              <w:widowControl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66" w:type="dxa"/>
            <w:shd w:val="clear" w:color="auto" w:fill="FFFFFF"/>
            <w:vAlign w:val="center"/>
          </w:tcPr>
          <w:p w14:paraId="675B3380">
            <w:pPr>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olor w:val="auto"/>
                <w:sz w:val="21"/>
                <w:szCs w:val="21"/>
                <w:highlight w:val="none"/>
              </w:rPr>
            </w:pPr>
            <w:r>
              <w:rPr>
                <w:rFonts w:hint="eastAsia" w:ascii="宋体" w:hAnsi="宋体"/>
                <w:color w:val="auto"/>
                <w:sz w:val="21"/>
                <w:szCs w:val="21"/>
                <w:highlight w:val="none"/>
              </w:rPr>
              <w:t>疾病与健康</w:t>
            </w:r>
          </w:p>
        </w:tc>
        <w:tc>
          <w:tcPr>
            <w:tcW w:w="7939" w:type="dxa"/>
            <w:shd w:val="clear" w:color="auto" w:fill="FFFFFF"/>
            <w:vAlign w:val="center"/>
          </w:tcPr>
          <w:p w14:paraId="30D3A4C5">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支持疾病编码维护，包括中医疾病编码和西医疾病编码，采用国际疾病分类ICD10标准，维护疾病名称、代码及疾病的限制条件，如性别、年龄、治愈方式、控制方式；</w:t>
            </w:r>
          </w:p>
          <w:p w14:paraId="4264E94A">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支持健康问题维护，按照国家标准维护一套健康问题，说明健康所属的国家体系。同时，健康必须关联疾病；</w:t>
            </w:r>
          </w:p>
          <w:p w14:paraId="34569FEA">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支持主诉术语维护，设计一套医嘱陈述的标准。如程度术语、方位术语、部位术语、症状术语、期间术语；</w:t>
            </w:r>
          </w:p>
        </w:tc>
      </w:tr>
      <w:tr w14:paraId="3D5D5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13" w:type="dxa"/>
            <w:vMerge w:val="continue"/>
            <w:shd w:val="clear" w:color="auto" w:fill="FFFFFF"/>
            <w:vAlign w:val="center"/>
          </w:tcPr>
          <w:p w14:paraId="41C8F142">
            <w:pPr>
              <w:keepNext w:val="0"/>
              <w:keepLines w:val="0"/>
              <w:pageBreakBefore w:val="0"/>
              <w:widowControl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66" w:type="dxa"/>
            <w:shd w:val="clear" w:color="auto" w:fill="FFFFFF"/>
            <w:vAlign w:val="center"/>
          </w:tcPr>
          <w:p w14:paraId="54DC4BDD">
            <w:pPr>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olor w:val="auto"/>
                <w:sz w:val="21"/>
                <w:szCs w:val="21"/>
                <w:highlight w:val="none"/>
              </w:rPr>
            </w:pPr>
            <w:r>
              <w:rPr>
                <w:rFonts w:hint="eastAsia" w:ascii="宋体" w:hAnsi="宋体"/>
                <w:color w:val="auto"/>
                <w:sz w:val="21"/>
                <w:szCs w:val="21"/>
                <w:highlight w:val="none"/>
              </w:rPr>
              <w:t>频次用法</w:t>
            </w:r>
          </w:p>
        </w:tc>
        <w:tc>
          <w:tcPr>
            <w:tcW w:w="7939" w:type="dxa"/>
            <w:shd w:val="clear" w:color="auto" w:fill="FFFFFF"/>
            <w:vAlign w:val="center"/>
          </w:tcPr>
          <w:p w14:paraId="225743CA">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支持服务频次维护，频次类型包括重复类型(Bid、Tid)、临时类型(St、Qd)、持续类型(q1h、q8h)、计划类型和备用类型；</w:t>
            </w:r>
          </w:p>
          <w:p w14:paraId="08D06272">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支持服务用法及用法要求维护，用法需绑定服务类型，如西药及中成药用法及用法要求(口服，早晚各一次)，草药用法及用法要求(煎服，睡前复用)；</w:t>
            </w:r>
          </w:p>
        </w:tc>
      </w:tr>
      <w:tr w14:paraId="47744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13" w:type="dxa"/>
            <w:vMerge w:val="continue"/>
            <w:shd w:val="clear" w:color="auto" w:fill="FFFFFF"/>
            <w:vAlign w:val="center"/>
          </w:tcPr>
          <w:p w14:paraId="41B3417E">
            <w:pPr>
              <w:keepNext w:val="0"/>
              <w:keepLines w:val="0"/>
              <w:pageBreakBefore w:val="0"/>
              <w:widowControl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66" w:type="dxa"/>
            <w:shd w:val="clear" w:color="auto" w:fill="FFFFFF"/>
            <w:vAlign w:val="center"/>
          </w:tcPr>
          <w:p w14:paraId="14E45D30">
            <w:pPr>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olor w:val="auto"/>
                <w:sz w:val="21"/>
                <w:szCs w:val="21"/>
                <w:highlight w:val="none"/>
              </w:rPr>
            </w:pPr>
            <w:r>
              <w:rPr>
                <w:rFonts w:hint="eastAsia" w:ascii="宋体" w:hAnsi="宋体"/>
                <w:color w:val="auto"/>
                <w:sz w:val="21"/>
                <w:szCs w:val="21"/>
                <w:highlight w:val="none"/>
              </w:rPr>
              <w:t>服务模板</w:t>
            </w:r>
          </w:p>
        </w:tc>
        <w:tc>
          <w:tcPr>
            <w:tcW w:w="7939" w:type="dxa"/>
            <w:shd w:val="clear" w:color="auto" w:fill="FFFFFF"/>
            <w:vAlign w:val="center"/>
          </w:tcPr>
          <w:p w14:paraId="17D7A8D2">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支持服务开立模板维护，将多个服务项目进行组合，形成一个服务模板，在医嘱开立时直接调用预定义的服务模板就可以将这组服务项目一并开立。服务模板的应用范围可以是机构、部门/科室、个人；</w:t>
            </w:r>
          </w:p>
        </w:tc>
      </w:tr>
      <w:tr w14:paraId="5E401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13" w:type="dxa"/>
            <w:vMerge w:val="continue"/>
            <w:shd w:val="clear" w:color="auto" w:fill="FFFFFF"/>
            <w:vAlign w:val="center"/>
          </w:tcPr>
          <w:p w14:paraId="5273BB09">
            <w:pPr>
              <w:keepNext w:val="0"/>
              <w:keepLines w:val="0"/>
              <w:pageBreakBefore w:val="0"/>
              <w:widowControl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66" w:type="dxa"/>
            <w:shd w:val="clear" w:color="auto" w:fill="FFFFFF"/>
            <w:vAlign w:val="center"/>
          </w:tcPr>
          <w:p w14:paraId="3CDB2362">
            <w:pPr>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olor w:val="auto"/>
                <w:sz w:val="21"/>
                <w:szCs w:val="21"/>
                <w:highlight w:val="none"/>
              </w:rPr>
            </w:pPr>
            <w:r>
              <w:rPr>
                <w:rFonts w:hint="eastAsia" w:ascii="宋体" w:hAnsi="宋体"/>
                <w:color w:val="auto"/>
                <w:sz w:val="21"/>
                <w:szCs w:val="21"/>
                <w:highlight w:val="none"/>
              </w:rPr>
              <w:t>医健服务其他</w:t>
            </w:r>
          </w:p>
        </w:tc>
        <w:tc>
          <w:tcPr>
            <w:tcW w:w="7939" w:type="dxa"/>
            <w:shd w:val="clear" w:color="auto" w:fill="FFFFFF"/>
            <w:vAlign w:val="center"/>
          </w:tcPr>
          <w:p w14:paraId="3DE93BA5">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支持药品、手术、检查、检验等服务开立权限维护，对开立人员、开立级别、开立数量、开立天数进行控制，如抗生素开立权限管理，精神类药品开立权限管理；</w:t>
            </w:r>
          </w:p>
          <w:p w14:paraId="37A20900">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支持多个服务同时开立的互斥规则维护，有提醒、禁止、停止、全排斥；</w:t>
            </w:r>
          </w:p>
        </w:tc>
      </w:tr>
      <w:tr w14:paraId="2B2B3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13" w:type="dxa"/>
            <w:vMerge w:val="continue"/>
            <w:shd w:val="clear" w:color="auto" w:fill="FFFFFF"/>
            <w:vAlign w:val="center"/>
          </w:tcPr>
          <w:p w14:paraId="5C22B8D4">
            <w:pPr>
              <w:keepNext w:val="0"/>
              <w:keepLines w:val="0"/>
              <w:pageBreakBefore w:val="0"/>
              <w:widowControl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66" w:type="dxa"/>
            <w:shd w:val="clear" w:color="auto" w:fill="FFFFFF"/>
            <w:vAlign w:val="center"/>
          </w:tcPr>
          <w:p w14:paraId="3B198A56">
            <w:pPr>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olor w:val="auto"/>
                <w:sz w:val="21"/>
                <w:szCs w:val="21"/>
                <w:highlight w:val="none"/>
              </w:rPr>
            </w:pPr>
            <w:r>
              <w:rPr>
                <w:rFonts w:hint="eastAsia" w:ascii="宋体" w:hAnsi="宋体"/>
                <w:color w:val="auto"/>
                <w:sz w:val="21"/>
                <w:szCs w:val="21"/>
                <w:highlight w:val="none"/>
              </w:rPr>
              <w:t>医健流程及记录</w:t>
            </w:r>
          </w:p>
        </w:tc>
        <w:tc>
          <w:tcPr>
            <w:tcW w:w="7939" w:type="dxa"/>
            <w:shd w:val="clear" w:color="auto" w:fill="FFFFFF"/>
            <w:vAlign w:val="center"/>
          </w:tcPr>
          <w:p w14:paraId="5DDCDF9B">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支持院内就诊流程维护，患者院内就医进入一个具体的流程，就医结束流程。院内流程包括门诊、住院、体检、急诊等流程。在进入流程时，需要关联不同的流程点和票据；</w:t>
            </w:r>
          </w:p>
          <w:p w14:paraId="7D7B1964">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支持医嘱流向维护，在医嘱执行中，服务项目的流向科室，可以根据服务类型、用法、时刻确定执行科室；</w:t>
            </w:r>
          </w:p>
          <w:p w14:paraId="768A1A98">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支持医健记录模板维护，满足业务中对于不同模板的需求，包括病历概要、门急诊病历、住院病案首页、入院记录、出院记录、住院病程记录、出院小结、护理计划等等；</w:t>
            </w:r>
          </w:p>
        </w:tc>
      </w:tr>
      <w:tr w14:paraId="2E1FF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13" w:type="dxa"/>
            <w:vMerge w:val="continue"/>
            <w:shd w:val="clear" w:color="auto" w:fill="FFFFFF"/>
            <w:vAlign w:val="center"/>
          </w:tcPr>
          <w:p w14:paraId="32EDC580">
            <w:pPr>
              <w:keepNext w:val="0"/>
              <w:keepLines w:val="0"/>
              <w:pageBreakBefore w:val="0"/>
              <w:widowControl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66" w:type="dxa"/>
            <w:shd w:val="clear" w:color="auto" w:fill="FFFFFF"/>
            <w:vAlign w:val="center"/>
          </w:tcPr>
          <w:p w14:paraId="66BE9BA9">
            <w:pPr>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olor w:val="auto"/>
                <w:sz w:val="21"/>
                <w:szCs w:val="21"/>
                <w:highlight w:val="none"/>
              </w:rPr>
            </w:pPr>
            <w:r>
              <w:rPr>
                <w:rFonts w:hint="eastAsia" w:ascii="宋体" w:hAnsi="宋体"/>
                <w:color w:val="auto"/>
                <w:sz w:val="21"/>
                <w:szCs w:val="21"/>
                <w:highlight w:val="none"/>
              </w:rPr>
              <w:t>医嘱状态</w:t>
            </w:r>
          </w:p>
        </w:tc>
        <w:tc>
          <w:tcPr>
            <w:tcW w:w="7939" w:type="dxa"/>
            <w:shd w:val="clear" w:color="auto" w:fill="FFFFFF"/>
            <w:vAlign w:val="center"/>
          </w:tcPr>
          <w:p w14:paraId="39668C45">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支持医嘱状态维护，根据医健流程类型、服务项目类型定义医嘱过程状态，如住院流程的药品医嘱状态包括新开立、新签署、已提交、已复核、已退回、已发药等；</w:t>
            </w:r>
          </w:p>
        </w:tc>
      </w:tr>
      <w:tr w14:paraId="76BCF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13" w:type="dxa"/>
            <w:vMerge w:val="continue"/>
            <w:shd w:val="clear" w:color="auto" w:fill="FFFFFF"/>
            <w:vAlign w:val="center"/>
          </w:tcPr>
          <w:p w14:paraId="1CA4E896">
            <w:pPr>
              <w:keepNext w:val="0"/>
              <w:keepLines w:val="0"/>
              <w:pageBreakBefore w:val="0"/>
              <w:widowControl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66" w:type="dxa"/>
            <w:shd w:val="clear" w:color="auto" w:fill="FFFFFF"/>
            <w:vAlign w:val="center"/>
          </w:tcPr>
          <w:p w14:paraId="7D7B9429">
            <w:pPr>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olor w:val="auto"/>
                <w:sz w:val="21"/>
                <w:szCs w:val="21"/>
                <w:highlight w:val="none"/>
              </w:rPr>
            </w:pPr>
            <w:r>
              <w:rPr>
                <w:rFonts w:hint="eastAsia" w:ascii="宋体" w:hAnsi="宋体"/>
                <w:color w:val="auto"/>
                <w:sz w:val="21"/>
                <w:szCs w:val="21"/>
                <w:highlight w:val="none"/>
              </w:rPr>
              <w:t>价格策略</w:t>
            </w:r>
          </w:p>
        </w:tc>
        <w:tc>
          <w:tcPr>
            <w:tcW w:w="7939" w:type="dxa"/>
            <w:shd w:val="clear" w:color="auto" w:fill="FFFFFF"/>
            <w:vAlign w:val="center"/>
          </w:tcPr>
          <w:p w14:paraId="08EFE8A7">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支持价格策略维护，不同机构有着不同的价格策略；价格可以面向机构，也可以面向患者。面向机构一个机构使用统一的价格分类，面向患者提供多套价格体系；</w:t>
            </w:r>
          </w:p>
        </w:tc>
      </w:tr>
      <w:tr w14:paraId="6EDE6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13" w:type="dxa"/>
            <w:vMerge w:val="continue"/>
            <w:shd w:val="clear" w:color="auto" w:fill="FFFFFF"/>
            <w:vAlign w:val="center"/>
          </w:tcPr>
          <w:p w14:paraId="4A4D6B07">
            <w:pPr>
              <w:keepNext w:val="0"/>
              <w:keepLines w:val="0"/>
              <w:pageBreakBefore w:val="0"/>
              <w:widowControl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66" w:type="dxa"/>
            <w:shd w:val="clear" w:color="auto" w:fill="FFFFFF"/>
            <w:vAlign w:val="center"/>
          </w:tcPr>
          <w:p w14:paraId="170FD9C4">
            <w:pPr>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olor w:val="auto"/>
                <w:sz w:val="21"/>
                <w:szCs w:val="21"/>
                <w:highlight w:val="none"/>
              </w:rPr>
            </w:pPr>
            <w:r>
              <w:rPr>
                <w:rFonts w:hint="eastAsia" w:ascii="宋体" w:hAnsi="宋体"/>
                <w:color w:val="auto"/>
                <w:sz w:val="21"/>
                <w:szCs w:val="21"/>
                <w:highlight w:val="none"/>
              </w:rPr>
              <w:t>定价模式</w:t>
            </w:r>
          </w:p>
        </w:tc>
        <w:tc>
          <w:tcPr>
            <w:tcW w:w="7939" w:type="dxa"/>
            <w:shd w:val="clear" w:color="auto" w:fill="FFFFFF"/>
            <w:vAlign w:val="center"/>
          </w:tcPr>
          <w:p w14:paraId="5621EF19">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提供定价模式维护，支持本服务定价、物品定价、服务组成员合计价、指标成员个数加收、指标成员个数定价、服务包成员合计价、服务包定价模式；</w:t>
            </w:r>
          </w:p>
        </w:tc>
      </w:tr>
      <w:tr w14:paraId="26B31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13" w:type="dxa"/>
            <w:vMerge w:val="continue"/>
            <w:shd w:val="clear" w:color="auto" w:fill="FFFFFF"/>
            <w:vAlign w:val="center"/>
          </w:tcPr>
          <w:p w14:paraId="648BDDAA">
            <w:pPr>
              <w:keepNext w:val="0"/>
              <w:keepLines w:val="0"/>
              <w:pageBreakBefore w:val="0"/>
              <w:widowControl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66" w:type="dxa"/>
            <w:shd w:val="clear" w:color="auto" w:fill="FFFFFF"/>
            <w:vAlign w:val="center"/>
          </w:tcPr>
          <w:p w14:paraId="64C3B612">
            <w:pPr>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olor w:val="auto"/>
                <w:sz w:val="21"/>
                <w:szCs w:val="21"/>
                <w:highlight w:val="none"/>
              </w:rPr>
            </w:pPr>
            <w:r>
              <w:rPr>
                <w:rFonts w:hint="eastAsia" w:ascii="宋体" w:hAnsi="宋体"/>
                <w:color w:val="auto"/>
                <w:sz w:val="21"/>
                <w:szCs w:val="21"/>
                <w:highlight w:val="none"/>
              </w:rPr>
              <w:t>执行策略</w:t>
            </w:r>
          </w:p>
        </w:tc>
        <w:tc>
          <w:tcPr>
            <w:tcW w:w="7939" w:type="dxa"/>
            <w:shd w:val="clear" w:color="auto" w:fill="FFFFFF"/>
            <w:vAlign w:val="center"/>
          </w:tcPr>
          <w:p w14:paraId="432CBF49">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提供执行策略维护，根据流程类型、服务项目类型定义服务执行模式是院外执行_全部、在院执行_全部、在院执行_部分；</w:t>
            </w:r>
          </w:p>
        </w:tc>
      </w:tr>
      <w:tr w14:paraId="3135D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13" w:type="dxa"/>
            <w:vMerge w:val="continue"/>
            <w:shd w:val="clear" w:color="auto" w:fill="FFFFFF"/>
            <w:vAlign w:val="center"/>
          </w:tcPr>
          <w:p w14:paraId="3FCC5788">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66" w:type="dxa"/>
            <w:shd w:val="clear" w:color="auto" w:fill="FFFFFF"/>
            <w:vAlign w:val="center"/>
          </w:tcPr>
          <w:p w14:paraId="1D46C012">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olor w:val="auto"/>
                <w:sz w:val="21"/>
                <w:szCs w:val="21"/>
                <w:highlight w:val="none"/>
              </w:rPr>
            </w:pPr>
            <w:r>
              <w:rPr>
                <w:rFonts w:ascii="宋体" w:hAnsi="宋体"/>
                <w:color w:val="auto"/>
                <w:sz w:val="21"/>
                <w:szCs w:val="21"/>
                <w:highlight w:val="none"/>
              </w:rPr>
              <w:t>床位维护管理</w:t>
            </w:r>
          </w:p>
        </w:tc>
        <w:tc>
          <w:tcPr>
            <w:tcW w:w="7939" w:type="dxa"/>
            <w:shd w:val="clear" w:color="auto" w:fill="FFFFFF"/>
            <w:vAlign w:val="center"/>
          </w:tcPr>
          <w:p w14:paraId="3E4326D7">
            <w:pPr>
              <w:keepNext w:val="0"/>
              <w:keepLines w:val="0"/>
              <w:pageBreakBefore w:val="0"/>
              <w:widowControl w:val="0"/>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
                <w:bCs/>
                <w:color w:val="auto"/>
                <w:sz w:val="21"/>
                <w:szCs w:val="21"/>
                <w:highlight w:val="none"/>
                <w:shd w:val="clear" w:color="auto" w:fill="FFFF00"/>
              </w:rPr>
            </w:pPr>
            <w:r>
              <w:rPr>
                <w:rFonts w:hint="eastAsia" w:ascii="宋体" w:hAnsi="宋体" w:cs="宋体"/>
                <w:bCs/>
                <w:color w:val="auto"/>
                <w:sz w:val="21"/>
                <w:szCs w:val="21"/>
                <w:highlight w:val="none"/>
              </w:rPr>
              <w:t>支持科室申请增加、减少或调整床位；支持批量增加、减少或调整床位；支持床位数量、床位属性、收费类型、床位位置、床位图标等编辑和维护；支持按科室、床位属性等检索、统计，支持统计结果导出。</w:t>
            </w:r>
          </w:p>
        </w:tc>
      </w:tr>
      <w:tr w14:paraId="7783A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13" w:type="dxa"/>
            <w:vMerge w:val="continue"/>
            <w:shd w:val="clear" w:color="auto" w:fill="FFFFFF"/>
            <w:vAlign w:val="center"/>
          </w:tcPr>
          <w:p w14:paraId="79A0E6CF">
            <w:pPr>
              <w:keepNext w:val="0"/>
              <w:keepLines w:val="0"/>
              <w:pageBreakBefore w:val="0"/>
              <w:widowControl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66" w:type="dxa"/>
            <w:shd w:val="clear" w:color="auto" w:fill="FFFFFF"/>
            <w:vAlign w:val="center"/>
          </w:tcPr>
          <w:p w14:paraId="2CC38BE9">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olor w:val="auto"/>
                <w:sz w:val="21"/>
                <w:szCs w:val="21"/>
                <w:highlight w:val="none"/>
              </w:rPr>
            </w:pPr>
            <w:r>
              <w:rPr>
                <w:rFonts w:hint="eastAsia" w:ascii="宋体" w:hAnsi="宋体"/>
                <w:color w:val="auto"/>
                <w:sz w:val="21"/>
                <w:szCs w:val="21"/>
                <w:highlight w:val="none"/>
              </w:rPr>
              <w:t>其它维护</w:t>
            </w:r>
          </w:p>
        </w:tc>
        <w:tc>
          <w:tcPr>
            <w:tcW w:w="7939" w:type="dxa"/>
            <w:shd w:val="clear" w:color="auto" w:fill="FFFFFF"/>
            <w:vAlign w:val="center"/>
          </w:tcPr>
          <w:p w14:paraId="64DB3518">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支持住院公共维护，如催款维护、床位维护、床位属性维护、累计费用维护、床位图标维护等；</w:t>
            </w:r>
          </w:p>
          <w:p w14:paraId="4890D68D">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支持公共数据维护，如待办任务维护、自定义项目维护、窗口功能权限维护、短语模板维护；</w:t>
            </w:r>
          </w:p>
        </w:tc>
      </w:tr>
      <w:tr w14:paraId="3BED4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13" w:type="dxa"/>
            <w:vMerge w:val="continue"/>
            <w:shd w:val="clear" w:color="auto" w:fill="FFFFFF"/>
            <w:vAlign w:val="center"/>
          </w:tcPr>
          <w:p w14:paraId="11264618">
            <w:pPr>
              <w:keepNext w:val="0"/>
              <w:keepLines w:val="0"/>
              <w:pageBreakBefore w:val="0"/>
              <w:widowControl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66" w:type="dxa"/>
            <w:shd w:val="clear" w:color="auto" w:fill="FFFFFF"/>
            <w:vAlign w:val="center"/>
          </w:tcPr>
          <w:p w14:paraId="045BC417">
            <w:pPr>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olor w:val="auto"/>
                <w:sz w:val="21"/>
                <w:szCs w:val="21"/>
                <w:highlight w:val="none"/>
              </w:rPr>
            </w:pPr>
            <w:r>
              <w:rPr>
                <w:rFonts w:hint="eastAsia" w:ascii="宋体" w:hAnsi="宋体"/>
                <w:color w:val="auto"/>
                <w:sz w:val="21"/>
                <w:szCs w:val="21"/>
                <w:highlight w:val="none"/>
              </w:rPr>
              <w:t>保险计划</w:t>
            </w:r>
          </w:p>
        </w:tc>
        <w:tc>
          <w:tcPr>
            <w:tcW w:w="7939" w:type="dxa"/>
            <w:shd w:val="clear" w:color="auto" w:fill="FFFFFF"/>
            <w:vAlign w:val="center"/>
          </w:tcPr>
          <w:p w14:paraId="4F7E50C4">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支持保险计划维护、公费维护、特殊病种维护、特殊病种对照项目；</w:t>
            </w:r>
          </w:p>
        </w:tc>
      </w:tr>
      <w:tr w14:paraId="57BA8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13" w:type="dxa"/>
            <w:vMerge w:val="continue"/>
            <w:shd w:val="clear" w:color="auto" w:fill="FFFFFF"/>
            <w:vAlign w:val="center"/>
          </w:tcPr>
          <w:p w14:paraId="17FE4958">
            <w:pPr>
              <w:keepNext w:val="0"/>
              <w:keepLines w:val="0"/>
              <w:pageBreakBefore w:val="0"/>
              <w:widowControl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9205" w:type="dxa"/>
            <w:gridSpan w:val="2"/>
            <w:shd w:val="clear" w:color="auto" w:fill="FFFFFF"/>
            <w:vAlign w:val="center"/>
          </w:tcPr>
          <w:p w14:paraId="11507C3B">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 w:val="21"/>
                <w:szCs w:val="21"/>
                <w:highlight w:val="none"/>
              </w:rPr>
            </w:pPr>
            <w:r>
              <w:rPr>
                <w:rFonts w:hint="eastAsia" w:ascii="宋体" w:hAnsi="宋体"/>
                <w:color w:val="auto"/>
                <w:sz w:val="21"/>
                <w:szCs w:val="21"/>
                <w:highlight w:val="none"/>
              </w:rPr>
              <w:t>资源数据域</w:t>
            </w:r>
          </w:p>
        </w:tc>
      </w:tr>
      <w:tr w14:paraId="0A715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13" w:type="dxa"/>
            <w:vMerge w:val="continue"/>
            <w:shd w:val="clear" w:color="auto" w:fill="FFFFFF"/>
            <w:vAlign w:val="center"/>
          </w:tcPr>
          <w:p w14:paraId="2ABDEB85">
            <w:pPr>
              <w:keepNext w:val="0"/>
              <w:keepLines w:val="0"/>
              <w:pageBreakBefore w:val="0"/>
              <w:widowControl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66" w:type="dxa"/>
            <w:shd w:val="clear" w:color="auto" w:fill="FFFFFF"/>
            <w:vAlign w:val="center"/>
          </w:tcPr>
          <w:p w14:paraId="53010B5B">
            <w:pPr>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olor w:val="auto"/>
                <w:sz w:val="21"/>
                <w:szCs w:val="21"/>
                <w:highlight w:val="none"/>
              </w:rPr>
            </w:pPr>
            <w:r>
              <w:rPr>
                <w:rFonts w:hint="eastAsia" w:ascii="宋体" w:hAnsi="宋体"/>
                <w:color w:val="auto"/>
                <w:sz w:val="21"/>
                <w:szCs w:val="21"/>
                <w:highlight w:val="none"/>
              </w:rPr>
              <w:t>排班资源</w:t>
            </w:r>
          </w:p>
        </w:tc>
        <w:tc>
          <w:tcPr>
            <w:tcW w:w="7939" w:type="dxa"/>
            <w:shd w:val="clear" w:color="auto" w:fill="FFFFFF"/>
            <w:vAlign w:val="center"/>
          </w:tcPr>
          <w:p w14:paraId="6A1D8B2E">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针对门诊、住院、手术、医技可维护不同的排班资源，包括：部门/科室、人员、医技资源、手术台、床位等，并以领域服务的形式供应用系统调用；</w:t>
            </w:r>
          </w:p>
        </w:tc>
      </w:tr>
      <w:tr w14:paraId="2F5B8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13" w:type="dxa"/>
            <w:vMerge w:val="continue"/>
            <w:shd w:val="clear" w:color="auto" w:fill="FFFFFF"/>
            <w:vAlign w:val="center"/>
          </w:tcPr>
          <w:p w14:paraId="3A2A0428">
            <w:pPr>
              <w:keepNext w:val="0"/>
              <w:keepLines w:val="0"/>
              <w:pageBreakBefore w:val="0"/>
              <w:widowControl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66" w:type="dxa"/>
            <w:shd w:val="clear" w:color="auto" w:fill="FFFFFF"/>
            <w:vAlign w:val="center"/>
          </w:tcPr>
          <w:p w14:paraId="78EE4074">
            <w:pPr>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olor w:val="auto"/>
                <w:sz w:val="21"/>
                <w:szCs w:val="21"/>
                <w:highlight w:val="none"/>
              </w:rPr>
            </w:pPr>
            <w:r>
              <w:rPr>
                <w:rFonts w:hint="eastAsia" w:ascii="宋体" w:hAnsi="宋体"/>
                <w:color w:val="auto"/>
                <w:sz w:val="21"/>
                <w:szCs w:val="21"/>
                <w:highlight w:val="none"/>
              </w:rPr>
              <w:t>预约渠道</w:t>
            </w:r>
          </w:p>
        </w:tc>
        <w:tc>
          <w:tcPr>
            <w:tcW w:w="7939" w:type="dxa"/>
            <w:shd w:val="clear" w:color="auto" w:fill="FFFFFF"/>
            <w:vAlign w:val="center"/>
          </w:tcPr>
          <w:p w14:paraId="672B9EBF">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提供预约渠道维护，支持医院内部、医院外部、医生、患者、区域以及医联体等渠道，并以领域服务的形式供应用系统调用；</w:t>
            </w:r>
          </w:p>
          <w:p w14:paraId="0F75E1ED">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提供号源池配置，每个预约渠道可关联独立的号源池，并以领域服务的形式供应用系统调用；</w:t>
            </w:r>
          </w:p>
          <w:p w14:paraId="38690116">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提供排班服务配置，每个预约渠道可关联独立的排班服务，并以领域服务的形式供应用系统调用；</w:t>
            </w:r>
          </w:p>
        </w:tc>
      </w:tr>
      <w:tr w14:paraId="73C1F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13" w:type="dxa"/>
            <w:vMerge w:val="continue"/>
            <w:shd w:val="clear" w:color="auto" w:fill="FFFFFF"/>
            <w:vAlign w:val="center"/>
          </w:tcPr>
          <w:p w14:paraId="65692F08">
            <w:pPr>
              <w:keepNext w:val="0"/>
              <w:keepLines w:val="0"/>
              <w:pageBreakBefore w:val="0"/>
              <w:widowControl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66" w:type="dxa"/>
            <w:shd w:val="clear" w:color="auto" w:fill="FFFFFF"/>
            <w:vAlign w:val="center"/>
          </w:tcPr>
          <w:p w14:paraId="0F3E2C56">
            <w:pPr>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olor w:val="auto"/>
                <w:sz w:val="21"/>
                <w:szCs w:val="21"/>
                <w:highlight w:val="none"/>
              </w:rPr>
            </w:pPr>
            <w:r>
              <w:rPr>
                <w:rFonts w:hint="eastAsia" w:ascii="宋体" w:hAnsi="宋体"/>
                <w:color w:val="auto"/>
                <w:sz w:val="21"/>
                <w:szCs w:val="21"/>
                <w:highlight w:val="none"/>
              </w:rPr>
              <w:t>预约规则</w:t>
            </w:r>
          </w:p>
        </w:tc>
        <w:tc>
          <w:tcPr>
            <w:tcW w:w="7939" w:type="dxa"/>
            <w:shd w:val="clear" w:color="auto" w:fill="FFFFFF"/>
            <w:vAlign w:val="center"/>
          </w:tcPr>
          <w:p w14:paraId="5F379E55">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针对门诊、住院、手术、医技可制定不同的预约规则以及特殊预约规则，特殊预约规则可以细化到机构、部门、渠道、服务以及资源，并以领域服务的形式供应用系统调用；</w:t>
            </w:r>
          </w:p>
        </w:tc>
      </w:tr>
      <w:tr w14:paraId="6CE49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13" w:type="dxa"/>
            <w:vMerge w:val="continue"/>
            <w:shd w:val="clear" w:color="auto" w:fill="FFFFFF"/>
            <w:vAlign w:val="center"/>
          </w:tcPr>
          <w:p w14:paraId="73B2B464">
            <w:pPr>
              <w:keepNext w:val="0"/>
              <w:keepLines w:val="0"/>
              <w:pageBreakBefore w:val="0"/>
              <w:widowControl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66" w:type="dxa"/>
            <w:shd w:val="clear" w:color="auto" w:fill="FFFFFF"/>
            <w:vAlign w:val="center"/>
          </w:tcPr>
          <w:p w14:paraId="29BF68A0">
            <w:pPr>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olor w:val="auto"/>
                <w:sz w:val="21"/>
                <w:szCs w:val="21"/>
                <w:highlight w:val="none"/>
              </w:rPr>
            </w:pPr>
            <w:r>
              <w:rPr>
                <w:rFonts w:hint="eastAsia" w:ascii="宋体" w:hAnsi="宋体"/>
                <w:color w:val="auto"/>
                <w:sz w:val="21"/>
                <w:szCs w:val="21"/>
                <w:highlight w:val="none"/>
              </w:rPr>
              <w:t>排班计划</w:t>
            </w:r>
          </w:p>
        </w:tc>
        <w:tc>
          <w:tcPr>
            <w:tcW w:w="7939" w:type="dxa"/>
            <w:shd w:val="clear" w:color="auto" w:fill="FFFFFF"/>
            <w:vAlign w:val="center"/>
          </w:tcPr>
          <w:p w14:paraId="2F1D8530">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提供可以按不同时间跨度周期的排班计划，包括周计划、月计划、季度计划、年计划以及版本计划等，并以领域服务的形式供应用系统调用；</w:t>
            </w:r>
          </w:p>
          <w:p w14:paraId="1A8B4BB8">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提供排班计划中的预约渠道配置、号源池配置以及预约规则配置，并以领域服务的形式供应用系统调用；</w:t>
            </w:r>
          </w:p>
        </w:tc>
      </w:tr>
      <w:tr w14:paraId="071EC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13" w:type="dxa"/>
            <w:vMerge w:val="continue"/>
            <w:shd w:val="clear" w:color="auto" w:fill="FFFFFF"/>
            <w:vAlign w:val="center"/>
          </w:tcPr>
          <w:p w14:paraId="199001C9">
            <w:pPr>
              <w:keepNext w:val="0"/>
              <w:keepLines w:val="0"/>
              <w:pageBreakBefore w:val="0"/>
              <w:widowControl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66" w:type="dxa"/>
            <w:shd w:val="clear" w:color="auto" w:fill="FFFFFF"/>
            <w:vAlign w:val="center"/>
          </w:tcPr>
          <w:p w14:paraId="44A1442D">
            <w:pPr>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olor w:val="auto"/>
                <w:sz w:val="21"/>
                <w:szCs w:val="21"/>
                <w:highlight w:val="none"/>
              </w:rPr>
            </w:pPr>
            <w:r>
              <w:rPr>
                <w:rFonts w:hint="eastAsia" w:ascii="宋体" w:hAnsi="宋体"/>
                <w:color w:val="auto"/>
                <w:sz w:val="21"/>
                <w:szCs w:val="21"/>
                <w:highlight w:val="none"/>
              </w:rPr>
              <w:t>排班日期</w:t>
            </w:r>
          </w:p>
        </w:tc>
        <w:tc>
          <w:tcPr>
            <w:tcW w:w="7939" w:type="dxa"/>
            <w:shd w:val="clear" w:color="auto" w:fill="FFFFFF"/>
            <w:vAlign w:val="center"/>
          </w:tcPr>
          <w:p w14:paraId="79C1491D">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提供可以基于排班计划的排班日期服务，并以领域服务的形式供应用系统调用；</w:t>
            </w:r>
          </w:p>
        </w:tc>
      </w:tr>
      <w:tr w14:paraId="6CCE5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13" w:type="dxa"/>
            <w:vMerge w:val="continue"/>
            <w:shd w:val="clear" w:color="auto" w:fill="FFFFFF"/>
            <w:vAlign w:val="center"/>
          </w:tcPr>
          <w:p w14:paraId="4261D91F">
            <w:pPr>
              <w:keepNext w:val="0"/>
              <w:keepLines w:val="0"/>
              <w:pageBreakBefore w:val="0"/>
              <w:widowControl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66" w:type="dxa"/>
            <w:shd w:val="clear" w:color="auto" w:fill="FFFFFF"/>
            <w:vAlign w:val="center"/>
          </w:tcPr>
          <w:p w14:paraId="3ED34018">
            <w:pPr>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olor w:val="auto"/>
                <w:sz w:val="21"/>
                <w:szCs w:val="21"/>
                <w:highlight w:val="none"/>
              </w:rPr>
            </w:pPr>
            <w:r>
              <w:rPr>
                <w:rFonts w:hint="eastAsia" w:ascii="宋体" w:hAnsi="宋体"/>
                <w:color w:val="auto"/>
                <w:sz w:val="21"/>
                <w:szCs w:val="21"/>
                <w:highlight w:val="none"/>
              </w:rPr>
              <w:t>排班服务</w:t>
            </w:r>
          </w:p>
        </w:tc>
        <w:tc>
          <w:tcPr>
            <w:tcW w:w="7939" w:type="dxa"/>
            <w:shd w:val="clear" w:color="auto" w:fill="FFFFFF"/>
            <w:vAlign w:val="center"/>
          </w:tcPr>
          <w:p w14:paraId="494EBDA6">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提供排班服务预约的排斥规则管理，并以领域服务的形式供应用系统调用；</w:t>
            </w:r>
          </w:p>
        </w:tc>
      </w:tr>
      <w:tr w14:paraId="7BEF5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13" w:type="dxa"/>
            <w:vMerge w:val="continue"/>
            <w:shd w:val="clear" w:color="auto" w:fill="FFFFFF"/>
            <w:vAlign w:val="center"/>
          </w:tcPr>
          <w:p w14:paraId="42D889F8">
            <w:pPr>
              <w:keepNext w:val="0"/>
              <w:keepLines w:val="0"/>
              <w:pageBreakBefore w:val="0"/>
              <w:widowControl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66" w:type="dxa"/>
            <w:shd w:val="clear" w:color="auto" w:fill="FFFFFF"/>
            <w:vAlign w:val="center"/>
          </w:tcPr>
          <w:p w14:paraId="0831CE7B">
            <w:pPr>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olor w:val="auto"/>
                <w:sz w:val="21"/>
                <w:szCs w:val="21"/>
                <w:highlight w:val="none"/>
              </w:rPr>
            </w:pPr>
            <w:r>
              <w:rPr>
                <w:rFonts w:hint="eastAsia" w:ascii="宋体" w:hAnsi="宋体"/>
                <w:color w:val="auto"/>
                <w:sz w:val="21"/>
                <w:szCs w:val="21"/>
                <w:highlight w:val="none"/>
              </w:rPr>
              <w:t>医嘱预约合并规则</w:t>
            </w:r>
          </w:p>
        </w:tc>
        <w:tc>
          <w:tcPr>
            <w:tcW w:w="7939" w:type="dxa"/>
            <w:shd w:val="clear" w:color="auto" w:fill="FFFFFF"/>
            <w:vAlign w:val="center"/>
          </w:tcPr>
          <w:p w14:paraId="79CB00EC">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提供医嘱预约合并规则服务，并以领域服务的形式供应用系统调用；</w:t>
            </w:r>
          </w:p>
        </w:tc>
      </w:tr>
      <w:tr w14:paraId="49AF1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13" w:type="dxa"/>
            <w:vMerge w:val="continue"/>
            <w:shd w:val="clear" w:color="auto" w:fill="FFFFFF"/>
            <w:vAlign w:val="center"/>
          </w:tcPr>
          <w:p w14:paraId="292D0F59">
            <w:pPr>
              <w:keepNext w:val="0"/>
              <w:keepLines w:val="0"/>
              <w:pageBreakBefore w:val="0"/>
              <w:widowControl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66" w:type="dxa"/>
            <w:shd w:val="clear" w:color="auto" w:fill="FFFFFF"/>
            <w:vAlign w:val="center"/>
          </w:tcPr>
          <w:p w14:paraId="40B2A412">
            <w:pPr>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olor w:val="auto"/>
                <w:sz w:val="21"/>
                <w:szCs w:val="21"/>
                <w:highlight w:val="none"/>
              </w:rPr>
            </w:pPr>
            <w:r>
              <w:rPr>
                <w:rFonts w:hint="eastAsia" w:ascii="宋体" w:hAnsi="宋体"/>
                <w:color w:val="auto"/>
                <w:sz w:val="21"/>
                <w:szCs w:val="21"/>
                <w:highlight w:val="none"/>
              </w:rPr>
              <w:t>号源限制条件</w:t>
            </w:r>
          </w:p>
        </w:tc>
        <w:tc>
          <w:tcPr>
            <w:tcW w:w="7939" w:type="dxa"/>
            <w:shd w:val="clear" w:color="auto" w:fill="FFFFFF"/>
            <w:vAlign w:val="center"/>
          </w:tcPr>
          <w:p w14:paraId="204D1F1B">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提供号源限制条件维护以及相关项目配置，并以领域服务的形式供应用系统调用；</w:t>
            </w:r>
          </w:p>
        </w:tc>
      </w:tr>
      <w:tr w14:paraId="6B447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13" w:type="dxa"/>
            <w:vMerge w:val="continue"/>
            <w:shd w:val="clear" w:color="auto" w:fill="FFFFFF"/>
            <w:vAlign w:val="center"/>
          </w:tcPr>
          <w:p w14:paraId="5DFC8DE4">
            <w:pPr>
              <w:keepNext w:val="0"/>
              <w:keepLines w:val="0"/>
              <w:pageBreakBefore w:val="0"/>
              <w:widowControl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9205" w:type="dxa"/>
            <w:gridSpan w:val="2"/>
            <w:shd w:val="clear" w:color="auto" w:fill="FFFFFF"/>
            <w:vAlign w:val="center"/>
          </w:tcPr>
          <w:p w14:paraId="3CDC520C">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 w:val="21"/>
                <w:szCs w:val="21"/>
                <w:highlight w:val="none"/>
              </w:rPr>
            </w:pPr>
            <w:r>
              <w:rPr>
                <w:rFonts w:hint="eastAsia" w:ascii="宋体" w:hAnsi="宋体"/>
                <w:color w:val="auto"/>
                <w:sz w:val="21"/>
                <w:szCs w:val="21"/>
                <w:highlight w:val="none"/>
              </w:rPr>
              <w:t>医健患者域</w:t>
            </w:r>
          </w:p>
        </w:tc>
      </w:tr>
      <w:tr w14:paraId="269F7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13" w:type="dxa"/>
            <w:vMerge w:val="continue"/>
            <w:shd w:val="clear" w:color="auto" w:fill="FFFFFF"/>
            <w:vAlign w:val="center"/>
          </w:tcPr>
          <w:p w14:paraId="3CADB965">
            <w:pPr>
              <w:keepNext w:val="0"/>
              <w:keepLines w:val="0"/>
              <w:pageBreakBefore w:val="0"/>
              <w:widowControl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66" w:type="dxa"/>
            <w:shd w:val="clear" w:color="auto" w:fill="FFFFFF"/>
            <w:vAlign w:val="center"/>
          </w:tcPr>
          <w:p w14:paraId="6FAE3F2A">
            <w:pPr>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olor w:val="auto"/>
                <w:sz w:val="21"/>
                <w:szCs w:val="21"/>
                <w:highlight w:val="none"/>
              </w:rPr>
            </w:pPr>
            <w:r>
              <w:rPr>
                <w:rFonts w:hint="eastAsia" w:ascii="宋体" w:hAnsi="宋体"/>
                <w:color w:val="auto"/>
                <w:sz w:val="21"/>
                <w:szCs w:val="21"/>
                <w:highlight w:val="none"/>
              </w:rPr>
              <w:t>个人档案</w:t>
            </w:r>
          </w:p>
        </w:tc>
        <w:tc>
          <w:tcPr>
            <w:tcW w:w="7939" w:type="dxa"/>
            <w:shd w:val="clear" w:color="auto" w:fill="FFFFFF"/>
            <w:vAlign w:val="center"/>
          </w:tcPr>
          <w:p w14:paraId="0ABA288B">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提供个人档案管理，包括基本信息、地址信息、联系人信息、卡信息等，并以领域服务的形式供应用系统调用；</w:t>
            </w:r>
          </w:p>
          <w:p w14:paraId="22B220C2">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提供个人摘要信息管理，包括健康问题、关键服务项目、关键检查、关键检验、出生信息、家族史、手术史、生命体征、疾病史、输血史以及过敏史等，并以领域服务的形式供应用系统调用；</w:t>
            </w:r>
          </w:p>
        </w:tc>
      </w:tr>
      <w:tr w14:paraId="2DA82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13" w:type="dxa"/>
            <w:vMerge w:val="continue"/>
            <w:shd w:val="clear" w:color="auto" w:fill="FFFFFF"/>
            <w:vAlign w:val="center"/>
          </w:tcPr>
          <w:p w14:paraId="4ED193E3">
            <w:pPr>
              <w:keepNext w:val="0"/>
              <w:keepLines w:val="0"/>
              <w:pageBreakBefore w:val="0"/>
              <w:widowControl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66" w:type="dxa"/>
            <w:shd w:val="clear" w:color="auto" w:fill="FFFFFF"/>
            <w:vAlign w:val="center"/>
          </w:tcPr>
          <w:p w14:paraId="592340E2">
            <w:pPr>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olor w:val="auto"/>
                <w:sz w:val="21"/>
                <w:szCs w:val="21"/>
                <w:highlight w:val="none"/>
              </w:rPr>
            </w:pPr>
            <w:r>
              <w:rPr>
                <w:rFonts w:hint="eastAsia" w:ascii="宋体" w:hAnsi="宋体"/>
                <w:color w:val="auto"/>
                <w:sz w:val="21"/>
                <w:szCs w:val="21"/>
                <w:highlight w:val="none"/>
              </w:rPr>
              <w:t>个人账户</w:t>
            </w:r>
          </w:p>
        </w:tc>
        <w:tc>
          <w:tcPr>
            <w:tcW w:w="7939" w:type="dxa"/>
            <w:shd w:val="clear" w:color="auto" w:fill="FFFFFF"/>
            <w:vAlign w:val="center"/>
          </w:tcPr>
          <w:p w14:paraId="387CFAA4">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提供个人账户管理，含信用账户，并以领域服务的形式供应用系统调用；</w:t>
            </w:r>
          </w:p>
        </w:tc>
      </w:tr>
      <w:tr w14:paraId="035AF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13" w:type="dxa"/>
            <w:vMerge w:val="continue"/>
            <w:shd w:val="clear" w:color="auto" w:fill="FFFFFF"/>
            <w:vAlign w:val="center"/>
          </w:tcPr>
          <w:p w14:paraId="26B60A2A">
            <w:pPr>
              <w:keepNext w:val="0"/>
              <w:keepLines w:val="0"/>
              <w:pageBreakBefore w:val="0"/>
              <w:widowControl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9205" w:type="dxa"/>
            <w:gridSpan w:val="2"/>
            <w:shd w:val="clear" w:color="auto" w:fill="FFFFFF"/>
            <w:vAlign w:val="center"/>
          </w:tcPr>
          <w:p w14:paraId="30B0A29C">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 w:val="21"/>
                <w:szCs w:val="21"/>
                <w:highlight w:val="none"/>
              </w:rPr>
            </w:pPr>
            <w:r>
              <w:rPr>
                <w:rFonts w:hint="eastAsia" w:ascii="宋体" w:hAnsi="宋体"/>
                <w:color w:val="auto"/>
                <w:sz w:val="21"/>
                <w:szCs w:val="21"/>
                <w:highlight w:val="none"/>
              </w:rPr>
              <w:t>医健流程域</w:t>
            </w:r>
          </w:p>
        </w:tc>
      </w:tr>
      <w:tr w14:paraId="34AF5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13" w:type="dxa"/>
            <w:vMerge w:val="continue"/>
            <w:shd w:val="clear" w:color="auto" w:fill="FFFFFF"/>
            <w:vAlign w:val="center"/>
          </w:tcPr>
          <w:p w14:paraId="5451E3C0">
            <w:pPr>
              <w:keepNext w:val="0"/>
              <w:keepLines w:val="0"/>
              <w:pageBreakBefore w:val="0"/>
              <w:widowControl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66" w:type="dxa"/>
            <w:shd w:val="clear" w:color="auto" w:fill="FFFFFF"/>
            <w:vAlign w:val="center"/>
          </w:tcPr>
          <w:p w14:paraId="649B1457">
            <w:pPr>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olor w:val="auto"/>
                <w:sz w:val="21"/>
                <w:szCs w:val="21"/>
                <w:highlight w:val="none"/>
              </w:rPr>
            </w:pPr>
            <w:r>
              <w:rPr>
                <w:rFonts w:hint="eastAsia" w:ascii="宋体" w:hAnsi="宋体"/>
                <w:color w:val="auto"/>
                <w:sz w:val="21"/>
                <w:szCs w:val="21"/>
                <w:highlight w:val="none"/>
              </w:rPr>
              <w:t>医疗就诊流程申请</w:t>
            </w:r>
          </w:p>
        </w:tc>
        <w:tc>
          <w:tcPr>
            <w:tcW w:w="7939" w:type="dxa"/>
            <w:shd w:val="clear" w:color="auto" w:fill="FFFFFF"/>
            <w:vAlign w:val="center"/>
          </w:tcPr>
          <w:p w14:paraId="2C683469">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提供医护及个人医疗就诊流程申请，包含门诊、住院、体检以及急诊，并以领域服务的形式供应用系统调用；</w:t>
            </w:r>
          </w:p>
        </w:tc>
      </w:tr>
      <w:tr w14:paraId="25576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13" w:type="dxa"/>
            <w:vMerge w:val="continue"/>
            <w:shd w:val="clear" w:color="auto" w:fill="FFFFFF"/>
            <w:vAlign w:val="center"/>
          </w:tcPr>
          <w:p w14:paraId="465E3E77">
            <w:pPr>
              <w:keepNext w:val="0"/>
              <w:keepLines w:val="0"/>
              <w:pageBreakBefore w:val="0"/>
              <w:widowControl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66" w:type="dxa"/>
            <w:shd w:val="clear" w:color="auto" w:fill="FFFFFF"/>
            <w:vAlign w:val="center"/>
          </w:tcPr>
          <w:p w14:paraId="288F43E8">
            <w:pPr>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olor w:val="auto"/>
                <w:sz w:val="21"/>
                <w:szCs w:val="21"/>
                <w:highlight w:val="none"/>
              </w:rPr>
            </w:pPr>
            <w:r>
              <w:rPr>
                <w:rFonts w:hint="eastAsia" w:ascii="宋体" w:hAnsi="宋体"/>
                <w:color w:val="auto"/>
                <w:sz w:val="21"/>
                <w:szCs w:val="21"/>
                <w:highlight w:val="none"/>
              </w:rPr>
              <w:t>医疗就诊流程</w:t>
            </w:r>
          </w:p>
        </w:tc>
        <w:tc>
          <w:tcPr>
            <w:tcW w:w="7939" w:type="dxa"/>
            <w:shd w:val="clear" w:color="auto" w:fill="FFFFFF"/>
            <w:vAlign w:val="center"/>
          </w:tcPr>
          <w:p w14:paraId="1B2CEB9B">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提供医疗就诊流程管理，包含门急诊、住院、体检、分床、转科、换病区、他科治疗等，并以领域服务的形式供应用系统调用；</w:t>
            </w:r>
          </w:p>
        </w:tc>
      </w:tr>
      <w:tr w14:paraId="383D0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13" w:type="dxa"/>
            <w:vMerge w:val="continue"/>
            <w:shd w:val="clear" w:color="auto" w:fill="FFFFFF"/>
            <w:vAlign w:val="center"/>
          </w:tcPr>
          <w:p w14:paraId="254B5D1A">
            <w:pPr>
              <w:keepNext w:val="0"/>
              <w:keepLines w:val="0"/>
              <w:pageBreakBefore w:val="0"/>
              <w:widowControl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9205" w:type="dxa"/>
            <w:gridSpan w:val="2"/>
            <w:shd w:val="clear" w:color="auto" w:fill="FFFFFF"/>
            <w:vAlign w:val="center"/>
          </w:tcPr>
          <w:p w14:paraId="573F7374">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 w:val="21"/>
                <w:szCs w:val="21"/>
                <w:highlight w:val="none"/>
              </w:rPr>
            </w:pPr>
            <w:r>
              <w:rPr>
                <w:rFonts w:hint="eastAsia" w:ascii="宋体" w:hAnsi="宋体"/>
                <w:color w:val="auto"/>
                <w:sz w:val="21"/>
                <w:szCs w:val="21"/>
                <w:highlight w:val="none"/>
              </w:rPr>
              <w:t>医健计划域</w:t>
            </w:r>
          </w:p>
        </w:tc>
      </w:tr>
      <w:tr w14:paraId="56D41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13" w:type="dxa"/>
            <w:vMerge w:val="continue"/>
            <w:shd w:val="clear" w:color="auto" w:fill="FFFFFF"/>
            <w:vAlign w:val="center"/>
          </w:tcPr>
          <w:p w14:paraId="19547597">
            <w:pPr>
              <w:keepNext w:val="0"/>
              <w:keepLines w:val="0"/>
              <w:pageBreakBefore w:val="0"/>
              <w:widowControl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66" w:type="dxa"/>
            <w:shd w:val="clear" w:color="auto" w:fill="FFFFFF"/>
            <w:vAlign w:val="center"/>
          </w:tcPr>
          <w:p w14:paraId="582FD4A8">
            <w:pPr>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olor w:val="auto"/>
                <w:sz w:val="21"/>
                <w:szCs w:val="21"/>
                <w:highlight w:val="none"/>
              </w:rPr>
            </w:pPr>
            <w:r>
              <w:rPr>
                <w:rFonts w:hint="eastAsia" w:ascii="宋体" w:hAnsi="宋体"/>
                <w:color w:val="auto"/>
                <w:sz w:val="21"/>
                <w:szCs w:val="21"/>
                <w:highlight w:val="none"/>
              </w:rPr>
              <w:t>医疗诊断</w:t>
            </w:r>
          </w:p>
        </w:tc>
        <w:tc>
          <w:tcPr>
            <w:tcW w:w="7939" w:type="dxa"/>
            <w:shd w:val="clear" w:color="auto" w:fill="FFFFFF"/>
            <w:vAlign w:val="center"/>
          </w:tcPr>
          <w:p w14:paraId="3DFE10B7">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提供医疗诊断服务，包括中西医诊断及中医证候，并以领域服务的形式供应用系统调用；</w:t>
            </w:r>
          </w:p>
        </w:tc>
      </w:tr>
      <w:tr w14:paraId="7C1D1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13" w:type="dxa"/>
            <w:vMerge w:val="continue"/>
            <w:shd w:val="clear" w:color="auto" w:fill="FFFFFF"/>
            <w:vAlign w:val="center"/>
          </w:tcPr>
          <w:p w14:paraId="2126FC70">
            <w:pPr>
              <w:keepNext w:val="0"/>
              <w:keepLines w:val="0"/>
              <w:pageBreakBefore w:val="0"/>
              <w:widowControl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66" w:type="dxa"/>
            <w:shd w:val="clear" w:color="auto" w:fill="FFFFFF"/>
            <w:vAlign w:val="center"/>
          </w:tcPr>
          <w:p w14:paraId="6FAF19C5">
            <w:pPr>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olor w:val="auto"/>
                <w:sz w:val="21"/>
                <w:szCs w:val="21"/>
                <w:highlight w:val="none"/>
              </w:rPr>
            </w:pPr>
            <w:r>
              <w:rPr>
                <w:rFonts w:hint="eastAsia" w:ascii="宋体" w:hAnsi="宋体"/>
                <w:color w:val="auto"/>
                <w:sz w:val="21"/>
                <w:szCs w:val="21"/>
                <w:highlight w:val="none"/>
              </w:rPr>
              <w:t>医疗医嘱</w:t>
            </w:r>
          </w:p>
        </w:tc>
        <w:tc>
          <w:tcPr>
            <w:tcW w:w="7939" w:type="dxa"/>
            <w:shd w:val="clear" w:color="auto" w:fill="FFFFFF"/>
            <w:vAlign w:val="center"/>
          </w:tcPr>
          <w:p w14:paraId="2B7C868A">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提供医疗医嘱服务，包括检验、检查、药品、病理、手术、治疗、会诊、输血以及转科等，并以领域服务的形式供应用系统调用；</w:t>
            </w:r>
          </w:p>
          <w:p w14:paraId="63422C3B">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提供医嘱闭环服务，并以领域服务的形式供应用系统调用；</w:t>
            </w:r>
          </w:p>
          <w:p w14:paraId="7CA7B3F0">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提供医嘱计划服务，包含院内执行以及院外执行，并以领域服务的形式供应用系统调用；</w:t>
            </w:r>
          </w:p>
          <w:p w14:paraId="48AEFC97">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提供医嘱取药处方服务，并以领域服务的形式供应用系统调用；</w:t>
            </w:r>
          </w:p>
        </w:tc>
      </w:tr>
      <w:tr w14:paraId="224A1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13" w:type="dxa"/>
            <w:vMerge w:val="continue"/>
            <w:shd w:val="clear" w:color="auto" w:fill="FFFFFF"/>
            <w:vAlign w:val="center"/>
          </w:tcPr>
          <w:p w14:paraId="030F0FE3">
            <w:pPr>
              <w:keepNext w:val="0"/>
              <w:keepLines w:val="0"/>
              <w:pageBreakBefore w:val="0"/>
              <w:widowControl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9205" w:type="dxa"/>
            <w:gridSpan w:val="2"/>
            <w:shd w:val="clear" w:color="auto" w:fill="FFFFFF"/>
            <w:vAlign w:val="center"/>
          </w:tcPr>
          <w:p w14:paraId="73E138B9">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 w:val="21"/>
                <w:szCs w:val="21"/>
                <w:highlight w:val="none"/>
              </w:rPr>
            </w:pPr>
            <w:r>
              <w:rPr>
                <w:rFonts w:hint="eastAsia" w:ascii="宋体" w:hAnsi="宋体"/>
                <w:color w:val="auto"/>
                <w:sz w:val="21"/>
                <w:szCs w:val="21"/>
                <w:highlight w:val="none"/>
              </w:rPr>
              <w:t>医健费用域</w:t>
            </w:r>
          </w:p>
        </w:tc>
      </w:tr>
      <w:tr w14:paraId="62784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13" w:type="dxa"/>
            <w:vMerge w:val="continue"/>
            <w:shd w:val="clear" w:color="auto" w:fill="FFFFFF"/>
            <w:vAlign w:val="center"/>
          </w:tcPr>
          <w:p w14:paraId="0FBE640F">
            <w:pPr>
              <w:keepNext w:val="0"/>
              <w:keepLines w:val="0"/>
              <w:pageBreakBefore w:val="0"/>
              <w:widowControl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66" w:type="dxa"/>
            <w:shd w:val="clear" w:color="auto" w:fill="FFFFFF"/>
            <w:vAlign w:val="center"/>
          </w:tcPr>
          <w:p w14:paraId="161157C9">
            <w:pPr>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olor w:val="auto"/>
                <w:sz w:val="21"/>
                <w:szCs w:val="21"/>
                <w:highlight w:val="none"/>
              </w:rPr>
            </w:pPr>
            <w:r>
              <w:rPr>
                <w:rFonts w:hint="eastAsia" w:ascii="宋体" w:hAnsi="宋体"/>
                <w:color w:val="auto"/>
                <w:sz w:val="21"/>
                <w:szCs w:val="21"/>
                <w:highlight w:val="none"/>
              </w:rPr>
              <w:t>医疗计退费</w:t>
            </w:r>
          </w:p>
        </w:tc>
        <w:tc>
          <w:tcPr>
            <w:tcW w:w="7939" w:type="dxa"/>
            <w:shd w:val="clear" w:color="auto" w:fill="FFFFFF"/>
            <w:vAlign w:val="center"/>
          </w:tcPr>
          <w:p w14:paraId="326186AC">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提供医疗计退费服务，包含住院、门急诊、体检，并以领域服务的形式供应用系统调用；</w:t>
            </w:r>
          </w:p>
        </w:tc>
      </w:tr>
      <w:tr w14:paraId="6287F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13" w:type="dxa"/>
            <w:vMerge w:val="continue"/>
            <w:shd w:val="clear" w:color="auto" w:fill="FFFFFF"/>
            <w:vAlign w:val="center"/>
          </w:tcPr>
          <w:p w14:paraId="3B5643DA">
            <w:pPr>
              <w:keepNext w:val="0"/>
              <w:keepLines w:val="0"/>
              <w:pageBreakBefore w:val="0"/>
              <w:widowControl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66" w:type="dxa"/>
            <w:shd w:val="clear" w:color="auto" w:fill="FFFFFF"/>
            <w:vAlign w:val="center"/>
          </w:tcPr>
          <w:p w14:paraId="7775DB35">
            <w:pPr>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olor w:val="auto"/>
                <w:sz w:val="21"/>
                <w:szCs w:val="21"/>
                <w:highlight w:val="none"/>
              </w:rPr>
            </w:pPr>
            <w:r>
              <w:rPr>
                <w:rFonts w:hint="eastAsia" w:ascii="宋体" w:hAnsi="宋体"/>
                <w:color w:val="auto"/>
                <w:sz w:val="21"/>
                <w:szCs w:val="21"/>
                <w:highlight w:val="none"/>
              </w:rPr>
              <w:t>医疗结算</w:t>
            </w:r>
          </w:p>
        </w:tc>
        <w:tc>
          <w:tcPr>
            <w:tcW w:w="7939" w:type="dxa"/>
            <w:shd w:val="clear" w:color="auto" w:fill="FFFFFF"/>
            <w:vAlign w:val="center"/>
          </w:tcPr>
          <w:p w14:paraId="7F67785C">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提供医疗结算服务，包含住院、门急诊、体检，并以领域服务的形式供应用系统调用；</w:t>
            </w:r>
          </w:p>
          <w:p w14:paraId="3F816838">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提供医疗取消结算服务，包含住院、门急诊、体检，并以领域服务的形式供应用系统调用；</w:t>
            </w:r>
          </w:p>
        </w:tc>
      </w:tr>
      <w:tr w14:paraId="105CA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13" w:type="dxa"/>
            <w:vMerge w:val="continue"/>
            <w:shd w:val="clear" w:color="auto" w:fill="FFFFFF"/>
            <w:vAlign w:val="center"/>
          </w:tcPr>
          <w:p w14:paraId="161499C0">
            <w:pPr>
              <w:keepNext w:val="0"/>
              <w:keepLines w:val="0"/>
              <w:pageBreakBefore w:val="0"/>
              <w:widowControl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66" w:type="dxa"/>
            <w:shd w:val="clear" w:color="auto" w:fill="FFFFFF"/>
            <w:vAlign w:val="center"/>
          </w:tcPr>
          <w:p w14:paraId="2F5B1F76">
            <w:pPr>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olor w:val="auto"/>
                <w:sz w:val="21"/>
                <w:szCs w:val="21"/>
                <w:highlight w:val="none"/>
              </w:rPr>
            </w:pPr>
            <w:r>
              <w:rPr>
                <w:rFonts w:hint="eastAsia" w:ascii="宋体" w:hAnsi="宋体"/>
                <w:color w:val="auto"/>
                <w:sz w:val="21"/>
                <w:szCs w:val="21"/>
                <w:highlight w:val="none"/>
              </w:rPr>
              <w:t>医疗收退款</w:t>
            </w:r>
          </w:p>
        </w:tc>
        <w:tc>
          <w:tcPr>
            <w:tcW w:w="7939" w:type="dxa"/>
            <w:shd w:val="clear" w:color="auto" w:fill="FFFFFF"/>
            <w:vAlign w:val="center"/>
          </w:tcPr>
          <w:p w14:paraId="55D2BAFF">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提供医疗收退款服务，支持多种付款方式，并以领域服务的形式供应用系统调用；</w:t>
            </w:r>
          </w:p>
        </w:tc>
      </w:tr>
      <w:tr w14:paraId="2CE19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13" w:type="dxa"/>
            <w:vMerge w:val="continue"/>
            <w:shd w:val="clear" w:color="auto" w:fill="FFFFFF"/>
            <w:vAlign w:val="center"/>
          </w:tcPr>
          <w:p w14:paraId="4E6FE15E">
            <w:pPr>
              <w:keepNext w:val="0"/>
              <w:keepLines w:val="0"/>
              <w:pageBreakBefore w:val="0"/>
              <w:widowControl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66" w:type="dxa"/>
            <w:shd w:val="clear" w:color="auto" w:fill="FFFFFF"/>
            <w:vAlign w:val="center"/>
          </w:tcPr>
          <w:p w14:paraId="3525C0EB">
            <w:pPr>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olor w:val="auto"/>
                <w:sz w:val="21"/>
                <w:szCs w:val="21"/>
                <w:highlight w:val="none"/>
              </w:rPr>
            </w:pPr>
            <w:r>
              <w:rPr>
                <w:rFonts w:hint="eastAsia" w:ascii="宋体" w:hAnsi="宋体"/>
                <w:color w:val="auto"/>
                <w:sz w:val="21"/>
                <w:szCs w:val="21"/>
                <w:highlight w:val="none"/>
              </w:rPr>
              <w:t>储值金</w:t>
            </w:r>
          </w:p>
        </w:tc>
        <w:tc>
          <w:tcPr>
            <w:tcW w:w="7939" w:type="dxa"/>
            <w:shd w:val="clear" w:color="auto" w:fill="FFFFFF"/>
            <w:vAlign w:val="center"/>
          </w:tcPr>
          <w:p w14:paraId="0466D52F">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提供储值金充值服务，并以领域服务的形式供应用系统调用；</w:t>
            </w:r>
          </w:p>
          <w:p w14:paraId="780D2F6F">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提供储值金消费服务，并以领域服务的形式供应用系统调用；</w:t>
            </w:r>
          </w:p>
        </w:tc>
      </w:tr>
      <w:tr w14:paraId="496F7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13" w:type="dxa"/>
            <w:vMerge w:val="continue"/>
            <w:shd w:val="clear" w:color="auto" w:fill="FFFFFF"/>
            <w:vAlign w:val="center"/>
          </w:tcPr>
          <w:p w14:paraId="65F01C8D">
            <w:pPr>
              <w:keepNext w:val="0"/>
              <w:keepLines w:val="0"/>
              <w:pageBreakBefore w:val="0"/>
              <w:widowControl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66" w:type="dxa"/>
            <w:shd w:val="clear" w:color="auto" w:fill="FFFFFF"/>
            <w:vAlign w:val="center"/>
          </w:tcPr>
          <w:p w14:paraId="47842C15">
            <w:pPr>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olor w:val="auto"/>
                <w:sz w:val="21"/>
                <w:szCs w:val="21"/>
                <w:highlight w:val="none"/>
              </w:rPr>
            </w:pPr>
            <w:r>
              <w:rPr>
                <w:rFonts w:hint="eastAsia" w:ascii="宋体" w:hAnsi="宋体"/>
                <w:color w:val="auto"/>
                <w:sz w:val="21"/>
                <w:szCs w:val="21"/>
                <w:highlight w:val="none"/>
              </w:rPr>
              <w:t>票据</w:t>
            </w:r>
          </w:p>
        </w:tc>
        <w:tc>
          <w:tcPr>
            <w:tcW w:w="7939" w:type="dxa"/>
            <w:shd w:val="clear" w:color="auto" w:fill="FFFFFF"/>
            <w:vAlign w:val="center"/>
          </w:tcPr>
          <w:p w14:paraId="349BF9D2">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提供票据开立服务，并以领域服务的形式供应用系统调用；</w:t>
            </w:r>
          </w:p>
          <w:p w14:paraId="5ECBBF1C">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提供票据作废服务，并以领域服务的形式供应用系统调用；</w:t>
            </w:r>
          </w:p>
        </w:tc>
      </w:tr>
      <w:tr w14:paraId="4DFCF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13" w:type="dxa"/>
            <w:vMerge w:val="continue"/>
            <w:shd w:val="clear" w:color="auto" w:fill="FFFFFF"/>
            <w:vAlign w:val="center"/>
          </w:tcPr>
          <w:p w14:paraId="5508007B">
            <w:pPr>
              <w:keepNext w:val="0"/>
              <w:keepLines w:val="0"/>
              <w:pageBreakBefore w:val="0"/>
              <w:widowControl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66" w:type="dxa"/>
            <w:shd w:val="clear" w:color="auto" w:fill="FFFFFF"/>
            <w:vAlign w:val="center"/>
          </w:tcPr>
          <w:p w14:paraId="2F07618D">
            <w:pPr>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olor w:val="auto"/>
                <w:sz w:val="21"/>
                <w:szCs w:val="21"/>
                <w:highlight w:val="none"/>
              </w:rPr>
            </w:pPr>
            <w:r>
              <w:rPr>
                <w:rFonts w:hint="eastAsia" w:ascii="宋体" w:hAnsi="宋体"/>
                <w:color w:val="auto"/>
                <w:sz w:val="21"/>
                <w:szCs w:val="21"/>
                <w:highlight w:val="none"/>
              </w:rPr>
              <w:t>操作员结账</w:t>
            </w:r>
          </w:p>
        </w:tc>
        <w:tc>
          <w:tcPr>
            <w:tcW w:w="7939" w:type="dxa"/>
            <w:shd w:val="clear" w:color="auto" w:fill="FFFFFF"/>
            <w:vAlign w:val="center"/>
          </w:tcPr>
          <w:p w14:paraId="49362328">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提供操作员结账服务，并以领域服务的形式供应用系统调用；</w:t>
            </w:r>
          </w:p>
          <w:p w14:paraId="3CEF9391">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提供操作员取消结账服务，并以领域服务的形式供应用系统调用；</w:t>
            </w:r>
          </w:p>
        </w:tc>
      </w:tr>
    </w:tbl>
    <w:p w14:paraId="29C03DBA">
      <w:pPr>
        <w:bidi w:val="0"/>
      </w:pPr>
    </w:p>
    <w:p w14:paraId="3B2DDD85">
      <w:pPr>
        <w:pStyle w:val="4"/>
        <w:bidi w:val="0"/>
      </w:pPr>
      <w:bookmarkStart w:id="85" w:name="_Toc26404"/>
      <w:bookmarkStart w:id="86" w:name="_Toc20453"/>
      <w:bookmarkStart w:id="87" w:name="_Toc23847"/>
      <w:bookmarkStart w:id="88" w:name="_Toc9057"/>
      <w:bookmarkStart w:id="89" w:name="_Toc18117"/>
      <w:r>
        <w:rPr>
          <w:rFonts w:hint="eastAsia"/>
        </w:rPr>
        <w:t>门诊流程单机版应急系统</w:t>
      </w:r>
      <w:bookmarkEnd w:id="85"/>
      <w:bookmarkEnd w:id="86"/>
      <w:bookmarkEnd w:id="87"/>
      <w:bookmarkEnd w:id="88"/>
      <w:bookmarkEnd w:id="89"/>
    </w:p>
    <w:tbl>
      <w:tblPr>
        <w:tblStyle w:val="46"/>
        <w:tblW w:w="10039" w:type="dxa"/>
        <w:jc w:val="center"/>
        <w:tblCellSpacing w:w="0" w:type="dxa"/>
        <w:tblBorders>
          <w:top w:val="single" w:color="auto" w:sz="6" w:space="0"/>
          <w:left w:val="single" w:color="auto" w:sz="6" w:space="0"/>
          <w:bottom w:val="single" w:color="auto" w:sz="6" w:space="0"/>
          <w:right w:val="single" w:color="auto" w:sz="6" w:space="0"/>
          <w:insideH w:val="none" w:color="auto" w:sz="0" w:space="0"/>
          <w:insideV w:val="none" w:color="auto" w:sz="0" w:space="0"/>
        </w:tblBorders>
        <w:tblLayout w:type="fixed"/>
        <w:tblCellMar>
          <w:top w:w="15" w:type="dxa"/>
          <w:left w:w="15" w:type="dxa"/>
          <w:bottom w:w="15" w:type="dxa"/>
          <w:right w:w="15" w:type="dxa"/>
        </w:tblCellMar>
      </w:tblPr>
      <w:tblGrid>
        <w:gridCol w:w="1250"/>
        <w:gridCol w:w="8789"/>
      </w:tblGrid>
      <w:tr w14:paraId="2F28E7C2">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PrEx>
        <w:trPr>
          <w:trHeight w:val="2420" w:hRule="atLeast"/>
          <w:tblCellSpacing w:w="0" w:type="dxa"/>
          <w:jc w:val="center"/>
        </w:trPr>
        <w:tc>
          <w:tcPr>
            <w:tcW w:w="1250" w:type="dxa"/>
            <w:tcBorders>
              <w:top w:val="single" w:color="auto" w:sz="6" w:space="0"/>
              <w:left w:val="single" w:color="auto" w:sz="6" w:space="0"/>
              <w:bottom w:val="nil"/>
              <w:right w:val="nil"/>
            </w:tcBorders>
            <w:vAlign w:val="center"/>
          </w:tcPr>
          <w:p w14:paraId="15F42338">
            <w:pPr>
              <w:widowControl/>
              <w:spacing w:before="100" w:beforeAutospacing="1" w:after="100" w:afterAutospacing="1"/>
              <w:jc w:val="left"/>
              <w:rPr>
                <w:rFonts w:ascii="宋体" w:hAnsi="宋体" w:eastAsia="宋体" w:cs="宋体"/>
                <w:kern w:val="0"/>
                <w:sz w:val="20"/>
                <w:szCs w:val="20"/>
              </w:rPr>
            </w:pPr>
            <w:r>
              <w:rPr>
                <w:rFonts w:ascii="宋体" w:hAnsi="宋体" w:eastAsia="宋体" w:cs="宋体"/>
                <w:b/>
                <w:bCs/>
                <w:kern w:val="0"/>
                <w:sz w:val="20"/>
                <w:szCs w:val="20"/>
              </w:rPr>
              <w:t>具体技术要求</w:t>
            </w:r>
          </w:p>
        </w:tc>
        <w:tc>
          <w:tcPr>
            <w:tcW w:w="8789" w:type="dxa"/>
            <w:tcBorders>
              <w:top w:val="single" w:color="auto" w:sz="6" w:space="0"/>
              <w:left w:val="single" w:color="auto" w:sz="6" w:space="0"/>
              <w:bottom w:val="nil"/>
              <w:right w:val="nil"/>
            </w:tcBorders>
            <w:vAlign w:val="center"/>
          </w:tcPr>
          <w:p w14:paraId="2B055D1E">
            <w:pPr>
              <w:spacing w:line="300" w:lineRule="auto"/>
              <w:rPr>
                <w:rFonts w:ascii="宋体" w:hAnsi="宋体" w:eastAsia="宋体"/>
                <w:color w:val="000000" w:themeColor="text1"/>
                <w:szCs w:val="21"/>
                <w14:textFill>
                  <w14:solidFill>
                    <w14:schemeClr w14:val="tx1"/>
                  </w14:solidFill>
                </w14:textFill>
              </w:rPr>
            </w:pPr>
            <w:r>
              <w:rPr>
                <w:rFonts w:ascii="宋体" w:hAnsi="宋体" w:eastAsia="宋体"/>
                <w:b/>
                <w:bCs/>
                <w:color w:val="000000" w:themeColor="text1"/>
                <w:szCs w:val="21"/>
                <w14:textFill>
                  <w14:solidFill>
                    <w14:schemeClr w14:val="tx1"/>
                  </w14:solidFill>
                </w14:textFill>
              </w:rPr>
              <w:t>1</w:t>
            </w:r>
            <w:r>
              <w:rPr>
                <w:rFonts w:hint="eastAsia" w:ascii="宋体" w:hAnsi="宋体" w:eastAsia="宋体"/>
                <w:b/>
                <w:bCs/>
                <w:color w:val="000000" w:themeColor="text1"/>
                <w:szCs w:val="21"/>
                <w14:textFill>
                  <w14:solidFill>
                    <w14:schemeClr w14:val="tx1"/>
                  </w14:solidFill>
                </w14:textFill>
              </w:rPr>
              <w:t>、单机运行：</w:t>
            </w:r>
            <w:r>
              <w:rPr>
                <w:rFonts w:hint="eastAsia" w:ascii="宋体" w:hAnsi="宋体" w:eastAsia="宋体"/>
                <w:color w:val="000000" w:themeColor="text1"/>
                <w:szCs w:val="21"/>
                <w14:textFill>
                  <w14:solidFill>
                    <w14:schemeClr w14:val="tx1"/>
                  </w14:solidFill>
                </w14:textFill>
              </w:rPr>
              <w:t>每台电脑上的单机系统能独立正常运行，能应对除停电外的各种极端状况，不需要依赖网络和数据库服务器等硬件设备。</w:t>
            </w:r>
          </w:p>
          <w:p w14:paraId="07D2135B">
            <w:pPr>
              <w:spacing w:line="300" w:lineRule="auto"/>
              <w:rPr>
                <w:rFonts w:ascii="宋体" w:hAnsi="宋体" w:eastAsia="宋体"/>
                <w:color w:val="000000" w:themeColor="text1"/>
                <w:szCs w:val="21"/>
                <w14:textFill>
                  <w14:solidFill>
                    <w14:schemeClr w14:val="tx1"/>
                  </w14:solidFill>
                </w14:textFill>
              </w:rPr>
            </w:pPr>
            <w:r>
              <w:rPr>
                <w:rStyle w:val="49"/>
                <w:rFonts w:hint="eastAsia" w:ascii="宋体" w:hAnsi="宋体" w:eastAsia="宋体" w:cs="Helvetica"/>
                <w:color w:val="000000" w:themeColor="text1"/>
                <w:szCs w:val="21"/>
                <w:shd w:val="clear" w:color="auto" w:fill="FFFFFF"/>
                <w14:textFill>
                  <w14:solidFill>
                    <w14:schemeClr w14:val="tx1"/>
                  </w14:solidFill>
                </w14:textFill>
              </w:rPr>
              <w:t>2、功能模块完整：</w:t>
            </w:r>
            <w:r>
              <w:rPr>
                <w:rStyle w:val="49"/>
                <w:rFonts w:hint="eastAsia" w:ascii="宋体" w:hAnsi="宋体" w:eastAsia="宋体" w:cs="Helvetica"/>
                <w:b w:val="0"/>
                <w:bCs w:val="0"/>
                <w:color w:val="000000" w:themeColor="text1"/>
                <w:szCs w:val="21"/>
                <w:shd w:val="clear" w:color="auto" w:fill="FFFFFF"/>
                <w14:textFill>
                  <w14:solidFill>
                    <w14:schemeClr w14:val="tx1"/>
                  </w14:solidFill>
                </w14:textFill>
              </w:rPr>
              <w:t>提供门诊建档、门急诊挂号、门急诊收费、门诊医生站等业务功能模块</w:t>
            </w:r>
            <w:r>
              <w:rPr>
                <w:rFonts w:hint="eastAsia" w:ascii="宋体" w:hAnsi="宋体" w:eastAsia="宋体" w:cs="Helvetica"/>
                <w:color w:val="000000" w:themeColor="text1"/>
                <w:szCs w:val="21"/>
                <w:shd w:val="clear" w:color="auto" w:fill="FFFFFF"/>
                <w14:textFill>
                  <w14:solidFill>
                    <w14:schemeClr w14:val="tx1"/>
                  </w14:solidFill>
                </w14:textFill>
              </w:rPr>
              <w:t>，</w:t>
            </w:r>
            <w:r>
              <w:rPr>
                <w:rFonts w:ascii="宋体" w:hAnsi="宋体" w:eastAsia="宋体" w:cs="Helvetica"/>
                <w:color w:val="000000" w:themeColor="text1"/>
                <w:szCs w:val="21"/>
                <w:shd w:val="clear" w:color="auto" w:fill="FFFFFF"/>
                <w14:textFill>
                  <w14:solidFill>
                    <w14:schemeClr w14:val="tx1"/>
                  </w14:solidFill>
                </w14:textFill>
              </w:rPr>
              <w:t>能够支撑医院门</w:t>
            </w:r>
            <w:r>
              <w:rPr>
                <w:rFonts w:hint="eastAsia" w:ascii="宋体" w:hAnsi="宋体" w:eastAsia="宋体" w:cs="Helvetica"/>
                <w:color w:val="000000" w:themeColor="text1"/>
                <w:szCs w:val="21"/>
                <w:shd w:val="clear" w:color="auto" w:fill="FFFFFF"/>
                <w14:textFill>
                  <w14:solidFill>
                    <w14:schemeClr w14:val="tx1"/>
                  </w14:solidFill>
                </w14:textFill>
              </w:rPr>
              <w:t>急</w:t>
            </w:r>
            <w:r>
              <w:rPr>
                <w:rFonts w:ascii="宋体" w:hAnsi="宋体" w:eastAsia="宋体" w:cs="Helvetica"/>
                <w:color w:val="000000" w:themeColor="text1"/>
                <w:szCs w:val="21"/>
                <w:shd w:val="clear" w:color="auto" w:fill="FFFFFF"/>
                <w14:textFill>
                  <w14:solidFill>
                    <w14:schemeClr w14:val="tx1"/>
                  </w14:solidFill>
                </w14:textFill>
              </w:rPr>
              <w:t>诊窗口业务的正常开展，</w:t>
            </w:r>
            <w:r>
              <w:rPr>
                <w:rFonts w:hint="eastAsia" w:ascii="宋体" w:hAnsi="宋体" w:eastAsia="宋体" w:cs="Helvetica"/>
                <w:color w:val="000000" w:themeColor="text1"/>
                <w:szCs w:val="21"/>
                <w:shd w:val="clear" w:color="auto" w:fill="FFFFFF"/>
                <w14:textFill>
                  <w14:solidFill>
                    <w14:schemeClr w14:val="tx1"/>
                  </w14:solidFill>
                </w14:textFill>
              </w:rPr>
              <w:t>最大限度地保持门急诊就诊秩序。</w:t>
            </w:r>
          </w:p>
          <w:p w14:paraId="213D3A2A">
            <w:pPr>
              <w:spacing w:line="300" w:lineRule="auto"/>
              <w:rPr>
                <w:rFonts w:ascii="宋体" w:hAnsi="宋体" w:eastAsia="宋体"/>
                <w:color w:val="000000" w:themeColor="text1"/>
                <w:szCs w:val="21"/>
                <w14:textFill>
                  <w14:solidFill>
                    <w14:schemeClr w14:val="tx1"/>
                  </w14:solidFill>
                </w14:textFill>
              </w:rPr>
            </w:pPr>
            <w:r>
              <w:rPr>
                <w:rFonts w:hint="eastAsia" w:ascii="宋体" w:hAnsi="宋体" w:eastAsia="宋体"/>
                <w:b/>
                <w:bCs/>
                <w:color w:val="000000" w:themeColor="text1"/>
                <w:szCs w:val="21"/>
                <w14:textFill>
                  <w14:solidFill>
                    <w14:schemeClr w14:val="tx1"/>
                  </w14:solidFill>
                </w14:textFill>
              </w:rPr>
              <w:t>3、操作效率</w:t>
            </w:r>
            <w:r>
              <w:rPr>
                <w:rFonts w:hint="eastAsia" w:ascii="宋体" w:hAnsi="宋体" w:eastAsia="宋体"/>
                <w:color w:val="000000" w:themeColor="text1"/>
                <w:szCs w:val="21"/>
                <w14:textFill>
                  <w14:solidFill>
                    <w14:schemeClr w14:val="tx1"/>
                  </w14:solidFill>
                </w14:textFill>
              </w:rPr>
              <w:t>：提供简单、方便的系统操作模式，操作效率接近正式系统，提供医生开单的各种快捷录入方式，保证挂号、收费操作的时效性，确保</w:t>
            </w:r>
            <w:r>
              <w:rPr>
                <w:rFonts w:ascii="宋体" w:hAnsi="宋体" w:eastAsia="宋体"/>
                <w:color w:val="000000" w:themeColor="text1"/>
                <w:szCs w:val="21"/>
                <w14:textFill>
                  <w14:solidFill>
                    <w14:schemeClr w14:val="tx1"/>
                  </w14:solidFill>
                </w14:textFill>
              </w:rPr>
              <w:t>患者</w:t>
            </w:r>
            <w:r>
              <w:rPr>
                <w:rFonts w:hint="eastAsia" w:ascii="宋体" w:hAnsi="宋体" w:eastAsia="宋体"/>
                <w:color w:val="000000" w:themeColor="text1"/>
                <w:szCs w:val="21"/>
                <w14:textFill>
                  <w14:solidFill>
                    <w14:schemeClr w14:val="tx1"/>
                  </w14:solidFill>
                </w14:textFill>
              </w:rPr>
              <w:t>无大量滞留、聚集。</w:t>
            </w:r>
          </w:p>
          <w:p w14:paraId="44ED2843">
            <w:pPr>
              <w:spacing w:line="300" w:lineRule="auto"/>
              <w:rPr>
                <w:rFonts w:ascii="宋体" w:hAnsi="宋体" w:eastAsia="宋体"/>
                <w:color w:val="000000" w:themeColor="text1"/>
                <w:szCs w:val="21"/>
                <w14:textFill>
                  <w14:solidFill>
                    <w14:schemeClr w14:val="tx1"/>
                  </w14:solidFill>
                </w14:textFill>
              </w:rPr>
            </w:pPr>
            <w:r>
              <w:rPr>
                <w:rFonts w:hint="eastAsia" w:ascii="宋体" w:hAnsi="宋体" w:eastAsia="宋体"/>
                <w:b/>
                <w:bCs/>
                <w:color w:val="000000" w:themeColor="text1"/>
                <w:szCs w:val="21"/>
                <w14:textFill>
                  <w14:solidFill>
                    <w14:schemeClr w14:val="tx1"/>
                  </w14:solidFill>
                </w14:textFill>
              </w:rPr>
              <w:t>4、数据字典同步</w:t>
            </w:r>
            <w:r>
              <w:rPr>
                <w:rFonts w:hint="eastAsia" w:ascii="宋体" w:hAnsi="宋体" w:eastAsia="宋体"/>
                <w:color w:val="000000" w:themeColor="text1"/>
                <w:szCs w:val="21"/>
                <w14:textFill>
                  <w14:solidFill>
                    <w14:schemeClr w14:val="tx1"/>
                  </w14:solidFill>
                </w14:textFill>
              </w:rPr>
              <w:t>：每个站点定时同步医院正式系统的科室、医生、药品、物价、诊断、收费套餐等数据，确保应急系统基础数据的准确性。</w:t>
            </w:r>
          </w:p>
          <w:p w14:paraId="592E655C">
            <w:pPr>
              <w:spacing w:line="300" w:lineRule="auto"/>
              <w:rPr>
                <w:rFonts w:ascii="宋体" w:hAnsi="宋体" w:eastAsia="宋体"/>
                <w:color w:val="000000" w:themeColor="text1"/>
                <w:szCs w:val="21"/>
                <w14:textFill>
                  <w14:solidFill>
                    <w14:schemeClr w14:val="tx1"/>
                  </w14:solidFill>
                </w14:textFill>
              </w:rPr>
            </w:pPr>
            <w:r>
              <w:rPr>
                <w:rFonts w:ascii="宋体" w:hAnsi="宋体" w:eastAsia="宋体"/>
                <w:b/>
                <w:bCs/>
                <w:color w:val="000000" w:themeColor="text1"/>
                <w:szCs w:val="21"/>
                <w14:textFill>
                  <w14:solidFill>
                    <w14:schemeClr w14:val="tx1"/>
                  </w14:solidFill>
                </w14:textFill>
              </w:rPr>
              <w:t>5</w:t>
            </w:r>
            <w:r>
              <w:rPr>
                <w:rFonts w:hint="eastAsia" w:ascii="宋体" w:hAnsi="宋体" w:eastAsia="宋体"/>
                <w:b/>
                <w:bCs/>
                <w:color w:val="000000" w:themeColor="text1"/>
                <w:szCs w:val="21"/>
                <w14:textFill>
                  <w14:solidFill>
                    <w14:schemeClr w14:val="tx1"/>
                  </w14:solidFill>
                </w14:textFill>
              </w:rPr>
              <w:t>、应急数据回导</w:t>
            </w:r>
            <w:r>
              <w:rPr>
                <w:rFonts w:hint="eastAsia" w:ascii="宋体" w:hAnsi="宋体" w:eastAsia="宋体"/>
                <w:color w:val="000000" w:themeColor="text1"/>
                <w:szCs w:val="21"/>
                <w14:textFill>
                  <w14:solidFill>
                    <w14:schemeClr w14:val="tx1"/>
                  </w14:solidFill>
                </w14:textFill>
              </w:rPr>
              <w:t>：应急期间医疗数据事后能完整回传，不丢失，能够在应急状态结束后快速将数据恢复到正式系统。</w:t>
            </w:r>
          </w:p>
          <w:p w14:paraId="63F35E26">
            <w:pPr>
              <w:pStyle w:val="40"/>
              <w:shd w:val="clear" w:color="auto" w:fill="FFFFFF"/>
              <w:spacing w:before="0" w:beforeAutospacing="0" w:after="0" w:afterAutospacing="0" w:line="300" w:lineRule="auto"/>
              <w:rPr>
                <w:rFonts w:cs="Helvetica"/>
                <w:color w:val="000000" w:themeColor="text1"/>
                <w:sz w:val="21"/>
                <w:szCs w:val="21"/>
                <w14:textFill>
                  <w14:solidFill>
                    <w14:schemeClr w14:val="tx1"/>
                  </w14:solidFill>
                </w14:textFill>
              </w:rPr>
            </w:pPr>
            <w:r>
              <w:rPr>
                <w:rFonts w:hint="eastAsia" w:cs="Helvetica"/>
                <w:b/>
                <w:bCs/>
                <w:color w:val="000000" w:themeColor="text1"/>
                <w:sz w:val="21"/>
                <w:szCs w:val="21"/>
                <w14:textFill>
                  <w14:solidFill>
                    <w14:schemeClr w14:val="tx1"/>
                  </w14:solidFill>
                </w14:textFill>
              </w:rPr>
              <w:t>6、应急保障</w:t>
            </w:r>
            <w:r>
              <w:rPr>
                <w:rFonts w:hint="eastAsia" w:cs="Helvetica"/>
                <w:color w:val="000000" w:themeColor="text1"/>
                <w:sz w:val="21"/>
                <w:szCs w:val="21"/>
                <w14:textFill>
                  <w14:solidFill>
                    <w14:schemeClr w14:val="tx1"/>
                  </w14:solidFill>
                </w14:textFill>
              </w:rPr>
              <w:t>：在医院出现应急情况时能够迅速提供支持服务，协助医院定期开展应急演练，。</w:t>
            </w:r>
          </w:p>
          <w:p w14:paraId="0A6FCEF2">
            <w:pPr>
              <w:widowControl/>
              <w:spacing w:line="300" w:lineRule="auto"/>
              <w:jc w:val="left"/>
              <w:rPr>
                <w:rFonts w:cs="宋体" w:asciiTheme="minorEastAsia" w:hAnsiTheme="minorEastAsia"/>
                <w:szCs w:val="21"/>
              </w:rPr>
            </w:pPr>
            <w:r>
              <w:rPr>
                <w:rFonts w:hint="eastAsia" w:cs="宋体" w:asciiTheme="minorEastAsia" w:hAnsiTheme="minorEastAsia"/>
                <w:b/>
                <w:bCs/>
                <w:szCs w:val="21"/>
              </w:rPr>
              <w:t>7、部署方便：</w:t>
            </w:r>
            <w:r>
              <w:rPr>
                <w:rFonts w:hint="eastAsia" w:cs="宋体" w:asciiTheme="minorEastAsia" w:hAnsiTheme="minorEastAsia"/>
                <w:szCs w:val="21"/>
              </w:rPr>
              <w:t>兼容各版本W</w:t>
            </w:r>
            <w:r>
              <w:rPr>
                <w:rFonts w:cs="宋体" w:asciiTheme="minorEastAsia" w:hAnsiTheme="minorEastAsia"/>
                <w:szCs w:val="21"/>
              </w:rPr>
              <w:t>INDOWS</w:t>
            </w:r>
            <w:r>
              <w:rPr>
                <w:rFonts w:hint="eastAsia" w:cs="宋体" w:asciiTheme="minorEastAsia" w:hAnsiTheme="minorEastAsia"/>
                <w:szCs w:val="21"/>
              </w:rPr>
              <w:t>系统，系统运行环境和硬件要求低，便于部署。</w:t>
            </w:r>
          </w:p>
          <w:p w14:paraId="7E62C60B">
            <w:pPr>
              <w:widowControl/>
              <w:spacing w:line="300" w:lineRule="auto"/>
              <w:jc w:val="left"/>
              <w:rPr>
                <w:rFonts w:cs="宋体" w:asciiTheme="minorEastAsia" w:hAnsiTheme="minorEastAsia"/>
                <w:bCs/>
                <w:szCs w:val="21"/>
              </w:rPr>
            </w:pPr>
            <w:r>
              <w:rPr>
                <w:rFonts w:hint="eastAsia" w:cs="宋体" w:asciiTheme="minorEastAsia" w:hAnsiTheme="minorEastAsia"/>
                <w:b/>
                <w:szCs w:val="21"/>
              </w:rPr>
              <w:t>8、应急挂号系统</w:t>
            </w:r>
            <w:r>
              <w:rPr>
                <w:rFonts w:hint="eastAsia" w:cs="宋体" w:asciiTheme="minorEastAsia" w:hAnsiTheme="minorEastAsia"/>
                <w:bCs/>
                <w:szCs w:val="21"/>
              </w:rPr>
              <w:tab/>
            </w:r>
          </w:p>
          <w:p w14:paraId="2E5493AD">
            <w:pPr>
              <w:widowControl/>
              <w:spacing w:line="300" w:lineRule="auto"/>
              <w:jc w:val="left"/>
              <w:rPr>
                <w:rFonts w:cs="宋体" w:asciiTheme="minorEastAsia" w:hAnsiTheme="minorEastAsia"/>
                <w:bCs/>
                <w:szCs w:val="21"/>
              </w:rPr>
            </w:pPr>
            <w:r>
              <w:rPr>
                <w:rFonts w:hint="eastAsia" w:cs="宋体" w:asciiTheme="minorEastAsia" w:hAnsiTheme="minorEastAsia"/>
                <w:bCs/>
                <w:szCs w:val="21"/>
              </w:rPr>
              <w:t>（1）系统支持挂号票据号段设置，支持创建患者档案，自动获取医院挂号科室及诊金信息。</w:t>
            </w:r>
          </w:p>
          <w:p w14:paraId="7DB21B1A">
            <w:pPr>
              <w:widowControl/>
              <w:spacing w:line="300" w:lineRule="auto"/>
              <w:jc w:val="left"/>
              <w:rPr>
                <w:rFonts w:cs="宋体" w:asciiTheme="minorEastAsia" w:hAnsiTheme="minorEastAsia"/>
                <w:bCs/>
                <w:szCs w:val="21"/>
              </w:rPr>
            </w:pPr>
            <w:r>
              <w:rPr>
                <w:rFonts w:hint="eastAsia" w:cs="宋体" w:asciiTheme="minorEastAsia" w:hAnsiTheme="minorEastAsia"/>
                <w:bCs/>
                <w:szCs w:val="21"/>
              </w:rPr>
              <w:t>（2）实现正常挂号收费并按照院方要求的票据格式打印挂号票。</w:t>
            </w:r>
          </w:p>
          <w:p w14:paraId="34C6AAAF">
            <w:pPr>
              <w:widowControl/>
              <w:spacing w:line="300" w:lineRule="auto"/>
              <w:jc w:val="left"/>
              <w:rPr>
                <w:rFonts w:cs="宋体" w:asciiTheme="minorEastAsia" w:hAnsiTheme="minorEastAsia"/>
                <w:bCs/>
                <w:szCs w:val="21"/>
              </w:rPr>
            </w:pPr>
            <w:r>
              <w:rPr>
                <w:rFonts w:hint="eastAsia" w:cs="宋体" w:asciiTheme="minorEastAsia" w:hAnsiTheme="minorEastAsia"/>
                <w:bCs/>
                <w:szCs w:val="21"/>
              </w:rPr>
              <w:t>（3）提供挂号数据查询功能。</w:t>
            </w:r>
          </w:p>
          <w:p w14:paraId="448EC754">
            <w:pPr>
              <w:widowControl/>
              <w:spacing w:line="300" w:lineRule="auto"/>
              <w:jc w:val="left"/>
              <w:rPr>
                <w:rFonts w:cs="宋体" w:asciiTheme="minorEastAsia" w:hAnsiTheme="minorEastAsia"/>
                <w:bCs/>
                <w:szCs w:val="21"/>
              </w:rPr>
            </w:pPr>
            <w:r>
              <w:rPr>
                <w:rFonts w:hint="eastAsia" w:cs="宋体" w:asciiTheme="minorEastAsia" w:hAnsiTheme="minorEastAsia"/>
                <w:b/>
                <w:szCs w:val="21"/>
              </w:rPr>
              <w:t>9、应急收费系统</w:t>
            </w:r>
          </w:p>
          <w:p w14:paraId="3481AD7E">
            <w:pPr>
              <w:widowControl/>
              <w:spacing w:line="300" w:lineRule="auto"/>
              <w:jc w:val="left"/>
              <w:rPr>
                <w:rFonts w:cs="宋体" w:asciiTheme="minorEastAsia" w:hAnsiTheme="minorEastAsia"/>
                <w:bCs/>
                <w:szCs w:val="21"/>
              </w:rPr>
            </w:pPr>
            <w:r>
              <w:rPr>
                <w:rFonts w:hint="eastAsia" w:cs="宋体" w:asciiTheme="minorEastAsia" w:hAnsiTheme="minorEastAsia"/>
                <w:bCs/>
                <w:szCs w:val="21"/>
              </w:rPr>
              <w:t>（1）系统支持收费发票号段设置，支持创建患者档案。</w:t>
            </w:r>
          </w:p>
          <w:p w14:paraId="6DE99BA7">
            <w:pPr>
              <w:widowControl/>
              <w:spacing w:line="300" w:lineRule="auto"/>
              <w:jc w:val="left"/>
              <w:rPr>
                <w:rFonts w:cs="宋体" w:asciiTheme="minorEastAsia" w:hAnsiTheme="minorEastAsia"/>
                <w:bCs/>
                <w:szCs w:val="21"/>
              </w:rPr>
            </w:pPr>
            <w:r>
              <w:rPr>
                <w:rFonts w:hint="eastAsia" w:cs="宋体" w:asciiTheme="minorEastAsia" w:hAnsiTheme="minorEastAsia"/>
                <w:bCs/>
                <w:szCs w:val="21"/>
              </w:rPr>
              <w:t>（2）允许扫码调入医生开单信息或直接手动录入医生开单信息。</w:t>
            </w:r>
          </w:p>
          <w:p w14:paraId="3605508D">
            <w:pPr>
              <w:widowControl/>
              <w:spacing w:line="300" w:lineRule="auto"/>
              <w:jc w:val="left"/>
              <w:rPr>
                <w:rFonts w:cs="宋体" w:asciiTheme="minorEastAsia" w:hAnsiTheme="minorEastAsia"/>
                <w:bCs/>
                <w:szCs w:val="21"/>
              </w:rPr>
            </w:pPr>
            <w:r>
              <w:rPr>
                <w:rFonts w:hint="eastAsia" w:cs="宋体" w:asciiTheme="minorEastAsia" w:hAnsiTheme="minorEastAsia"/>
                <w:bCs/>
                <w:szCs w:val="21"/>
              </w:rPr>
              <w:t>（</w:t>
            </w:r>
            <w:r>
              <w:rPr>
                <w:rFonts w:cs="宋体" w:asciiTheme="minorEastAsia" w:hAnsiTheme="minorEastAsia"/>
                <w:bCs/>
                <w:szCs w:val="21"/>
              </w:rPr>
              <w:t>3</w:t>
            </w:r>
            <w:r>
              <w:rPr>
                <w:rFonts w:hint="eastAsia" w:cs="宋体" w:asciiTheme="minorEastAsia" w:hAnsiTheme="minorEastAsia"/>
                <w:bCs/>
                <w:szCs w:val="21"/>
              </w:rPr>
              <w:t>）实现正常收费，并按照院方要求的票据格式收费发票。</w:t>
            </w:r>
          </w:p>
          <w:p w14:paraId="04F006DF">
            <w:pPr>
              <w:widowControl/>
              <w:spacing w:line="300" w:lineRule="auto"/>
              <w:jc w:val="left"/>
              <w:rPr>
                <w:rFonts w:cs="宋体" w:asciiTheme="minorEastAsia" w:hAnsiTheme="minorEastAsia"/>
                <w:bCs/>
                <w:szCs w:val="21"/>
              </w:rPr>
            </w:pPr>
            <w:r>
              <w:rPr>
                <w:rFonts w:hint="eastAsia" w:cs="宋体" w:asciiTheme="minorEastAsia" w:hAnsiTheme="minorEastAsia"/>
                <w:bCs/>
                <w:szCs w:val="21"/>
              </w:rPr>
              <w:t>（</w:t>
            </w:r>
            <w:r>
              <w:rPr>
                <w:rFonts w:cs="宋体" w:asciiTheme="minorEastAsia" w:hAnsiTheme="minorEastAsia"/>
                <w:bCs/>
                <w:szCs w:val="21"/>
              </w:rPr>
              <w:t>4</w:t>
            </w:r>
            <w:r>
              <w:rPr>
                <w:rFonts w:hint="eastAsia" w:cs="宋体" w:asciiTheme="minorEastAsia" w:hAnsiTheme="minorEastAsia"/>
                <w:bCs/>
                <w:szCs w:val="21"/>
              </w:rPr>
              <w:t>）提供收费发票数据查询功能。</w:t>
            </w:r>
          </w:p>
          <w:p w14:paraId="07443DBB">
            <w:pPr>
              <w:widowControl/>
              <w:spacing w:line="300" w:lineRule="auto"/>
              <w:jc w:val="left"/>
              <w:rPr>
                <w:rFonts w:cs="宋体" w:asciiTheme="minorEastAsia" w:hAnsiTheme="minorEastAsia"/>
                <w:b/>
                <w:szCs w:val="21"/>
              </w:rPr>
            </w:pPr>
            <w:r>
              <w:rPr>
                <w:rFonts w:hint="eastAsia" w:cs="宋体" w:asciiTheme="minorEastAsia" w:hAnsiTheme="minorEastAsia"/>
                <w:b/>
                <w:szCs w:val="21"/>
              </w:rPr>
              <w:t>10、应急门急诊医生站</w:t>
            </w:r>
          </w:p>
          <w:p w14:paraId="6000E28F">
            <w:pPr>
              <w:widowControl/>
              <w:spacing w:line="300" w:lineRule="auto"/>
              <w:jc w:val="left"/>
              <w:rPr>
                <w:rFonts w:cs="宋体" w:asciiTheme="minorEastAsia" w:hAnsiTheme="minorEastAsia"/>
                <w:bCs/>
                <w:szCs w:val="21"/>
              </w:rPr>
            </w:pPr>
            <w:r>
              <w:rPr>
                <w:rFonts w:hint="eastAsia" w:cs="宋体" w:asciiTheme="minorEastAsia" w:hAnsiTheme="minorEastAsia"/>
                <w:bCs/>
                <w:szCs w:val="21"/>
              </w:rPr>
              <w:t>（1）系统支持西药方、中成药方、草药方及精麻等特殊药方的开单及打印。</w:t>
            </w:r>
          </w:p>
          <w:p w14:paraId="1D00678F">
            <w:pPr>
              <w:widowControl/>
              <w:spacing w:line="300" w:lineRule="auto"/>
              <w:jc w:val="left"/>
              <w:rPr>
                <w:rFonts w:cs="宋体" w:asciiTheme="minorEastAsia" w:hAnsiTheme="minorEastAsia"/>
                <w:bCs/>
                <w:szCs w:val="21"/>
              </w:rPr>
            </w:pPr>
            <w:r>
              <w:rPr>
                <w:rFonts w:hint="eastAsia" w:cs="宋体" w:asciiTheme="minorEastAsia" w:hAnsiTheme="minorEastAsia"/>
                <w:bCs/>
                <w:szCs w:val="21"/>
              </w:rPr>
              <w:t>（2）支持按医院现有的检查、检验、治疗、手术的组套项目开单并打印。</w:t>
            </w:r>
          </w:p>
          <w:p w14:paraId="7637500E">
            <w:pPr>
              <w:widowControl/>
              <w:spacing w:line="300" w:lineRule="auto"/>
              <w:jc w:val="left"/>
              <w:rPr>
                <w:rFonts w:cs="宋体" w:asciiTheme="minorEastAsia" w:hAnsiTheme="minorEastAsia"/>
                <w:bCs/>
                <w:szCs w:val="21"/>
              </w:rPr>
            </w:pPr>
            <w:r>
              <w:rPr>
                <w:rFonts w:hint="eastAsia" w:cs="宋体" w:asciiTheme="minorEastAsia" w:hAnsiTheme="minorEastAsia"/>
                <w:bCs/>
                <w:szCs w:val="21"/>
              </w:rPr>
              <w:t>（3）在医生开单时，可直接调入现有的个人常用诊断、常用药品、常用组套等，方便医生开单。</w:t>
            </w:r>
          </w:p>
          <w:p w14:paraId="43071429">
            <w:pPr>
              <w:widowControl/>
              <w:spacing w:line="300" w:lineRule="auto"/>
              <w:jc w:val="left"/>
              <w:rPr>
                <w:rFonts w:cs="宋体" w:asciiTheme="minorEastAsia" w:hAnsiTheme="minorEastAsia"/>
                <w:b/>
                <w:szCs w:val="21"/>
              </w:rPr>
            </w:pPr>
            <w:r>
              <w:rPr>
                <w:rFonts w:hint="eastAsia" w:cs="宋体" w:asciiTheme="minorEastAsia" w:hAnsiTheme="minorEastAsia"/>
                <w:b/>
                <w:szCs w:val="21"/>
              </w:rPr>
              <w:t>11、应急控制中心</w:t>
            </w:r>
          </w:p>
          <w:p w14:paraId="019D321B">
            <w:pPr>
              <w:widowControl/>
              <w:spacing w:line="300" w:lineRule="auto"/>
              <w:jc w:val="left"/>
              <w:rPr>
                <w:rFonts w:cs="宋体" w:asciiTheme="minorEastAsia" w:hAnsiTheme="minorEastAsia"/>
                <w:bCs/>
                <w:szCs w:val="21"/>
              </w:rPr>
            </w:pPr>
            <w:r>
              <w:rPr>
                <w:rFonts w:hint="eastAsia" w:cs="宋体" w:asciiTheme="minorEastAsia" w:hAnsiTheme="minorEastAsia"/>
                <w:bCs/>
                <w:szCs w:val="21"/>
              </w:rPr>
              <w:t>（1）系统支持应急状态设置，应急起始时间及结束时间设置。</w:t>
            </w:r>
          </w:p>
          <w:p w14:paraId="0697D4AF">
            <w:pPr>
              <w:widowControl/>
              <w:spacing w:line="300" w:lineRule="auto"/>
              <w:jc w:val="left"/>
              <w:rPr>
                <w:rFonts w:cs="宋体" w:asciiTheme="minorEastAsia" w:hAnsiTheme="minorEastAsia"/>
                <w:bCs/>
                <w:szCs w:val="21"/>
              </w:rPr>
            </w:pPr>
            <w:r>
              <w:rPr>
                <w:rFonts w:hint="eastAsia" w:cs="宋体" w:asciiTheme="minorEastAsia" w:hAnsiTheme="minorEastAsia"/>
                <w:bCs/>
                <w:szCs w:val="21"/>
              </w:rPr>
              <w:t>（</w:t>
            </w:r>
            <w:r>
              <w:rPr>
                <w:rFonts w:cs="宋体" w:asciiTheme="minorEastAsia" w:hAnsiTheme="minorEastAsia"/>
                <w:bCs/>
                <w:szCs w:val="21"/>
              </w:rPr>
              <w:t>2</w:t>
            </w:r>
            <w:r>
              <w:rPr>
                <w:rFonts w:hint="eastAsia" w:cs="宋体" w:asciiTheme="minorEastAsia" w:hAnsiTheme="minorEastAsia"/>
                <w:bCs/>
                <w:szCs w:val="21"/>
              </w:rPr>
              <w:t>）在应急状态结束后，可以将各单机客户端上传到应急中心数据库的业务数据进行汇总。</w:t>
            </w:r>
          </w:p>
          <w:p w14:paraId="09C6EAC3">
            <w:pPr>
              <w:spacing w:line="300" w:lineRule="auto"/>
              <w:rPr>
                <w:rFonts w:ascii="宋体" w:hAnsi="宋体" w:eastAsia="宋体" w:cs="宋体"/>
                <w:kern w:val="0"/>
                <w:szCs w:val="21"/>
              </w:rPr>
            </w:pPr>
            <w:r>
              <w:rPr>
                <w:rFonts w:hint="eastAsia" w:cs="宋体" w:asciiTheme="minorEastAsia" w:hAnsiTheme="minorEastAsia"/>
                <w:bCs/>
                <w:szCs w:val="21"/>
              </w:rPr>
              <w:t>（</w:t>
            </w:r>
            <w:r>
              <w:rPr>
                <w:rFonts w:cs="宋体" w:asciiTheme="minorEastAsia" w:hAnsiTheme="minorEastAsia"/>
                <w:bCs/>
                <w:szCs w:val="21"/>
              </w:rPr>
              <w:t>3</w:t>
            </w:r>
            <w:r>
              <w:rPr>
                <w:rFonts w:hint="eastAsia" w:cs="宋体" w:asciiTheme="minorEastAsia" w:hAnsiTheme="minorEastAsia"/>
                <w:bCs/>
                <w:szCs w:val="21"/>
              </w:rPr>
              <w:t>）能够将业务数据回导到正式系统HIS数据库。</w:t>
            </w:r>
          </w:p>
        </w:tc>
      </w:tr>
    </w:tbl>
    <w:p w14:paraId="0B79E7C8">
      <w:pPr>
        <w:rPr>
          <w:rFonts w:asciiTheme="minorEastAsia" w:hAnsiTheme="minorEastAsia"/>
          <w:b/>
          <w:sz w:val="24"/>
          <w:szCs w:val="24"/>
          <w:u w:val="single"/>
        </w:rPr>
      </w:pPr>
      <w:r>
        <w:rPr>
          <w:rFonts w:asciiTheme="minorEastAsia" w:hAnsiTheme="minorEastAsia"/>
          <w:b/>
          <w:sz w:val="24"/>
          <w:szCs w:val="24"/>
          <w:u w:val="single"/>
        </w:rPr>
        <w:br w:type="page"/>
      </w:r>
    </w:p>
    <w:p w14:paraId="67440BFF">
      <w:pPr>
        <w:pStyle w:val="3"/>
        <w:bidi w:val="0"/>
        <w:rPr>
          <w:rFonts w:asciiTheme="minorEastAsia" w:hAnsiTheme="minorEastAsia"/>
          <w:b/>
          <w:sz w:val="24"/>
          <w:szCs w:val="24"/>
          <w:u w:val="single"/>
        </w:rPr>
      </w:pPr>
      <w:bookmarkStart w:id="90" w:name="_Toc21187"/>
      <w:bookmarkStart w:id="91" w:name="_Toc28514"/>
      <w:bookmarkStart w:id="92" w:name="_Toc15203"/>
      <w:bookmarkStart w:id="93" w:name="_Toc9592"/>
      <w:bookmarkStart w:id="94" w:name="_Toc19970"/>
      <w:r>
        <w:rPr>
          <w:rFonts w:hint="eastAsia"/>
        </w:rPr>
        <w:t>二期系统建设需求</w:t>
      </w:r>
      <w:bookmarkEnd w:id="90"/>
      <w:bookmarkEnd w:id="91"/>
      <w:bookmarkEnd w:id="92"/>
      <w:bookmarkEnd w:id="93"/>
      <w:bookmarkEnd w:id="94"/>
    </w:p>
    <w:p w14:paraId="109EA635">
      <w:pPr>
        <w:pStyle w:val="4"/>
        <w:bidi w:val="0"/>
        <w:rPr>
          <w:rFonts w:hint="eastAsia"/>
        </w:rPr>
      </w:pPr>
      <w:bookmarkStart w:id="95" w:name="_Toc6466"/>
      <w:bookmarkStart w:id="96" w:name="_Toc13446"/>
      <w:bookmarkStart w:id="97" w:name="_Toc17327"/>
      <w:bookmarkStart w:id="98" w:name="_Toc3580"/>
      <w:bookmarkStart w:id="99" w:name="_Toc32102"/>
      <w:bookmarkStart w:id="100" w:name="_Toc14652"/>
      <w:bookmarkStart w:id="101" w:name="_Toc31030"/>
      <w:bookmarkStart w:id="102" w:name="_Toc3487"/>
      <w:bookmarkStart w:id="103" w:name="_Toc29517"/>
      <w:r>
        <w:rPr>
          <w:rFonts w:hint="eastAsia"/>
        </w:rPr>
        <w:t>输血管理系统</w:t>
      </w:r>
      <w:bookmarkEnd w:id="95"/>
      <w:bookmarkEnd w:id="96"/>
      <w:bookmarkEnd w:id="97"/>
      <w:bookmarkEnd w:id="98"/>
      <w:bookmarkEnd w:id="99"/>
    </w:p>
    <w:bookmarkEnd w:id="100"/>
    <w:bookmarkEnd w:id="101"/>
    <w:bookmarkEnd w:id="102"/>
    <w:bookmarkEnd w:id="103"/>
    <w:p w14:paraId="47FE7276">
      <w:pPr>
        <w:pStyle w:val="269"/>
        <w:ind w:left="0" w:firstLine="0"/>
        <w:outlineLvl w:val="9"/>
        <w:rPr>
          <w:rFonts w:ascii="宋体" w:hAnsi="宋体" w:cs="宋体"/>
          <w:b w:val="0"/>
          <w:bCs/>
          <w:spacing w:val="10"/>
          <w:kern w:val="0"/>
          <w:szCs w:val="21"/>
        </w:rPr>
      </w:pPr>
      <w:bookmarkStart w:id="104" w:name="_Hlk50734797"/>
      <w:bookmarkStart w:id="105" w:name="_Hlk514246416"/>
      <w:r>
        <w:rPr>
          <w:rFonts w:hint="eastAsia" w:ascii="宋体" w:hAnsi="宋体" w:cs="宋体"/>
          <w:b w:val="0"/>
          <w:bCs/>
          <w:spacing w:val="10"/>
          <w:kern w:val="0"/>
          <w:szCs w:val="21"/>
        </w:rPr>
        <w:t>1、输血科信息管理系统</w:t>
      </w:r>
    </w:p>
    <w:tbl>
      <w:tblPr>
        <w:tblStyle w:val="46"/>
        <w:tblW w:w="97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7"/>
        <w:gridCol w:w="1999"/>
        <w:gridCol w:w="6502"/>
      </w:tblGrid>
      <w:tr w14:paraId="7CBD6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237" w:type="dxa"/>
            <w:noWrap w:val="0"/>
            <w:vAlign w:val="center"/>
          </w:tcPr>
          <w:p w14:paraId="00A5D243">
            <w:pPr>
              <w:pStyle w:val="56"/>
              <w:tabs>
                <w:tab w:val="left" w:pos="7740"/>
              </w:tabs>
              <w:spacing w:line="288" w:lineRule="auto"/>
              <w:jc w:val="center"/>
              <w:rPr>
                <w:rFonts w:ascii="宋体" w:hAnsi="宋体" w:cs="宋体"/>
                <w:sz w:val="21"/>
                <w:szCs w:val="21"/>
              </w:rPr>
            </w:pPr>
            <w:r>
              <w:rPr>
                <w:rFonts w:hint="eastAsia" w:ascii="宋体" w:hAnsi="宋体" w:cs="宋体"/>
                <w:sz w:val="21"/>
                <w:szCs w:val="21"/>
              </w:rPr>
              <w:t>子系统</w:t>
            </w:r>
          </w:p>
        </w:tc>
        <w:tc>
          <w:tcPr>
            <w:tcW w:w="1999" w:type="dxa"/>
            <w:noWrap w:val="0"/>
            <w:vAlign w:val="center"/>
          </w:tcPr>
          <w:p w14:paraId="5A9CF567">
            <w:pPr>
              <w:pStyle w:val="56"/>
              <w:tabs>
                <w:tab w:val="left" w:pos="7740"/>
              </w:tabs>
              <w:spacing w:line="288" w:lineRule="auto"/>
              <w:jc w:val="center"/>
              <w:rPr>
                <w:rFonts w:ascii="宋体" w:hAnsi="宋体" w:cs="宋体"/>
                <w:sz w:val="21"/>
                <w:szCs w:val="21"/>
              </w:rPr>
            </w:pPr>
            <w:r>
              <w:rPr>
                <w:rFonts w:hint="eastAsia" w:ascii="宋体" w:hAnsi="宋体" w:cs="宋体"/>
                <w:sz w:val="21"/>
                <w:szCs w:val="21"/>
              </w:rPr>
              <w:t>系统功能</w:t>
            </w:r>
          </w:p>
        </w:tc>
        <w:tc>
          <w:tcPr>
            <w:tcW w:w="6502" w:type="dxa"/>
            <w:noWrap w:val="0"/>
            <w:vAlign w:val="center"/>
          </w:tcPr>
          <w:p w14:paraId="37647259">
            <w:pPr>
              <w:pStyle w:val="56"/>
              <w:tabs>
                <w:tab w:val="left" w:pos="7740"/>
              </w:tabs>
              <w:spacing w:line="288" w:lineRule="auto"/>
              <w:jc w:val="center"/>
              <w:rPr>
                <w:rFonts w:ascii="宋体" w:hAnsi="宋体" w:cs="宋体"/>
                <w:sz w:val="21"/>
                <w:szCs w:val="21"/>
              </w:rPr>
            </w:pPr>
            <w:r>
              <w:rPr>
                <w:rFonts w:hint="eastAsia" w:ascii="宋体" w:hAnsi="宋体" w:cs="宋体"/>
                <w:sz w:val="21"/>
                <w:szCs w:val="21"/>
              </w:rPr>
              <w:t>功能描述</w:t>
            </w:r>
          </w:p>
        </w:tc>
      </w:tr>
      <w:tr w14:paraId="7AF6C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8" w:hRule="atLeast"/>
          <w:jc w:val="center"/>
        </w:trPr>
        <w:tc>
          <w:tcPr>
            <w:tcW w:w="1237" w:type="dxa"/>
            <w:vMerge w:val="restart"/>
            <w:noWrap w:val="0"/>
            <w:vAlign w:val="center"/>
          </w:tcPr>
          <w:p w14:paraId="0EB9D1B0">
            <w:pPr>
              <w:pStyle w:val="56"/>
              <w:tabs>
                <w:tab w:val="left" w:pos="7740"/>
              </w:tabs>
              <w:spacing w:line="288" w:lineRule="auto"/>
              <w:rPr>
                <w:rFonts w:ascii="宋体" w:hAnsi="宋体" w:cs="宋体"/>
                <w:sz w:val="21"/>
                <w:szCs w:val="21"/>
              </w:rPr>
            </w:pPr>
            <w:r>
              <w:rPr>
                <w:rFonts w:hint="eastAsia" w:ascii="宋体" w:hAnsi="宋体" w:cs="宋体"/>
                <w:sz w:val="21"/>
                <w:szCs w:val="21"/>
              </w:rPr>
              <w:t>入库管理</w:t>
            </w:r>
          </w:p>
        </w:tc>
        <w:tc>
          <w:tcPr>
            <w:tcW w:w="1999" w:type="dxa"/>
            <w:noWrap w:val="0"/>
            <w:vAlign w:val="center"/>
          </w:tcPr>
          <w:p w14:paraId="14DBF253">
            <w:pPr>
              <w:pStyle w:val="56"/>
              <w:tabs>
                <w:tab w:val="left" w:pos="7740"/>
              </w:tabs>
              <w:spacing w:line="288" w:lineRule="auto"/>
              <w:rPr>
                <w:rFonts w:ascii="宋体" w:hAnsi="宋体" w:cs="宋体"/>
                <w:sz w:val="21"/>
                <w:szCs w:val="21"/>
              </w:rPr>
            </w:pPr>
            <w:r>
              <w:rPr>
                <w:rFonts w:hint="eastAsia" w:ascii="宋体" w:hAnsi="宋体" w:cs="宋体"/>
                <w:sz w:val="21"/>
                <w:szCs w:val="21"/>
              </w:rPr>
              <w:t>用血预约</w:t>
            </w:r>
          </w:p>
        </w:tc>
        <w:tc>
          <w:tcPr>
            <w:tcW w:w="6502" w:type="dxa"/>
            <w:noWrap w:val="0"/>
            <w:vAlign w:val="center"/>
          </w:tcPr>
          <w:p w14:paraId="1F237674">
            <w:pPr>
              <w:pStyle w:val="56"/>
              <w:tabs>
                <w:tab w:val="left" w:pos="7740"/>
              </w:tabs>
              <w:spacing w:line="288" w:lineRule="auto"/>
              <w:rPr>
                <w:rFonts w:ascii="宋体" w:hAnsi="宋体" w:cs="宋体"/>
                <w:sz w:val="21"/>
                <w:szCs w:val="21"/>
              </w:rPr>
            </w:pPr>
            <w:r>
              <w:rPr>
                <w:rFonts w:hint="eastAsia" w:ascii="宋体" w:hAnsi="宋体" w:cs="宋体"/>
                <w:sz w:val="21"/>
                <w:szCs w:val="21"/>
              </w:rPr>
              <w:t>系统支持与血站约血系统对接</w:t>
            </w:r>
          </w:p>
          <w:p w14:paraId="65F2FF96">
            <w:pPr>
              <w:pStyle w:val="56"/>
              <w:tabs>
                <w:tab w:val="left" w:pos="7740"/>
              </w:tabs>
              <w:spacing w:line="288" w:lineRule="auto"/>
              <w:rPr>
                <w:rStyle w:val="52"/>
                <w:rFonts w:ascii="宋体" w:hAnsi="宋体" w:cs="宋体"/>
                <w:iCs/>
                <w:sz w:val="21"/>
                <w:szCs w:val="21"/>
              </w:rPr>
            </w:pPr>
            <w:r>
              <w:rPr>
                <w:rFonts w:hint="eastAsia" w:ascii="宋体" w:hAnsi="宋体" w:cs="宋体"/>
                <w:sz w:val="21"/>
                <w:szCs w:val="21"/>
              </w:rPr>
              <w:t>输血科可根据实际的需要，向血站预约血液，登记需要预约的血液信息；</w:t>
            </w:r>
            <w:r>
              <w:rPr>
                <w:rFonts w:hint="eastAsia" w:ascii="宋体" w:hAnsi="宋体" w:cs="宋体"/>
                <w:iCs/>
                <w:sz w:val="21"/>
                <w:szCs w:val="21"/>
              </w:rPr>
              <w:t>血液超标后同血站应急申请功能。</w:t>
            </w:r>
          </w:p>
        </w:tc>
      </w:tr>
      <w:tr w14:paraId="69F8B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237" w:type="dxa"/>
            <w:vMerge w:val="continue"/>
            <w:noWrap w:val="0"/>
            <w:vAlign w:val="center"/>
          </w:tcPr>
          <w:p w14:paraId="13B8157E">
            <w:pPr>
              <w:pStyle w:val="56"/>
              <w:tabs>
                <w:tab w:val="left" w:pos="7740"/>
              </w:tabs>
              <w:spacing w:line="288" w:lineRule="auto"/>
              <w:rPr>
                <w:rFonts w:ascii="宋体" w:hAnsi="宋体" w:cs="宋体"/>
                <w:sz w:val="21"/>
                <w:szCs w:val="21"/>
              </w:rPr>
            </w:pPr>
          </w:p>
        </w:tc>
        <w:tc>
          <w:tcPr>
            <w:tcW w:w="1999" w:type="dxa"/>
            <w:noWrap w:val="0"/>
            <w:vAlign w:val="center"/>
          </w:tcPr>
          <w:p w14:paraId="3BEA9DF5">
            <w:pPr>
              <w:pStyle w:val="56"/>
              <w:tabs>
                <w:tab w:val="left" w:pos="7740"/>
              </w:tabs>
              <w:spacing w:line="288" w:lineRule="auto"/>
              <w:rPr>
                <w:rFonts w:ascii="宋体" w:hAnsi="宋体" w:cs="宋体"/>
                <w:sz w:val="21"/>
                <w:szCs w:val="21"/>
              </w:rPr>
            </w:pPr>
            <w:r>
              <w:rPr>
                <w:rFonts w:hint="eastAsia" w:ascii="宋体" w:hAnsi="宋体" w:cs="宋体"/>
                <w:sz w:val="21"/>
                <w:szCs w:val="21"/>
              </w:rPr>
              <w:t>信息反馈</w:t>
            </w:r>
          </w:p>
        </w:tc>
        <w:tc>
          <w:tcPr>
            <w:tcW w:w="6502" w:type="dxa"/>
            <w:noWrap w:val="0"/>
            <w:vAlign w:val="center"/>
          </w:tcPr>
          <w:p w14:paraId="1DE1D378">
            <w:pPr>
              <w:pStyle w:val="56"/>
              <w:tabs>
                <w:tab w:val="left" w:pos="7740"/>
              </w:tabs>
              <w:spacing w:line="288" w:lineRule="auto"/>
              <w:rPr>
                <w:rFonts w:ascii="宋体" w:hAnsi="宋体" w:cs="宋体"/>
                <w:sz w:val="21"/>
                <w:szCs w:val="21"/>
              </w:rPr>
            </w:pPr>
            <w:r>
              <w:rPr>
                <w:rFonts w:hint="eastAsia" w:ascii="宋体" w:hAnsi="宋体" w:cs="宋体"/>
                <w:sz w:val="21"/>
                <w:szCs w:val="21"/>
              </w:rPr>
              <w:t>可以通过系统查看到医院向血站反馈的血液的用血信息</w:t>
            </w:r>
          </w:p>
        </w:tc>
      </w:tr>
      <w:tr w14:paraId="312DA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1237" w:type="dxa"/>
            <w:vMerge w:val="continue"/>
            <w:noWrap w:val="0"/>
            <w:vAlign w:val="center"/>
          </w:tcPr>
          <w:p w14:paraId="4743B531">
            <w:pPr>
              <w:pStyle w:val="56"/>
              <w:tabs>
                <w:tab w:val="left" w:pos="7740"/>
              </w:tabs>
              <w:spacing w:line="288" w:lineRule="auto"/>
              <w:rPr>
                <w:rFonts w:ascii="宋体" w:hAnsi="宋体" w:cs="宋体"/>
                <w:sz w:val="21"/>
                <w:szCs w:val="21"/>
              </w:rPr>
            </w:pPr>
          </w:p>
        </w:tc>
        <w:tc>
          <w:tcPr>
            <w:tcW w:w="1999" w:type="dxa"/>
            <w:noWrap w:val="0"/>
            <w:vAlign w:val="center"/>
          </w:tcPr>
          <w:p w14:paraId="35765A0F">
            <w:pPr>
              <w:pStyle w:val="56"/>
              <w:tabs>
                <w:tab w:val="left" w:pos="7740"/>
              </w:tabs>
              <w:spacing w:line="288" w:lineRule="auto"/>
              <w:rPr>
                <w:rFonts w:ascii="宋体" w:hAnsi="宋体" w:cs="宋体"/>
                <w:sz w:val="21"/>
                <w:szCs w:val="21"/>
              </w:rPr>
            </w:pPr>
            <w:r>
              <w:rPr>
                <w:rFonts w:hint="eastAsia" w:ascii="宋体" w:hAnsi="宋体" w:cs="宋体"/>
                <w:sz w:val="21"/>
                <w:szCs w:val="21"/>
              </w:rPr>
              <w:t>审核入库</w:t>
            </w:r>
          </w:p>
        </w:tc>
        <w:tc>
          <w:tcPr>
            <w:tcW w:w="6502" w:type="dxa"/>
            <w:noWrap w:val="0"/>
            <w:vAlign w:val="center"/>
          </w:tcPr>
          <w:p w14:paraId="411A7206">
            <w:pPr>
              <w:pStyle w:val="56"/>
              <w:tabs>
                <w:tab w:val="left" w:pos="7740"/>
              </w:tabs>
              <w:spacing w:line="288" w:lineRule="auto"/>
              <w:rPr>
                <w:rFonts w:ascii="宋体" w:hAnsi="宋体" w:cs="宋体"/>
                <w:sz w:val="21"/>
                <w:szCs w:val="21"/>
              </w:rPr>
            </w:pPr>
            <w:r>
              <w:rPr>
                <w:rFonts w:hint="eastAsia" w:ascii="宋体" w:hAnsi="宋体" w:cs="宋体"/>
                <w:sz w:val="21"/>
                <w:szCs w:val="21"/>
              </w:rPr>
              <w:t>可通过医院血库联网系统数据同步至医院输血管理系统，从血站导出血站的发血信息的情况，实现批量核对入库血站发血的血液</w:t>
            </w:r>
          </w:p>
        </w:tc>
      </w:tr>
      <w:tr w14:paraId="5BE8C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1237" w:type="dxa"/>
            <w:vMerge w:val="continue"/>
            <w:noWrap w:val="0"/>
            <w:vAlign w:val="center"/>
          </w:tcPr>
          <w:p w14:paraId="2DB6A5F8">
            <w:pPr>
              <w:pStyle w:val="56"/>
              <w:tabs>
                <w:tab w:val="left" w:pos="7740"/>
              </w:tabs>
              <w:spacing w:line="288" w:lineRule="auto"/>
              <w:rPr>
                <w:rFonts w:ascii="宋体" w:hAnsi="宋体" w:cs="宋体"/>
                <w:sz w:val="21"/>
                <w:szCs w:val="21"/>
              </w:rPr>
            </w:pPr>
          </w:p>
        </w:tc>
        <w:tc>
          <w:tcPr>
            <w:tcW w:w="1999" w:type="dxa"/>
            <w:noWrap w:val="0"/>
            <w:vAlign w:val="center"/>
          </w:tcPr>
          <w:p w14:paraId="066A7DC6">
            <w:pPr>
              <w:pStyle w:val="56"/>
              <w:tabs>
                <w:tab w:val="left" w:pos="7740"/>
              </w:tabs>
              <w:spacing w:line="288" w:lineRule="auto"/>
              <w:rPr>
                <w:rFonts w:ascii="宋体" w:hAnsi="宋体" w:cs="宋体"/>
                <w:sz w:val="21"/>
                <w:szCs w:val="21"/>
              </w:rPr>
            </w:pPr>
            <w:r>
              <w:rPr>
                <w:rFonts w:hint="eastAsia" w:ascii="宋体" w:hAnsi="宋体" w:cs="宋体"/>
                <w:sz w:val="21"/>
                <w:szCs w:val="21"/>
              </w:rPr>
              <w:t>手工入库</w:t>
            </w:r>
          </w:p>
        </w:tc>
        <w:tc>
          <w:tcPr>
            <w:tcW w:w="6502" w:type="dxa"/>
            <w:noWrap w:val="0"/>
            <w:vAlign w:val="center"/>
          </w:tcPr>
          <w:p w14:paraId="6E43339F">
            <w:pPr>
              <w:pStyle w:val="56"/>
              <w:tabs>
                <w:tab w:val="left" w:pos="7740"/>
              </w:tabs>
              <w:spacing w:line="288" w:lineRule="auto"/>
              <w:rPr>
                <w:rFonts w:ascii="宋体" w:hAnsi="宋体" w:cs="宋体"/>
                <w:sz w:val="21"/>
                <w:szCs w:val="21"/>
              </w:rPr>
            </w:pPr>
            <w:r>
              <w:rPr>
                <w:rFonts w:hint="eastAsia" w:ascii="宋体" w:hAnsi="宋体" w:cs="宋体"/>
                <w:sz w:val="21"/>
                <w:szCs w:val="21"/>
              </w:rPr>
              <w:t>可通过血站系统接收血液出库，通过血站导出文件无法下载到血站的发血信息的情况下，进行血液的手工入库</w:t>
            </w:r>
          </w:p>
        </w:tc>
      </w:tr>
      <w:tr w14:paraId="5C2B8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237" w:type="dxa"/>
            <w:vMerge w:val="continue"/>
            <w:noWrap w:val="0"/>
            <w:vAlign w:val="center"/>
          </w:tcPr>
          <w:p w14:paraId="5ADA973B">
            <w:pPr>
              <w:pStyle w:val="56"/>
              <w:tabs>
                <w:tab w:val="left" w:pos="7740"/>
              </w:tabs>
              <w:spacing w:line="288" w:lineRule="auto"/>
              <w:rPr>
                <w:rFonts w:ascii="宋体" w:hAnsi="宋体" w:cs="宋体"/>
                <w:sz w:val="21"/>
                <w:szCs w:val="21"/>
              </w:rPr>
            </w:pPr>
          </w:p>
        </w:tc>
        <w:tc>
          <w:tcPr>
            <w:tcW w:w="1999" w:type="dxa"/>
            <w:noWrap w:val="0"/>
            <w:vAlign w:val="center"/>
          </w:tcPr>
          <w:p w14:paraId="73010893">
            <w:pPr>
              <w:pStyle w:val="56"/>
              <w:tabs>
                <w:tab w:val="left" w:pos="7740"/>
              </w:tabs>
              <w:spacing w:line="288" w:lineRule="auto"/>
              <w:rPr>
                <w:rFonts w:ascii="宋体" w:hAnsi="宋体" w:cs="宋体"/>
                <w:sz w:val="21"/>
                <w:szCs w:val="21"/>
              </w:rPr>
            </w:pPr>
            <w:r>
              <w:rPr>
                <w:rFonts w:hint="eastAsia" w:ascii="宋体" w:hAnsi="宋体" w:cs="宋体"/>
                <w:sz w:val="21"/>
                <w:szCs w:val="21"/>
              </w:rPr>
              <w:t>其它血液入库</w:t>
            </w:r>
          </w:p>
        </w:tc>
        <w:tc>
          <w:tcPr>
            <w:tcW w:w="6502" w:type="dxa"/>
            <w:noWrap w:val="0"/>
            <w:vAlign w:val="center"/>
          </w:tcPr>
          <w:p w14:paraId="42251BAC">
            <w:pPr>
              <w:pStyle w:val="56"/>
              <w:tabs>
                <w:tab w:val="left" w:pos="7740"/>
              </w:tabs>
              <w:spacing w:line="288" w:lineRule="auto"/>
              <w:rPr>
                <w:rFonts w:ascii="宋体" w:hAnsi="宋体" w:cs="宋体"/>
                <w:sz w:val="21"/>
                <w:szCs w:val="21"/>
              </w:rPr>
            </w:pPr>
            <w:r>
              <w:rPr>
                <w:rFonts w:hint="eastAsia" w:ascii="宋体" w:hAnsi="宋体" w:cs="宋体"/>
                <w:sz w:val="21"/>
                <w:szCs w:val="21"/>
              </w:rPr>
              <w:t>接收血站以外的血站的血液、去白血、辐照血入库等</w:t>
            </w:r>
          </w:p>
        </w:tc>
      </w:tr>
      <w:tr w14:paraId="0178C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1237" w:type="dxa"/>
            <w:vMerge w:val="continue"/>
            <w:noWrap w:val="0"/>
            <w:vAlign w:val="center"/>
          </w:tcPr>
          <w:p w14:paraId="680C08E0">
            <w:pPr>
              <w:pStyle w:val="56"/>
              <w:tabs>
                <w:tab w:val="left" w:pos="7740"/>
              </w:tabs>
              <w:spacing w:line="288" w:lineRule="auto"/>
              <w:rPr>
                <w:rFonts w:ascii="宋体" w:hAnsi="宋体" w:cs="宋体"/>
                <w:sz w:val="21"/>
                <w:szCs w:val="21"/>
              </w:rPr>
            </w:pPr>
          </w:p>
        </w:tc>
        <w:tc>
          <w:tcPr>
            <w:tcW w:w="1999" w:type="dxa"/>
            <w:noWrap w:val="0"/>
            <w:vAlign w:val="center"/>
          </w:tcPr>
          <w:p w14:paraId="2C5F8ADA">
            <w:pPr>
              <w:pStyle w:val="56"/>
              <w:tabs>
                <w:tab w:val="left" w:pos="7740"/>
              </w:tabs>
              <w:spacing w:line="288" w:lineRule="auto"/>
              <w:rPr>
                <w:rFonts w:ascii="宋体" w:hAnsi="宋体" w:cs="宋体"/>
                <w:sz w:val="21"/>
                <w:szCs w:val="21"/>
              </w:rPr>
            </w:pPr>
            <w:r>
              <w:rPr>
                <w:rFonts w:hint="eastAsia" w:ascii="宋体" w:hAnsi="宋体" w:cs="宋体"/>
                <w:sz w:val="21"/>
                <w:szCs w:val="21"/>
              </w:rPr>
              <w:t>入库血液血型复查</w:t>
            </w:r>
          </w:p>
        </w:tc>
        <w:tc>
          <w:tcPr>
            <w:tcW w:w="6502" w:type="dxa"/>
            <w:noWrap w:val="0"/>
            <w:vAlign w:val="center"/>
          </w:tcPr>
          <w:p w14:paraId="6954E6E4">
            <w:pPr>
              <w:pStyle w:val="56"/>
              <w:tabs>
                <w:tab w:val="left" w:pos="7740"/>
              </w:tabs>
              <w:spacing w:line="288" w:lineRule="auto"/>
              <w:rPr>
                <w:rFonts w:ascii="宋体" w:hAnsi="宋体" w:cs="宋体"/>
                <w:sz w:val="21"/>
                <w:szCs w:val="21"/>
              </w:rPr>
            </w:pPr>
            <w:r>
              <w:rPr>
                <w:rFonts w:hint="eastAsia" w:ascii="宋体" w:hAnsi="宋体" w:cs="宋体"/>
                <w:sz w:val="21"/>
                <w:szCs w:val="21"/>
              </w:rPr>
              <w:t>血液入库后，对血液的ABO血型、RH血型等血型进行复查</w:t>
            </w:r>
          </w:p>
        </w:tc>
      </w:tr>
      <w:tr w14:paraId="037A8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8" w:hRule="atLeast"/>
          <w:jc w:val="center"/>
        </w:trPr>
        <w:tc>
          <w:tcPr>
            <w:tcW w:w="1237" w:type="dxa"/>
            <w:vMerge w:val="continue"/>
            <w:noWrap w:val="0"/>
            <w:vAlign w:val="center"/>
          </w:tcPr>
          <w:p w14:paraId="6449EC26">
            <w:pPr>
              <w:pStyle w:val="56"/>
              <w:tabs>
                <w:tab w:val="left" w:pos="7740"/>
              </w:tabs>
              <w:spacing w:line="288" w:lineRule="auto"/>
              <w:rPr>
                <w:rFonts w:ascii="宋体" w:hAnsi="宋体" w:cs="宋体"/>
                <w:sz w:val="21"/>
                <w:szCs w:val="21"/>
              </w:rPr>
            </w:pPr>
          </w:p>
        </w:tc>
        <w:tc>
          <w:tcPr>
            <w:tcW w:w="1999" w:type="dxa"/>
            <w:noWrap w:val="0"/>
            <w:vAlign w:val="center"/>
          </w:tcPr>
          <w:p w14:paraId="354E30C7">
            <w:pPr>
              <w:pStyle w:val="56"/>
              <w:tabs>
                <w:tab w:val="left" w:pos="7740"/>
              </w:tabs>
              <w:spacing w:line="288" w:lineRule="auto"/>
              <w:rPr>
                <w:rFonts w:ascii="宋体" w:hAnsi="宋体" w:cs="宋体"/>
                <w:sz w:val="21"/>
                <w:szCs w:val="21"/>
              </w:rPr>
            </w:pPr>
            <w:r>
              <w:rPr>
                <w:rFonts w:hint="eastAsia" w:ascii="宋体" w:hAnsi="宋体" w:cs="宋体"/>
                <w:sz w:val="21"/>
                <w:szCs w:val="21"/>
              </w:rPr>
              <w:t>自体血管理</w:t>
            </w:r>
          </w:p>
        </w:tc>
        <w:tc>
          <w:tcPr>
            <w:tcW w:w="6502" w:type="dxa"/>
            <w:noWrap w:val="0"/>
            <w:vAlign w:val="center"/>
          </w:tcPr>
          <w:p w14:paraId="7477D18D">
            <w:pPr>
              <w:pStyle w:val="56"/>
              <w:tabs>
                <w:tab w:val="left" w:pos="7740"/>
              </w:tabs>
              <w:spacing w:line="288" w:lineRule="auto"/>
              <w:rPr>
                <w:rFonts w:ascii="宋体" w:hAnsi="宋体" w:cs="宋体"/>
                <w:sz w:val="21"/>
                <w:szCs w:val="21"/>
              </w:rPr>
            </w:pPr>
            <w:r>
              <w:rPr>
                <w:rFonts w:hint="eastAsia" w:ascii="宋体" w:hAnsi="宋体" w:cs="宋体"/>
                <w:sz w:val="21"/>
                <w:szCs w:val="21"/>
              </w:rPr>
              <w:t>自体血出入库、条码打印、出库、计费以及按照不同条件进行查询等；</w:t>
            </w:r>
          </w:p>
          <w:p w14:paraId="7BA406EB">
            <w:pPr>
              <w:pStyle w:val="56"/>
              <w:tabs>
                <w:tab w:val="left" w:pos="7740"/>
              </w:tabs>
              <w:spacing w:line="288" w:lineRule="auto"/>
              <w:rPr>
                <w:rFonts w:ascii="宋体" w:hAnsi="宋体" w:cs="宋体"/>
                <w:sz w:val="21"/>
                <w:szCs w:val="21"/>
              </w:rPr>
            </w:pPr>
            <w:r>
              <w:rPr>
                <w:rFonts w:hint="eastAsia" w:ascii="宋体" w:hAnsi="宋体"/>
                <w:sz w:val="21"/>
                <w:szCs w:val="21"/>
                <w:lang w:val="zh-CN"/>
              </w:rPr>
              <w:t>▲</w:t>
            </w:r>
            <w:r>
              <w:rPr>
                <w:rFonts w:hint="eastAsia" w:ascii="宋体" w:hAnsi="宋体" w:cs="宋体"/>
                <w:sz w:val="21"/>
                <w:szCs w:val="21"/>
              </w:rPr>
              <w:t>增加回收式和稀释式自体输血管理模板</w:t>
            </w:r>
          </w:p>
        </w:tc>
      </w:tr>
      <w:tr w14:paraId="2EA3A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1237" w:type="dxa"/>
            <w:vMerge w:val="continue"/>
            <w:noWrap w:val="0"/>
            <w:vAlign w:val="center"/>
          </w:tcPr>
          <w:p w14:paraId="63A81BFC">
            <w:pPr>
              <w:pStyle w:val="56"/>
              <w:tabs>
                <w:tab w:val="left" w:pos="7740"/>
              </w:tabs>
              <w:spacing w:line="288" w:lineRule="auto"/>
              <w:rPr>
                <w:rFonts w:ascii="宋体" w:hAnsi="宋体" w:cs="宋体"/>
                <w:sz w:val="21"/>
                <w:szCs w:val="21"/>
              </w:rPr>
            </w:pPr>
          </w:p>
        </w:tc>
        <w:tc>
          <w:tcPr>
            <w:tcW w:w="1999" w:type="dxa"/>
            <w:noWrap w:val="0"/>
            <w:vAlign w:val="center"/>
          </w:tcPr>
          <w:p w14:paraId="3EA7AC6E">
            <w:pPr>
              <w:pStyle w:val="56"/>
              <w:tabs>
                <w:tab w:val="left" w:pos="7740"/>
              </w:tabs>
              <w:spacing w:line="288" w:lineRule="auto"/>
              <w:rPr>
                <w:rFonts w:ascii="宋体" w:hAnsi="宋体" w:cs="宋体"/>
                <w:sz w:val="21"/>
                <w:szCs w:val="21"/>
              </w:rPr>
            </w:pPr>
            <w:r>
              <w:rPr>
                <w:rFonts w:hint="eastAsia" w:ascii="宋体" w:hAnsi="宋体" w:cs="宋体"/>
                <w:sz w:val="21"/>
                <w:szCs w:val="21"/>
              </w:rPr>
              <w:t>入库前血液质量检测</w:t>
            </w:r>
          </w:p>
        </w:tc>
        <w:tc>
          <w:tcPr>
            <w:tcW w:w="6502" w:type="dxa"/>
            <w:noWrap w:val="0"/>
            <w:vAlign w:val="center"/>
          </w:tcPr>
          <w:p w14:paraId="0F3ACBC8">
            <w:pPr>
              <w:pStyle w:val="56"/>
              <w:tabs>
                <w:tab w:val="left" w:pos="7740"/>
              </w:tabs>
              <w:spacing w:line="288" w:lineRule="auto"/>
              <w:rPr>
                <w:rFonts w:ascii="宋体" w:hAnsi="宋体" w:cs="宋体"/>
                <w:sz w:val="21"/>
                <w:szCs w:val="21"/>
              </w:rPr>
            </w:pPr>
            <w:r>
              <w:rPr>
                <w:rFonts w:hint="eastAsia" w:ascii="宋体" w:hAnsi="宋体" w:cs="宋体"/>
                <w:sz w:val="21"/>
                <w:szCs w:val="21"/>
              </w:rPr>
              <w:t>入库时核对血液质量、包括温度、血液外观，并生成表格保存</w:t>
            </w:r>
          </w:p>
        </w:tc>
      </w:tr>
      <w:tr w14:paraId="5DA03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1237" w:type="dxa"/>
            <w:vMerge w:val="continue"/>
            <w:noWrap w:val="0"/>
            <w:vAlign w:val="center"/>
          </w:tcPr>
          <w:p w14:paraId="454B4B64">
            <w:pPr>
              <w:pStyle w:val="56"/>
              <w:tabs>
                <w:tab w:val="left" w:pos="7740"/>
              </w:tabs>
              <w:spacing w:line="288" w:lineRule="auto"/>
              <w:rPr>
                <w:rFonts w:ascii="宋体" w:hAnsi="宋体" w:cs="宋体"/>
                <w:sz w:val="21"/>
                <w:szCs w:val="21"/>
              </w:rPr>
            </w:pPr>
          </w:p>
        </w:tc>
        <w:tc>
          <w:tcPr>
            <w:tcW w:w="1999" w:type="dxa"/>
            <w:noWrap w:val="0"/>
            <w:vAlign w:val="center"/>
          </w:tcPr>
          <w:p w14:paraId="782211C3">
            <w:pPr>
              <w:pStyle w:val="56"/>
              <w:tabs>
                <w:tab w:val="left" w:pos="7740"/>
              </w:tabs>
              <w:spacing w:line="288" w:lineRule="auto"/>
              <w:rPr>
                <w:rFonts w:ascii="宋体" w:hAnsi="宋体" w:cs="宋体"/>
                <w:sz w:val="21"/>
                <w:szCs w:val="21"/>
              </w:rPr>
            </w:pPr>
            <w:r>
              <w:rPr>
                <w:rFonts w:hint="eastAsia" w:ascii="宋体" w:hAnsi="宋体" w:cs="宋体"/>
                <w:sz w:val="21"/>
                <w:szCs w:val="21"/>
              </w:rPr>
              <w:t>入库预警</w:t>
            </w:r>
          </w:p>
        </w:tc>
        <w:tc>
          <w:tcPr>
            <w:tcW w:w="6502" w:type="dxa"/>
            <w:noWrap w:val="0"/>
            <w:vAlign w:val="center"/>
          </w:tcPr>
          <w:p w14:paraId="581A5C25">
            <w:pPr>
              <w:pStyle w:val="56"/>
              <w:tabs>
                <w:tab w:val="left" w:pos="7740"/>
              </w:tabs>
              <w:spacing w:line="288" w:lineRule="auto"/>
              <w:rPr>
                <w:rFonts w:ascii="宋体" w:hAnsi="宋体" w:cs="宋体"/>
                <w:sz w:val="21"/>
                <w:szCs w:val="21"/>
              </w:rPr>
            </w:pPr>
            <w:r>
              <w:rPr>
                <w:rFonts w:hint="eastAsia" w:ascii="宋体" w:hAnsi="宋体" w:cs="宋体"/>
                <w:sz w:val="21"/>
                <w:szCs w:val="21"/>
              </w:rPr>
              <w:t>具有血液入库质量自动报警提示的功能（如血液有效期将近提示、血液过期拒收提示，特殊入库必须填写原因说明）</w:t>
            </w:r>
          </w:p>
        </w:tc>
      </w:tr>
      <w:tr w14:paraId="64F95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1237" w:type="dxa"/>
            <w:vMerge w:val="continue"/>
            <w:noWrap w:val="0"/>
            <w:vAlign w:val="center"/>
          </w:tcPr>
          <w:p w14:paraId="6FED37C9">
            <w:pPr>
              <w:pStyle w:val="56"/>
              <w:tabs>
                <w:tab w:val="left" w:pos="7740"/>
              </w:tabs>
              <w:spacing w:line="288" w:lineRule="auto"/>
              <w:rPr>
                <w:rFonts w:ascii="宋体" w:hAnsi="宋体" w:cs="宋体"/>
                <w:sz w:val="21"/>
                <w:szCs w:val="21"/>
              </w:rPr>
            </w:pPr>
          </w:p>
        </w:tc>
        <w:tc>
          <w:tcPr>
            <w:tcW w:w="1999" w:type="dxa"/>
            <w:noWrap w:val="0"/>
            <w:vAlign w:val="center"/>
          </w:tcPr>
          <w:p w14:paraId="18A7527F">
            <w:pPr>
              <w:pStyle w:val="56"/>
              <w:tabs>
                <w:tab w:val="left" w:pos="7740"/>
              </w:tabs>
              <w:spacing w:line="288" w:lineRule="auto"/>
              <w:rPr>
                <w:rFonts w:ascii="宋体" w:hAnsi="宋体" w:cs="宋体"/>
                <w:sz w:val="21"/>
                <w:szCs w:val="21"/>
              </w:rPr>
            </w:pPr>
            <w:r>
              <w:rPr>
                <w:rFonts w:hint="eastAsia" w:ascii="宋体" w:hAnsi="宋体" w:cs="宋体"/>
                <w:sz w:val="21"/>
                <w:szCs w:val="21"/>
              </w:rPr>
              <w:t>生成自编号</w:t>
            </w:r>
          </w:p>
        </w:tc>
        <w:tc>
          <w:tcPr>
            <w:tcW w:w="6502" w:type="dxa"/>
            <w:noWrap w:val="0"/>
            <w:vAlign w:val="center"/>
          </w:tcPr>
          <w:p w14:paraId="39B076B5">
            <w:pPr>
              <w:pStyle w:val="56"/>
              <w:tabs>
                <w:tab w:val="left" w:pos="7740"/>
              </w:tabs>
              <w:spacing w:line="288" w:lineRule="auto"/>
              <w:rPr>
                <w:rFonts w:ascii="宋体" w:hAnsi="宋体" w:cs="宋体"/>
                <w:sz w:val="21"/>
                <w:szCs w:val="21"/>
              </w:rPr>
            </w:pPr>
            <w:r>
              <w:rPr>
                <w:rFonts w:hint="eastAsia" w:ascii="宋体" w:hAnsi="宋体" w:cs="宋体"/>
                <w:sz w:val="21"/>
                <w:szCs w:val="21"/>
              </w:rPr>
              <w:t>可对血站出库的血液根据医院血库操作要求进行生成自编号（按医院要求生成并打印带自编号、条码等相关信息的标签）</w:t>
            </w:r>
          </w:p>
        </w:tc>
      </w:tr>
      <w:tr w14:paraId="1CA75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237" w:type="dxa"/>
            <w:vMerge w:val="continue"/>
            <w:noWrap w:val="0"/>
            <w:vAlign w:val="center"/>
          </w:tcPr>
          <w:p w14:paraId="407A096C">
            <w:pPr>
              <w:pStyle w:val="56"/>
              <w:tabs>
                <w:tab w:val="left" w:pos="7740"/>
              </w:tabs>
              <w:spacing w:line="288" w:lineRule="auto"/>
              <w:rPr>
                <w:rFonts w:ascii="宋体" w:hAnsi="宋体" w:cs="宋体"/>
                <w:sz w:val="21"/>
                <w:szCs w:val="21"/>
              </w:rPr>
            </w:pPr>
          </w:p>
        </w:tc>
        <w:tc>
          <w:tcPr>
            <w:tcW w:w="1999" w:type="dxa"/>
            <w:noWrap w:val="0"/>
            <w:vAlign w:val="center"/>
          </w:tcPr>
          <w:p w14:paraId="35738D7F">
            <w:pPr>
              <w:pStyle w:val="56"/>
              <w:tabs>
                <w:tab w:val="left" w:pos="7740"/>
              </w:tabs>
              <w:spacing w:line="288" w:lineRule="auto"/>
              <w:rPr>
                <w:rFonts w:ascii="宋体" w:hAnsi="宋体" w:cs="宋体"/>
                <w:sz w:val="21"/>
                <w:szCs w:val="21"/>
              </w:rPr>
            </w:pPr>
            <w:r>
              <w:rPr>
                <w:rFonts w:hint="eastAsia" w:ascii="宋体" w:hAnsi="宋体" w:cs="宋体"/>
                <w:sz w:val="21"/>
                <w:szCs w:val="21"/>
              </w:rPr>
              <w:t>▲自编号设置</w:t>
            </w:r>
          </w:p>
        </w:tc>
        <w:tc>
          <w:tcPr>
            <w:tcW w:w="6502" w:type="dxa"/>
            <w:noWrap w:val="0"/>
            <w:vAlign w:val="center"/>
          </w:tcPr>
          <w:p w14:paraId="0E334F38">
            <w:pPr>
              <w:pStyle w:val="56"/>
              <w:tabs>
                <w:tab w:val="left" w:pos="7740"/>
              </w:tabs>
              <w:spacing w:line="288" w:lineRule="auto"/>
              <w:rPr>
                <w:rFonts w:ascii="宋体" w:hAnsi="宋体" w:cs="宋体"/>
                <w:sz w:val="21"/>
                <w:szCs w:val="21"/>
              </w:rPr>
            </w:pPr>
            <w:r>
              <w:rPr>
                <w:rFonts w:hint="eastAsia" w:ascii="宋体" w:hAnsi="宋体" w:cs="宋体"/>
                <w:sz w:val="21"/>
                <w:szCs w:val="21"/>
              </w:rPr>
              <w:t>设置存放血液的冰箱信息及血液的自编号范围</w:t>
            </w:r>
          </w:p>
        </w:tc>
      </w:tr>
      <w:tr w14:paraId="1E28C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1237" w:type="dxa"/>
            <w:vMerge w:val="restart"/>
            <w:noWrap w:val="0"/>
            <w:vAlign w:val="center"/>
          </w:tcPr>
          <w:p w14:paraId="7DB63104">
            <w:pPr>
              <w:pStyle w:val="56"/>
              <w:tabs>
                <w:tab w:val="left" w:pos="7740"/>
              </w:tabs>
              <w:spacing w:line="288" w:lineRule="auto"/>
              <w:rPr>
                <w:rFonts w:ascii="宋体" w:hAnsi="宋体" w:cs="宋体"/>
                <w:sz w:val="21"/>
                <w:szCs w:val="21"/>
              </w:rPr>
            </w:pPr>
            <w:r>
              <w:rPr>
                <w:rFonts w:hint="eastAsia" w:ascii="宋体" w:hAnsi="宋体" w:cs="宋体"/>
                <w:sz w:val="21"/>
                <w:szCs w:val="21"/>
              </w:rPr>
              <w:t>库存管理</w:t>
            </w:r>
          </w:p>
        </w:tc>
        <w:tc>
          <w:tcPr>
            <w:tcW w:w="1999" w:type="dxa"/>
            <w:noWrap w:val="0"/>
            <w:vAlign w:val="center"/>
          </w:tcPr>
          <w:p w14:paraId="74873C94">
            <w:pPr>
              <w:pStyle w:val="56"/>
              <w:tabs>
                <w:tab w:val="left" w:pos="7740"/>
              </w:tabs>
              <w:spacing w:line="288" w:lineRule="auto"/>
              <w:rPr>
                <w:rFonts w:ascii="宋体" w:hAnsi="宋体" w:cs="宋体"/>
                <w:sz w:val="21"/>
                <w:szCs w:val="21"/>
              </w:rPr>
            </w:pPr>
            <w:r>
              <w:rPr>
                <w:rFonts w:hint="eastAsia" w:ascii="宋体" w:hAnsi="宋体" w:cs="宋体"/>
                <w:sz w:val="21"/>
                <w:szCs w:val="21"/>
              </w:rPr>
              <w:t>预警</w:t>
            </w:r>
          </w:p>
        </w:tc>
        <w:tc>
          <w:tcPr>
            <w:tcW w:w="6502" w:type="dxa"/>
            <w:noWrap w:val="0"/>
            <w:vAlign w:val="center"/>
          </w:tcPr>
          <w:p w14:paraId="19891D78">
            <w:pPr>
              <w:pStyle w:val="56"/>
              <w:tabs>
                <w:tab w:val="left" w:pos="7740"/>
              </w:tabs>
              <w:spacing w:line="288" w:lineRule="auto"/>
              <w:rPr>
                <w:rFonts w:ascii="宋体" w:hAnsi="宋体" w:cs="宋体"/>
                <w:sz w:val="21"/>
                <w:szCs w:val="21"/>
              </w:rPr>
            </w:pPr>
            <w:r>
              <w:rPr>
                <w:rFonts w:hint="eastAsia" w:ascii="宋体" w:hAnsi="宋体" w:cs="宋体"/>
                <w:sz w:val="21"/>
                <w:szCs w:val="21"/>
              </w:rPr>
              <w:t>动态分析血液超过报警期限、低于储存量报警线、库存不足管理及提示，特殊血型提示，随时提醒即将过期血源</w:t>
            </w:r>
          </w:p>
        </w:tc>
      </w:tr>
      <w:tr w14:paraId="6D10F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1237" w:type="dxa"/>
            <w:vMerge w:val="continue"/>
            <w:noWrap w:val="0"/>
            <w:vAlign w:val="center"/>
          </w:tcPr>
          <w:p w14:paraId="245C4270">
            <w:pPr>
              <w:pStyle w:val="56"/>
              <w:tabs>
                <w:tab w:val="left" w:pos="7740"/>
              </w:tabs>
              <w:spacing w:line="288" w:lineRule="auto"/>
              <w:rPr>
                <w:rFonts w:ascii="宋体" w:hAnsi="宋体" w:cs="宋体"/>
                <w:sz w:val="21"/>
                <w:szCs w:val="21"/>
              </w:rPr>
            </w:pPr>
          </w:p>
        </w:tc>
        <w:tc>
          <w:tcPr>
            <w:tcW w:w="1999" w:type="dxa"/>
            <w:noWrap w:val="0"/>
            <w:vAlign w:val="center"/>
          </w:tcPr>
          <w:p w14:paraId="7B046572">
            <w:pPr>
              <w:pStyle w:val="56"/>
              <w:tabs>
                <w:tab w:val="left" w:pos="7740"/>
              </w:tabs>
              <w:spacing w:line="288" w:lineRule="auto"/>
              <w:rPr>
                <w:rFonts w:ascii="宋体" w:hAnsi="宋体" w:cs="宋体"/>
                <w:sz w:val="21"/>
                <w:szCs w:val="21"/>
              </w:rPr>
            </w:pPr>
            <w:r>
              <w:rPr>
                <w:rFonts w:hint="eastAsia" w:ascii="宋体" w:hAnsi="宋体" w:cs="宋体"/>
                <w:sz w:val="21"/>
                <w:szCs w:val="21"/>
              </w:rPr>
              <w:t>库存血型复查</w:t>
            </w:r>
          </w:p>
        </w:tc>
        <w:tc>
          <w:tcPr>
            <w:tcW w:w="6502" w:type="dxa"/>
            <w:noWrap w:val="0"/>
            <w:vAlign w:val="center"/>
          </w:tcPr>
          <w:p w14:paraId="3FE4B919">
            <w:pPr>
              <w:pStyle w:val="56"/>
              <w:tabs>
                <w:tab w:val="left" w:pos="7740"/>
              </w:tabs>
              <w:spacing w:line="288" w:lineRule="auto"/>
              <w:rPr>
                <w:rFonts w:ascii="宋体" w:hAnsi="宋体" w:cs="宋体"/>
                <w:sz w:val="21"/>
                <w:szCs w:val="21"/>
              </w:rPr>
            </w:pPr>
            <w:r>
              <w:rPr>
                <w:rFonts w:hint="eastAsia" w:ascii="宋体" w:hAnsi="宋体" w:cs="宋体"/>
                <w:sz w:val="21"/>
                <w:szCs w:val="21"/>
              </w:rPr>
              <w:t>对库存血的血型进行复查，支持入库或出库复检，没复检出库提示。</w:t>
            </w:r>
          </w:p>
        </w:tc>
      </w:tr>
      <w:tr w14:paraId="7CB80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3" w:hRule="atLeast"/>
          <w:jc w:val="center"/>
        </w:trPr>
        <w:tc>
          <w:tcPr>
            <w:tcW w:w="1237" w:type="dxa"/>
            <w:vMerge w:val="continue"/>
            <w:noWrap w:val="0"/>
            <w:vAlign w:val="center"/>
          </w:tcPr>
          <w:p w14:paraId="021701B6">
            <w:pPr>
              <w:pStyle w:val="56"/>
              <w:tabs>
                <w:tab w:val="left" w:pos="7740"/>
              </w:tabs>
              <w:spacing w:line="288" w:lineRule="auto"/>
              <w:rPr>
                <w:rFonts w:ascii="宋体" w:hAnsi="宋体" w:cs="宋体"/>
                <w:sz w:val="21"/>
                <w:szCs w:val="21"/>
              </w:rPr>
            </w:pPr>
          </w:p>
        </w:tc>
        <w:tc>
          <w:tcPr>
            <w:tcW w:w="1999" w:type="dxa"/>
            <w:noWrap w:val="0"/>
            <w:vAlign w:val="center"/>
          </w:tcPr>
          <w:p w14:paraId="3D24C934">
            <w:pPr>
              <w:pStyle w:val="56"/>
              <w:tabs>
                <w:tab w:val="left" w:pos="7740"/>
              </w:tabs>
              <w:spacing w:line="288" w:lineRule="auto"/>
              <w:rPr>
                <w:rFonts w:ascii="宋体" w:hAnsi="宋体" w:cs="宋体"/>
                <w:sz w:val="21"/>
                <w:szCs w:val="21"/>
              </w:rPr>
            </w:pPr>
            <w:r>
              <w:rPr>
                <w:rFonts w:hint="eastAsia" w:ascii="宋体" w:hAnsi="宋体" w:cs="宋体"/>
                <w:sz w:val="21"/>
                <w:szCs w:val="21"/>
              </w:rPr>
              <w:t>分类管理</w:t>
            </w:r>
          </w:p>
        </w:tc>
        <w:tc>
          <w:tcPr>
            <w:tcW w:w="6502" w:type="dxa"/>
            <w:noWrap w:val="0"/>
            <w:vAlign w:val="center"/>
          </w:tcPr>
          <w:p w14:paraId="65279960">
            <w:pPr>
              <w:pStyle w:val="56"/>
              <w:tabs>
                <w:tab w:val="left" w:pos="7740"/>
              </w:tabs>
              <w:spacing w:line="288" w:lineRule="auto"/>
              <w:rPr>
                <w:rFonts w:ascii="宋体" w:hAnsi="宋体" w:cs="宋体"/>
                <w:sz w:val="21"/>
                <w:szCs w:val="21"/>
              </w:rPr>
            </w:pPr>
            <w:r>
              <w:rPr>
                <w:rFonts w:hint="eastAsia" w:ascii="宋体" w:hAnsi="宋体" w:cs="宋体"/>
                <w:sz w:val="21"/>
                <w:szCs w:val="21"/>
              </w:rPr>
              <w:t>能够将血液划分为待检血、可用血、已用血、过期血、不合格血液分别存放管理。待检血必须经过复检（有相关实验结果）才可成为可用血。过期血、不合格血液不能进行发血操作。</w:t>
            </w:r>
            <w:r>
              <w:rPr>
                <w:rFonts w:hint="eastAsia" w:ascii="宋体" w:hAnsi="宋体"/>
                <w:sz w:val="21"/>
                <w:szCs w:val="21"/>
                <w:lang w:val="zh-CN"/>
              </w:rPr>
              <w:t>▲</w:t>
            </w:r>
            <w:r>
              <w:rPr>
                <w:rFonts w:hint="eastAsia" w:ascii="宋体" w:hAnsi="宋体" w:cs="宋体"/>
                <w:sz w:val="21"/>
                <w:szCs w:val="21"/>
              </w:rPr>
              <w:t>备血回库操作。</w:t>
            </w:r>
          </w:p>
        </w:tc>
      </w:tr>
      <w:tr w14:paraId="402B3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3" w:hRule="atLeast"/>
          <w:jc w:val="center"/>
        </w:trPr>
        <w:tc>
          <w:tcPr>
            <w:tcW w:w="1237" w:type="dxa"/>
            <w:vMerge w:val="continue"/>
            <w:noWrap w:val="0"/>
            <w:vAlign w:val="center"/>
          </w:tcPr>
          <w:p w14:paraId="07528085">
            <w:pPr>
              <w:pStyle w:val="56"/>
              <w:tabs>
                <w:tab w:val="left" w:pos="7740"/>
              </w:tabs>
              <w:spacing w:line="288" w:lineRule="auto"/>
              <w:rPr>
                <w:rFonts w:ascii="宋体" w:hAnsi="宋体" w:cs="宋体"/>
                <w:sz w:val="21"/>
                <w:szCs w:val="21"/>
              </w:rPr>
            </w:pPr>
          </w:p>
        </w:tc>
        <w:tc>
          <w:tcPr>
            <w:tcW w:w="1999" w:type="dxa"/>
            <w:tcBorders>
              <w:bottom w:val="single" w:color="auto" w:sz="4" w:space="0"/>
            </w:tcBorders>
            <w:noWrap w:val="0"/>
            <w:vAlign w:val="center"/>
          </w:tcPr>
          <w:p w14:paraId="44D29ED5">
            <w:pPr>
              <w:pStyle w:val="56"/>
              <w:tabs>
                <w:tab w:val="left" w:pos="7740"/>
              </w:tabs>
              <w:spacing w:line="288" w:lineRule="auto"/>
              <w:rPr>
                <w:rFonts w:ascii="宋体" w:hAnsi="宋体" w:cs="宋体"/>
                <w:sz w:val="21"/>
                <w:szCs w:val="21"/>
              </w:rPr>
            </w:pPr>
            <w:r>
              <w:rPr>
                <w:rFonts w:hint="eastAsia" w:ascii="宋体" w:hAnsi="宋体" w:cs="宋体"/>
                <w:sz w:val="21"/>
                <w:szCs w:val="21"/>
              </w:rPr>
              <w:t>血袋信息</w:t>
            </w:r>
          </w:p>
        </w:tc>
        <w:tc>
          <w:tcPr>
            <w:tcW w:w="6502" w:type="dxa"/>
            <w:tcBorders>
              <w:bottom w:val="single" w:color="auto" w:sz="4" w:space="0"/>
            </w:tcBorders>
            <w:noWrap w:val="0"/>
            <w:vAlign w:val="center"/>
          </w:tcPr>
          <w:p w14:paraId="46859BB2">
            <w:pPr>
              <w:pStyle w:val="56"/>
              <w:tabs>
                <w:tab w:val="left" w:pos="7740"/>
              </w:tabs>
              <w:spacing w:line="288" w:lineRule="auto"/>
              <w:rPr>
                <w:rFonts w:ascii="宋体" w:hAnsi="宋体" w:cs="宋体"/>
                <w:sz w:val="21"/>
                <w:szCs w:val="21"/>
              </w:rPr>
            </w:pPr>
            <w:r>
              <w:rPr>
                <w:rFonts w:hint="eastAsia" w:ascii="宋体" w:hAnsi="宋体" w:cs="宋体"/>
                <w:sz w:val="21"/>
                <w:szCs w:val="21"/>
              </w:rPr>
              <w:t>血液报废、销毁、调血、返还血站等进行登记，操作需上级审核。不合格、报废不做物理删除，仅做删除标志，保证入库信息的完整性；全程操作轨迹记录确保入库操作的正确与完整。报废退、血等信息完善，原因清楚。</w:t>
            </w:r>
          </w:p>
        </w:tc>
      </w:tr>
      <w:tr w14:paraId="5D2D4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237" w:type="dxa"/>
            <w:vMerge w:val="continue"/>
            <w:noWrap w:val="0"/>
            <w:vAlign w:val="center"/>
          </w:tcPr>
          <w:p w14:paraId="068497A8">
            <w:pPr>
              <w:pStyle w:val="56"/>
              <w:tabs>
                <w:tab w:val="left" w:pos="7740"/>
              </w:tabs>
              <w:spacing w:line="288" w:lineRule="auto"/>
              <w:rPr>
                <w:rFonts w:ascii="宋体" w:hAnsi="宋体" w:cs="宋体"/>
                <w:sz w:val="21"/>
                <w:szCs w:val="21"/>
              </w:rPr>
            </w:pPr>
          </w:p>
        </w:tc>
        <w:tc>
          <w:tcPr>
            <w:tcW w:w="1999" w:type="dxa"/>
            <w:noWrap w:val="0"/>
            <w:vAlign w:val="center"/>
          </w:tcPr>
          <w:p w14:paraId="530326A6">
            <w:pPr>
              <w:pStyle w:val="56"/>
              <w:tabs>
                <w:tab w:val="left" w:pos="7740"/>
              </w:tabs>
              <w:spacing w:line="288" w:lineRule="auto"/>
              <w:rPr>
                <w:rFonts w:ascii="宋体" w:hAnsi="宋体" w:cs="宋体"/>
                <w:sz w:val="21"/>
                <w:szCs w:val="21"/>
              </w:rPr>
            </w:pPr>
            <w:r>
              <w:rPr>
                <w:rFonts w:hint="eastAsia" w:ascii="宋体" w:hAnsi="宋体" w:cs="宋体"/>
                <w:sz w:val="21"/>
                <w:szCs w:val="21"/>
              </w:rPr>
              <w:t>配血记录</w:t>
            </w:r>
          </w:p>
        </w:tc>
        <w:tc>
          <w:tcPr>
            <w:tcW w:w="6502" w:type="dxa"/>
            <w:noWrap w:val="0"/>
            <w:vAlign w:val="center"/>
          </w:tcPr>
          <w:p w14:paraId="48639DA3">
            <w:pPr>
              <w:pStyle w:val="56"/>
              <w:tabs>
                <w:tab w:val="left" w:pos="7740"/>
              </w:tabs>
              <w:spacing w:line="288" w:lineRule="auto"/>
              <w:rPr>
                <w:rFonts w:ascii="宋体" w:hAnsi="宋体" w:cs="宋体"/>
                <w:sz w:val="21"/>
                <w:szCs w:val="21"/>
              </w:rPr>
            </w:pPr>
            <w:r>
              <w:rPr>
                <w:rFonts w:hint="eastAsia" w:ascii="宋体" w:hAnsi="宋体" w:cs="宋体"/>
                <w:sz w:val="21"/>
                <w:szCs w:val="21"/>
              </w:rPr>
              <w:t>展示配血记录，有配血标本储存位置、血袋储存位置等提示</w:t>
            </w:r>
          </w:p>
        </w:tc>
      </w:tr>
      <w:tr w14:paraId="6EBD6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3" w:hRule="atLeast"/>
          <w:jc w:val="center"/>
        </w:trPr>
        <w:tc>
          <w:tcPr>
            <w:tcW w:w="1237" w:type="dxa"/>
            <w:vMerge w:val="continue"/>
            <w:noWrap w:val="0"/>
            <w:vAlign w:val="center"/>
          </w:tcPr>
          <w:p w14:paraId="15F0B32C">
            <w:pPr>
              <w:pStyle w:val="56"/>
              <w:tabs>
                <w:tab w:val="left" w:pos="7740"/>
              </w:tabs>
              <w:spacing w:line="288" w:lineRule="auto"/>
              <w:rPr>
                <w:rFonts w:ascii="宋体" w:hAnsi="宋体" w:cs="宋体"/>
                <w:sz w:val="21"/>
                <w:szCs w:val="21"/>
              </w:rPr>
            </w:pPr>
          </w:p>
        </w:tc>
        <w:tc>
          <w:tcPr>
            <w:tcW w:w="1999" w:type="dxa"/>
            <w:noWrap w:val="0"/>
            <w:vAlign w:val="center"/>
          </w:tcPr>
          <w:p w14:paraId="74125818">
            <w:pPr>
              <w:pStyle w:val="56"/>
              <w:tabs>
                <w:tab w:val="left" w:pos="7740"/>
              </w:tabs>
              <w:spacing w:line="288" w:lineRule="auto"/>
              <w:rPr>
                <w:rFonts w:ascii="宋体" w:hAnsi="宋体" w:cs="宋体"/>
                <w:sz w:val="21"/>
                <w:szCs w:val="21"/>
              </w:rPr>
            </w:pPr>
            <w:r>
              <w:rPr>
                <w:rFonts w:hint="eastAsia" w:ascii="宋体" w:hAnsi="宋体" w:cs="宋体"/>
                <w:sz w:val="21"/>
                <w:szCs w:val="21"/>
              </w:rPr>
              <w:t>▲库存盘点</w:t>
            </w:r>
          </w:p>
        </w:tc>
        <w:tc>
          <w:tcPr>
            <w:tcW w:w="6502" w:type="dxa"/>
            <w:noWrap w:val="0"/>
            <w:vAlign w:val="center"/>
          </w:tcPr>
          <w:p w14:paraId="532D0369">
            <w:pPr>
              <w:pStyle w:val="56"/>
              <w:tabs>
                <w:tab w:val="left" w:pos="7740"/>
              </w:tabs>
              <w:spacing w:line="288" w:lineRule="auto"/>
              <w:rPr>
                <w:rFonts w:ascii="宋体" w:hAnsi="宋体" w:cs="宋体"/>
                <w:sz w:val="21"/>
                <w:szCs w:val="21"/>
              </w:rPr>
            </w:pPr>
            <w:r>
              <w:rPr>
                <w:rFonts w:hint="eastAsia" w:ascii="宋体" w:hAnsi="宋体" w:cs="宋体"/>
                <w:sz w:val="21"/>
                <w:szCs w:val="21"/>
              </w:rPr>
              <w:t xml:space="preserve">通过条码、二维码等方式扫描盘点，可按血制品类型清点以避免电脑记录与实际不符的现象发生。应做到血液不离开冰箱。自动将盘库与电脑对比并生成报表 </w:t>
            </w:r>
          </w:p>
        </w:tc>
      </w:tr>
      <w:tr w14:paraId="33B14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1237" w:type="dxa"/>
            <w:vMerge w:val="continue"/>
            <w:noWrap w:val="0"/>
            <w:vAlign w:val="center"/>
          </w:tcPr>
          <w:p w14:paraId="033A3C6F">
            <w:pPr>
              <w:pStyle w:val="56"/>
              <w:tabs>
                <w:tab w:val="left" w:pos="7740"/>
              </w:tabs>
              <w:spacing w:line="288" w:lineRule="auto"/>
              <w:rPr>
                <w:rFonts w:ascii="宋体" w:hAnsi="宋体" w:cs="宋体"/>
                <w:sz w:val="21"/>
                <w:szCs w:val="21"/>
              </w:rPr>
            </w:pPr>
          </w:p>
        </w:tc>
        <w:tc>
          <w:tcPr>
            <w:tcW w:w="1999" w:type="dxa"/>
            <w:noWrap w:val="0"/>
            <w:vAlign w:val="center"/>
          </w:tcPr>
          <w:p w14:paraId="7BF3D986">
            <w:pPr>
              <w:spacing w:line="288" w:lineRule="auto"/>
              <w:jc w:val="left"/>
              <w:textAlignment w:val="center"/>
              <w:rPr>
                <w:rFonts w:ascii="宋体" w:hAnsi="宋体"/>
                <w:bCs/>
                <w:spacing w:val="10"/>
                <w:kern w:val="0"/>
                <w:szCs w:val="21"/>
              </w:rPr>
            </w:pPr>
            <w:r>
              <w:rPr>
                <w:rFonts w:hint="eastAsia" w:ascii="宋体" w:hAnsi="宋体"/>
                <w:bCs/>
                <w:spacing w:val="10"/>
                <w:kern w:val="0"/>
                <w:szCs w:val="21"/>
              </w:rPr>
              <w:t>▲用血等级</w:t>
            </w:r>
          </w:p>
        </w:tc>
        <w:tc>
          <w:tcPr>
            <w:tcW w:w="6502" w:type="dxa"/>
            <w:noWrap w:val="0"/>
            <w:vAlign w:val="center"/>
          </w:tcPr>
          <w:p w14:paraId="1D8EF4EB">
            <w:pPr>
              <w:spacing w:line="288" w:lineRule="auto"/>
              <w:ind w:firstLine="525"/>
              <w:jc w:val="left"/>
              <w:textAlignment w:val="center"/>
              <w:rPr>
                <w:rFonts w:ascii="宋体" w:hAnsi="宋体"/>
                <w:bCs/>
                <w:spacing w:val="10"/>
                <w:kern w:val="0"/>
                <w:szCs w:val="21"/>
              </w:rPr>
            </w:pPr>
            <w:r>
              <w:rPr>
                <w:rFonts w:hint="eastAsia" w:ascii="宋体" w:hAnsi="宋体"/>
                <w:bCs/>
                <w:spacing w:val="10"/>
                <w:kern w:val="0"/>
                <w:szCs w:val="21"/>
              </w:rPr>
              <w:t>输血科登记库存保障情况配置，库存保障信息将与临床共享，给临床输血提供参考（电子病历</w:t>
            </w:r>
            <w:r>
              <w:rPr>
                <w:rFonts w:ascii="宋体" w:hAnsi="宋体"/>
                <w:bCs/>
                <w:spacing w:val="10"/>
                <w:kern w:val="0"/>
                <w:szCs w:val="21"/>
              </w:rPr>
              <w:t>5</w:t>
            </w:r>
            <w:r>
              <w:rPr>
                <w:rFonts w:hint="eastAsia" w:ascii="宋体" w:hAnsi="宋体"/>
                <w:bCs/>
                <w:spacing w:val="10"/>
                <w:kern w:val="0"/>
                <w:szCs w:val="21"/>
              </w:rPr>
              <w:t>级评审要求）</w:t>
            </w:r>
          </w:p>
        </w:tc>
      </w:tr>
      <w:tr w14:paraId="44931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237" w:type="dxa"/>
            <w:vMerge w:val="continue"/>
            <w:noWrap w:val="0"/>
            <w:vAlign w:val="center"/>
          </w:tcPr>
          <w:p w14:paraId="4514D1B9">
            <w:pPr>
              <w:pStyle w:val="56"/>
              <w:tabs>
                <w:tab w:val="left" w:pos="7740"/>
              </w:tabs>
              <w:spacing w:line="288" w:lineRule="auto"/>
              <w:rPr>
                <w:rFonts w:ascii="宋体" w:hAnsi="宋体" w:cs="宋体"/>
                <w:sz w:val="21"/>
                <w:szCs w:val="21"/>
              </w:rPr>
            </w:pPr>
          </w:p>
        </w:tc>
        <w:tc>
          <w:tcPr>
            <w:tcW w:w="1999" w:type="dxa"/>
            <w:noWrap w:val="0"/>
            <w:vAlign w:val="center"/>
          </w:tcPr>
          <w:p w14:paraId="68C3EF2D">
            <w:pPr>
              <w:pStyle w:val="56"/>
              <w:tabs>
                <w:tab w:val="left" w:pos="7740"/>
              </w:tabs>
              <w:spacing w:line="288" w:lineRule="auto"/>
              <w:rPr>
                <w:rFonts w:ascii="宋体" w:hAnsi="宋体" w:cs="宋体"/>
                <w:sz w:val="21"/>
                <w:szCs w:val="21"/>
              </w:rPr>
            </w:pPr>
            <w:r>
              <w:rPr>
                <w:rFonts w:hint="eastAsia" w:ascii="宋体" w:hAnsi="宋体" w:cs="宋体"/>
                <w:sz w:val="21"/>
                <w:szCs w:val="21"/>
              </w:rPr>
              <w:t>库存统计</w:t>
            </w:r>
          </w:p>
        </w:tc>
        <w:tc>
          <w:tcPr>
            <w:tcW w:w="6502" w:type="dxa"/>
            <w:noWrap w:val="0"/>
            <w:vAlign w:val="center"/>
          </w:tcPr>
          <w:p w14:paraId="20FAE5E9">
            <w:pPr>
              <w:pStyle w:val="56"/>
              <w:tabs>
                <w:tab w:val="left" w:pos="7740"/>
              </w:tabs>
              <w:spacing w:line="288" w:lineRule="auto"/>
              <w:rPr>
                <w:rFonts w:ascii="宋体" w:hAnsi="宋体" w:cs="宋体"/>
                <w:sz w:val="21"/>
                <w:szCs w:val="21"/>
              </w:rPr>
            </w:pPr>
            <w:r>
              <w:rPr>
                <w:rFonts w:hint="eastAsia" w:ascii="宋体" w:hAnsi="宋体" w:cs="宋体"/>
                <w:sz w:val="21"/>
                <w:szCs w:val="21"/>
              </w:rPr>
              <w:t>库存实时统计</w:t>
            </w:r>
          </w:p>
        </w:tc>
      </w:tr>
      <w:tr w14:paraId="410D4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3" w:hRule="atLeast"/>
          <w:jc w:val="center"/>
        </w:trPr>
        <w:tc>
          <w:tcPr>
            <w:tcW w:w="1237" w:type="dxa"/>
            <w:vMerge w:val="restart"/>
            <w:noWrap w:val="0"/>
            <w:vAlign w:val="center"/>
          </w:tcPr>
          <w:p w14:paraId="3874DEE8">
            <w:pPr>
              <w:pStyle w:val="56"/>
              <w:tabs>
                <w:tab w:val="left" w:pos="7740"/>
              </w:tabs>
              <w:spacing w:line="288" w:lineRule="auto"/>
              <w:rPr>
                <w:rFonts w:ascii="宋体" w:hAnsi="宋体" w:cs="宋体"/>
                <w:sz w:val="21"/>
                <w:szCs w:val="21"/>
              </w:rPr>
            </w:pPr>
          </w:p>
          <w:p w14:paraId="4F8E2D81">
            <w:pPr>
              <w:pStyle w:val="56"/>
              <w:tabs>
                <w:tab w:val="left" w:pos="7740"/>
              </w:tabs>
              <w:spacing w:line="288" w:lineRule="auto"/>
              <w:rPr>
                <w:rFonts w:ascii="宋体" w:hAnsi="宋体" w:cs="宋体"/>
                <w:sz w:val="21"/>
                <w:szCs w:val="21"/>
              </w:rPr>
            </w:pPr>
          </w:p>
          <w:p w14:paraId="0EC6C22E">
            <w:pPr>
              <w:pStyle w:val="56"/>
              <w:tabs>
                <w:tab w:val="left" w:pos="7740"/>
              </w:tabs>
              <w:spacing w:line="288" w:lineRule="auto"/>
              <w:rPr>
                <w:rFonts w:ascii="宋体" w:hAnsi="宋体" w:cs="宋体"/>
                <w:sz w:val="21"/>
                <w:szCs w:val="21"/>
              </w:rPr>
            </w:pPr>
            <w:r>
              <w:rPr>
                <w:rFonts w:hint="eastAsia" w:ascii="宋体" w:hAnsi="宋体" w:cs="宋体"/>
                <w:sz w:val="21"/>
                <w:szCs w:val="21"/>
              </w:rPr>
              <w:t>标本及申请单审核管理</w:t>
            </w:r>
          </w:p>
        </w:tc>
        <w:tc>
          <w:tcPr>
            <w:tcW w:w="1999" w:type="dxa"/>
            <w:noWrap w:val="0"/>
            <w:vAlign w:val="center"/>
          </w:tcPr>
          <w:p w14:paraId="1B6F32FA">
            <w:pPr>
              <w:pStyle w:val="56"/>
              <w:tabs>
                <w:tab w:val="left" w:pos="7740"/>
              </w:tabs>
              <w:spacing w:line="288" w:lineRule="auto"/>
              <w:rPr>
                <w:rFonts w:ascii="宋体" w:hAnsi="宋体" w:cs="宋体"/>
                <w:sz w:val="21"/>
                <w:szCs w:val="21"/>
              </w:rPr>
            </w:pPr>
            <w:r>
              <w:rPr>
                <w:rFonts w:hint="eastAsia" w:ascii="宋体" w:hAnsi="宋体" w:cs="宋体"/>
                <w:sz w:val="21"/>
                <w:szCs w:val="21"/>
              </w:rPr>
              <w:t>标本接收</w:t>
            </w:r>
          </w:p>
        </w:tc>
        <w:tc>
          <w:tcPr>
            <w:tcW w:w="6502" w:type="dxa"/>
            <w:noWrap w:val="0"/>
            <w:vAlign w:val="center"/>
          </w:tcPr>
          <w:p w14:paraId="327E398A">
            <w:pPr>
              <w:pStyle w:val="56"/>
              <w:tabs>
                <w:tab w:val="left" w:pos="7740"/>
              </w:tabs>
              <w:spacing w:line="288" w:lineRule="auto"/>
              <w:rPr>
                <w:rFonts w:ascii="宋体" w:hAnsi="宋体" w:cs="宋体"/>
                <w:sz w:val="21"/>
                <w:szCs w:val="21"/>
              </w:rPr>
            </w:pPr>
            <w:r>
              <w:rPr>
                <w:rFonts w:hint="eastAsia" w:ascii="宋体" w:hAnsi="宋体" w:cs="宋体"/>
                <w:sz w:val="21"/>
                <w:szCs w:val="21"/>
              </w:rPr>
              <w:t>扫码接收标本，与申请单自动匹配、退检标本、标本统计，如有仪器检测的应做到双向模式，发送标本信息到仪器以及结果自动接收</w:t>
            </w:r>
          </w:p>
        </w:tc>
      </w:tr>
      <w:tr w14:paraId="28576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1237" w:type="dxa"/>
            <w:vMerge w:val="continue"/>
            <w:noWrap w:val="0"/>
            <w:vAlign w:val="center"/>
          </w:tcPr>
          <w:p w14:paraId="094FA925">
            <w:pPr>
              <w:pStyle w:val="56"/>
              <w:tabs>
                <w:tab w:val="left" w:pos="7740"/>
              </w:tabs>
              <w:spacing w:line="288" w:lineRule="auto"/>
              <w:rPr>
                <w:rFonts w:ascii="宋体" w:hAnsi="宋体" w:cs="宋体"/>
                <w:sz w:val="21"/>
                <w:szCs w:val="21"/>
              </w:rPr>
            </w:pPr>
          </w:p>
        </w:tc>
        <w:tc>
          <w:tcPr>
            <w:tcW w:w="1999" w:type="dxa"/>
            <w:noWrap w:val="0"/>
            <w:vAlign w:val="center"/>
          </w:tcPr>
          <w:p w14:paraId="1F286BDF">
            <w:pPr>
              <w:pStyle w:val="56"/>
              <w:tabs>
                <w:tab w:val="left" w:pos="7740"/>
              </w:tabs>
              <w:spacing w:line="288" w:lineRule="auto"/>
              <w:rPr>
                <w:rFonts w:ascii="宋体" w:hAnsi="宋体" w:cs="宋体"/>
                <w:sz w:val="21"/>
                <w:szCs w:val="21"/>
              </w:rPr>
            </w:pPr>
            <w:r>
              <w:rPr>
                <w:rFonts w:hint="eastAsia" w:ascii="宋体" w:hAnsi="宋体" w:cs="宋体"/>
                <w:sz w:val="21"/>
                <w:szCs w:val="21"/>
              </w:rPr>
              <w:t>输血申请补录</w:t>
            </w:r>
          </w:p>
        </w:tc>
        <w:tc>
          <w:tcPr>
            <w:tcW w:w="6502" w:type="dxa"/>
            <w:noWrap w:val="0"/>
            <w:vAlign w:val="center"/>
          </w:tcPr>
          <w:p w14:paraId="3F316781">
            <w:pPr>
              <w:pStyle w:val="56"/>
              <w:tabs>
                <w:tab w:val="left" w:pos="7740"/>
              </w:tabs>
              <w:spacing w:line="288" w:lineRule="auto"/>
              <w:rPr>
                <w:rFonts w:ascii="宋体" w:hAnsi="宋体" w:cs="宋体"/>
                <w:sz w:val="21"/>
                <w:szCs w:val="21"/>
              </w:rPr>
            </w:pPr>
            <w:r>
              <w:rPr>
                <w:rFonts w:hint="eastAsia" w:ascii="宋体" w:hAnsi="宋体" w:cs="宋体"/>
                <w:sz w:val="21"/>
                <w:szCs w:val="21"/>
              </w:rPr>
              <w:t>紧急情况下，在血液发血出库后，当临床科室补录了申请单之后，进行申请单与发血单关联操作，以确保信息的完整性</w:t>
            </w:r>
          </w:p>
        </w:tc>
      </w:tr>
      <w:tr w14:paraId="42477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3" w:hRule="atLeast"/>
          <w:jc w:val="center"/>
        </w:trPr>
        <w:tc>
          <w:tcPr>
            <w:tcW w:w="1237" w:type="dxa"/>
            <w:vMerge w:val="continue"/>
            <w:noWrap w:val="0"/>
            <w:vAlign w:val="center"/>
          </w:tcPr>
          <w:p w14:paraId="7F04DCFD">
            <w:pPr>
              <w:pStyle w:val="56"/>
              <w:tabs>
                <w:tab w:val="left" w:pos="7740"/>
              </w:tabs>
              <w:spacing w:line="288" w:lineRule="auto"/>
              <w:rPr>
                <w:rFonts w:ascii="宋体" w:hAnsi="宋体" w:cs="宋体"/>
                <w:sz w:val="21"/>
                <w:szCs w:val="21"/>
              </w:rPr>
            </w:pPr>
          </w:p>
        </w:tc>
        <w:tc>
          <w:tcPr>
            <w:tcW w:w="1999" w:type="dxa"/>
            <w:noWrap w:val="0"/>
            <w:vAlign w:val="center"/>
          </w:tcPr>
          <w:p w14:paraId="067D414B">
            <w:pPr>
              <w:pStyle w:val="56"/>
              <w:tabs>
                <w:tab w:val="left" w:pos="7740"/>
              </w:tabs>
              <w:spacing w:line="288" w:lineRule="auto"/>
              <w:rPr>
                <w:rFonts w:ascii="宋体" w:hAnsi="宋体" w:cs="宋体"/>
                <w:sz w:val="21"/>
                <w:szCs w:val="21"/>
              </w:rPr>
            </w:pPr>
            <w:r>
              <w:rPr>
                <w:rFonts w:hint="eastAsia" w:ascii="宋体" w:hAnsi="宋体" w:cs="宋体"/>
                <w:sz w:val="21"/>
                <w:szCs w:val="21"/>
              </w:rPr>
              <w:t>申请审核</w:t>
            </w:r>
          </w:p>
        </w:tc>
        <w:tc>
          <w:tcPr>
            <w:tcW w:w="6502" w:type="dxa"/>
            <w:noWrap w:val="0"/>
            <w:vAlign w:val="center"/>
          </w:tcPr>
          <w:p w14:paraId="3164EBDE">
            <w:pPr>
              <w:pStyle w:val="56"/>
              <w:tabs>
                <w:tab w:val="left" w:pos="7740"/>
              </w:tabs>
              <w:spacing w:line="288" w:lineRule="auto"/>
              <w:rPr>
                <w:rFonts w:ascii="宋体" w:hAnsi="宋体" w:cs="宋体"/>
                <w:sz w:val="21"/>
                <w:szCs w:val="21"/>
              </w:rPr>
            </w:pPr>
            <w:r>
              <w:rPr>
                <w:rFonts w:hint="eastAsia" w:ascii="宋体" w:hAnsi="宋体" w:cs="宋体"/>
                <w:sz w:val="21"/>
                <w:szCs w:val="21"/>
              </w:rPr>
              <w:t>输血科能实时接收临床医师发出的用血申请单及提醒、并做出审核，不合格返回并提示。审核情况提示临床。能查看临床输血前评估记录及同意书签署。查看申请单状态、大量用血审核流转等。自体输血申请单管理</w:t>
            </w:r>
          </w:p>
        </w:tc>
      </w:tr>
      <w:tr w14:paraId="7AF5C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1237" w:type="dxa"/>
            <w:vMerge w:val="restart"/>
            <w:noWrap w:val="0"/>
            <w:vAlign w:val="center"/>
          </w:tcPr>
          <w:p w14:paraId="05C869FC">
            <w:pPr>
              <w:pStyle w:val="56"/>
              <w:tabs>
                <w:tab w:val="left" w:pos="7740"/>
              </w:tabs>
              <w:spacing w:line="288" w:lineRule="auto"/>
              <w:rPr>
                <w:rFonts w:ascii="宋体" w:hAnsi="宋体" w:cs="宋体"/>
                <w:sz w:val="21"/>
                <w:szCs w:val="21"/>
              </w:rPr>
            </w:pPr>
            <w:r>
              <w:rPr>
                <w:rFonts w:hint="eastAsia" w:ascii="宋体" w:hAnsi="宋体" w:cs="宋体"/>
                <w:sz w:val="21"/>
                <w:szCs w:val="21"/>
              </w:rPr>
              <w:t>配发血管理</w:t>
            </w:r>
          </w:p>
          <w:p w14:paraId="3EA250B4">
            <w:pPr>
              <w:pStyle w:val="56"/>
              <w:tabs>
                <w:tab w:val="left" w:pos="7740"/>
              </w:tabs>
              <w:spacing w:line="288" w:lineRule="auto"/>
              <w:rPr>
                <w:rFonts w:ascii="宋体" w:hAnsi="宋体" w:cs="宋体"/>
                <w:sz w:val="21"/>
                <w:szCs w:val="21"/>
              </w:rPr>
            </w:pPr>
            <w:r>
              <w:rPr>
                <w:rFonts w:hint="eastAsia" w:ascii="宋体" w:hAnsi="宋体" w:cs="宋体"/>
                <w:sz w:val="21"/>
                <w:szCs w:val="21"/>
              </w:rPr>
              <w:t>发血管理</w:t>
            </w:r>
          </w:p>
        </w:tc>
        <w:tc>
          <w:tcPr>
            <w:tcW w:w="1999" w:type="dxa"/>
            <w:noWrap w:val="0"/>
            <w:vAlign w:val="center"/>
          </w:tcPr>
          <w:p w14:paraId="6C789953">
            <w:pPr>
              <w:pStyle w:val="56"/>
              <w:tabs>
                <w:tab w:val="left" w:pos="7740"/>
              </w:tabs>
              <w:spacing w:line="288" w:lineRule="auto"/>
              <w:rPr>
                <w:rFonts w:ascii="宋体" w:hAnsi="宋体" w:cs="宋体"/>
                <w:sz w:val="21"/>
                <w:szCs w:val="21"/>
              </w:rPr>
            </w:pPr>
            <w:r>
              <w:rPr>
                <w:rFonts w:hint="eastAsia" w:ascii="宋体" w:hAnsi="宋体" w:cs="宋体"/>
                <w:sz w:val="21"/>
                <w:szCs w:val="21"/>
              </w:rPr>
              <w:t>血型复核</w:t>
            </w:r>
          </w:p>
        </w:tc>
        <w:tc>
          <w:tcPr>
            <w:tcW w:w="6502" w:type="dxa"/>
            <w:noWrap w:val="0"/>
            <w:vAlign w:val="center"/>
          </w:tcPr>
          <w:p w14:paraId="33AC2E42">
            <w:pPr>
              <w:pStyle w:val="56"/>
              <w:tabs>
                <w:tab w:val="left" w:pos="7740"/>
              </w:tabs>
              <w:spacing w:line="288" w:lineRule="auto"/>
              <w:rPr>
                <w:rFonts w:ascii="宋体" w:hAnsi="宋体" w:cs="宋体"/>
                <w:sz w:val="21"/>
                <w:szCs w:val="21"/>
              </w:rPr>
            </w:pPr>
            <w:r>
              <w:rPr>
                <w:rFonts w:hint="eastAsia" w:ascii="宋体" w:hAnsi="宋体" w:cs="宋体"/>
                <w:sz w:val="21"/>
                <w:szCs w:val="21"/>
              </w:rPr>
              <w:t>输血科根据输血申请单进行患者血型复查及不规则抗体筛查，登记结果信息</w:t>
            </w:r>
          </w:p>
        </w:tc>
      </w:tr>
      <w:tr w14:paraId="3EB39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237" w:type="dxa"/>
            <w:vMerge w:val="continue"/>
            <w:noWrap w:val="0"/>
            <w:vAlign w:val="center"/>
          </w:tcPr>
          <w:p w14:paraId="03C5BD07">
            <w:pPr>
              <w:pStyle w:val="56"/>
              <w:tabs>
                <w:tab w:val="left" w:pos="7740"/>
              </w:tabs>
              <w:spacing w:line="288" w:lineRule="auto"/>
              <w:rPr>
                <w:rFonts w:ascii="宋体" w:hAnsi="宋体" w:cs="宋体"/>
                <w:sz w:val="21"/>
                <w:szCs w:val="21"/>
              </w:rPr>
            </w:pPr>
          </w:p>
        </w:tc>
        <w:tc>
          <w:tcPr>
            <w:tcW w:w="1999" w:type="dxa"/>
            <w:noWrap w:val="0"/>
            <w:vAlign w:val="center"/>
          </w:tcPr>
          <w:p w14:paraId="18498D64">
            <w:pPr>
              <w:pStyle w:val="56"/>
              <w:tabs>
                <w:tab w:val="left" w:pos="7740"/>
              </w:tabs>
              <w:spacing w:line="288" w:lineRule="auto"/>
              <w:rPr>
                <w:rFonts w:ascii="宋体" w:hAnsi="宋体" w:cs="宋体"/>
                <w:sz w:val="21"/>
                <w:szCs w:val="21"/>
              </w:rPr>
            </w:pPr>
            <w:r>
              <w:rPr>
                <w:rFonts w:hint="eastAsia" w:ascii="宋体" w:hAnsi="宋体" w:cs="宋体"/>
                <w:sz w:val="21"/>
                <w:szCs w:val="21"/>
              </w:rPr>
              <w:t>自定义配血规则</w:t>
            </w:r>
          </w:p>
        </w:tc>
        <w:tc>
          <w:tcPr>
            <w:tcW w:w="6502" w:type="dxa"/>
            <w:noWrap w:val="0"/>
            <w:vAlign w:val="center"/>
          </w:tcPr>
          <w:p w14:paraId="12EE8B16">
            <w:pPr>
              <w:pStyle w:val="56"/>
              <w:tabs>
                <w:tab w:val="left" w:pos="7740"/>
              </w:tabs>
              <w:spacing w:line="288" w:lineRule="auto"/>
              <w:rPr>
                <w:rFonts w:ascii="宋体" w:hAnsi="宋体" w:cs="宋体"/>
                <w:sz w:val="21"/>
                <w:szCs w:val="21"/>
              </w:rPr>
            </w:pPr>
            <w:r>
              <w:rPr>
                <w:rFonts w:hint="eastAsia" w:ascii="宋体" w:hAnsi="宋体" w:cs="宋体"/>
                <w:sz w:val="21"/>
                <w:szCs w:val="21"/>
              </w:rPr>
              <w:t>支持自定义配血规则</w:t>
            </w:r>
          </w:p>
        </w:tc>
      </w:tr>
      <w:tr w14:paraId="2B735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8" w:hRule="atLeast"/>
          <w:jc w:val="center"/>
        </w:trPr>
        <w:tc>
          <w:tcPr>
            <w:tcW w:w="1237" w:type="dxa"/>
            <w:vMerge w:val="continue"/>
            <w:noWrap w:val="0"/>
            <w:vAlign w:val="center"/>
          </w:tcPr>
          <w:p w14:paraId="1B54C76F">
            <w:pPr>
              <w:pStyle w:val="56"/>
              <w:tabs>
                <w:tab w:val="left" w:pos="7740"/>
              </w:tabs>
              <w:spacing w:line="288" w:lineRule="auto"/>
              <w:rPr>
                <w:rFonts w:ascii="宋体" w:hAnsi="宋体" w:cs="宋体"/>
                <w:sz w:val="21"/>
                <w:szCs w:val="21"/>
              </w:rPr>
            </w:pPr>
          </w:p>
        </w:tc>
        <w:tc>
          <w:tcPr>
            <w:tcW w:w="1999" w:type="dxa"/>
            <w:noWrap w:val="0"/>
            <w:vAlign w:val="center"/>
          </w:tcPr>
          <w:p w14:paraId="455831D9">
            <w:pPr>
              <w:pStyle w:val="56"/>
              <w:tabs>
                <w:tab w:val="left" w:pos="7740"/>
              </w:tabs>
              <w:spacing w:line="288" w:lineRule="auto"/>
              <w:rPr>
                <w:rFonts w:ascii="宋体" w:hAnsi="宋体" w:cs="宋体"/>
                <w:sz w:val="21"/>
                <w:szCs w:val="21"/>
              </w:rPr>
            </w:pPr>
            <w:r>
              <w:rPr>
                <w:rFonts w:hint="eastAsia" w:ascii="宋体" w:hAnsi="宋体" w:cs="宋体"/>
                <w:sz w:val="21"/>
                <w:szCs w:val="21"/>
              </w:rPr>
              <w:t>交叉配血</w:t>
            </w:r>
          </w:p>
        </w:tc>
        <w:tc>
          <w:tcPr>
            <w:tcW w:w="6502" w:type="dxa"/>
            <w:noWrap w:val="0"/>
            <w:vAlign w:val="center"/>
          </w:tcPr>
          <w:p w14:paraId="0F8D9A7A">
            <w:pPr>
              <w:pStyle w:val="56"/>
              <w:tabs>
                <w:tab w:val="left" w:pos="7740"/>
              </w:tabs>
              <w:spacing w:line="288" w:lineRule="auto"/>
              <w:rPr>
                <w:rFonts w:ascii="宋体" w:hAnsi="宋体" w:cs="宋体"/>
                <w:sz w:val="21"/>
                <w:szCs w:val="21"/>
              </w:rPr>
            </w:pPr>
            <w:r>
              <w:rPr>
                <w:rFonts w:hint="eastAsia" w:ascii="宋体" w:hAnsi="宋体" w:cs="宋体"/>
                <w:sz w:val="21"/>
                <w:szCs w:val="21"/>
              </w:rPr>
              <w:t>当所申请的血液品种（红细胞、全血、手工分浓缩血小板等）需要配血时，需要进行交叉配血操作，登记配血信。</w:t>
            </w:r>
          </w:p>
          <w:p w14:paraId="2C9B5DA8">
            <w:pPr>
              <w:pStyle w:val="56"/>
              <w:tabs>
                <w:tab w:val="left" w:pos="7740"/>
              </w:tabs>
              <w:spacing w:line="288" w:lineRule="auto"/>
              <w:rPr>
                <w:rFonts w:ascii="宋体" w:hAnsi="宋体" w:cs="宋体"/>
                <w:sz w:val="21"/>
                <w:szCs w:val="21"/>
              </w:rPr>
            </w:pPr>
            <w:r>
              <w:rPr>
                <w:rFonts w:hint="eastAsia" w:ascii="宋体" w:hAnsi="宋体"/>
                <w:sz w:val="21"/>
                <w:szCs w:val="21"/>
              </w:rPr>
              <w:t>★</w:t>
            </w:r>
            <w:r>
              <w:rPr>
                <w:rFonts w:hint="eastAsia" w:ascii="宋体" w:hAnsi="宋体" w:cs="宋体"/>
                <w:sz w:val="21"/>
                <w:szCs w:val="21"/>
              </w:rPr>
              <w:t>增配自动配血仪器接口、血栓弹力图仪器接口等。</w:t>
            </w:r>
          </w:p>
        </w:tc>
      </w:tr>
      <w:tr w14:paraId="311D9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1237" w:type="dxa"/>
            <w:vMerge w:val="continue"/>
            <w:noWrap w:val="0"/>
            <w:vAlign w:val="center"/>
          </w:tcPr>
          <w:p w14:paraId="3BD7EA20">
            <w:pPr>
              <w:pStyle w:val="56"/>
              <w:tabs>
                <w:tab w:val="left" w:pos="7740"/>
              </w:tabs>
              <w:spacing w:line="288" w:lineRule="auto"/>
              <w:rPr>
                <w:rFonts w:ascii="宋体" w:hAnsi="宋体" w:cs="宋体"/>
                <w:sz w:val="21"/>
                <w:szCs w:val="21"/>
              </w:rPr>
            </w:pPr>
          </w:p>
        </w:tc>
        <w:tc>
          <w:tcPr>
            <w:tcW w:w="1999" w:type="dxa"/>
            <w:noWrap w:val="0"/>
            <w:vAlign w:val="center"/>
          </w:tcPr>
          <w:p w14:paraId="7F0A0991">
            <w:pPr>
              <w:pStyle w:val="56"/>
              <w:tabs>
                <w:tab w:val="left" w:pos="7740"/>
              </w:tabs>
              <w:spacing w:line="288" w:lineRule="auto"/>
              <w:rPr>
                <w:rFonts w:ascii="宋体" w:hAnsi="宋体" w:cs="宋体"/>
                <w:sz w:val="21"/>
                <w:szCs w:val="21"/>
              </w:rPr>
            </w:pPr>
            <w:r>
              <w:rPr>
                <w:rFonts w:hint="eastAsia" w:ascii="宋体" w:hAnsi="宋体" w:cs="宋体"/>
                <w:sz w:val="21"/>
                <w:szCs w:val="21"/>
              </w:rPr>
              <w:t>▲疑难配血</w:t>
            </w:r>
          </w:p>
        </w:tc>
        <w:tc>
          <w:tcPr>
            <w:tcW w:w="6502" w:type="dxa"/>
            <w:noWrap w:val="0"/>
            <w:vAlign w:val="center"/>
          </w:tcPr>
          <w:p w14:paraId="0C8B6851">
            <w:pPr>
              <w:pStyle w:val="56"/>
              <w:tabs>
                <w:tab w:val="left" w:pos="7740"/>
              </w:tabs>
              <w:spacing w:line="288" w:lineRule="auto"/>
              <w:rPr>
                <w:rFonts w:ascii="宋体" w:hAnsi="宋体" w:cs="宋体"/>
                <w:sz w:val="21"/>
                <w:szCs w:val="21"/>
              </w:rPr>
            </w:pPr>
            <w:r>
              <w:rPr>
                <w:rFonts w:hint="eastAsia" w:ascii="宋体" w:hAnsi="宋体" w:cs="宋体"/>
                <w:sz w:val="21"/>
                <w:szCs w:val="21"/>
              </w:rPr>
              <w:t>疑难配血或血型再次输血有警示，并可查看历史检测情况，管理患者疑难配血档案</w:t>
            </w:r>
          </w:p>
        </w:tc>
      </w:tr>
      <w:tr w14:paraId="44B68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1237" w:type="dxa"/>
            <w:vMerge w:val="continue"/>
            <w:noWrap w:val="0"/>
            <w:vAlign w:val="center"/>
          </w:tcPr>
          <w:p w14:paraId="18105ED8">
            <w:pPr>
              <w:pStyle w:val="56"/>
              <w:tabs>
                <w:tab w:val="left" w:pos="7740"/>
              </w:tabs>
              <w:spacing w:line="288" w:lineRule="auto"/>
              <w:rPr>
                <w:rFonts w:ascii="宋体" w:hAnsi="宋体" w:cs="宋体"/>
                <w:sz w:val="21"/>
                <w:szCs w:val="21"/>
              </w:rPr>
            </w:pPr>
          </w:p>
        </w:tc>
        <w:tc>
          <w:tcPr>
            <w:tcW w:w="1999" w:type="dxa"/>
            <w:noWrap w:val="0"/>
            <w:vAlign w:val="center"/>
          </w:tcPr>
          <w:p w14:paraId="57EB6377">
            <w:pPr>
              <w:pStyle w:val="56"/>
              <w:tabs>
                <w:tab w:val="left" w:pos="7740"/>
              </w:tabs>
              <w:spacing w:line="288" w:lineRule="auto"/>
              <w:rPr>
                <w:rFonts w:ascii="宋体" w:hAnsi="宋体" w:cs="宋体"/>
                <w:sz w:val="21"/>
                <w:szCs w:val="21"/>
              </w:rPr>
            </w:pPr>
            <w:r>
              <w:rPr>
                <w:rFonts w:hint="eastAsia" w:ascii="宋体" w:hAnsi="宋体" w:cs="宋体"/>
                <w:sz w:val="21"/>
                <w:szCs w:val="21"/>
              </w:rPr>
              <w:t>抢救配血</w:t>
            </w:r>
          </w:p>
        </w:tc>
        <w:tc>
          <w:tcPr>
            <w:tcW w:w="6502" w:type="dxa"/>
            <w:noWrap w:val="0"/>
            <w:vAlign w:val="center"/>
          </w:tcPr>
          <w:p w14:paraId="43EB99FB">
            <w:pPr>
              <w:pStyle w:val="56"/>
              <w:tabs>
                <w:tab w:val="left" w:pos="7740"/>
              </w:tabs>
              <w:spacing w:line="288" w:lineRule="auto"/>
              <w:rPr>
                <w:rFonts w:ascii="宋体" w:hAnsi="宋体" w:cs="宋体"/>
                <w:sz w:val="21"/>
                <w:szCs w:val="21"/>
              </w:rPr>
            </w:pPr>
            <w:r>
              <w:rPr>
                <w:rFonts w:hint="eastAsia" w:ascii="宋体" w:hAnsi="宋体" w:cs="宋体"/>
                <w:sz w:val="21"/>
                <w:szCs w:val="21"/>
              </w:rPr>
              <w:t>抢救情况下，采用绿色通道，可以直接发血及以后补办各种流程管理</w:t>
            </w:r>
          </w:p>
        </w:tc>
      </w:tr>
      <w:tr w14:paraId="4BA4D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237" w:type="dxa"/>
            <w:vMerge w:val="continue"/>
            <w:noWrap w:val="0"/>
            <w:vAlign w:val="center"/>
          </w:tcPr>
          <w:p w14:paraId="6ED2BDA6">
            <w:pPr>
              <w:pStyle w:val="56"/>
              <w:tabs>
                <w:tab w:val="left" w:pos="7740"/>
              </w:tabs>
              <w:spacing w:line="288" w:lineRule="auto"/>
              <w:rPr>
                <w:rFonts w:ascii="宋体" w:hAnsi="宋体" w:cs="宋体"/>
                <w:sz w:val="21"/>
                <w:szCs w:val="21"/>
              </w:rPr>
            </w:pPr>
          </w:p>
        </w:tc>
        <w:tc>
          <w:tcPr>
            <w:tcW w:w="1999" w:type="dxa"/>
            <w:noWrap w:val="0"/>
            <w:vAlign w:val="center"/>
          </w:tcPr>
          <w:p w14:paraId="3738368A">
            <w:pPr>
              <w:pStyle w:val="56"/>
              <w:tabs>
                <w:tab w:val="left" w:pos="7740"/>
              </w:tabs>
              <w:spacing w:line="288" w:lineRule="auto"/>
              <w:rPr>
                <w:rFonts w:ascii="宋体" w:hAnsi="宋体" w:cs="宋体"/>
                <w:sz w:val="21"/>
                <w:szCs w:val="21"/>
              </w:rPr>
            </w:pPr>
            <w:r>
              <w:rPr>
                <w:rFonts w:hint="eastAsia" w:ascii="宋体" w:hAnsi="宋体" w:cs="宋体"/>
                <w:sz w:val="21"/>
                <w:szCs w:val="21"/>
              </w:rPr>
              <w:t>▲血站配型登记</w:t>
            </w:r>
          </w:p>
        </w:tc>
        <w:tc>
          <w:tcPr>
            <w:tcW w:w="6502" w:type="dxa"/>
            <w:noWrap w:val="0"/>
            <w:vAlign w:val="center"/>
          </w:tcPr>
          <w:p w14:paraId="7DA64249">
            <w:pPr>
              <w:pStyle w:val="56"/>
              <w:tabs>
                <w:tab w:val="left" w:pos="7740"/>
              </w:tabs>
              <w:spacing w:line="288" w:lineRule="auto"/>
              <w:rPr>
                <w:rFonts w:ascii="宋体" w:hAnsi="宋体" w:cs="宋体"/>
                <w:sz w:val="21"/>
                <w:szCs w:val="21"/>
              </w:rPr>
            </w:pPr>
            <w:r>
              <w:rPr>
                <w:rFonts w:hint="eastAsia" w:ascii="宋体" w:hAnsi="宋体" w:cs="宋体"/>
                <w:sz w:val="21"/>
                <w:szCs w:val="21"/>
              </w:rPr>
              <w:t>对于送往血站进行配型返回医院的结果信息进行登记</w:t>
            </w:r>
          </w:p>
        </w:tc>
      </w:tr>
      <w:tr w14:paraId="2AFDF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1237" w:type="dxa"/>
            <w:vMerge w:val="continue"/>
            <w:noWrap w:val="0"/>
            <w:vAlign w:val="center"/>
          </w:tcPr>
          <w:p w14:paraId="25D6491A">
            <w:pPr>
              <w:pStyle w:val="56"/>
              <w:tabs>
                <w:tab w:val="left" w:pos="7740"/>
              </w:tabs>
              <w:spacing w:line="288" w:lineRule="auto"/>
              <w:rPr>
                <w:rFonts w:ascii="宋体" w:hAnsi="宋体" w:cs="宋体"/>
                <w:sz w:val="21"/>
                <w:szCs w:val="21"/>
              </w:rPr>
            </w:pPr>
          </w:p>
        </w:tc>
        <w:tc>
          <w:tcPr>
            <w:tcW w:w="1999" w:type="dxa"/>
            <w:noWrap w:val="0"/>
            <w:vAlign w:val="center"/>
          </w:tcPr>
          <w:p w14:paraId="6DA0EB99">
            <w:pPr>
              <w:pStyle w:val="56"/>
              <w:tabs>
                <w:tab w:val="left" w:pos="7740"/>
              </w:tabs>
              <w:spacing w:line="288" w:lineRule="auto"/>
              <w:rPr>
                <w:rFonts w:ascii="宋体" w:hAnsi="宋体" w:cs="宋体"/>
                <w:bCs w:val="0"/>
                <w:sz w:val="21"/>
                <w:szCs w:val="21"/>
              </w:rPr>
            </w:pPr>
            <w:r>
              <w:rPr>
                <w:rFonts w:hint="eastAsia" w:ascii="宋体" w:hAnsi="宋体" w:cs="宋体"/>
                <w:sz w:val="21"/>
                <w:szCs w:val="21"/>
              </w:rPr>
              <w:t>▲</w:t>
            </w:r>
            <w:r>
              <w:rPr>
                <w:rFonts w:hint="eastAsia" w:ascii="宋体" w:hAnsi="宋体" w:cs="宋体"/>
                <w:bCs w:val="0"/>
                <w:sz w:val="21"/>
                <w:szCs w:val="21"/>
              </w:rPr>
              <w:t>优先用血登记</w:t>
            </w:r>
          </w:p>
        </w:tc>
        <w:tc>
          <w:tcPr>
            <w:tcW w:w="6502" w:type="dxa"/>
            <w:noWrap w:val="0"/>
            <w:vAlign w:val="center"/>
          </w:tcPr>
          <w:p w14:paraId="1255F0F1">
            <w:pPr>
              <w:pStyle w:val="56"/>
              <w:tabs>
                <w:tab w:val="left" w:pos="7740"/>
              </w:tabs>
              <w:spacing w:line="288" w:lineRule="auto"/>
              <w:rPr>
                <w:rFonts w:ascii="宋体" w:hAnsi="宋体" w:cs="宋体"/>
                <w:sz w:val="21"/>
                <w:szCs w:val="21"/>
              </w:rPr>
            </w:pPr>
            <w:r>
              <w:rPr>
                <w:rFonts w:hint="eastAsia" w:ascii="宋体" w:hAnsi="宋体"/>
                <w:sz w:val="21"/>
                <w:szCs w:val="21"/>
              </w:rPr>
              <w:t>优先用血登记：登记患者家属的献血信息，提供优先用血参考，自动减扣用血量，并生成统计报表</w:t>
            </w:r>
          </w:p>
        </w:tc>
      </w:tr>
      <w:tr w14:paraId="30560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3" w:hRule="atLeast"/>
          <w:jc w:val="center"/>
        </w:trPr>
        <w:tc>
          <w:tcPr>
            <w:tcW w:w="1237" w:type="dxa"/>
            <w:vMerge w:val="continue"/>
            <w:noWrap w:val="0"/>
            <w:vAlign w:val="center"/>
          </w:tcPr>
          <w:p w14:paraId="737305A8">
            <w:pPr>
              <w:pStyle w:val="56"/>
              <w:tabs>
                <w:tab w:val="left" w:pos="7740"/>
              </w:tabs>
              <w:spacing w:line="288" w:lineRule="auto"/>
              <w:rPr>
                <w:rFonts w:ascii="宋体" w:hAnsi="宋体" w:cs="宋体"/>
                <w:sz w:val="21"/>
                <w:szCs w:val="21"/>
              </w:rPr>
            </w:pPr>
          </w:p>
        </w:tc>
        <w:tc>
          <w:tcPr>
            <w:tcW w:w="1999" w:type="dxa"/>
            <w:noWrap w:val="0"/>
            <w:vAlign w:val="center"/>
          </w:tcPr>
          <w:p w14:paraId="5B57D677">
            <w:pPr>
              <w:pStyle w:val="56"/>
              <w:tabs>
                <w:tab w:val="left" w:pos="7740"/>
              </w:tabs>
              <w:spacing w:line="288" w:lineRule="auto"/>
              <w:rPr>
                <w:rFonts w:ascii="宋体" w:hAnsi="宋体" w:cs="宋体"/>
                <w:sz w:val="21"/>
                <w:szCs w:val="21"/>
              </w:rPr>
            </w:pPr>
            <w:r>
              <w:rPr>
                <w:rFonts w:hint="eastAsia" w:ascii="宋体" w:hAnsi="宋体" w:cs="宋体"/>
                <w:sz w:val="21"/>
                <w:szCs w:val="21"/>
              </w:rPr>
              <w:t>输血及时性评估</w:t>
            </w:r>
          </w:p>
        </w:tc>
        <w:tc>
          <w:tcPr>
            <w:tcW w:w="6502" w:type="dxa"/>
            <w:noWrap w:val="0"/>
            <w:vAlign w:val="center"/>
          </w:tcPr>
          <w:p w14:paraId="3BF798D0">
            <w:pPr>
              <w:pStyle w:val="56"/>
              <w:tabs>
                <w:tab w:val="left" w:pos="7740"/>
              </w:tabs>
              <w:spacing w:line="288" w:lineRule="auto"/>
              <w:rPr>
                <w:rFonts w:ascii="宋体" w:hAnsi="宋体" w:cs="宋体"/>
                <w:sz w:val="21"/>
                <w:szCs w:val="21"/>
              </w:rPr>
            </w:pPr>
            <w:r>
              <w:rPr>
                <w:rFonts w:hint="eastAsia" w:ascii="宋体" w:hAnsi="宋体" w:cs="宋体"/>
                <w:sz w:val="21"/>
                <w:szCs w:val="21"/>
              </w:rPr>
              <w:t>血库人员在每次输血申请到用血结束后，对供血量和发血时间进行及时性的评估，临床科室接收血液时间、输血开始时间、结束时间记录的评估</w:t>
            </w:r>
          </w:p>
        </w:tc>
      </w:tr>
      <w:tr w14:paraId="5DA49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2" w:hRule="atLeast"/>
          <w:jc w:val="center"/>
        </w:trPr>
        <w:tc>
          <w:tcPr>
            <w:tcW w:w="1237" w:type="dxa"/>
            <w:vMerge w:val="continue"/>
            <w:noWrap w:val="0"/>
            <w:vAlign w:val="center"/>
          </w:tcPr>
          <w:p w14:paraId="08E40958">
            <w:pPr>
              <w:pStyle w:val="56"/>
              <w:tabs>
                <w:tab w:val="left" w:pos="7740"/>
              </w:tabs>
              <w:spacing w:line="288" w:lineRule="auto"/>
              <w:rPr>
                <w:rFonts w:ascii="宋体" w:hAnsi="宋体" w:cs="宋体"/>
                <w:sz w:val="21"/>
                <w:szCs w:val="21"/>
              </w:rPr>
            </w:pPr>
          </w:p>
        </w:tc>
        <w:tc>
          <w:tcPr>
            <w:tcW w:w="1999" w:type="dxa"/>
            <w:noWrap w:val="0"/>
            <w:vAlign w:val="center"/>
          </w:tcPr>
          <w:p w14:paraId="7637EB19">
            <w:pPr>
              <w:pStyle w:val="56"/>
              <w:tabs>
                <w:tab w:val="left" w:pos="7740"/>
              </w:tabs>
              <w:spacing w:line="288" w:lineRule="auto"/>
              <w:rPr>
                <w:rFonts w:ascii="宋体" w:hAnsi="宋体" w:cs="宋体"/>
                <w:sz w:val="21"/>
                <w:szCs w:val="21"/>
              </w:rPr>
            </w:pPr>
            <w:r>
              <w:rPr>
                <w:rFonts w:hint="eastAsia" w:ascii="宋体" w:hAnsi="宋体" w:cs="宋体"/>
                <w:sz w:val="21"/>
                <w:szCs w:val="21"/>
              </w:rPr>
              <w:t>临床发血</w:t>
            </w:r>
          </w:p>
        </w:tc>
        <w:tc>
          <w:tcPr>
            <w:tcW w:w="6502" w:type="dxa"/>
            <w:noWrap w:val="0"/>
            <w:vAlign w:val="center"/>
          </w:tcPr>
          <w:p w14:paraId="5176F102">
            <w:pPr>
              <w:pStyle w:val="56"/>
              <w:tabs>
                <w:tab w:val="left" w:pos="7740"/>
              </w:tabs>
              <w:spacing w:line="288" w:lineRule="auto"/>
              <w:rPr>
                <w:rFonts w:ascii="宋体" w:hAnsi="宋体" w:cs="宋体"/>
                <w:sz w:val="21"/>
                <w:szCs w:val="21"/>
              </w:rPr>
            </w:pPr>
            <w:r>
              <w:rPr>
                <w:rFonts w:hint="eastAsia" w:ascii="宋体" w:hAnsi="宋体" w:cs="宋体"/>
                <w:sz w:val="21"/>
                <w:szCs w:val="21"/>
              </w:rPr>
              <w:t>根据申请单所申请的血液进行发血；发血报告中，血型可以多重选择，如亚型，正定、反定、Rh血型分类等。</w:t>
            </w:r>
          </w:p>
          <w:p w14:paraId="06A56891">
            <w:pPr>
              <w:pStyle w:val="56"/>
              <w:tabs>
                <w:tab w:val="left" w:pos="7740"/>
              </w:tabs>
              <w:spacing w:line="288" w:lineRule="auto"/>
              <w:rPr>
                <w:rFonts w:ascii="宋体" w:hAnsi="宋体" w:cs="宋体"/>
                <w:sz w:val="21"/>
                <w:szCs w:val="21"/>
              </w:rPr>
            </w:pPr>
            <w:r>
              <w:rPr>
                <w:rFonts w:hint="eastAsia" w:ascii="宋体" w:hAnsi="宋体" w:cs="宋体"/>
                <w:sz w:val="21"/>
                <w:szCs w:val="21"/>
                <w:lang w:val="zh-CN"/>
              </w:rPr>
              <w:t>▲</w:t>
            </w:r>
            <w:r>
              <w:rPr>
                <w:rFonts w:hint="eastAsia" w:ascii="宋体" w:hAnsi="宋体" w:cs="宋体"/>
                <w:sz w:val="21"/>
                <w:szCs w:val="21"/>
              </w:rPr>
              <w:t>同一申请单可以分开发血也可一起，发血时严格执行核对条码扫描出库，使用条码枪扫描所发血液条码号自动与患者已配好的血液条码号核对，核对一致才允许发血。相关实验结果不完善、不合格，不允许发血。严格控制发血操作，非同型发血，需上级授权发血。发血时可以打印方便识别的发血标签。紧急情况下，进行发血操作。申请单补录之后，通过关联该发血单与申请单，以确保信息的完整</w:t>
            </w:r>
          </w:p>
        </w:tc>
      </w:tr>
      <w:tr w14:paraId="6ED82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1237" w:type="dxa"/>
            <w:vMerge w:val="continue"/>
            <w:noWrap w:val="0"/>
            <w:vAlign w:val="center"/>
          </w:tcPr>
          <w:p w14:paraId="6496A3F9">
            <w:pPr>
              <w:pStyle w:val="56"/>
              <w:tabs>
                <w:tab w:val="left" w:pos="7740"/>
              </w:tabs>
              <w:spacing w:line="288" w:lineRule="auto"/>
              <w:rPr>
                <w:rFonts w:ascii="宋体" w:hAnsi="宋体" w:cs="宋体"/>
                <w:sz w:val="21"/>
                <w:szCs w:val="21"/>
              </w:rPr>
            </w:pPr>
          </w:p>
        </w:tc>
        <w:tc>
          <w:tcPr>
            <w:tcW w:w="1999" w:type="dxa"/>
            <w:noWrap w:val="0"/>
            <w:vAlign w:val="center"/>
          </w:tcPr>
          <w:p w14:paraId="347C3EC7">
            <w:pPr>
              <w:pStyle w:val="56"/>
              <w:tabs>
                <w:tab w:val="left" w:pos="7740"/>
              </w:tabs>
              <w:spacing w:line="288" w:lineRule="auto"/>
              <w:rPr>
                <w:rFonts w:ascii="宋体" w:hAnsi="宋体" w:cs="宋体"/>
                <w:sz w:val="21"/>
                <w:szCs w:val="21"/>
              </w:rPr>
            </w:pPr>
            <w:r>
              <w:rPr>
                <w:rFonts w:hint="eastAsia" w:ascii="宋体" w:hAnsi="宋体" w:cs="宋体"/>
                <w:sz w:val="21"/>
                <w:szCs w:val="21"/>
              </w:rPr>
              <w:t>血站发血退血</w:t>
            </w:r>
          </w:p>
        </w:tc>
        <w:tc>
          <w:tcPr>
            <w:tcW w:w="6502" w:type="dxa"/>
            <w:noWrap w:val="0"/>
            <w:vAlign w:val="center"/>
          </w:tcPr>
          <w:p w14:paraId="62EF1010">
            <w:pPr>
              <w:pStyle w:val="56"/>
              <w:tabs>
                <w:tab w:val="left" w:pos="7740"/>
              </w:tabs>
              <w:spacing w:line="288" w:lineRule="auto"/>
              <w:rPr>
                <w:rFonts w:ascii="宋体" w:hAnsi="宋体" w:cs="宋体"/>
                <w:sz w:val="21"/>
                <w:szCs w:val="21"/>
              </w:rPr>
            </w:pPr>
            <w:r>
              <w:rPr>
                <w:rFonts w:hint="eastAsia" w:ascii="宋体" w:hAnsi="宋体" w:cs="宋体"/>
                <w:sz w:val="21"/>
                <w:szCs w:val="21"/>
              </w:rPr>
              <w:t>血站发血入库之后，由于质量或其他原因需要退血，在此登记退血信息，血站审核之后才能确定出库</w:t>
            </w:r>
          </w:p>
        </w:tc>
      </w:tr>
      <w:tr w14:paraId="57E1E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3" w:hRule="atLeast"/>
          <w:jc w:val="center"/>
        </w:trPr>
        <w:tc>
          <w:tcPr>
            <w:tcW w:w="1237" w:type="dxa"/>
            <w:vMerge w:val="continue"/>
            <w:noWrap w:val="0"/>
            <w:vAlign w:val="center"/>
          </w:tcPr>
          <w:p w14:paraId="4FDE65B0">
            <w:pPr>
              <w:pStyle w:val="56"/>
              <w:tabs>
                <w:tab w:val="left" w:pos="7740"/>
              </w:tabs>
              <w:spacing w:line="288" w:lineRule="auto"/>
              <w:rPr>
                <w:rFonts w:ascii="宋体" w:hAnsi="宋体" w:cs="宋体"/>
                <w:sz w:val="21"/>
                <w:szCs w:val="21"/>
              </w:rPr>
            </w:pPr>
          </w:p>
        </w:tc>
        <w:tc>
          <w:tcPr>
            <w:tcW w:w="1999" w:type="dxa"/>
            <w:noWrap w:val="0"/>
            <w:vAlign w:val="center"/>
          </w:tcPr>
          <w:p w14:paraId="24A73871">
            <w:pPr>
              <w:pStyle w:val="56"/>
              <w:tabs>
                <w:tab w:val="left" w:pos="7740"/>
              </w:tabs>
              <w:spacing w:line="288" w:lineRule="auto"/>
              <w:rPr>
                <w:rFonts w:ascii="宋体" w:hAnsi="宋体" w:cs="宋体"/>
                <w:sz w:val="21"/>
                <w:szCs w:val="21"/>
              </w:rPr>
            </w:pPr>
            <w:r>
              <w:rPr>
                <w:rFonts w:hint="eastAsia" w:ascii="宋体" w:hAnsi="宋体" w:cs="宋体"/>
                <w:sz w:val="21"/>
                <w:szCs w:val="21"/>
              </w:rPr>
              <w:t>血液退回</w:t>
            </w:r>
          </w:p>
        </w:tc>
        <w:tc>
          <w:tcPr>
            <w:tcW w:w="6502" w:type="dxa"/>
            <w:noWrap w:val="0"/>
            <w:vAlign w:val="center"/>
          </w:tcPr>
          <w:p w14:paraId="08C86562">
            <w:pPr>
              <w:pStyle w:val="56"/>
              <w:tabs>
                <w:tab w:val="left" w:pos="7740"/>
              </w:tabs>
              <w:spacing w:line="288" w:lineRule="auto"/>
              <w:rPr>
                <w:rFonts w:ascii="宋体" w:hAnsi="宋体" w:cs="宋体"/>
                <w:sz w:val="21"/>
                <w:szCs w:val="21"/>
              </w:rPr>
            </w:pPr>
            <w:r>
              <w:rPr>
                <w:rFonts w:hint="eastAsia" w:ascii="宋体" w:hAnsi="宋体" w:cs="宋体"/>
                <w:sz w:val="21"/>
                <w:szCs w:val="21"/>
              </w:rPr>
              <w:t>当临床发血操作由于操作人员的误操作导致血液发出错误时，可以在此进行纠正，可以取消或者追发血液，由于某种原因需要退血，可以登记退血信息</w:t>
            </w:r>
          </w:p>
        </w:tc>
      </w:tr>
      <w:tr w14:paraId="1CB4F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237" w:type="dxa"/>
            <w:vMerge w:val="continue"/>
            <w:noWrap w:val="0"/>
            <w:vAlign w:val="center"/>
          </w:tcPr>
          <w:p w14:paraId="706F4D05">
            <w:pPr>
              <w:pStyle w:val="56"/>
              <w:tabs>
                <w:tab w:val="left" w:pos="7740"/>
              </w:tabs>
              <w:spacing w:line="288" w:lineRule="auto"/>
              <w:rPr>
                <w:rFonts w:ascii="宋体" w:hAnsi="宋体" w:cs="宋体"/>
                <w:sz w:val="21"/>
                <w:szCs w:val="21"/>
              </w:rPr>
            </w:pPr>
          </w:p>
        </w:tc>
        <w:tc>
          <w:tcPr>
            <w:tcW w:w="1999" w:type="dxa"/>
            <w:noWrap w:val="0"/>
            <w:vAlign w:val="center"/>
          </w:tcPr>
          <w:p w14:paraId="2AEC1DA8">
            <w:pPr>
              <w:pStyle w:val="56"/>
              <w:tabs>
                <w:tab w:val="left" w:pos="7740"/>
              </w:tabs>
              <w:spacing w:line="288" w:lineRule="auto"/>
              <w:rPr>
                <w:rFonts w:ascii="宋体" w:hAnsi="宋体" w:cs="宋体"/>
                <w:sz w:val="21"/>
                <w:szCs w:val="21"/>
              </w:rPr>
            </w:pPr>
            <w:r>
              <w:rPr>
                <w:rFonts w:hint="eastAsia" w:ascii="宋体" w:hAnsi="宋体" w:cs="宋体"/>
                <w:sz w:val="21"/>
                <w:szCs w:val="21"/>
              </w:rPr>
              <w:t>发血提醒</w:t>
            </w:r>
          </w:p>
        </w:tc>
        <w:tc>
          <w:tcPr>
            <w:tcW w:w="6502" w:type="dxa"/>
            <w:noWrap w:val="0"/>
            <w:vAlign w:val="center"/>
          </w:tcPr>
          <w:p w14:paraId="5AF3AEE1">
            <w:pPr>
              <w:pStyle w:val="56"/>
              <w:tabs>
                <w:tab w:val="left" w:pos="7740"/>
              </w:tabs>
              <w:spacing w:line="288" w:lineRule="auto"/>
              <w:rPr>
                <w:rFonts w:ascii="宋体" w:hAnsi="宋体" w:cs="宋体"/>
                <w:sz w:val="21"/>
                <w:szCs w:val="21"/>
              </w:rPr>
            </w:pPr>
            <w:r>
              <w:rPr>
                <w:rFonts w:hint="eastAsia" w:ascii="宋体" w:hAnsi="宋体" w:cs="宋体"/>
                <w:sz w:val="21"/>
                <w:szCs w:val="21"/>
              </w:rPr>
              <w:t>对特殊情况有信息报警提示（如异型输注、主次测不合发血等）</w:t>
            </w:r>
          </w:p>
        </w:tc>
      </w:tr>
      <w:tr w14:paraId="1DEBC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237" w:type="dxa"/>
            <w:vMerge w:val="restart"/>
            <w:noWrap w:val="0"/>
            <w:vAlign w:val="center"/>
          </w:tcPr>
          <w:p w14:paraId="523942D5">
            <w:pPr>
              <w:pStyle w:val="56"/>
              <w:tabs>
                <w:tab w:val="left" w:pos="7740"/>
              </w:tabs>
              <w:spacing w:line="288" w:lineRule="auto"/>
              <w:rPr>
                <w:rFonts w:ascii="宋体" w:hAnsi="宋体" w:cs="宋体"/>
                <w:sz w:val="21"/>
                <w:szCs w:val="21"/>
              </w:rPr>
            </w:pPr>
            <w:r>
              <w:rPr>
                <w:rFonts w:hint="eastAsia" w:ascii="宋体" w:hAnsi="宋体" w:cs="宋体"/>
                <w:sz w:val="21"/>
                <w:szCs w:val="21"/>
              </w:rPr>
              <w:t>费用管理</w:t>
            </w:r>
          </w:p>
        </w:tc>
        <w:tc>
          <w:tcPr>
            <w:tcW w:w="1999" w:type="dxa"/>
            <w:noWrap w:val="0"/>
            <w:vAlign w:val="center"/>
          </w:tcPr>
          <w:p w14:paraId="13C1668A">
            <w:pPr>
              <w:pStyle w:val="56"/>
              <w:tabs>
                <w:tab w:val="left" w:pos="7740"/>
              </w:tabs>
              <w:spacing w:line="288" w:lineRule="auto"/>
              <w:rPr>
                <w:rFonts w:ascii="宋体" w:hAnsi="宋体" w:cs="宋体"/>
                <w:sz w:val="21"/>
                <w:szCs w:val="21"/>
              </w:rPr>
            </w:pPr>
            <w:r>
              <w:rPr>
                <w:rFonts w:hint="eastAsia" w:ascii="宋体" w:hAnsi="宋体" w:cs="宋体"/>
                <w:sz w:val="21"/>
                <w:szCs w:val="21"/>
              </w:rPr>
              <w:t>内部收费</w:t>
            </w:r>
          </w:p>
        </w:tc>
        <w:tc>
          <w:tcPr>
            <w:tcW w:w="6502" w:type="dxa"/>
            <w:noWrap w:val="0"/>
            <w:vAlign w:val="center"/>
          </w:tcPr>
          <w:p w14:paraId="2DBDF7A3">
            <w:pPr>
              <w:pStyle w:val="56"/>
              <w:tabs>
                <w:tab w:val="left" w:pos="7740"/>
              </w:tabs>
              <w:spacing w:line="288" w:lineRule="auto"/>
              <w:rPr>
                <w:rFonts w:ascii="宋体" w:hAnsi="宋体" w:cs="宋体"/>
                <w:sz w:val="21"/>
                <w:szCs w:val="21"/>
              </w:rPr>
            </w:pPr>
            <w:r>
              <w:rPr>
                <w:rFonts w:hint="eastAsia" w:ascii="宋体" w:hAnsi="宋体" w:cs="宋体"/>
                <w:sz w:val="21"/>
                <w:szCs w:val="21"/>
              </w:rPr>
              <w:t>提供手工收费和自动收费功能。</w:t>
            </w:r>
          </w:p>
        </w:tc>
      </w:tr>
      <w:tr w14:paraId="534A6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1237" w:type="dxa"/>
            <w:vMerge w:val="continue"/>
            <w:noWrap w:val="0"/>
            <w:vAlign w:val="center"/>
          </w:tcPr>
          <w:p w14:paraId="43392F20">
            <w:pPr>
              <w:pStyle w:val="56"/>
              <w:tabs>
                <w:tab w:val="left" w:pos="7740"/>
              </w:tabs>
              <w:spacing w:line="288" w:lineRule="auto"/>
              <w:rPr>
                <w:rFonts w:ascii="宋体" w:hAnsi="宋体" w:cs="宋体"/>
                <w:sz w:val="21"/>
                <w:szCs w:val="21"/>
              </w:rPr>
            </w:pPr>
          </w:p>
        </w:tc>
        <w:tc>
          <w:tcPr>
            <w:tcW w:w="1999" w:type="dxa"/>
            <w:noWrap w:val="0"/>
            <w:vAlign w:val="center"/>
          </w:tcPr>
          <w:p w14:paraId="6685DFE8">
            <w:pPr>
              <w:pStyle w:val="56"/>
              <w:tabs>
                <w:tab w:val="left" w:pos="7740"/>
              </w:tabs>
              <w:spacing w:line="288" w:lineRule="auto"/>
              <w:rPr>
                <w:rFonts w:ascii="宋体" w:hAnsi="宋体" w:cs="宋体"/>
                <w:sz w:val="21"/>
                <w:szCs w:val="21"/>
              </w:rPr>
            </w:pPr>
            <w:r>
              <w:rPr>
                <w:rFonts w:hint="eastAsia" w:ascii="宋体" w:hAnsi="宋体" w:cs="宋体"/>
                <w:sz w:val="21"/>
                <w:szCs w:val="21"/>
              </w:rPr>
              <w:t>血站出库血液费用核对</w:t>
            </w:r>
          </w:p>
        </w:tc>
        <w:tc>
          <w:tcPr>
            <w:tcW w:w="6502" w:type="dxa"/>
            <w:noWrap w:val="0"/>
            <w:vAlign w:val="center"/>
          </w:tcPr>
          <w:p w14:paraId="2BCDA45B">
            <w:pPr>
              <w:pStyle w:val="56"/>
              <w:tabs>
                <w:tab w:val="left" w:pos="7740"/>
              </w:tabs>
              <w:spacing w:line="288" w:lineRule="auto"/>
              <w:rPr>
                <w:rFonts w:ascii="宋体" w:hAnsi="宋体" w:cs="宋体"/>
                <w:sz w:val="21"/>
                <w:szCs w:val="21"/>
              </w:rPr>
            </w:pPr>
            <w:r>
              <w:rPr>
                <w:rFonts w:hint="eastAsia" w:ascii="宋体" w:hAnsi="宋体" w:cs="宋体"/>
                <w:sz w:val="21"/>
                <w:szCs w:val="21"/>
              </w:rPr>
              <w:t>查看本医院对于血站出库血液的费用，以供核对</w:t>
            </w:r>
          </w:p>
        </w:tc>
      </w:tr>
      <w:tr w14:paraId="7A130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237" w:type="dxa"/>
            <w:vMerge w:val="continue"/>
            <w:noWrap w:val="0"/>
            <w:vAlign w:val="center"/>
          </w:tcPr>
          <w:p w14:paraId="3547A2BE">
            <w:pPr>
              <w:pStyle w:val="56"/>
              <w:tabs>
                <w:tab w:val="left" w:pos="7740"/>
              </w:tabs>
              <w:spacing w:line="288" w:lineRule="auto"/>
              <w:rPr>
                <w:rFonts w:ascii="宋体" w:hAnsi="宋体" w:cs="宋体"/>
                <w:sz w:val="21"/>
                <w:szCs w:val="21"/>
              </w:rPr>
            </w:pPr>
          </w:p>
        </w:tc>
        <w:tc>
          <w:tcPr>
            <w:tcW w:w="1999" w:type="dxa"/>
            <w:noWrap w:val="0"/>
            <w:vAlign w:val="center"/>
          </w:tcPr>
          <w:p w14:paraId="548C648C">
            <w:pPr>
              <w:pStyle w:val="56"/>
              <w:tabs>
                <w:tab w:val="left" w:pos="7740"/>
              </w:tabs>
              <w:spacing w:line="288" w:lineRule="auto"/>
              <w:rPr>
                <w:rFonts w:ascii="宋体" w:hAnsi="宋体" w:cs="宋体"/>
                <w:sz w:val="21"/>
                <w:szCs w:val="21"/>
              </w:rPr>
            </w:pPr>
            <w:r>
              <w:rPr>
                <w:rFonts w:hint="eastAsia" w:ascii="宋体" w:hAnsi="宋体" w:cs="宋体"/>
                <w:sz w:val="21"/>
                <w:szCs w:val="21"/>
              </w:rPr>
              <w:t>费用明细</w:t>
            </w:r>
          </w:p>
        </w:tc>
        <w:tc>
          <w:tcPr>
            <w:tcW w:w="6502" w:type="dxa"/>
            <w:noWrap w:val="0"/>
            <w:vAlign w:val="center"/>
          </w:tcPr>
          <w:p w14:paraId="62B21B8E">
            <w:pPr>
              <w:pStyle w:val="56"/>
              <w:tabs>
                <w:tab w:val="left" w:pos="7740"/>
              </w:tabs>
              <w:spacing w:line="288" w:lineRule="auto"/>
              <w:rPr>
                <w:rFonts w:ascii="宋体" w:hAnsi="宋体" w:cs="宋体"/>
                <w:sz w:val="21"/>
                <w:szCs w:val="21"/>
              </w:rPr>
            </w:pPr>
            <w:r>
              <w:rPr>
                <w:rFonts w:hint="eastAsia" w:ascii="宋体" w:hAnsi="宋体" w:cs="宋体"/>
                <w:sz w:val="21"/>
                <w:szCs w:val="21"/>
              </w:rPr>
              <w:t>分类统计费用明细，查询、打印报表等</w:t>
            </w:r>
          </w:p>
        </w:tc>
      </w:tr>
      <w:tr w14:paraId="36470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1237" w:type="dxa"/>
            <w:vMerge w:val="restart"/>
            <w:noWrap w:val="0"/>
            <w:vAlign w:val="center"/>
          </w:tcPr>
          <w:p w14:paraId="1BAF02B7">
            <w:pPr>
              <w:pStyle w:val="56"/>
              <w:tabs>
                <w:tab w:val="left" w:pos="7740"/>
              </w:tabs>
              <w:spacing w:line="288" w:lineRule="auto"/>
              <w:rPr>
                <w:rFonts w:ascii="宋体" w:hAnsi="宋体" w:cs="宋体"/>
                <w:sz w:val="21"/>
                <w:szCs w:val="21"/>
              </w:rPr>
            </w:pPr>
            <w:r>
              <w:rPr>
                <w:rFonts w:hint="eastAsia" w:ascii="宋体" w:hAnsi="宋体" w:cs="宋体"/>
                <w:sz w:val="21"/>
                <w:szCs w:val="21"/>
              </w:rPr>
              <w:t>血袋回收追溯</w:t>
            </w:r>
          </w:p>
        </w:tc>
        <w:tc>
          <w:tcPr>
            <w:tcW w:w="1999" w:type="dxa"/>
            <w:noWrap w:val="0"/>
            <w:vAlign w:val="center"/>
          </w:tcPr>
          <w:p w14:paraId="011CBD24">
            <w:pPr>
              <w:pStyle w:val="56"/>
              <w:tabs>
                <w:tab w:val="left" w:pos="7740"/>
              </w:tabs>
              <w:spacing w:line="288" w:lineRule="auto"/>
              <w:rPr>
                <w:rFonts w:ascii="宋体" w:hAnsi="宋体" w:cs="宋体"/>
                <w:sz w:val="21"/>
                <w:szCs w:val="21"/>
              </w:rPr>
            </w:pPr>
            <w:r>
              <w:rPr>
                <w:rFonts w:hint="eastAsia" w:ascii="宋体" w:hAnsi="宋体" w:cs="宋体"/>
                <w:sz w:val="21"/>
                <w:szCs w:val="21"/>
              </w:rPr>
              <w:t>血袋接收</w:t>
            </w:r>
          </w:p>
        </w:tc>
        <w:tc>
          <w:tcPr>
            <w:tcW w:w="6502" w:type="dxa"/>
            <w:noWrap w:val="0"/>
            <w:vAlign w:val="center"/>
          </w:tcPr>
          <w:p w14:paraId="4E7041DF">
            <w:pPr>
              <w:pStyle w:val="56"/>
              <w:tabs>
                <w:tab w:val="left" w:pos="7740"/>
              </w:tabs>
              <w:spacing w:line="288" w:lineRule="auto"/>
              <w:rPr>
                <w:rFonts w:ascii="宋体" w:hAnsi="宋体" w:cs="宋体"/>
                <w:sz w:val="21"/>
                <w:szCs w:val="21"/>
              </w:rPr>
            </w:pPr>
            <w:r>
              <w:rPr>
                <w:rFonts w:hint="eastAsia" w:ascii="宋体" w:hAnsi="宋体" w:cs="宋体"/>
                <w:sz w:val="21"/>
                <w:szCs w:val="21"/>
              </w:rPr>
              <w:t>登记血袋回收信息及处理情况，记录送回人、接收人、送回时间、接收时间等。可做到同出库单血袋批量接收等</w:t>
            </w:r>
          </w:p>
        </w:tc>
      </w:tr>
      <w:tr w14:paraId="7A282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1237" w:type="dxa"/>
            <w:vMerge w:val="continue"/>
            <w:noWrap w:val="0"/>
            <w:vAlign w:val="center"/>
          </w:tcPr>
          <w:p w14:paraId="12F320EC">
            <w:pPr>
              <w:pStyle w:val="56"/>
              <w:tabs>
                <w:tab w:val="left" w:pos="7740"/>
              </w:tabs>
              <w:spacing w:line="288" w:lineRule="auto"/>
              <w:rPr>
                <w:rFonts w:ascii="宋体" w:hAnsi="宋体" w:cs="宋体"/>
                <w:sz w:val="21"/>
                <w:szCs w:val="21"/>
              </w:rPr>
            </w:pPr>
          </w:p>
        </w:tc>
        <w:tc>
          <w:tcPr>
            <w:tcW w:w="1999" w:type="dxa"/>
            <w:noWrap w:val="0"/>
            <w:vAlign w:val="center"/>
          </w:tcPr>
          <w:p w14:paraId="72531972">
            <w:pPr>
              <w:pStyle w:val="56"/>
              <w:tabs>
                <w:tab w:val="left" w:pos="7740"/>
              </w:tabs>
              <w:spacing w:line="288" w:lineRule="auto"/>
              <w:rPr>
                <w:rFonts w:ascii="宋体" w:hAnsi="宋体" w:cs="宋体"/>
                <w:sz w:val="21"/>
                <w:szCs w:val="21"/>
              </w:rPr>
            </w:pPr>
            <w:r>
              <w:rPr>
                <w:rFonts w:hint="eastAsia" w:ascii="宋体" w:hAnsi="宋体" w:cs="宋体"/>
                <w:sz w:val="21"/>
                <w:szCs w:val="21"/>
              </w:rPr>
              <w:t>血袋追踪</w:t>
            </w:r>
          </w:p>
        </w:tc>
        <w:tc>
          <w:tcPr>
            <w:tcW w:w="6502" w:type="dxa"/>
            <w:noWrap w:val="0"/>
            <w:vAlign w:val="center"/>
          </w:tcPr>
          <w:p w14:paraId="4A9EE4A7">
            <w:pPr>
              <w:pStyle w:val="56"/>
              <w:tabs>
                <w:tab w:val="left" w:pos="7740"/>
              </w:tabs>
              <w:spacing w:line="288" w:lineRule="auto"/>
              <w:rPr>
                <w:rFonts w:ascii="宋体" w:hAnsi="宋体" w:cs="宋体"/>
                <w:sz w:val="21"/>
                <w:szCs w:val="21"/>
              </w:rPr>
            </w:pPr>
            <w:r>
              <w:rPr>
                <w:rFonts w:hint="eastAsia" w:ascii="宋体" w:hAnsi="宋体" w:cs="宋体"/>
                <w:sz w:val="21"/>
                <w:szCs w:val="21"/>
              </w:rPr>
              <w:t>可检索已发出的血袋，可通过血袋流水号、住院号或者患者姓名查看血袋回收情况，同时未回收血袋须已颜色提示。</w:t>
            </w:r>
          </w:p>
        </w:tc>
      </w:tr>
      <w:tr w14:paraId="3D7A4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9" w:hRule="atLeast"/>
          <w:jc w:val="center"/>
        </w:trPr>
        <w:tc>
          <w:tcPr>
            <w:tcW w:w="1237" w:type="dxa"/>
            <w:vMerge w:val="restart"/>
            <w:noWrap w:val="0"/>
            <w:vAlign w:val="center"/>
          </w:tcPr>
          <w:p w14:paraId="6E73CBFD">
            <w:pPr>
              <w:pStyle w:val="56"/>
              <w:tabs>
                <w:tab w:val="left" w:pos="7740"/>
              </w:tabs>
              <w:spacing w:line="288" w:lineRule="auto"/>
              <w:rPr>
                <w:rFonts w:ascii="宋体" w:hAnsi="宋体" w:cs="宋体"/>
                <w:sz w:val="21"/>
                <w:szCs w:val="21"/>
              </w:rPr>
            </w:pPr>
          </w:p>
          <w:p w14:paraId="7B2923E3">
            <w:pPr>
              <w:pStyle w:val="56"/>
              <w:tabs>
                <w:tab w:val="left" w:pos="7740"/>
              </w:tabs>
              <w:spacing w:line="288" w:lineRule="auto"/>
              <w:rPr>
                <w:rFonts w:ascii="宋体" w:hAnsi="宋体" w:cs="宋体"/>
                <w:sz w:val="21"/>
                <w:szCs w:val="21"/>
              </w:rPr>
            </w:pPr>
          </w:p>
          <w:p w14:paraId="019EEF8A">
            <w:pPr>
              <w:pStyle w:val="56"/>
              <w:tabs>
                <w:tab w:val="left" w:pos="7740"/>
              </w:tabs>
              <w:spacing w:line="288" w:lineRule="auto"/>
              <w:rPr>
                <w:rFonts w:ascii="宋体" w:hAnsi="宋体" w:cs="宋体"/>
                <w:sz w:val="21"/>
                <w:szCs w:val="21"/>
              </w:rPr>
            </w:pPr>
          </w:p>
          <w:p w14:paraId="7A6302E6">
            <w:pPr>
              <w:pStyle w:val="56"/>
              <w:tabs>
                <w:tab w:val="left" w:pos="7740"/>
              </w:tabs>
              <w:spacing w:line="288" w:lineRule="auto"/>
              <w:rPr>
                <w:rFonts w:ascii="宋体" w:hAnsi="宋体" w:cs="宋体"/>
                <w:sz w:val="21"/>
                <w:szCs w:val="21"/>
              </w:rPr>
            </w:pPr>
          </w:p>
          <w:p w14:paraId="53BC603D">
            <w:pPr>
              <w:pStyle w:val="56"/>
              <w:tabs>
                <w:tab w:val="left" w:pos="7740"/>
              </w:tabs>
              <w:spacing w:line="288" w:lineRule="auto"/>
              <w:rPr>
                <w:rFonts w:ascii="宋体" w:hAnsi="宋体" w:cs="宋体"/>
                <w:sz w:val="21"/>
                <w:szCs w:val="21"/>
              </w:rPr>
            </w:pPr>
            <w:r>
              <w:rPr>
                <w:rFonts w:hint="eastAsia" w:ascii="宋体" w:hAnsi="宋体" w:cs="宋体"/>
                <w:sz w:val="21"/>
                <w:szCs w:val="21"/>
              </w:rPr>
              <w:t>业务查询</w:t>
            </w:r>
          </w:p>
        </w:tc>
        <w:tc>
          <w:tcPr>
            <w:tcW w:w="1999" w:type="dxa"/>
            <w:noWrap w:val="0"/>
            <w:vAlign w:val="center"/>
          </w:tcPr>
          <w:p w14:paraId="1B729F47">
            <w:pPr>
              <w:pStyle w:val="56"/>
              <w:tabs>
                <w:tab w:val="left" w:pos="7740"/>
              </w:tabs>
              <w:spacing w:line="288" w:lineRule="auto"/>
              <w:rPr>
                <w:rFonts w:ascii="宋体" w:hAnsi="宋体" w:cs="宋体"/>
                <w:sz w:val="21"/>
                <w:szCs w:val="21"/>
              </w:rPr>
            </w:pPr>
            <w:r>
              <w:rPr>
                <w:rFonts w:hint="eastAsia" w:ascii="宋体" w:hAnsi="宋体" w:cs="宋体"/>
                <w:sz w:val="21"/>
                <w:szCs w:val="21"/>
              </w:rPr>
              <w:t>血液跟踪</w:t>
            </w:r>
          </w:p>
        </w:tc>
        <w:tc>
          <w:tcPr>
            <w:tcW w:w="6502" w:type="dxa"/>
            <w:noWrap w:val="0"/>
            <w:vAlign w:val="center"/>
          </w:tcPr>
          <w:p w14:paraId="0C6451C6">
            <w:pPr>
              <w:pStyle w:val="56"/>
              <w:tabs>
                <w:tab w:val="left" w:pos="7740"/>
              </w:tabs>
              <w:spacing w:line="288" w:lineRule="auto"/>
              <w:rPr>
                <w:rFonts w:ascii="宋体" w:hAnsi="宋体" w:cs="宋体"/>
                <w:sz w:val="21"/>
                <w:szCs w:val="21"/>
              </w:rPr>
            </w:pPr>
            <w:r>
              <w:rPr>
                <w:rFonts w:hint="eastAsia" w:ascii="宋体" w:hAnsi="宋体" w:cs="宋体"/>
                <w:sz w:val="21"/>
                <w:szCs w:val="21"/>
              </w:rPr>
              <w:t>可对每袋血进行跟踪，了解其输注情况输注情况跟踪：</w:t>
            </w:r>
          </w:p>
          <w:p w14:paraId="27319751">
            <w:pPr>
              <w:pStyle w:val="56"/>
              <w:tabs>
                <w:tab w:val="left" w:pos="7740"/>
              </w:tabs>
              <w:spacing w:line="288" w:lineRule="auto"/>
              <w:rPr>
                <w:rFonts w:ascii="宋体" w:hAnsi="宋体" w:cs="宋体"/>
                <w:sz w:val="21"/>
                <w:szCs w:val="21"/>
              </w:rPr>
            </w:pPr>
            <w:r>
              <w:rPr>
                <w:rFonts w:hint="eastAsia" w:ascii="宋体" w:hAnsi="宋体" w:cs="宋体"/>
                <w:sz w:val="21"/>
                <w:szCs w:val="21"/>
              </w:rPr>
              <w:t>根据输血已发出血液的记录情况进行实施显示，包括：患者姓名、科室、血型、血液品种、血液流水号、发血时间、输血开始时间、输血结束时间、血袋回收时间等</w:t>
            </w:r>
          </w:p>
        </w:tc>
      </w:tr>
      <w:tr w14:paraId="1F6A4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8" w:hRule="atLeast"/>
          <w:jc w:val="center"/>
        </w:trPr>
        <w:tc>
          <w:tcPr>
            <w:tcW w:w="1237" w:type="dxa"/>
            <w:vMerge w:val="continue"/>
            <w:noWrap w:val="0"/>
            <w:vAlign w:val="center"/>
          </w:tcPr>
          <w:p w14:paraId="2A52AF6A">
            <w:pPr>
              <w:pStyle w:val="56"/>
              <w:tabs>
                <w:tab w:val="left" w:pos="7740"/>
              </w:tabs>
              <w:spacing w:line="288" w:lineRule="auto"/>
              <w:rPr>
                <w:rFonts w:ascii="宋体" w:hAnsi="宋体" w:cs="宋体"/>
                <w:sz w:val="21"/>
                <w:szCs w:val="21"/>
              </w:rPr>
            </w:pPr>
          </w:p>
        </w:tc>
        <w:tc>
          <w:tcPr>
            <w:tcW w:w="1999" w:type="dxa"/>
            <w:noWrap w:val="0"/>
            <w:vAlign w:val="center"/>
          </w:tcPr>
          <w:p w14:paraId="4940C92A">
            <w:pPr>
              <w:pStyle w:val="56"/>
              <w:tabs>
                <w:tab w:val="left" w:pos="7740"/>
              </w:tabs>
              <w:spacing w:line="288" w:lineRule="auto"/>
              <w:rPr>
                <w:rFonts w:ascii="宋体" w:hAnsi="宋体" w:cs="宋体"/>
                <w:sz w:val="21"/>
                <w:szCs w:val="21"/>
              </w:rPr>
            </w:pPr>
            <w:r>
              <w:rPr>
                <w:rFonts w:hint="eastAsia" w:ascii="宋体" w:hAnsi="宋体" w:cs="宋体"/>
                <w:sz w:val="21"/>
                <w:szCs w:val="21"/>
              </w:rPr>
              <w:t>血液出入库查询</w:t>
            </w:r>
          </w:p>
        </w:tc>
        <w:tc>
          <w:tcPr>
            <w:tcW w:w="6502" w:type="dxa"/>
            <w:noWrap w:val="0"/>
            <w:vAlign w:val="center"/>
          </w:tcPr>
          <w:p w14:paraId="3FA3BF38">
            <w:pPr>
              <w:pStyle w:val="56"/>
              <w:tabs>
                <w:tab w:val="left" w:pos="7740"/>
              </w:tabs>
              <w:spacing w:line="288" w:lineRule="auto"/>
              <w:rPr>
                <w:rFonts w:ascii="宋体" w:hAnsi="宋体" w:cs="宋体"/>
                <w:sz w:val="21"/>
                <w:szCs w:val="21"/>
              </w:rPr>
            </w:pPr>
            <w:r>
              <w:rPr>
                <w:rFonts w:hint="eastAsia" w:ascii="宋体" w:hAnsi="宋体" w:cs="宋体"/>
                <w:sz w:val="21"/>
                <w:szCs w:val="21"/>
              </w:rPr>
              <w:t>可根据时间、品种、血袋编号等条件组合查询血液出入库明细信息；</w:t>
            </w:r>
          </w:p>
          <w:p w14:paraId="26109B0B">
            <w:pPr>
              <w:pStyle w:val="56"/>
              <w:tabs>
                <w:tab w:val="left" w:pos="7740"/>
              </w:tabs>
              <w:spacing w:line="288" w:lineRule="auto"/>
              <w:rPr>
                <w:rFonts w:ascii="宋体" w:hAnsi="宋体" w:cs="宋体"/>
                <w:sz w:val="21"/>
                <w:szCs w:val="21"/>
              </w:rPr>
            </w:pPr>
            <w:r>
              <w:rPr>
                <w:rFonts w:hint="eastAsia" w:ascii="宋体" w:hAnsi="宋体" w:cs="宋体"/>
                <w:sz w:val="21"/>
                <w:szCs w:val="21"/>
              </w:rPr>
              <w:t>可查询、打印列表</w:t>
            </w:r>
          </w:p>
        </w:tc>
      </w:tr>
      <w:tr w14:paraId="49E0B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8" w:hRule="atLeast"/>
          <w:jc w:val="center"/>
        </w:trPr>
        <w:tc>
          <w:tcPr>
            <w:tcW w:w="1237" w:type="dxa"/>
            <w:vMerge w:val="continue"/>
            <w:noWrap w:val="0"/>
            <w:vAlign w:val="center"/>
          </w:tcPr>
          <w:p w14:paraId="352E38FE">
            <w:pPr>
              <w:pStyle w:val="56"/>
              <w:tabs>
                <w:tab w:val="left" w:pos="7740"/>
              </w:tabs>
              <w:spacing w:line="288" w:lineRule="auto"/>
              <w:rPr>
                <w:rFonts w:ascii="宋体" w:hAnsi="宋体" w:cs="宋体"/>
                <w:sz w:val="21"/>
                <w:szCs w:val="21"/>
              </w:rPr>
            </w:pPr>
          </w:p>
        </w:tc>
        <w:tc>
          <w:tcPr>
            <w:tcW w:w="1999" w:type="dxa"/>
            <w:noWrap w:val="0"/>
            <w:vAlign w:val="center"/>
          </w:tcPr>
          <w:p w14:paraId="5069AE02">
            <w:pPr>
              <w:pStyle w:val="56"/>
              <w:tabs>
                <w:tab w:val="left" w:pos="7740"/>
              </w:tabs>
              <w:spacing w:line="288" w:lineRule="auto"/>
              <w:rPr>
                <w:rFonts w:ascii="宋体" w:hAnsi="宋体" w:cs="宋体"/>
                <w:sz w:val="21"/>
                <w:szCs w:val="21"/>
              </w:rPr>
            </w:pPr>
            <w:r>
              <w:rPr>
                <w:rFonts w:hint="eastAsia" w:ascii="宋体" w:hAnsi="宋体" w:cs="宋体"/>
                <w:sz w:val="21"/>
                <w:szCs w:val="21"/>
              </w:rPr>
              <w:t>配血未发血查询</w:t>
            </w:r>
          </w:p>
        </w:tc>
        <w:tc>
          <w:tcPr>
            <w:tcW w:w="6502" w:type="dxa"/>
            <w:noWrap w:val="0"/>
            <w:vAlign w:val="center"/>
          </w:tcPr>
          <w:p w14:paraId="41BBCA15">
            <w:pPr>
              <w:pStyle w:val="56"/>
              <w:tabs>
                <w:tab w:val="left" w:pos="7740"/>
              </w:tabs>
              <w:spacing w:line="288" w:lineRule="auto"/>
              <w:rPr>
                <w:rFonts w:ascii="宋体" w:hAnsi="宋体" w:cs="宋体"/>
                <w:sz w:val="21"/>
                <w:szCs w:val="21"/>
              </w:rPr>
            </w:pPr>
            <w:r>
              <w:rPr>
                <w:rFonts w:hint="eastAsia" w:ascii="宋体" w:hAnsi="宋体" w:cs="宋体"/>
                <w:sz w:val="21"/>
                <w:szCs w:val="21"/>
              </w:rPr>
              <w:t>可根据科室、申请时间、配血时间等条件组合查询已配血未发血明细信息；</w:t>
            </w:r>
          </w:p>
          <w:p w14:paraId="00329312">
            <w:pPr>
              <w:pStyle w:val="56"/>
              <w:tabs>
                <w:tab w:val="left" w:pos="7740"/>
              </w:tabs>
              <w:spacing w:line="288" w:lineRule="auto"/>
              <w:rPr>
                <w:rFonts w:ascii="宋体" w:hAnsi="宋体" w:cs="宋体"/>
                <w:sz w:val="21"/>
                <w:szCs w:val="21"/>
              </w:rPr>
            </w:pPr>
            <w:r>
              <w:rPr>
                <w:rFonts w:hint="eastAsia" w:ascii="宋体" w:hAnsi="宋体" w:cs="宋体"/>
                <w:sz w:val="21"/>
                <w:szCs w:val="21"/>
              </w:rPr>
              <w:t>可查询、打印列表</w:t>
            </w:r>
          </w:p>
        </w:tc>
      </w:tr>
      <w:tr w14:paraId="78B6C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1237" w:type="dxa"/>
            <w:vMerge w:val="continue"/>
            <w:noWrap w:val="0"/>
            <w:vAlign w:val="center"/>
          </w:tcPr>
          <w:p w14:paraId="6E120D90">
            <w:pPr>
              <w:pStyle w:val="56"/>
              <w:tabs>
                <w:tab w:val="left" w:pos="7740"/>
              </w:tabs>
              <w:spacing w:line="288" w:lineRule="auto"/>
              <w:rPr>
                <w:rFonts w:ascii="宋体" w:hAnsi="宋体" w:cs="宋体"/>
                <w:sz w:val="21"/>
                <w:szCs w:val="21"/>
              </w:rPr>
            </w:pPr>
          </w:p>
        </w:tc>
        <w:tc>
          <w:tcPr>
            <w:tcW w:w="1999" w:type="dxa"/>
            <w:noWrap w:val="0"/>
            <w:vAlign w:val="center"/>
          </w:tcPr>
          <w:p w14:paraId="34F1E883">
            <w:pPr>
              <w:pStyle w:val="56"/>
              <w:tabs>
                <w:tab w:val="left" w:pos="7740"/>
              </w:tabs>
              <w:spacing w:line="288" w:lineRule="auto"/>
              <w:rPr>
                <w:rFonts w:ascii="宋体" w:hAnsi="宋体" w:cs="宋体"/>
                <w:sz w:val="21"/>
                <w:szCs w:val="21"/>
              </w:rPr>
            </w:pPr>
            <w:r>
              <w:rPr>
                <w:rFonts w:hint="eastAsia" w:ascii="宋体" w:hAnsi="宋体" w:cs="宋体"/>
                <w:sz w:val="21"/>
                <w:szCs w:val="21"/>
              </w:rPr>
              <w:t>申请单查询</w:t>
            </w:r>
          </w:p>
        </w:tc>
        <w:tc>
          <w:tcPr>
            <w:tcW w:w="6502" w:type="dxa"/>
            <w:noWrap w:val="0"/>
            <w:vAlign w:val="center"/>
          </w:tcPr>
          <w:p w14:paraId="2790F482">
            <w:pPr>
              <w:pStyle w:val="56"/>
              <w:tabs>
                <w:tab w:val="left" w:pos="7740"/>
              </w:tabs>
              <w:spacing w:line="288" w:lineRule="auto"/>
              <w:rPr>
                <w:rFonts w:ascii="宋体" w:hAnsi="宋体" w:cs="宋体"/>
                <w:sz w:val="21"/>
                <w:szCs w:val="21"/>
              </w:rPr>
            </w:pPr>
            <w:r>
              <w:rPr>
                <w:rFonts w:hint="eastAsia" w:ascii="宋体" w:hAnsi="宋体" w:cs="宋体"/>
                <w:sz w:val="21"/>
                <w:szCs w:val="21"/>
              </w:rPr>
              <w:t>可根据科室、申请时间等条件组合查询各种处理或没处理、已配血未发血明细</w:t>
            </w:r>
          </w:p>
        </w:tc>
      </w:tr>
      <w:tr w14:paraId="22178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8" w:hRule="atLeast"/>
          <w:jc w:val="center"/>
        </w:trPr>
        <w:tc>
          <w:tcPr>
            <w:tcW w:w="1237" w:type="dxa"/>
            <w:vMerge w:val="continue"/>
            <w:noWrap w:val="0"/>
            <w:vAlign w:val="center"/>
          </w:tcPr>
          <w:p w14:paraId="1B9E9F7F">
            <w:pPr>
              <w:pStyle w:val="56"/>
              <w:tabs>
                <w:tab w:val="left" w:pos="7740"/>
              </w:tabs>
              <w:spacing w:line="288" w:lineRule="auto"/>
              <w:rPr>
                <w:rFonts w:ascii="宋体" w:hAnsi="宋体" w:cs="宋体"/>
                <w:sz w:val="21"/>
                <w:szCs w:val="21"/>
              </w:rPr>
            </w:pPr>
          </w:p>
        </w:tc>
        <w:tc>
          <w:tcPr>
            <w:tcW w:w="1999" w:type="dxa"/>
            <w:noWrap w:val="0"/>
            <w:vAlign w:val="center"/>
          </w:tcPr>
          <w:p w14:paraId="4F3E3FF3">
            <w:pPr>
              <w:pStyle w:val="56"/>
              <w:tabs>
                <w:tab w:val="left" w:pos="7740"/>
              </w:tabs>
              <w:spacing w:line="288" w:lineRule="auto"/>
              <w:rPr>
                <w:rFonts w:ascii="宋体" w:hAnsi="宋体" w:cs="宋体"/>
                <w:sz w:val="21"/>
                <w:szCs w:val="21"/>
              </w:rPr>
            </w:pPr>
            <w:r>
              <w:rPr>
                <w:rFonts w:hint="eastAsia" w:ascii="宋体" w:hAnsi="宋体" w:cs="宋体"/>
                <w:sz w:val="21"/>
                <w:szCs w:val="21"/>
              </w:rPr>
              <w:t>标本查询</w:t>
            </w:r>
          </w:p>
        </w:tc>
        <w:tc>
          <w:tcPr>
            <w:tcW w:w="6502" w:type="dxa"/>
            <w:noWrap w:val="0"/>
            <w:vAlign w:val="center"/>
          </w:tcPr>
          <w:p w14:paraId="6BADD03B">
            <w:pPr>
              <w:pStyle w:val="56"/>
              <w:tabs>
                <w:tab w:val="left" w:pos="7740"/>
              </w:tabs>
              <w:spacing w:line="288" w:lineRule="auto"/>
              <w:rPr>
                <w:rFonts w:ascii="宋体" w:hAnsi="宋体" w:cs="宋体"/>
                <w:sz w:val="21"/>
                <w:szCs w:val="21"/>
              </w:rPr>
            </w:pPr>
            <w:r>
              <w:rPr>
                <w:rFonts w:hint="eastAsia" w:ascii="宋体" w:hAnsi="宋体" w:cs="宋体"/>
                <w:sz w:val="21"/>
                <w:szCs w:val="21"/>
              </w:rPr>
              <w:t>可查询标本的检验执行情况；</w:t>
            </w:r>
          </w:p>
          <w:p w14:paraId="4EA038C7">
            <w:pPr>
              <w:pStyle w:val="56"/>
              <w:tabs>
                <w:tab w:val="left" w:pos="7740"/>
              </w:tabs>
              <w:spacing w:line="288" w:lineRule="auto"/>
              <w:rPr>
                <w:rFonts w:ascii="宋体" w:hAnsi="宋体" w:cs="宋体"/>
                <w:sz w:val="21"/>
                <w:szCs w:val="21"/>
              </w:rPr>
            </w:pPr>
            <w:r>
              <w:rPr>
                <w:rFonts w:hint="eastAsia" w:ascii="宋体" w:hAnsi="宋体" w:cs="宋体"/>
                <w:sz w:val="21"/>
                <w:szCs w:val="21"/>
              </w:rPr>
              <w:t>交叉配血标本与条码唯一对应，用户可随时获取检验样本流转及检验信息，实现对条码化检验样本执行状态的追踪和查询</w:t>
            </w:r>
          </w:p>
        </w:tc>
      </w:tr>
      <w:tr w14:paraId="6892B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237" w:type="dxa"/>
            <w:vMerge w:val="continue"/>
            <w:noWrap w:val="0"/>
            <w:vAlign w:val="center"/>
          </w:tcPr>
          <w:p w14:paraId="755833D4">
            <w:pPr>
              <w:pStyle w:val="56"/>
              <w:tabs>
                <w:tab w:val="left" w:pos="7740"/>
              </w:tabs>
              <w:spacing w:line="288" w:lineRule="auto"/>
              <w:rPr>
                <w:rFonts w:ascii="宋体" w:hAnsi="宋体" w:cs="宋体"/>
                <w:sz w:val="21"/>
                <w:szCs w:val="21"/>
              </w:rPr>
            </w:pPr>
          </w:p>
        </w:tc>
        <w:tc>
          <w:tcPr>
            <w:tcW w:w="1999" w:type="dxa"/>
            <w:noWrap w:val="0"/>
            <w:vAlign w:val="center"/>
          </w:tcPr>
          <w:p w14:paraId="5A9ECAFC">
            <w:pPr>
              <w:pStyle w:val="56"/>
              <w:tabs>
                <w:tab w:val="left" w:pos="7740"/>
              </w:tabs>
              <w:spacing w:line="288" w:lineRule="auto"/>
              <w:rPr>
                <w:rFonts w:ascii="宋体" w:hAnsi="宋体" w:cs="宋体"/>
                <w:sz w:val="21"/>
                <w:szCs w:val="21"/>
              </w:rPr>
            </w:pPr>
            <w:r>
              <w:rPr>
                <w:rFonts w:hint="eastAsia" w:ascii="宋体" w:hAnsi="宋体" w:cs="宋体"/>
                <w:spacing w:val="-1"/>
                <w:sz w:val="21"/>
                <w:szCs w:val="21"/>
              </w:rPr>
              <w:t>血站通知查询</w:t>
            </w:r>
          </w:p>
        </w:tc>
        <w:tc>
          <w:tcPr>
            <w:tcW w:w="6502" w:type="dxa"/>
            <w:noWrap w:val="0"/>
            <w:vAlign w:val="center"/>
          </w:tcPr>
          <w:p w14:paraId="1E3B913E">
            <w:pPr>
              <w:pStyle w:val="56"/>
              <w:tabs>
                <w:tab w:val="left" w:pos="7740"/>
              </w:tabs>
              <w:spacing w:line="288" w:lineRule="auto"/>
              <w:rPr>
                <w:rFonts w:ascii="宋体" w:hAnsi="宋体" w:cs="宋体"/>
                <w:sz w:val="21"/>
                <w:szCs w:val="21"/>
              </w:rPr>
            </w:pPr>
            <w:r>
              <w:rPr>
                <w:rFonts w:hint="eastAsia" w:ascii="宋体" w:hAnsi="宋体" w:cs="宋体"/>
                <w:spacing w:val="-1"/>
                <w:sz w:val="21"/>
                <w:szCs w:val="21"/>
              </w:rPr>
              <w:t>可查询血站通知情况</w:t>
            </w:r>
          </w:p>
        </w:tc>
      </w:tr>
      <w:tr w14:paraId="0B0AF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1237" w:type="dxa"/>
            <w:vMerge w:val="continue"/>
            <w:noWrap w:val="0"/>
            <w:vAlign w:val="center"/>
          </w:tcPr>
          <w:p w14:paraId="6C1D9118">
            <w:pPr>
              <w:pStyle w:val="56"/>
              <w:tabs>
                <w:tab w:val="left" w:pos="7740"/>
              </w:tabs>
              <w:spacing w:line="288" w:lineRule="auto"/>
              <w:rPr>
                <w:rFonts w:ascii="宋体" w:hAnsi="宋体" w:cs="宋体"/>
                <w:sz w:val="21"/>
                <w:szCs w:val="21"/>
              </w:rPr>
            </w:pPr>
          </w:p>
        </w:tc>
        <w:tc>
          <w:tcPr>
            <w:tcW w:w="1999" w:type="dxa"/>
            <w:noWrap w:val="0"/>
            <w:vAlign w:val="center"/>
          </w:tcPr>
          <w:p w14:paraId="296868BB">
            <w:pPr>
              <w:pStyle w:val="56"/>
              <w:tabs>
                <w:tab w:val="left" w:pos="7740"/>
              </w:tabs>
              <w:spacing w:line="288" w:lineRule="auto"/>
              <w:rPr>
                <w:rFonts w:ascii="宋体" w:hAnsi="宋体" w:cs="宋体"/>
                <w:spacing w:val="-1"/>
                <w:sz w:val="21"/>
                <w:szCs w:val="21"/>
              </w:rPr>
            </w:pPr>
            <w:r>
              <w:rPr>
                <w:rFonts w:hint="eastAsia" w:ascii="宋体" w:hAnsi="宋体" w:cs="宋体"/>
                <w:spacing w:val="-1"/>
                <w:sz w:val="21"/>
                <w:szCs w:val="21"/>
              </w:rPr>
              <w:t>用血查询</w:t>
            </w:r>
          </w:p>
        </w:tc>
        <w:tc>
          <w:tcPr>
            <w:tcW w:w="6502" w:type="dxa"/>
            <w:noWrap w:val="0"/>
            <w:vAlign w:val="center"/>
          </w:tcPr>
          <w:p w14:paraId="74A39AF7">
            <w:pPr>
              <w:pStyle w:val="56"/>
              <w:tabs>
                <w:tab w:val="left" w:pos="7740"/>
              </w:tabs>
              <w:spacing w:line="288" w:lineRule="auto"/>
              <w:rPr>
                <w:rFonts w:ascii="宋体" w:hAnsi="宋体" w:cs="宋体"/>
                <w:spacing w:val="-1"/>
                <w:sz w:val="21"/>
                <w:szCs w:val="21"/>
              </w:rPr>
            </w:pPr>
            <w:r>
              <w:rPr>
                <w:rFonts w:hint="eastAsia" w:ascii="宋体" w:hAnsi="宋体" w:cs="宋体"/>
                <w:sz w:val="21"/>
                <w:szCs w:val="21"/>
              </w:rPr>
              <w:t>可按申请医师、使用医师、使用科室、血液信息、患者信息等追踪查询用血情况及用血是否规范等</w:t>
            </w:r>
          </w:p>
        </w:tc>
      </w:tr>
      <w:tr w14:paraId="57A25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237" w:type="dxa"/>
            <w:vMerge w:val="continue"/>
            <w:noWrap w:val="0"/>
            <w:vAlign w:val="center"/>
          </w:tcPr>
          <w:p w14:paraId="58B3E8C4">
            <w:pPr>
              <w:pStyle w:val="56"/>
              <w:tabs>
                <w:tab w:val="left" w:pos="7740"/>
              </w:tabs>
              <w:spacing w:line="288" w:lineRule="auto"/>
              <w:rPr>
                <w:rFonts w:ascii="宋体" w:hAnsi="宋体" w:cs="宋体"/>
                <w:sz w:val="21"/>
                <w:szCs w:val="21"/>
              </w:rPr>
            </w:pPr>
          </w:p>
        </w:tc>
        <w:tc>
          <w:tcPr>
            <w:tcW w:w="1999" w:type="dxa"/>
            <w:noWrap w:val="0"/>
            <w:vAlign w:val="center"/>
          </w:tcPr>
          <w:p w14:paraId="5BEBB712">
            <w:pPr>
              <w:pStyle w:val="56"/>
              <w:tabs>
                <w:tab w:val="left" w:pos="7740"/>
              </w:tabs>
              <w:spacing w:line="288" w:lineRule="auto"/>
              <w:rPr>
                <w:rFonts w:ascii="宋体" w:hAnsi="宋体" w:cs="宋体"/>
                <w:spacing w:val="-1"/>
                <w:sz w:val="21"/>
                <w:szCs w:val="21"/>
              </w:rPr>
            </w:pPr>
            <w:r>
              <w:rPr>
                <w:rFonts w:hint="eastAsia" w:ascii="宋体" w:hAnsi="宋体" w:cs="宋体"/>
                <w:spacing w:val="-1"/>
                <w:sz w:val="21"/>
                <w:szCs w:val="21"/>
              </w:rPr>
              <w:t>临床查询</w:t>
            </w:r>
          </w:p>
        </w:tc>
        <w:tc>
          <w:tcPr>
            <w:tcW w:w="6502" w:type="dxa"/>
            <w:noWrap w:val="0"/>
            <w:vAlign w:val="center"/>
          </w:tcPr>
          <w:p w14:paraId="362A118B">
            <w:pPr>
              <w:pStyle w:val="56"/>
              <w:tabs>
                <w:tab w:val="left" w:pos="7740"/>
              </w:tabs>
              <w:spacing w:line="288" w:lineRule="auto"/>
              <w:rPr>
                <w:rFonts w:ascii="宋体" w:hAnsi="宋体" w:cs="宋体"/>
                <w:sz w:val="21"/>
                <w:szCs w:val="21"/>
              </w:rPr>
            </w:pPr>
            <w:r>
              <w:rPr>
                <w:rFonts w:hint="eastAsia" w:ascii="宋体" w:hAnsi="宋体" w:cs="宋体"/>
                <w:sz w:val="21"/>
                <w:szCs w:val="21"/>
              </w:rPr>
              <w:t>临床可查询配发血信息</w:t>
            </w:r>
          </w:p>
        </w:tc>
      </w:tr>
      <w:tr w14:paraId="35FEC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3" w:hRule="atLeast"/>
          <w:jc w:val="center"/>
        </w:trPr>
        <w:tc>
          <w:tcPr>
            <w:tcW w:w="1237" w:type="dxa"/>
            <w:vMerge w:val="continue"/>
            <w:noWrap w:val="0"/>
            <w:vAlign w:val="center"/>
          </w:tcPr>
          <w:p w14:paraId="5BDD108E">
            <w:pPr>
              <w:pStyle w:val="56"/>
              <w:tabs>
                <w:tab w:val="left" w:pos="7740"/>
              </w:tabs>
              <w:spacing w:line="288" w:lineRule="auto"/>
              <w:rPr>
                <w:rFonts w:ascii="宋体" w:hAnsi="宋体" w:cs="宋体"/>
                <w:sz w:val="21"/>
                <w:szCs w:val="21"/>
              </w:rPr>
            </w:pPr>
          </w:p>
        </w:tc>
        <w:tc>
          <w:tcPr>
            <w:tcW w:w="1999" w:type="dxa"/>
            <w:noWrap w:val="0"/>
            <w:vAlign w:val="center"/>
          </w:tcPr>
          <w:p w14:paraId="0024B709">
            <w:pPr>
              <w:pStyle w:val="56"/>
              <w:tabs>
                <w:tab w:val="left" w:pos="7740"/>
              </w:tabs>
              <w:spacing w:line="288" w:lineRule="auto"/>
              <w:rPr>
                <w:rFonts w:ascii="宋体" w:hAnsi="宋体" w:cs="宋体"/>
                <w:spacing w:val="-1"/>
                <w:sz w:val="21"/>
                <w:szCs w:val="21"/>
              </w:rPr>
            </w:pPr>
            <w:r>
              <w:rPr>
                <w:rFonts w:hint="eastAsia" w:ascii="宋体" w:hAnsi="宋体" w:cs="宋体"/>
                <w:spacing w:val="-1"/>
                <w:sz w:val="21"/>
                <w:szCs w:val="21"/>
              </w:rPr>
              <w:t>病人查询</w:t>
            </w:r>
          </w:p>
        </w:tc>
        <w:tc>
          <w:tcPr>
            <w:tcW w:w="6502" w:type="dxa"/>
            <w:noWrap w:val="0"/>
            <w:vAlign w:val="center"/>
          </w:tcPr>
          <w:p w14:paraId="4DFCA1CE">
            <w:pPr>
              <w:pStyle w:val="56"/>
              <w:tabs>
                <w:tab w:val="left" w:pos="7740"/>
              </w:tabs>
              <w:spacing w:line="288" w:lineRule="auto"/>
              <w:rPr>
                <w:rFonts w:ascii="宋体" w:hAnsi="宋体" w:cs="宋体"/>
                <w:sz w:val="21"/>
                <w:szCs w:val="21"/>
              </w:rPr>
            </w:pPr>
            <w:r>
              <w:rPr>
                <w:rFonts w:hint="eastAsia" w:ascii="宋体" w:hAnsi="宋体" w:cs="宋体"/>
                <w:sz w:val="21"/>
                <w:szCs w:val="21"/>
              </w:rPr>
              <w:t>能够查询住院病人血型分布情况。查询在院患者信息、患者检验结果信息。追溯从输血申请、采血、审核、实验、配发血等过程的详细操作记录。</w:t>
            </w:r>
          </w:p>
        </w:tc>
      </w:tr>
      <w:tr w14:paraId="05C46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237" w:type="dxa"/>
            <w:vMerge w:val="continue"/>
            <w:noWrap w:val="0"/>
            <w:vAlign w:val="center"/>
          </w:tcPr>
          <w:p w14:paraId="0682A67F">
            <w:pPr>
              <w:pStyle w:val="56"/>
              <w:tabs>
                <w:tab w:val="left" w:pos="7740"/>
              </w:tabs>
              <w:spacing w:line="288" w:lineRule="auto"/>
              <w:rPr>
                <w:rFonts w:ascii="宋体" w:hAnsi="宋体" w:cs="宋体"/>
                <w:sz w:val="21"/>
                <w:szCs w:val="21"/>
              </w:rPr>
            </w:pPr>
          </w:p>
        </w:tc>
        <w:tc>
          <w:tcPr>
            <w:tcW w:w="1999" w:type="dxa"/>
            <w:noWrap w:val="0"/>
            <w:vAlign w:val="center"/>
          </w:tcPr>
          <w:p w14:paraId="737816F1">
            <w:pPr>
              <w:pStyle w:val="56"/>
              <w:tabs>
                <w:tab w:val="left" w:pos="7740"/>
              </w:tabs>
              <w:spacing w:line="288" w:lineRule="auto"/>
              <w:rPr>
                <w:rFonts w:ascii="宋体" w:hAnsi="宋体" w:cs="宋体"/>
                <w:sz w:val="21"/>
                <w:szCs w:val="21"/>
              </w:rPr>
            </w:pPr>
            <w:r>
              <w:rPr>
                <w:rFonts w:hint="eastAsia" w:ascii="宋体" w:hAnsi="宋体" w:cs="宋体"/>
                <w:spacing w:val="-1"/>
                <w:sz w:val="21"/>
                <w:szCs w:val="21"/>
              </w:rPr>
              <w:t>历史库存查询</w:t>
            </w:r>
          </w:p>
        </w:tc>
        <w:tc>
          <w:tcPr>
            <w:tcW w:w="6502" w:type="dxa"/>
            <w:noWrap w:val="0"/>
            <w:vAlign w:val="center"/>
          </w:tcPr>
          <w:p w14:paraId="4F8D3682">
            <w:pPr>
              <w:pStyle w:val="56"/>
              <w:tabs>
                <w:tab w:val="left" w:pos="7740"/>
              </w:tabs>
              <w:spacing w:line="288" w:lineRule="auto"/>
              <w:rPr>
                <w:rFonts w:ascii="宋体" w:hAnsi="宋体" w:cs="宋体"/>
                <w:sz w:val="21"/>
                <w:szCs w:val="21"/>
              </w:rPr>
            </w:pPr>
            <w:r>
              <w:rPr>
                <w:rFonts w:hint="eastAsia" w:ascii="宋体" w:hAnsi="宋体" w:cs="宋体"/>
                <w:spacing w:val="-1"/>
                <w:sz w:val="21"/>
                <w:szCs w:val="21"/>
              </w:rPr>
              <w:t>可查询某一时间点的库存情况</w:t>
            </w:r>
          </w:p>
        </w:tc>
      </w:tr>
      <w:tr w14:paraId="5B6F0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237" w:type="dxa"/>
            <w:vMerge w:val="continue"/>
            <w:noWrap w:val="0"/>
            <w:vAlign w:val="center"/>
          </w:tcPr>
          <w:p w14:paraId="448885D5">
            <w:pPr>
              <w:pStyle w:val="56"/>
              <w:tabs>
                <w:tab w:val="left" w:pos="7740"/>
              </w:tabs>
              <w:spacing w:line="288" w:lineRule="auto"/>
              <w:rPr>
                <w:rFonts w:ascii="宋体" w:hAnsi="宋体" w:cs="宋体"/>
                <w:sz w:val="21"/>
                <w:szCs w:val="21"/>
              </w:rPr>
            </w:pPr>
          </w:p>
        </w:tc>
        <w:tc>
          <w:tcPr>
            <w:tcW w:w="1999" w:type="dxa"/>
            <w:noWrap w:val="0"/>
            <w:vAlign w:val="center"/>
          </w:tcPr>
          <w:p w14:paraId="21B71575">
            <w:pPr>
              <w:pStyle w:val="56"/>
              <w:tabs>
                <w:tab w:val="left" w:pos="7740"/>
              </w:tabs>
              <w:spacing w:line="288" w:lineRule="auto"/>
              <w:rPr>
                <w:rFonts w:ascii="宋体" w:hAnsi="宋体" w:cs="宋体"/>
                <w:spacing w:val="-1"/>
                <w:sz w:val="21"/>
                <w:szCs w:val="21"/>
              </w:rPr>
            </w:pPr>
            <w:r>
              <w:rPr>
                <w:rFonts w:hint="eastAsia" w:ascii="宋体" w:hAnsi="宋体" w:cs="宋体"/>
                <w:sz w:val="21"/>
                <w:szCs w:val="21"/>
              </w:rPr>
              <w:t>病人资料查询</w:t>
            </w:r>
          </w:p>
        </w:tc>
        <w:tc>
          <w:tcPr>
            <w:tcW w:w="6502" w:type="dxa"/>
            <w:noWrap w:val="0"/>
            <w:vAlign w:val="center"/>
          </w:tcPr>
          <w:p w14:paraId="550D5E72">
            <w:pPr>
              <w:pStyle w:val="56"/>
              <w:tabs>
                <w:tab w:val="left" w:pos="7740"/>
              </w:tabs>
              <w:spacing w:line="288" w:lineRule="auto"/>
              <w:rPr>
                <w:rFonts w:ascii="宋体" w:hAnsi="宋体" w:cs="宋体"/>
                <w:spacing w:val="-1"/>
                <w:sz w:val="21"/>
                <w:szCs w:val="21"/>
              </w:rPr>
            </w:pPr>
            <w:r>
              <w:rPr>
                <w:rFonts w:hint="eastAsia" w:ascii="宋体" w:hAnsi="宋体" w:cs="宋体"/>
                <w:sz w:val="21"/>
                <w:szCs w:val="21"/>
              </w:rPr>
              <w:t>查询输血患者信息及输血情况</w:t>
            </w:r>
          </w:p>
        </w:tc>
      </w:tr>
      <w:tr w14:paraId="6C70E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3" w:hRule="atLeast"/>
          <w:jc w:val="center"/>
        </w:trPr>
        <w:tc>
          <w:tcPr>
            <w:tcW w:w="1237" w:type="dxa"/>
            <w:vMerge w:val="continue"/>
            <w:noWrap w:val="0"/>
            <w:vAlign w:val="center"/>
          </w:tcPr>
          <w:p w14:paraId="758A1EA8">
            <w:pPr>
              <w:pStyle w:val="56"/>
              <w:tabs>
                <w:tab w:val="left" w:pos="7740"/>
              </w:tabs>
              <w:spacing w:line="288" w:lineRule="auto"/>
              <w:rPr>
                <w:rFonts w:ascii="宋体" w:hAnsi="宋体" w:cs="宋体"/>
                <w:sz w:val="21"/>
                <w:szCs w:val="21"/>
              </w:rPr>
            </w:pPr>
          </w:p>
        </w:tc>
        <w:tc>
          <w:tcPr>
            <w:tcW w:w="1999" w:type="dxa"/>
            <w:noWrap w:val="0"/>
            <w:vAlign w:val="center"/>
          </w:tcPr>
          <w:p w14:paraId="3DBEC21D">
            <w:pPr>
              <w:pStyle w:val="56"/>
              <w:tabs>
                <w:tab w:val="left" w:pos="7740"/>
              </w:tabs>
              <w:spacing w:line="288" w:lineRule="auto"/>
              <w:rPr>
                <w:rFonts w:ascii="宋体" w:hAnsi="宋体" w:cs="宋体"/>
                <w:spacing w:val="-1"/>
                <w:sz w:val="21"/>
                <w:szCs w:val="21"/>
              </w:rPr>
            </w:pPr>
            <w:r>
              <w:rPr>
                <w:rFonts w:hint="eastAsia" w:ascii="宋体" w:hAnsi="宋体" w:cs="宋体"/>
                <w:spacing w:val="-1"/>
                <w:sz w:val="21"/>
                <w:szCs w:val="21"/>
              </w:rPr>
              <w:t>输血不良反应查询</w:t>
            </w:r>
          </w:p>
        </w:tc>
        <w:tc>
          <w:tcPr>
            <w:tcW w:w="6502" w:type="dxa"/>
            <w:noWrap w:val="0"/>
            <w:vAlign w:val="center"/>
          </w:tcPr>
          <w:p w14:paraId="4DB2965B">
            <w:pPr>
              <w:pStyle w:val="56"/>
              <w:tabs>
                <w:tab w:val="left" w:pos="7740"/>
              </w:tabs>
              <w:spacing w:line="288" w:lineRule="auto"/>
              <w:rPr>
                <w:rFonts w:ascii="宋体" w:hAnsi="宋体" w:cs="宋体"/>
                <w:spacing w:val="-1"/>
                <w:sz w:val="21"/>
                <w:szCs w:val="21"/>
              </w:rPr>
            </w:pPr>
            <w:r>
              <w:rPr>
                <w:rFonts w:hint="eastAsia" w:ascii="宋体" w:hAnsi="宋体" w:cs="宋体"/>
                <w:spacing w:val="-1"/>
                <w:sz w:val="21"/>
                <w:szCs w:val="21"/>
              </w:rPr>
              <w:t>通过不同方式查询患者不良反应，如时间、申请单号、病案号或血袋条码/二维码等。系统与医院不良事件系统对接传送数据。用血不良反应记录能上报及反馈打印。</w:t>
            </w:r>
          </w:p>
        </w:tc>
      </w:tr>
      <w:tr w14:paraId="62A29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4" w:hRule="atLeast"/>
          <w:jc w:val="center"/>
        </w:trPr>
        <w:tc>
          <w:tcPr>
            <w:tcW w:w="1237" w:type="dxa"/>
            <w:vMerge w:val="continue"/>
            <w:noWrap w:val="0"/>
            <w:vAlign w:val="center"/>
          </w:tcPr>
          <w:p w14:paraId="79DA18DA">
            <w:pPr>
              <w:pStyle w:val="56"/>
              <w:tabs>
                <w:tab w:val="left" w:pos="7740"/>
              </w:tabs>
              <w:spacing w:line="288" w:lineRule="auto"/>
              <w:rPr>
                <w:rFonts w:ascii="宋体" w:hAnsi="宋体" w:cs="宋体"/>
                <w:sz w:val="21"/>
                <w:szCs w:val="21"/>
              </w:rPr>
            </w:pPr>
          </w:p>
        </w:tc>
        <w:tc>
          <w:tcPr>
            <w:tcW w:w="1999" w:type="dxa"/>
            <w:noWrap w:val="0"/>
            <w:vAlign w:val="center"/>
          </w:tcPr>
          <w:p w14:paraId="71345E33">
            <w:pPr>
              <w:pStyle w:val="56"/>
              <w:tabs>
                <w:tab w:val="left" w:pos="7740"/>
              </w:tabs>
              <w:spacing w:line="288" w:lineRule="auto"/>
              <w:rPr>
                <w:rFonts w:ascii="宋体" w:hAnsi="宋体" w:cs="宋体"/>
                <w:spacing w:val="-1"/>
                <w:sz w:val="21"/>
                <w:szCs w:val="21"/>
              </w:rPr>
            </w:pPr>
            <w:r>
              <w:rPr>
                <w:rFonts w:hint="eastAsia" w:ascii="宋体" w:hAnsi="宋体" w:cs="宋体"/>
                <w:sz w:val="21"/>
                <w:szCs w:val="21"/>
              </w:rPr>
              <w:t>冰箱温度监控查询</w:t>
            </w:r>
          </w:p>
        </w:tc>
        <w:tc>
          <w:tcPr>
            <w:tcW w:w="6502" w:type="dxa"/>
            <w:noWrap w:val="0"/>
            <w:vAlign w:val="center"/>
          </w:tcPr>
          <w:p w14:paraId="382B152C">
            <w:pPr>
              <w:pStyle w:val="56"/>
              <w:tabs>
                <w:tab w:val="left" w:pos="7740"/>
              </w:tabs>
              <w:spacing w:line="288" w:lineRule="auto"/>
              <w:rPr>
                <w:rFonts w:ascii="宋体" w:hAnsi="宋体" w:cs="宋体"/>
                <w:sz w:val="21"/>
                <w:szCs w:val="21"/>
              </w:rPr>
            </w:pPr>
            <w:r>
              <w:rPr>
                <w:rFonts w:hint="eastAsia" w:ascii="宋体" w:hAnsi="宋体" w:cs="宋体"/>
                <w:sz w:val="21"/>
                <w:szCs w:val="21"/>
              </w:rPr>
              <w:t>在原系统上完善冰箱温度监控登记模块：</w:t>
            </w:r>
          </w:p>
          <w:p w14:paraId="4C307E62">
            <w:pPr>
              <w:pStyle w:val="56"/>
              <w:tabs>
                <w:tab w:val="left" w:pos="7740"/>
              </w:tabs>
              <w:spacing w:line="288" w:lineRule="auto"/>
              <w:rPr>
                <w:rFonts w:ascii="宋体" w:hAnsi="宋体" w:cs="宋体"/>
                <w:sz w:val="21"/>
                <w:szCs w:val="21"/>
              </w:rPr>
            </w:pPr>
            <w:r>
              <w:rPr>
                <w:rFonts w:hint="eastAsia" w:ascii="宋体" w:hAnsi="宋体" w:cs="宋体"/>
                <w:sz w:val="21"/>
                <w:szCs w:val="21"/>
              </w:rPr>
              <w:t>可根据时间、冰箱等条件组合查询监控明细信息；</w:t>
            </w:r>
          </w:p>
          <w:p w14:paraId="72929187">
            <w:pPr>
              <w:pStyle w:val="56"/>
              <w:tabs>
                <w:tab w:val="left" w:pos="7740"/>
              </w:tabs>
              <w:spacing w:line="288" w:lineRule="auto"/>
              <w:rPr>
                <w:rFonts w:ascii="宋体" w:hAnsi="宋体" w:cs="宋体"/>
                <w:spacing w:val="-1"/>
                <w:sz w:val="21"/>
                <w:szCs w:val="21"/>
              </w:rPr>
            </w:pPr>
            <w:r>
              <w:rPr>
                <w:rFonts w:hint="eastAsia" w:ascii="宋体" w:hAnsi="宋体" w:cs="宋体"/>
                <w:sz w:val="21"/>
                <w:szCs w:val="21"/>
              </w:rPr>
              <w:t>可查询、打印列表</w:t>
            </w:r>
          </w:p>
        </w:tc>
      </w:tr>
      <w:tr w14:paraId="68E37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237" w:type="dxa"/>
            <w:vMerge w:val="restart"/>
            <w:noWrap w:val="0"/>
            <w:vAlign w:val="center"/>
          </w:tcPr>
          <w:p w14:paraId="564014EB">
            <w:pPr>
              <w:pStyle w:val="56"/>
              <w:tabs>
                <w:tab w:val="left" w:pos="7740"/>
              </w:tabs>
              <w:spacing w:line="288" w:lineRule="auto"/>
              <w:rPr>
                <w:rFonts w:ascii="宋体" w:hAnsi="宋体" w:cs="宋体"/>
                <w:sz w:val="21"/>
                <w:szCs w:val="21"/>
              </w:rPr>
            </w:pPr>
            <w:r>
              <w:rPr>
                <w:rFonts w:hint="eastAsia" w:ascii="宋体" w:hAnsi="宋体" w:cs="宋体"/>
                <w:sz w:val="21"/>
                <w:szCs w:val="21"/>
              </w:rPr>
              <w:t>报表统计</w:t>
            </w:r>
          </w:p>
        </w:tc>
        <w:tc>
          <w:tcPr>
            <w:tcW w:w="1999" w:type="dxa"/>
            <w:noWrap w:val="0"/>
            <w:vAlign w:val="center"/>
          </w:tcPr>
          <w:p w14:paraId="7F71EE4E">
            <w:pPr>
              <w:pStyle w:val="56"/>
              <w:tabs>
                <w:tab w:val="left" w:pos="7740"/>
              </w:tabs>
              <w:spacing w:line="288" w:lineRule="auto"/>
              <w:rPr>
                <w:rFonts w:ascii="宋体" w:hAnsi="宋体" w:cs="宋体"/>
                <w:spacing w:val="-1"/>
                <w:sz w:val="21"/>
                <w:szCs w:val="21"/>
              </w:rPr>
            </w:pPr>
            <w:r>
              <w:rPr>
                <w:rFonts w:hint="eastAsia" w:ascii="宋体" w:hAnsi="宋体" w:cs="宋体"/>
                <w:sz w:val="21"/>
                <w:szCs w:val="21"/>
              </w:rPr>
              <w:t>血液库存统计</w:t>
            </w:r>
          </w:p>
        </w:tc>
        <w:tc>
          <w:tcPr>
            <w:tcW w:w="6502" w:type="dxa"/>
            <w:noWrap w:val="0"/>
            <w:vAlign w:val="center"/>
          </w:tcPr>
          <w:p w14:paraId="44E75047">
            <w:pPr>
              <w:pStyle w:val="56"/>
              <w:tabs>
                <w:tab w:val="left" w:pos="7740"/>
              </w:tabs>
              <w:spacing w:line="288" w:lineRule="auto"/>
              <w:rPr>
                <w:rFonts w:ascii="宋体" w:hAnsi="宋体" w:cs="宋体"/>
                <w:spacing w:val="-1"/>
                <w:sz w:val="21"/>
                <w:szCs w:val="21"/>
              </w:rPr>
            </w:pPr>
            <w:r>
              <w:rPr>
                <w:rFonts w:hint="eastAsia" w:ascii="宋体" w:hAnsi="宋体" w:cs="宋体"/>
                <w:sz w:val="21"/>
                <w:szCs w:val="21"/>
              </w:rPr>
              <w:t>可统计当前库存并打印</w:t>
            </w:r>
          </w:p>
        </w:tc>
      </w:tr>
      <w:tr w14:paraId="06CD1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4" w:hRule="atLeast"/>
          <w:jc w:val="center"/>
        </w:trPr>
        <w:tc>
          <w:tcPr>
            <w:tcW w:w="1237" w:type="dxa"/>
            <w:vMerge w:val="continue"/>
            <w:noWrap w:val="0"/>
            <w:vAlign w:val="center"/>
          </w:tcPr>
          <w:p w14:paraId="3A63E650">
            <w:pPr>
              <w:pStyle w:val="56"/>
              <w:tabs>
                <w:tab w:val="left" w:pos="7740"/>
              </w:tabs>
              <w:spacing w:line="288" w:lineRule="auto"/>
              <w:rPr>
                <w:rFonts w:ascii="宋体" w:hAnsi="宋体" w:cs="宋体"/>
                <w:sz w:val="21"/>
                <w:szCs w:val="21"/>
              </w:rPr>
            </w:pPr>
          </w:p>
        </w:tc>
        <w:tc>
          <w:tcPr>
            <w:tcW w:w="1999" w:type="dxa"/>
            <w:noWrap w:val="0"/>
            <w:vAlign w:val="center"/>
          </w:tcPr>
          <w:p w14:paraId="7A0AD40E">
            <w:pPr>
              <w:pStyle w:val="56"/>
              <w:tabs>
                <w:tab w:val="left" w:pos="7740"/>
              </w:tabs>
              <w:spacing w:line="288" w:lineRule="auto"/>
              <w:rPr>
                <w:rFonts w:ascii="宋体" w:hAnsi="宋体" w:cs="宋体"/>
                <w:sz w:val="21"/>
                <w:szCs w:val="21"/>
              </w:rPr>
            </w:pPr>
            <w:r>
              <w:rPr>
                <w:rFonts w:hint="eastAsia" w:ascii="宋体" w:hAnsi="宋体" w:cs="宋体"/>
                <w:sz w:val="21"/>
                <w:szCs w:val="21"/>
              </w:rPr>
              <w:t>日常报表</w:t>
            </w:r>
          </w:p>
        </w:tc>
        <w:tc>
          <w:tcPr>
            <w:tcW w:w="6502" w:type="dxa"/>
            <w:noWrap w:val="0"/>
            <w:vAlign w:val="center"/>
          </w:tcPr>
          <w:p w14:paraId="437379F6">
            <w:pPr>
              <w:pStyle w:val="56"/>
              <w:tabs>
                <w:tab w:val="left" w:pos="7740"/>
              </w:tabs>
              <w:spacing w:line="288" w:lineRule="auto"/>
              <w:rPr>
                <w:rFonts w:ascii="宋体" w:hAnsi="宋体" w:cs="宋体"/>
                <w:sz w:val="21"/>
                <w:szCs w:val="21"/>
              </w:rPr>
            </w:pPr>
            <w:r>
              <w:rPr>
                <w:rFonts w:hint="eastAsia" w:ascii="宋体" w:hAnsi="宋体" w:cs="宋体"/>
                <w:sz w:val="21"/>
                <w:szCs w:val="21"/>
              </w:rPr>
              <w:t>用血日月报、出入库统计、库存统计、配血统计、发血统计、不同血液成分使用统计、自体输血率、收费统计、输血不良反应查询统计、血袋跟踪（涵盖血袋血型、容量、有效期、入库、出库、取血、输注时间、输注对象、输血反应、血袋回收等信息）、申请单跟踪、合格率及审核率统计。</w:t>
            </w:r>
          </w:p>
        </w:tc>
      </w:tr>
      <w:tr w14:paraId="46960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237" w:type="dxa"/>
            <w:vMerge w:val="continue"/>
            <w:noWrap w:val="0"/>
            <w:vAlign w:val="center"/>
          </w:tcPr>
          <w:p w14:paraId="7031A0A8">
            <w:pPr>
              <w:pStyle w:val="56"/>
              <w:tabs>
                <w:tab w:val="left" w:pos="7740"/>
              </w:tabs>
              <w:spacing w:line="288" w:lineRule="auto"/>
              <w:rPr>
                <w:rFonts w:ascii="宋体" w:hAnsi="宋体" w:cs="宋体"/>
                <w:sz w:val="21"/>
                <w:szCs w:val="21"/>
              </w:rPr>
            </w:pPr>
          </w:p>
        </w:tc>
        <w:tc>
          <w:tcPr>
            <w:tcW w:w="1999" w:type="dxa"/>
            <w:noWrap w:val="0"/>
            <w:vAlign w:val="center"/>
          </w:tcPr>
          <w:p w14:paraId="7642E4C0">
            <w:pPr>
              <w:pStyle w:val="56"/>
              <w:tabs>
                <w:tab w:val="left" w:pos="7740"/>
              </w:tabs>
              <w:spacing w:line="288" w:lineRule="auto"/>
              <w:rPr>
                <w:rFonts w:ascii="宋体" w:hAnsi="宋体" w:cs="宋体"/>
                <w:spacing w:val="-1"/>
                <w:sz w:val="21"/>
                <w:szCs w:val="21"/>
              </w:rPr>
            </w:pPr>
            <w:r>
              <w:rPr>
                <w:rFonts w:hint="eastAsia" w:ascii="宋体" w:hAnsi="宋体" w:cs="宋体"/>
                <w:sz w:val="21"/>
                <w:szCs w:val="21"/>
              </w:rPr>
              <w:t>血液入库统计</w:t>
            </w:r>
          </w:p>
        </w:tc>
        <w:tc>
          <w:tcPr>
            <w:tcW w:w="6502" w:type="dxa"/>
            <w:noWrap w:val="0"/>
            <w:vAlign w:val="center"/>
          </w:tcPr>
          <w:p w14:paraId="33D89F23">
            <w:pPr>
              <w:pStyle w:val="56"/>
              <w:tabs>
                <w:tab w:val="left" w:pos="7740"/>
              </w:tabs>
              <w:spacing w:line="288" w:lineRule="auto"/>
              <w:rPr>
                <w:rFonts w:ascii="宋体" w:hAnsi="宋体" w:cs="宋体"/>
                <w:spacing w:val="-1"/>
                <w:sz w:val="21"/>
                <w:szCs w:val="21"/>
              </w:rPr>
            </w:pPr>
            <w:r>
              <w:rPr>
                <w:rFonts w:hint="eastAsia" w:ascii="宋体" w:hAnsi="宋体" w:cs="宋体"/>
                <w:sz w:val="21"/>
                <w:szCs w:val="21"/>
              </w:rPr>
              <w:t>可按时间段、品种统计血液入库情况</w:t>
            </w:r>
          </w:p>
        </w:tc>
      </w:tr>
      <w:tr w14:paraId="34766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237" w:type="dxa"/>
            <w:vMerge w:val="continue"/>
            <w:noWrap w:val="0"/>
            <w:vAlign w:val="center"/>
          </w:tcPr>
          <w:p w14:paraId="3C8BC91C">
            <w:pPr>
              <w:pStyle w:val="56"/>
              <w:tabs>
                <w:tab w:val="left" w:pos="7740"/>
              </w:tabs>
              <w:spacing w:line="288" w:lineRule="auto"/>
              <w:rPr>
                <w:rFonts w:ascii="宋体" w:hAnsi="宋体" w:cs="宋体"/>
                <w:sz w:val="21"/>
                <w:szCs w:val="21"/>
              </w:rPr>
            </w:pPr>
          </w:p>
        </w:tc>
        <w:tc>
          <w:tcPr>
            <w:tcW w:w="1999" w:type="dxa"/>
            <w:noWrap w:val="0"/>
            <w:vAlign w:val="center"/>
          </w:tcPr>
          <w:p w14:paraId="032C9582">
            <w:pPr>
              <w:pStyle w:val="56"/>
              <w:tabs>
                <w:tab w:val="left" w:pos="7740"/>
              </w:tabs>
              <w:spacing w:line="288" w:lineRule="auto"/>
              <w:rPr>
                <w:rFonts w:ascii="宋体" w:hAnsi="宋体" w:cs="宋体"/>
                <w:spacing w:val="-1"/>
                <w:sz w:val="21"/>
                <w:szCs w:val="21"/>
              </w:rPr>
            </w:pPr>
            <w:r>
              <w:rPr>
                <w:rFonts w:hint="eastAsia" w:ascii="宋体" w:hAnsi="宋体" w:cs="宋体"/>
                <w:sz w:val="21"/>
                <w:szCs w:val="21"/>
              </w:rPr>
              <w:t>入库工作量统计</w:t>
            </w:r>
          </w:p>
        </w:tc>
        <w:tc>
          <w:tcPr>
            <w:tcW w:w="6502" w:type="dxa"/>
            <w:noWrap w:val="0"/>
            <w:vAlign w:val="center"/>
          </w:tcPr>
          <w:p w14:paraId="73779654">
            <w:pPr>
              <w:pStyle w:val="56"/>
              <w:tabs>
                <w:tab w:val="left" w:pos="7740"/>
              </w:tabs>
              <w:spacing w:line="288" w:lineRule="auto"/>
              <w:rPr>
                <w:rFonts w:ascii="宋体" w:hAnsi="宋体" w:cs="宋体"/>
                <w:spacing w:val="-1"/>
                <w:sz w:val="21"/>
                <w:szCs w:val="21"/>
              </w:rPr>
            </w:pPr>
            <w:r>
              <w:rPr>
                <w:rFonts w:hint="eastAsia" w:ascii="宋体" w:hAnsi="宋体" w:cs="宋体"/>
                <w:sz w:val="21"/>
                <w:szCs w:val="21"/>
              </w:rPr>
              <w:t>可按时间段、入库人统计入库工作量</w:t>
            </w:r>
          </w:p>
        </w:tc>
      </w:tr>
      <w:tr w14:paraId="7E3C5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jc w:val="center"/>
        </w:trPr>
        <w:tc>
          <w:tcPr>
            <w:tcW w:w="1237" w:type="dxa"/>
            <w:vMerge w:val="continue"/>
            <w:noWrap w:val="0"/>
            <w:vAlign w:val="center"/>
          </w:tcPr>
          <w:p w14:paraId="66B403FF">
            <w:pPr>
              <w:pStyle w:val="56"/>
              <w:tabs>
                <w:tab w:val="left" w:pos="7740"/>
              </w:tabs>
              <w:spacing w:line="288" w:lineRule="auto"/>
              <w:rPr>
                <w:rFonts w:ascii="宋体" w:hAnsi="宋体" w:cs="宋体"/>
                <w:sz w:val="21"/>
                <w:szCs w:val="21"/>
              </w:rPr>
            </w:pPr>
          </w:p>
        </w:tc>
        <w:tc>
          <w:tcPr>
            <w:tcW w:w="1999" w:type="dxa"/>
            <w:noWrap w:val="0"/>
            <w:vAlign w:val="center"/>
          </w:tcPr>
          <w:p w14:paraId="345B2F58">
            <w:pPr>
              <w:pStyle w:val="56"/>
              <w:tabs>
                <w:tab w:val="left" w:pos="7740"/>
              </w:tabs>
              <w:spacing w:line="288" w:lineRule="auto"/>
              <w:rPr>
                <w:rFonts w:ascii="宋体" w:hAnsi="宋体" w:cs="宋体"/>
                <w:spacing w:val="-1"/>
                <w:sz w:val="21"/>
                <w:szCs w:val="21"/>
              </w:rPr>
            </w:pPr>
            <w:r>
              <w:rPr>
                <w:rFonts w:hint="eastAsia" w:ascii="宋体" w:hAnsi="宋体" w:cs="宋体"/>
                <w:sz w:val="21"/>
                <w:szCs w:val="21"/>
              </w:rPr>
              <w:t>临床科室用血统计</w:t>
            </w:r>
          </w:p>
        </w:tc>
        <w:tc>
          <w:tcPr>
            <w:tcW w:w="6502" w:type="dxa"/>
            <w:noWrap w:val="0"/>
            <w:vAlign w:val="center"/>
          </w:tcPr>
          <w:p w14:paraId="0AA63BCC">
            <w:pPr>
              <w:pStyle w:val="56"/>
              <w:tabs>
                <w:tab w:val="left" w:pos="7740"/>
              </w:tabs>
              <w:spacing w:line="288" w:lineRule="auto"/>
              <w:rPr>
                <w:rFonts w:ascii="宋体" w:hAnsi="宋体" w:cs="宋体"/>
                <w:sz w:val="21"/>
                <w:szCs w:val="21"/>
              </w:rPr>
            </w:pPr>
            <w:r>
              <w:rPr>
                <w:rFonts w:hint="eastAsia" w:ascii="宋体" w:hAnsi="宋体" w:cs="宋体"/>
                <w:sz w:val="21"/>
                <w:szCs w:val="21"/>
              </w:rPr>
              <w:t>可按时间段、品种、血型统计医院各科输血总量</w:t>
            </w:r>
          </w:p>
          <w:p w14:paraId="6050D1AD">
            <w:pPr>
              <w:pStyle w:val="56"/>
              <w:tabs>
                <w:tab w:val="left" w:pos="7740"/>
              </w:tabs>
              <w:spacing w:line="288" w:lineRule="auto"/>
              <w:rPr>
                <w:rFonts w:ascii="宋体" w:hAnsi="宋体" w:cs="宋体"/>
                <w:spacing w:val="-1"/>
                <w:sz w:val="21"/>
                <w:szCs w:val="21"/>
              </w:rPr>
            </w:pPr>
            <w:r>
              <w:rPr>
                <w:rFonts w:hint="eastAsia" w:ascii="宋体" w:hAnsi="宋体" w:cs="宋体"/>
                <w:sz w:val="21"/>
                <w:szCs w:val="21"/>
              </w:rPr>
              <w:t>可打印统计报表及导出数据功能</w:t>
            </w:r>
          </w:p>
        </w:tc>
      </w:tr>
      <w:tr w14:paraId="1D8A7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4" w:hRule="atLeast"/>
          <w:jc w:val="center"/>
        </w:trPr>
        <w:tc>
          <w:tcPr>
            <w:tcW w:w="1237" w:type="dxa"/>
            <w:vMerge w:val="continue"/>
            <w:noWrap w:val="0"/>
            <w:vAlign w:val="center"/>
          </w:tcPr>
          <w:p w14:paraId="01FF987B">
            <w:pPr>
              <w:pStyle w:val="56"/>
              <w:tabs>
                <w:tab w:val="left" w:pos="7740"/>
              </w:tabs>
              <w:spacing w:line="288" w:lineRule="auto"/>
              <w:rPr>
                <w:rFonts w:ascii="宋体" w:hAnsi="宋体" w:cs="宋体"/>
                <w:sz w:val="21"/>
                <w:szCs w:val="21"/>
              </w:rPr>
            </w:pPr>
          </w:p>
        </w:tc>
        <w:tc>
          <w:tcPr>
            <w:tcW w:w="1999" w:type="dxa"/>
            <w:noWrap w:val="0"/>
            <w:vAlign w:val="center"/>
          </w:tcPr>
          <w:p w14:paraId="38AEA7C1">
            <w:pPr>
              <w:pStyle w:val="56"/>
              <w:tabs>
                <w:tab w:val="left" w:pos="7740"/>
              </w:tabs>
              <w:spacing w:line="288" w:lineRule="auto"/>
              <w:rPr>
                <w:rFonts w:ascii="宋体" w:hAnsi="宋体" w:cs="宋体"/>
                <w:spacing w:val="-1"/>
                <w:sz w:val="21"/>
                <w:szCs w:val="21"/>
              </w:rPr>
            </w:pPr>
            <w:r>
              <w:rPr>
                <w:rFonts w:hint="eastAsia" w:ascii="宋体" w:hAnsi="宋体" w:cs="宋体"/>
                <w:sz w:val="21"/>
                <w:szCs w:val="21"/>
              </w:rPr>
              <w:t>临床科室用血趋势分析</w:t>
            </w:r>
          </w:p>
        </w:tc>
        <w:tc>
          <w:tcPr>
            <w:tcW w:w="6502" w:type="dxa"/>
            <w:noWrap w:val="0"/>
            <w:vAlign w:val="center"/>
          </w:tcPr>
          <w:p w14:paraId="47D536BD">
            <w:pPr>
              <w:pStyle w:val="56"/>
              <w:tabs>
                <w:tab w:val="left" w:pos="7740"/>
              </w:tabs>
              <w:spacing w:line="288" w:lineRule="auto"/>
              <w:rPr>
                <w:rFonts w:ascii="宋体" w:hAnsi="宋体" w:cs="宋体"/>
                <w:sz w:val="21"/>
                <w:szCs w:val="21"/>
              </w:rPr>
            </w:pPr>
            <w:r>
              <w:rPr>
                <w:rFonts w:hint="eastAsia" w:ascii="宋体" w:hAnsi="宋体" w:cs="宋体"/>
                <w:sz w:val="21"/>
                <w:szCs w:val="21"/>
              </w:rPr>
              <w:t>可按各科室月用血趋势统计分析</w:t>
            </w:r>
          </w:p>
          <w:p w14:paraId="600A960E">
            <w:pPr>
              <w:pStyle w:val="56"/>
              <w:tabs>
                <w:tab w:val="left" w:pos="7740"/>
              </w:tabs>
              <w:spacing w:line="288" w:lineRule="auto"/>
              <w:rPr>
                <w:rFonts w:ascii="宋体" w:hAnsi="宋体" w:cs="宋体"/>
                <w:sz w:val="21"/>
                <w:szCs w:val="21"/>
              </w:rPr>
            </w:pPr>
            <w:r>
              <w:rPr>
                <w:rFonts w:hint="eastAsia" w:ascii="宋体" w:hAnsi="宋体" w:cs="宋体"/>
                <w:sz w:val="21"/>
                <w:szCs w:val="21"/>
              </w:rPr>
              <w:t>可按血液类型用量总量趋势分析</w:t>
            </w:r>
          </w:p>
          <w:p w14:paraId="38414322">
            <w:pPr>
              <w:pStyle w:val="56"/>
              <w:tabs>
                <w:tab w:val="left" w:pos="7740"/>
              </w:tabs>
              <w:spacing w:line="288" w:lineRule="auto"/>
              <w:rPr>
                <w:rFonts w:ascii="宋体" w:hAnsi="宋体" w:cs="宋体"/>
                <w:spacing w:val="-1"/>
                <w:sz w:val="21"/>
                <w:szCs w:val="21"/>
              </w:rPr>
            </w:pPr>
            <w:r>
              <w:rPr>
                <w:rFonts w:hint="eastAsia" w:ascii="宋体" w:hAnsi="宋体" w:cs="宋体"/>
                <w:sz w:val="21"/>
                <w:szCs w:val="21"/>
              </w:rPr>
              <w:t>可按照病种用血总量趋势分析</w:t>
            </w:r>
          </w:p>
        </w:tc>
      </w:tr>
      <w:tr w14:paraId="5E505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jc w:val="center"/>
        </w:trPr>
        <w:tc>
          <w:tcPr>
            <w:tcW w:w="1237" w:type="dxa"/>
            <w:vMerge w:val="continue"/>
            <w:noWrap w:val="0"/>
            <w:vAlign w:val="center"/>
          </w:tcPr>
          <w:p w14:paraId="6031E0F5">
            <w:pPr>
              <w:pStyle w:val="56"/>
              <w:tabs>
                <w:tab w:val="left" w:pos="7740"/>
              </w:tabs>
              <w:spacing w:line="288" w:lineRule="auto"/>
              <w:rPr>
                <w:rFonts w:ascii="宋体" w:hAnsi="宋体" w:cs="宋体"/>
                <w:sz w:val="21"/>
                <w:szCs w:val="21"/>
              </w:rPr>
            </w:pPr>
          </w:p>
        </w:tc>
        <w:tc>
          <w:tcPr>
            <w:tcW w:w="1999" w:type="dxa"/>
            <w:noWrap w:val="0"/>
            <w:vAlign w:val="center"/>
          </w:tcPr>
          <w:p w14:paraId="764EEBB8">
            <w:pPr>
              <w:pStyle w:val="56"/>
              <w:tabs>
                <w:tab w:val="left" w:pos="7740"/>
              </w:tabs>
              <w:spacing w:line="288" w:lineRule="auto"/>
              <w:rPr>
                <w:rFonts w:ascii="宋体" w:hAnsi="宋体" w:cs="宋体"/>
                <w:spacing w:val="-1"/>
                <w:sz w:val="21"/>
                <w:szCs w:val="21"/>
              </w:rPr>
            </w:pPr>
            <w:r>
              <w:rPr>
                <w:rFonts w:hint="eastAsia" w:ascii="宋体" w:hAnsi="宋体" w:cs="宋体"/>
                <w:sz w:val="21"/>
                <w:szCs w:val="21"/>
              </w:rPr>
              <w:t>进出库存统计</w:t>
            </w:r>
          </w:p>
        </w:tc>
        <w:tc>
          <w:tcPr>
            <w:tcW w:w="6502" w:type="dxa"/>
            <w:noWrap w:val="0"/>
            <w:vAlign w:val="center"/>
          </w:tcPr>
          <w:p w14:paraId="56D53014">
            <w:pPr>
              <w:pStyle w:val="56"/>
              <w:tabs>
                <w:tab w:val="left" w:pos="7740"/>
              </w:tabs>
              <w:spacing w:line="288" w:lineRule="auto"/>
              <w:rPr>
                <w:rFonts w:ascii="宋体" w:hAnsi="宋体" w:cs="宋体"/>
                <w:sz w:val="21"/>
                <w:szCs w:val="21"/>
              </w:rPr>
            </w:pPr>
            <w:r>
              <w:rPr>
                <w:rFonts w:hint="eastAsia" w:ascii="宋体" w:hAnsi="宋体" w:cs="宋体"/>
                <w:sz w:val="21"/>
                <w:szCs w:val="21"/>
              </w:rPr>
              <w:t>可按时间、品种进行血液出入库统计</w:t>
            </w:r>
          </w:p>
          <w:p w14:paraId="3D4792DD">
            <w:pPr>
              <w:pStyle w:val="56"/>
              <w:tabs>
                <w:tab w:val="left" w:pos="7740"/>
              </w:tabs>
              <w:spacing w:line="288" w:lineRule="auto"/>
              <w:rPr>
                <w:rFonts w:ascii="宋体" w:hAnsi="宋体" w:cs="宋体"/>
                <w:spacing w:val="-1"/>
                <w:sz w:val="21"/>
                <w:szCs w:val="21"/>
              </w:rPr>
            </w:pPr>
            <w:r>
              <w:rPr>
                <w:rFonts w:hint="eastAsia" w:ascii="宋体" w:hAnsi="宋体" w:cs="宋体"/>
                <w:sz w:val="21"/>
                <w:szCs w:val="21"/>
              </w:rPr>
              <w:t>可生成出入库月报表</w:t>
            </w:r>
          </w:p>
        </w:tc>
      </w:tr>
      <w:tr w14:paraId="69D28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4" w:hRule="atLeast"/>
          <w:jc w:val="center"/>
        </w:trPr>
        <w:tc>
          <w:tcPr>
            <w:tcW w:w="1237" w:type="dxa"/>
            <w:vMerge w:val="continue"/>
            <w:noWrap w:val="0"/>
            <w:vAlign w:val="center"/>
          </w:tcPr>
          <w:p w14:paraId="331AE9AF">
            <w:pPr>
              <w:pStyle w:val="56"/>
              <w:tabs>
                <w:tab w:val="left" w:pos="7740"/>
              </w:tabs>
              <w:spacing w:line="288" w:lineRule="auto"/>
              <w:rPr>
                <w:rFonts w:ascii="宋体" w:hAnsi="宋体" w:cs="宋体"/>
                <w:sz w:val="21"/>
                <w:szCs w:val="21"/>
              </w:rPr>
            </w:pPr>
          </w:p>
        </w:tc>
        <w:tc>
          <w:tcPr>
            <w:tcW w:w="1999" w:type="dxa"/>
            <w:noWrap w:val="0"/>
            <w:vAlign w:val="center"/>
          </w:tcPr>
          <w:p w14:paraId="4868ED78">
            <w:pPr>
              <w:pStyle w:val="56"/>
              <w:tabs>
                <w:tab w:val="left" w:pos="7740"/>
              </w:tabs>
              <w:spacing w:line="288" w:lineRule="auto"/>
              <w:rPr>
                <w:rFonts w:ascii="宋体" w:hAnsi="宋体" w:cs="宋体"/>
                <w:spacing w:val="-1"/>
                <w:sz w:val="21"/>
                <w:szCs w:val="21"/>
              </w:rPr>
            </w:pPr>
            <w:r>
              <w:rPr>
                <w:rFonts w:hint="eastAsia" w:ascii="宋体" w:hAnsi="宋体" w:cs="宋体"/>
                <w:sz w:val="21"/>
                <w:szCs w:val="21"/>
              </w:rPr>
              <w:t>临床科室用血比例统计</w:t>
            </w:r>
          </w:p>
        </w:tc>
        <w:tc>
          <w:tcPr>
            <w:tcW w:w="6502" w:type="dxa"/>
            <w:noWrap w:val="0"/>
            <w:vAlign w:val="center"/>
          </w:tcPr>
          <w:p w14:paraId="197A007B">
            <w:pPr>
              <w:pStyle w:val="56"/>
              <w:tabs>
                <w:tab w:val="left" w:pos="7740"/>
              </w:tabs>
              <w:spacing w:line="288" w:lineRule="auto"/>
              <w:rPr>
                <w:rFonts w:ascii="宋体" w:hAnsi="宋体" w:cs="宋体"/>
                <w:spacing w:val="-1"/>
                <w:sz w:val="21"/>
                <w:szCs w:val="21"/>
              </w:rPr>
            </w:pPr>
            <w:r>
              <w:rPr>
                <w:rFonts w:hint="eastAsia" w:ascii="宋体" w:hAnsi="宋体" w:cs="宋体"/>
                <w:sz w:val="21"/>
                <w:szCs w:val="21"/>
              </w:rPr>
              <w:t>可自动统计临床各科室、各医生申请的用血量，能对全院各科输注血液成分进行月、季、年度用量的自动统计并可列表打印，医生用血统计及前20名公示、患者用血统计（人平均、手术台均用血量）、科室用血统计表（各成分用血、输血人次、输血成分、血袋数等）、血液日结表、用血明细统计表。手术用血占比</w:t>
            </w:r>
          </w:p>
        </w:tc>
      </w:tr>
      <w:tr w14:paraId="6823E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8" w:hRule="atLeast"/>
          <w:jc w:val="center"/>
        </w:trPr>
        <w:tc>
          <w:tcPr>
            <w:tcW w:w="1237" w:type="dxa"/>
            <w:vMerge w:val="continue"/>
            <w:noWrap w:val="0"/>
            <w:vAlign w:val="center"/>
          </w:tcPr>
          <w:p w14:paraId="229A8A2F">
            <w:pPr>
              <w:pStyle w:val="56"/>
              <w:tabs>
                <w:tab w:val="left" w:pos="7740"/>
              </w:tabs>
              <w:spacing w:line="288" w:lineRule="auto"/>
              <w:rPr>
                <w:rFonts w:ascii="宋体" w:hAnsi="宋体" w:cs="宋体"/>
                <w:sz w:val="21"/>
                <w:szCs w:val="21"/>
              </w:rPr>
            </w:pPr>
          </w:p>
        </w:tc>
        <w:tc>
          <w:tcPr>
            <w:tcW w:w="1999" w:type="dxa"/>
            <w:noWrap w:val="0"/>
            <w:vAlign w:val="center"/>
          </w:tcPr>
          <w:p w14:paraId="4B13CDEF">
            <w:pPr>
              <w:pStyle w:val="56"/>
              <w:tabs>
                <w:tab w:val="left" w:pos="7740"/>
              </w:tabs>
              <w:spacing w:line="288" w:lineRule="auto"/>
              <w:rPr>
                <w:rFonts w:ascii="宋体" w:hAnsi="宋体" w:cs="宋体"/>
                <w:spacing w:val="-1"/>
                <w:sz w:val="21"/>
                <w:szCs w:val="21"/>
              </w:rPr>
            </w:pPr>
            <w:r>
              <w:rPr>
                <w:rFonts w:hint="eastAsia" w:ascii="宋体" w:hAnsi="宋体" w:cs="宋体"/>
                <w:sz w:val="21"/>
                <w:szCs w:val="21"/>
              </w:rPr>
              <w:t>血液出入库明细统计</w:t>
            </w:r>
          </w:p>
        </w:tc>
        <w:tc>
          <w:tcPr>
            <w:tcW w:w="6502" w:type="dxa"/>
            <w:noWrap w:val="0"/>
            <w:vAlign w:val="center"/>
          </w:tcPr>
          <w:p w14:paraId="54237335">
            <w:pPr>
              <w:pStyle w:val="56"/>
              <w:tabs>
                <w:tab w:val="left" w:pos="7740"/>
              </w:tabs>
              <w:spacing w:line="288" w:lineRule="auto"/>
              <w:rPr>
                <w:rFonts w:ascii="宋体" w:hAnsi="宋体" w:cs="宋体"/>
                <w:sz w:val="21"/>
                <w:szCs w:val="21"/>
              </w:rPr>
            </w:pPr>
            <w:r>
              <w:rPr>
                <w:rFonts w:hint="eastAsia" w:ascii="宋体" w:hAnsi="宋体" w:cs="宋体"/>
                <w:sz w:val="21"/>
                <w:szCs w:val="21"/>
              </w:rPr>
              <w:t>可以按时间段统计每袋血入库、出库信息，包括血袋信息，受血者信息，取血及发血人及时间等。</w:t>
            </w:r>
          </w:p>
          <w:p w14:paraId="133DA6FE">
            <w:pPr>
              <w:pStyle w:val="56"/>
              <w:tabs>
                <w:tab w:val="left" w:pos="7740"/>
              </w:tabs>
              <w:spacing w:line="288" w:lineRule="auto"/>
              <w:rPr>
                <w:rFonts w:ascii="宋体" w:hAnsi="宋体" w:cs="宋体"/>
                <w:spacing w:val="-1"/>
                <w:sz w:val="21"/>
                <w:szCs w:val="21"/>
              </w:rPr>
            </w:pPr>
            <w:r>
              <w:rPr>
                <w:rFonts w:hint="eastAsia" w:ascii="宋体" w:hAnsi="宋体" w:cs="宋体"/>
                <w:sz w:val="21"/>
                <w:szCs w:val="21"/>
              </w:rPr>
              <w:t>可打印统计报表</w:t>
            </w:r>
          </w:p>
        </w:tc>
      </w:tr>
      <w:tr w14:paraId="3FE22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8" w:hRule="atLeast"/>
          <w:jc w:val="center"/>
        </w:trPr>
        <w:tc>
          <w:tcPr>
            <w:tcW w:w="1237" w:type="dxa"/>
            <w:vMerge w:val="continue"/>
            <w:noWrap w:val="0"/>
            <w:vAlign w:val="center"/>
          </w:tcPr>
          <w:p w14:paraId="1F301FE7">
            <w:pPr>
              <w:pStyle w:val="56"/>
              <w:tabs>
                <w:tab w:val="left" w:pos="7740"/>
              </w:tabs>
              <w:spacing w:line="288" w:lineRule="auto"/>
              <w:rPr>
                <w:rFonts w:ascii="宋体" w:hAnsi="宋体" w:cs="宋体"/>
                <w:sz w:val="21"/>
                <w:szCs w:val="21"/>
              </w:rPr>
            </w:pPr>
          </w:p>
        </w:tc>
        <w:tc>
          <w:tcPr>
            <w:tcW w:w="1999" w:type="dxa"/>
            <w:noWrap w:val="0"/>
            <w:vAlign w:val="center"/>
          </w:tcPr>
          <w:p w14:paraId="7BE7CF8B">
            <w:pPr>
              <w:pStyle w:val="56"/>
              <w:tabs>
                <w:tab w:val="left" w:pos="7740"/>
              </w:tabs>
              <w:spacing w:line="288" w:lineRule="auto"/>
              <w:rPr>
                <w:rFonts w:ascii="宋体" w:hAnsi="宋体" w:cs="宋体"/>
                <w:spacing w:val="-1"/>
                <w:sz w:val="21"/>
                <w:szCs w:val="21"/>
              </w:rPr>
            </w:pPr>
            <w:r>
              <w:rPr>
                <w:rFonts w:hint="eastAsia" w:ascii="宋体" w:hAnsi="宋体" w:cs="宋体"/>
                <w:sz w:val="21"/>
                <w:szCs w:val="21"/>
              </w:rPr>
              <w:t>病人用血统计</w:t>
            </w:r>
          </w:p>
        </w:tc>
        <w:tc>
          <w:tcPr>
            <w:tcW w:w="6502" w:type="dxa"/>
            <w:noWrap w:val="0"/>
            <w:vAlign w:val="center"/>
          </w:tcPr>
          <w:p w14:paraId="609C6C86">
            <w:pPr>
              <w:pStyle w:val="56"/>
              <w:tabs>
                <w:tab w:val="left" w:pos="7740"/>
              </w:tabs>
              <w:spacing w:line="288" w:lineRule="auto"/>
              <w:rPr>
                <w:rFonts w:ascii="宋体" w:hAnsi="宋体" w:cs="宋体"/>
                <w:sz w:val="21"/>
                <w:szCs w:val="21"/>
              </w:rPr>
            </w:pPr>
            <w:r>
              <w:rPr>
                <w:rFonts w:hint="eastAsia" w:ascii="宋体" w:hAnsi="宋体" w:cs="宋体"/>
                <w:sz w:val="21"/>
                <w:szCs w:val="21"/>
              </w:rPr>
              <w:t>可按时间段、科室等条件统计患者用血、输血人次，输注成分、血袋数</w:t>
            </w:r>
          </w:p>
          <w:p w14:paraId="4A4C0F83">
            <w:pPr>
              <w:pStyle w:val="56"/>
              <w:tabs>
                <w:tab w:val="left" w:pos="7740"/>
              </w:tabs>
              <w:spacing w:line="288" w:lineRule="auto"/>
              <w:rPr>
                <w:rFonts w:ascii="宋体" w:hAnsi="宋体" w:cs="宋体"/>
                <w:spacing w:val="-1"/>
                <w:sz w:val="21"/>
                <w:szCs w:val="21"/>
              </w:rPr>
            </w:pPr>
            <w:r>
              <w:rPr>
                <w:rFonts w:hint="eastAsia" w:ascii="宋体" w:hAnsi="宋体" w:cs="宋体"/>
                <w:sz w:val="21"/>
                <w:szCs w:val="21"/>
              </w:rPr>
              <w:t>可打印统计报表</w:t>
            </w:r>
          </w:p>
        </w:tc>
      </w:tr>
      <w:tr w14:paraId="22D7B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jc w:val="center"/>
        </w:trPr>
        <w:tc>
          <w:tcPr>
            <w:tcW w:w="1237" w:type="dxa"/>
            <w:vMerge w:val="continue"/>
            <w:noWrap w:val="0"/>
            <w:vAlign w:val="center"/>
          </w:tcPr>
          <w:p w14:paraId="05E8466F">
            <w:pPr>
              <w:pStyle w:val="56"/>
              <w:tabs>
                <w:tab w:val="left" w:pos="7740"/>
              </w:tabs>
              <w:spacing w:line="288" w:lineRule="auto"/>
              <w:rPr>
                <w:rFonts w:ascii="宋体" w:hAnsi="宋体" w:cs="宋体"/>
                <w:sz w:val="21"/>
                <w:szCs w:val="21"/>
              </w:rPr>
            </w:pPr>
          </w:p>
        </w:tc>
        <w:tc>
          <w:tcPr>
            <w:tcW w:w="1999" w:type="dxa"/>
            <w:noWrap w:val="0"/>
            <w:vAlign w:val="center"/>
          </w:tcPr>
          <w:p w14:paraId="3F80C77E">
            <w:pPr>
              <w:pStyle w:val="56"/>
              <w:tabs>
                <w:tab w:val="left" w:pos="7740"/>
              </w:tabs>
              <w:spacing w:line="288" w:lineRule="auto"/>
              <w:rPr>
                <w:rFonts w:ascii="宋体" w:hAnsi="宋体" w:cs="宋体"/>
                <w:spacing w:val="-1"/>
                <w:sz w:val="21"/>
                <w:szCs w:val="21"/>
              </w:rPr>
            </w:pPr>
            <w:r>
              <w:rPr>
                <w:rFonts w:hint="eastAsia" w:ascii="宋体" w:hAnsi="宋体" w:cs="宋体"/>
                <w:sz w:val="21"/>
                <w:szCs w:val="21"/>
              </w:rPr>
              <w:t>送检标本及标本量统计</w:t>
            </w:r>
          </w:p>
        </w:tc>
        <w:tc>
          <w:tcPr>
            <w:tcW w:w="6502" w:type="dxa"/>
            <w:noWrap w:val="0"/>
            <w:vAlign w:val="center"/>
          </w:tcPr>
          <w:p w14:paraId="60908408">
            <w:pPr>
              <w:pStyle w:val="56"/>
              <w:tabs>
                <w:tab w:val="left" w:pos="7740"/>
              </w:tabs>
              <w:spacing w:line="288" w:lineRule="auto"/>
              <w:rPr>
                <w:rFonts w:ascii="宋体" w:hAnsi="宋体" w:cs="宋体"/>
                <w:sz w:val="21"/>
                <w:szCs w:val="21"/>
              </w:rPr>
            </w:pPr>
            <w:r>
              <w:rPr>
                <w:rFonts w:hint="eastAsia" w:ascii="宋体" w:hAnsi="宋体" w:cs="宋体"/>
                <w:sz w:val="21"/>
                <w:szCs w:val="21"/>
              </w:rPr>
              <w:t>可按时间段、科室、品种等条件统计送检标本情况</w:t>
            </w:r>
          </w:p>
          <w:p w14:paraId="7683679A">
            <w:pPr>
              <w:pStyle w:val="56"/>
              <w:tabs>
                <w:tab w:val="left" w:pos="7740"/>
              </w:tabs>
              <w:spacing w:line="288" w:lineRule="auto"/>
              <w:rPr>
                <w:rFonts w:ascii="宋体" w:hAnsi="宋体" w:cs="宋体"/>
                <w:spacing w:val="-1"/>
                <w:sz w:val="21"/>
                <w:szCs w:val="21"/>
              </w:rPr>
            </w:pPr>
            <w:r>
              <w:rPr>
                <w:rFonts w:hint="eastAsia" w:ascii="宋体" w:hAnsi="宋体" w:cs="宋体"/>
                <w:sz w:val="21"/>
                <w:szCs w:val="21"/>
              </w:rPr>
              <w:t>可统计标本量</w:t>
            </w:r>
          </w:p>
        </w:tc>
      </w:tr>
      <w:tr w14:paraId="51D45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237" w:type="dxa"/>
            <w:vMerge w:val="continue"/>
            <w:noWrap w:val="0"/>
            <w:vAlign w:val="center"/>
          </w:tcPr>
          <w:p w14:paraId="7A58A95A">
            <w:pPr>
              <w:pStyle w:val="56"/>
              <w:tabs>
                <w:tab w:val="left" w:pos="7740"/>
              </w:tabs>
              <w:spacing w:line="288" w:lineRule="auto"/>
              <w:rPr>
                <w:rFonts w:ascii="宋体" w:hAnsi="宋体" w:cs="宋体"/>
                <w:sz w:val="21"/>
                <w:szCs w:val="21"/>
              </w:rPr>
            </w:pPr>
          </w:p>
        </w:tc>
        <w:tc>
          <w:tcPr>
            <w:tcW w:w="1999" w:type="dxa"/>
            <w:noWrap w:val="0"/>
            <w:vAlign w:val="center"/>
          </w:tcPr>
          <w:p w14:paraId="6C8B9524">
            <w:pPr>
              <w:pStyle w:val="56"/>
              <w:tabs>
                <w:tab w:val="left" w:pos="7740"/>
              </w:tabs>
              <w:spacing w:line="288" w:lineRule="auto"/>
              <w:rPr>
                <w:rFonts w:ascii="宋体" w:hAnsi="宋体" w:cs="宋体"/>
                <w:spacing w:val="-1"/>
                <w:sz w:val="21"/>
                <w:szCs w:val="21"/>
              </w:rPr>
            </w:pPr>
            <w:r>
              <w:rPr>
                <w:rFonts w:hint="eastAsia" w:ascii="宋体" w:hAnsi="宋体" w:cs="宋体"/>
                <w:sz w:val="21"/>
                <w:szCs w:val="21"/>
              </w:rPr>
              <w:t>输血费用统计</w:t>
            </w:r>
          </w:p>
        </w:tc>
        <w:tc>
          <w:tcPr>
            <w:tcW w:w="6502" w:type="dxa"/>
            <w:noWrap w:val="0"/>
            <w:vAlign w:val="center"/>
          </w:tcPr>
          <w:p w14:paraId="70E26423">
            <w:pPr>
              <w:pStyle w:val="56"/>
              <w:tabs>
                <w:tab w:val="left" w:pos="7740"/>
              </w:tabs>
              <w:spacing w:line="288" w:lineRule="auto"/>
              <w:rPr>
                <w:rFonts w:ascii="宋体" w:hAnsi="宋体" w:cs="宋体"/>
                <w:spacing w:val="-1"/>
                <w:sz w:val="21"/>
                <w:szCs w:val="21"/>
              </w:rPr>
            </w:pPr>
            <w:r>
              <w:rPr>
                <w:rFonts w:hint="eastAsia" w:ascii="宋体" w:hAnsi="宋体" w:cs="宋体"/>
                <w:sz w:val="21"/>
                <w:szCs w:val="21"/>
              </w:rPr>
              <w:t>可按时间段、科室、品种等条件统计血费及配血检验费</w:t>
            </w:r>
          </w:p>
        </w:tc>
      </w:tr>
      <w:tr w14:paraId="6F01D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jc w:val="center"/>
        </w:trPr>
        <w:tc>
          <w:tcPr>
            <w:tcW w:w="1237" w:type="dxa"/>
            <w:vMerge w:val="continue"/>
            <w:noWrap w:val="0"/>
            <w:vAlign w:val="center"/>
          </w:tcPr>
          <w:p w14:paraId="3DA35744">
            <w:pPr>
              <w:pStyle w:val="56"/>
              <w:tabs>
                <w:tab w:val="left" w:pos="7740"/>
              </w:tabs>
              <w:spacing w:line="288" w:lineRule="auto"/>
              <w:rPr>
                <w:rFonts w:ascii="宋体" w:hAnsi="宋体" w:cs="宋体"/>
                <w:sz w:val="21"/>
                <w:szCs w:val="21"/>
              </w:rPr>
            </w:pPr>
          </w:p>
        </w:tc>
        <w:tc>
          <w:tcPr>
            <w:tcW w:w="1999" w:type="dxa"/>
            <w:noWrap w:val="0"/>
            <w:vAlign w:val="center"/>
          </w:tcPr>
          <w:p w14:paraId="71AC6044">
            <w:pPr>
              <w:pStyle w:val="56"/>
              <w:tabs>
                <w:tab w:val="left" w:pos="7740"/>
              </w:tabs>
              <w:spacing w:line="288" w:lineRule="auto"/>
              <w:rPr>
                <w:rFonts w:ascii="宋体" w:hAnsi="宋体" w:cs="宋体"/>
                <w:spacing w:val="-1"/>
                <w:sz w:val="21"/>
                <w:szCs w:val="21"/>
              </w:rPr>
            </w:pPr>
            <w:r>
              <w:rPr>
                <w:rFonts w:hint="eastAsia" w:ascii="宋体" w:hAnsi="宋体" w:cs="宋体"/>
                <w:sz w:val="21"/>
                <w:szCs w:val="21"/>
              </w:rPr>
              <w:t>血液输注时间统计</w:t>
            </w:r>
          </w:p>
        </w:tc>
        <w:tc>
          <w:tcPr>
            <w:tcW w:w="6502" w:type="dxa"/>
            <w:noWrap w:val="0"/>
            <w:vAlign w:val="center"/>
          </w:tcPr>
          <w:p w14:paraId="06CA2778">
            <w:pPr>
              <w:pStyle w:val="56"/>
              <w:tabs>
                <w:tab w:val="left" w:pos="7740"/>
              </w:tabs>
              <w:spacing w:line="288" w:lineRule="auto"/>
              <w:rPr>
                <w:rFonts w:ascii="宋体" w:hAnsi="宋体" w:cs="宋体"/>
                <w:sz w:val="21"/>
                <w:szCs w:val="21"/>
              </w:rPr>
            </w:pPr>
            <w:r>
              <w:rPr>
                <w:rFonts w:hint="eastAsia" w:ascii="宋体" w:hAnsi="宋体" w:cs="宋体"/>
                <w:sz w:val="21"/>
                <w:szCs w:val="21"/>
              </w:rPr>
              <w:t>可按时间段对血液输注开始时间及输注时间进行统计</w:t>
            </w:r>
          </w:p>
          <w:p w14:paraId="7A1FAE1D">
            <w:pPr>
              <w:pStyle w:val="56"/>
              <w:tabs>
                <w:tab w:val="left" w:pos="7740"/>
              </w:tabs>
              <w:spacing w:line="288" w:lineRule="auto"/>
              <w:rPr>
                <w:rFonts w:ascii="宋体" w:hAnsi="宋体" w:cs="宋体"/>
                <w:spacing w:val="-1"/>
                <w:sz w:val="21"/>
                <w:szCs w:val="21"/>
              </w:rPr>
            </w:pPr>
            <w:r>
              <w:rPr>
                <w:rFonts w:hint="eastAsia" w:ascii="宋体" w:hAnsi="宋体" w:cs="宋体"/>
                <w:sz w:val="21"/>
                <w:szCs w:val="21"/>
              </w:rPr>
              <w:t>包括：平均值、最长值、最短值</w:t>
            </w:r>
          </w:p>
        </w:tc>
      </w:tr>
      <w:tr w14:paraId="51DBB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237" w:type="dxa"/>
            <w:vMerge w:val="continue"/>
            <w:noWrap w:val="0"/>
            <w:vAlign w:val="center"/>
          </w:tcPr>
          <w:p w14:paraId="01CFC56C">
            <w:pPr>
              <w:pStyle w:val="56"/>
              <w:tabs>
                <w:tab w:val="left" w:pos="7740"/>
              </w:tabs>
              <w:spacing w:line="288" w:lineRule="auto"/>
              <w:rPr>
                <w:rFonts w:ascii="宋体" w:hAnsi="宋体" w:cs="宋体"/>
                <w:sz w:val="21"/>
                <w:szCs w:val="21"/>
              </w:rPr>
            </w:pPr>
          </w:p>
        </w:tc>
        <w:tc>
          <w:tcPr>
            <w:tcW w:w="1999" w:type="dxa"/>
            <w:noWrap w:val="0"/>
            <w:vAlign w:val="center"/>
          </w:tcPr>
          <w:p w14:paraId="1CAF2EEA">
            <w:pPr>
              <w:pStyle w:val="56"/>
              <w:tabs>
                <w:tab w:val="left" w:pos="7740"/>
              </w:tabs>
              <w:spacing w:line="288" w:lineRule="auto"/>
              <w:rPr>
                <w:rFonts w:ascii="宋体" w:hAnsi="宋体" w:cs="宋体"/>
                <w:spacing w:val="-1"/>
                <w:sz w:val="21"/>
                <w:szCs w:val="21"/>
              </w:rPr>
            </w:pPr>
            <w:r>
              <w:rPr>
                <w:rFonts w:hint="eastAsia" w:ascii="宋体" w:hAnsi="宋体" w:cs="宋体"/>
                <w:spacing w:val="-1"/>
                <w:sz w:val="21"/>
                <w:szCs w:val="21"/>
              </w:rPr>
              <w:t>用血预约统计</w:t>
            </w:r>
          </w:p>
        </w:tc>
        <w:tc>
          <w:tcPr>
            <w:tcW w:w="6502" w:type="dxa"/>
            <w:noWrap w:val="0"/>
            <w:vAlign w:val="center"/>
          </w:tcPr>
          <w:p w14:paraId="579474EE">
            <w:pPr>
              <w:pStyle w:val="56"/>
              <w:tabs>
                <w:tab w:val="left" w:pos="7740"/>
              </w:tabs>
              <w:spacing w:line="288" w:lineRule="auto"/>
              <w:rPr>
                <w:rFonts w:ascii="宋体" w:hAnsi="宋体" w:cs="宋体"/>
                <w:spacing w:val="-1"/>
                <w:sz w:val="21"/>
                <w:szCs w:val="21"/>
              </w:rPr>
            </w:pPr>
            <w:r>
              <w:rPr>
                <w:rFonts w:hint="eastAsia" w:ascii="宋体" w:hAnsi="宋体" w:cs="宋体"/>
                <w:spacing w:val="-1"/>
                <w:sz w:val="21"/>
                <w:szCs w:val="21"/>
              </w:rPr>
              <w:t>可统计某时间段预约血情况</w:t>
            </w:r>
          </w:p>
        </w:tc>
      </w:tr>
      <w:tr w14:paraId="39077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1237" w:type="dxa"/>
            <w:vMerge w:val="continue"/>
            <w:noWrap w:val="0"/>
            <w:vAlign w:val="center"/>
          </w:tcPr>
          <w:p w14:paraId="69DC7C4B">
            <w:pPr>
              <w:pStyle w:val="56"/>
              <w:tabs>
                <w:tab w:val="left" w:pos="7740"/>
              </w:tabs>
              <w:spacing w:line="288" w:lineRule="auto"/>
              <w:rPr>
                <w:rFonts w:ascii="宋体" w:hAnsi="宋体" w:cs="宋体"/>
                <w:sz w:val="21"/>
                <w:szCs w:val="21"/>
              </w:rPr>
            </w:pPr>
          </w:p>
        </w:tc>
        <w:tc>
          <w:tcPr>
            <w:tcW w:w="1999" w:type="dxa"/>
            <w:noWrap w:val="0"/>
            <w:vAlign w:val="center"/>
          </w:tcPr>
          <w:p w14:paraId="0662E34A">
            <w:pPr>
              <w:pStyle w:val="56"/>
              <w:tabs>
                <w:tab w:val="left" w:pos="7740"/>
              </w:tabs>
              <w:spacing w:line="288" w:lineRule="auto"/>
              <w:rPr>
                <w:rFonts w:ascii="宋体" w:hAnsi="宋体" w:cs="宋体"/>
                <w:spacing w:val="-1"/>
                <w:sz w:val="21"/>
                <w:szCs w:val="21"/>
              </w:rPr>
            </w:pPr>
            <w:r>
              <w:rPr>
                <w:rFonts w:hint="eastAsia" w:ascii="宋体" w:hAnsi="宋体" w:cs="宋体"/>
                <w:spacing w:val="-1"/>
                <w:sz w:val="21"/>
                <w:szCs w:val="21"/>
              </w:rPr>
              <w:t>输血科工作量日统计</w:t>
            </w:r>
          </w:p>
        </w:tc>
        <w:tc>
          <w:tcPr>
            <w:tcW w:w="6502" w:type="dxa"/>
            <w:noWrap w:val="0"/>
            <w:vAlign w:val="center"/>
          </w:tcPr>
          <w:p w14:paraId="2B70E198">
            <w:pPr>
              <w:pStyle w:val="56"/>
              <w:tabs>
                <w:tab w:val="left" w:pos="7740"/>
              </w:tabs>
              <w:spacing w:line="288" w:lineRule="auto"/>
              <w:rPr>
                <w:rFonts w:ascii="宋体" w:hAnsi="宋体" w:cs="宋体"/>
                <w:spacing w:val="-1"/>
                <w:sz w:val="21"/>
                <w:szCs w:val="21"/>
              </w:rPr>
            </w:pPr>
            <w:r>
              <w:rPr>
                <w:rFonts w:hint="eastAsia" w:ascii="宋体" w:hAnsi="宋体" w:cs="宋体"/>
                <w:spacing w:val="-10"/>
                <w:sz w:val="21"/>
                <w:szCs w:val="21"/>
              </w:rPr>
              <w:t>统计每日配血、发血、血浆工作量</w:t>
            </w:r>
          </w:p>
        </w:tc>
      </w:tr>
      <w:tr w14:paraId="2F202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1237" w:type="dxa"/>
            <w:vMerge w:val="continue"/>
            <w:noWrap w:val="0"/>
            <w:vAlign w:val="center"/>
          </w:tcPr>
          <w:p w14:paraId="2EE201D7">
            <w:pPr>
              <w:pStyle w:val="56"/>
              <w:tabs>
                <w:tab w:val="left" w:pos="7740"/>
              </w:tabs>
              <w:spacing w:line="288" w:lineRule="auto"/>
              <w:rPr>
                <w:rFonts w:ascii="宋体" w:hAnsi="宋体" w:cs="宋体"/>
                <w:sz w:val="21"/>
                <w:szCs w:val="21"/>
              </w:rPr>
            </w:pPr>
          </w:p>
        </w:tc>
        <w:tc>
          <w:tcPr>
            <w:tcW w:w="1999" w:type="dxa"/>
            <w:noWrap w:val="0"/>
            <w:vAlign w:val="center"/>
          </w:tcPr>
          <w:p w14:paraId="74406CB2">
            <w:pPr>
              <w:pStyle w:val="56"/>
              <w:tabs>
                <w:tab w:val="left" w:pos="7740"/>
              </w:tabs>
              <w:spacing w:line="288" w:lineRule="auto"/>
              <w:rPr>
                <w:rFonts w:ascii="宋体" w:hAnsi="宋体" w:cs="宋体"/>
                <w:spacing w:val="-10"/>
                <w:sz w:val="21"/>
                <w:szCs w:val="21"/>
              </w:rPr>
            </w:pPr>
            <w:r>
              <w:rPr>
                <w:rFonts w:hint="eastAsia" w:ascii="宋体" w:hAnsi="宋体" w:cs="宋体"/>
                <w:spacing w:val="-10"/>
                <w:sz w:val="21"/>
                <w:szCs w:val="21"/>
              </w:rPr>
              <w:t>交接班库存统计</w:t>
            </w:r>
          </w:p>
        </w:tc>
        <w:tc>
          <w:tcPr>
            <w:tcW w:w="6502" w:type="dxa"/>
            <w:noWrap w:val="0"/>
            <w:vAlign w:val="center"/>
          </w:tcPr>
          <w:p w14:paraId="4915F16B">
            <w:pPr>
              <w:pStyle w:val="56"/>
              <w:tabs>
                <w:tab w:val="left" w:pos="7740"/>
              </w:tabs>
              <w:spacing w:line="288" w:lineRule="auto"/>
              <w:rPr>
                <w:rFonts w:ascii="宋体" w:hAnsi="宋体" w:cs="宋体"/>
                <w:spacing w:val="-10"/>
                <w:sz w:val="21"/>
                <w:szCs w:val="21"/>
              </w:rPr>
            </w:pPr>
            <w:r>
              <w:rPr>
                <w:rFonts w:hint="eastAsia" w:ascii="宋体" w:hAnsi="宋体" w:cs="宋体"/>
                <w:spacing w:val="-10"/>
                <w:sz w:val="21"/>
                <w:szCs w:val="21"/>
              </w:rPr>
              <w:t>统计每日8:00,12:00,14:30,17:30的不同血型血品种进行结存、入库、出库、退回血站、作废总量</w:t>
            </w:r>
          </w:p>
        </w:tc>
      </w:tr>
      <w:tr w14:paraId="60E99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237" w:type="dxa"/>
            <w:vMerge w:val="continue"/>
            <w:noWrap w:val="0"/>
            <w:vAlign w:val="center"/>
          </w:tcPr>
          <w:p w14:paraId="2D492BF1">
            <w:pPr>
              <w:pStyle w:val="56"/>
              <w:tabs>
                <w:tab w:val="left" w:pos="7740"/>
              </w:tabs>
              <w:spacing w:line="288" w:lineRule="auto"/>
              <w:rPr>
                <w:rFonts w:ascii="宋体" w:hAnsi="宋体" w:cs="宋体"/>
                <w:sz w:val="21"/>
                <w:szCs w:val="21"/>
              </w:rPr>
            </w:pPr>
          </w:p>
        </w:tc>
        <w:tc>
          <w:tcPr>
            <w:tcW w:w="1999" w:type="dxa"/>
            <w:noWrap w:val="0"/>
            <w:vAlign w:val="center"/>
          </w:tcPr>
          <w:p w14:paraId="3C224FEF">
            <w:pPr>
              <w:pStyle w:val="56"/>
              <w:tabs>
                <w:tab w:val="left" w:pos="7740"/>
              </w:tabs>
              <w:spacing w:line="288" w:lineRule="auto"/>
              <w:rPr>
                <w:rFonts w:ascii="宋体" w:hAnsi="宋体" w:cs="宋体"/>
                <w:spacing w:val="-10"/>
                <w:sz w:val="21"/>
                <w:szCs w:val="21"/>
              </w:rPr>
            </w:pPr>
            <w:r>
              <w:rPr>
                <w:rFonts w:hint="eastAsia" w:ascii="宋体" w:hAnsi="宋体" w:cs="宋体"/>
                <w:spacing w:val="-10"/>
                <w:sz w:val="21"/>
                <w:szCs w:val="21"/>
              </w:rPr>
              <w:t>输血适应症变化</w:t>
            </w:r>
          </w:p>
        </w:tc>
        <w:tc>
          <w:tcPr>
            <w:tcW w:w="6502" w:type="dxa"/>
            <w:noWrap w:val="0"/>
            <w:vAlign w:val="center"/>
          </w:tcPr>
          <w:p w14:paraId="1A5CBD82">
            <w:pPr>
              <w:pStyle w:val="56"/>
              <w:tabs>
                <w:tab w:val="left" w:pos="7740"/>
              </w:tabs>
              <w:spacing w:line="288" w:lineRule="auto"/>
              <w:rPr>
                <w:rFonts w:ascii="宋体" w:hAnsi="宋体" w:cs="宋体"/>
                <w:spacing w:val="-10"/>
                <w:sz w:val="21"/>
                <w:szCs w:val="21"/>
              </w:rPr>
            </w:pPr>
            <w:r>
              <w:rPr>
                <w:rFonts w:hint="eastAsia" w:ascii="宋体" w:hAnsi="宋体" w:cs="宋体"/>
                <w:spacing w:val="-10"/>
                <w:sz w:val="21"/>
                <w:szCs w:val="21"/>
              </w:rPr>
              <w:t>可以清晰的看出输血对指标的影响，以判断输血的有效性</w:t>
            </w:r>
          </w:p>
        </w:tc>
      </w:tr>
      <w:tr w14:paraId="5E8AF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237" w:type="dxa"/>
            <w:vMerge w:val="continue"/>
            <w:noWrap w:val="0"/>
            <w:vAlign w:val="center"/>
          </w:tcPr>
          <w:p w14:paraId="38B52AF5">
            <w:pPr>
              <w:pStyle w:val="56"/>
              <w:tabs>
                <w:tab w:val="left" w:pos="7740"/>
              </w:tabs>
              <w:spacing w:line="288" w:lineRule="auto"/>
              <w:rPr>
                <w:rFonts w:ascii="宋体" w:hAnsi="宋体" w:cs="宋体"/>
                <w:sz w:val="21"/>
                <w:szCs w:val="21"/>
              </w:rPr>
            </w:pPr>
          </w:p>
        </w:tc>
        <w:tc>
          <w:tcPr>
            <w:tcW w:w="1999" w:type="dxa"/>
            <w:noWrap w:val="0"/>
            <w:vAlign w:val="center"/>
          </w:tcPr>
          <w:p w14:paraId="6E3D2A49">
            <w:pPr>
              <w:pStyle w:val="56"/>
              <w:tabs>
                <w:tab w:val="left" w:pos="7740"/>
              </w:tabs>
              <w:spacing w:line="288" w:lineRule="auto"/>
              <w:rPr>
                <w:rFonts w:ascii="宋体" w:hAnsi="宋体" w:cs="宋体"/>
                <w:spacing w:val="-10"/>
                <w:sz w:val="21"/>
                <w:szCs w:val="21"/>
              </w:rPr>
            </w:pPr>
            <w:r>
              <w:rPr>
                <w:rFonts w:hint="eastAsia" w:ascii="宋体" w:hAnsi="宋体" w:cs="宋体"/>
                <w:spacing w:val="-10"/>
                <w:sz w:val="21"/>
                <w:szCs w:val="21"/>
              </w:rPr>
              <w:t>配血发血记录统计</w:t>
            </w:r>
          </w:p>
        </w:tc>
        <w:tc>
          <w:tcPr>
            <w:tcW w:w="6502" w:type="dxa"/>
            <w:noWrap w:val="0"/>
            <w:vAlign w:val="center"/>
          </w:tcPr>
          <w:p w14:paraId="7852DE1F">
            <w:pPr>
              <w:pStyle w:val="56"/>
              <w:tabs>
                <w:tab w:val="left" w:pos="7740"/>
              </w:tabs>
              <w:spacing w:line="288" w:lineRule="auto"/>
              <w:rPr>
                <w:rFonts w:ascii="宋体" w:hAnsi="宋体" w:cs="宋体"/>
                <w:spacing w:val="-10"/>
                <w:sz w:val="21"/>
                <w:szCs w:val="21"/>
              </w:rPr>
            </w:pPr>
            <w:r>
              <w:rPr>
                <w:rFonts w:hint="eastAsia" w:ascii="宋体" w:hAnsi="宋体" w:cs="宋体"/>
                <w:spacing w:val="-10"/>
                <w:sz w:val="21"/>
                <w:szCs w:val="21"/>
              </w:rPr>
              <w:t>可以代替现行的配血发血登记本</w:t>
            </w:r>
          </w:p>
        </w:tc>
      </w:tr>
      <w:tr w14:paraId="4ECD9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237" w:type="dxa"/>
            <w:vMerge w:val="restart"/>
            <w:noWrap w:val="0"/>
            <w:vAlign w:val="center"/>
          </w:tcPr>
          <w:p w14:paraId="43473241">
            <w:pPr>
              <w:pStyle w:val="56"/>
              <w:tabs>
                <w:tab w:val="left" w:pos="7740"/>
              </w:tabs>
              <w:spacing w:line="288" w:lineRule="auto"/>
              <w:rPr>
                <w:rFonts w:ascii="宋体" w:hAnsi="宋体" w:cs="宋体"/>
                <w:sz w:val="21"/>
                <w:szCs w:val="21"/>
              </w:rPr>
            </w:pPr>
            <w:r>
              <w:rPr>
                <w:rFonts w:hint="eastAsia" w:ascii="宋体" w:hAnsi="宋体" w:cs="宋体"/>
                <w:sz w:val="21"/>
                <w:szCs w:val="21"/>
              </w:rPr>
              <w:t>其他业务辅助功能</w:t>
            </w:r>
          </w:p>
        </w:tc>
        <w:tc>
          <w:tcPr>
            <w:tcW w:w="1999" w:type="dxa"/>
            <w:noWrap w:val="0"/>
            <w:vAlign w:val="top"/>
          </w:tcPr>
          <w:p w14:paraId="36244B04">
            <w:pPr>
              <w:pStyle w:val="56"/>
              <w:tabs>
                <w:tab w:val="left" w:pos="7740"/>
              </w:tabs>
              <w:spacing w:line="288" w:lineRule="auto"/>
              <w:rPr>
                <w:rFonts w:ascii="宋体" w:hAnsi="宋体" w:cs="宋体"/>
                <w:spacing w:val="-1"/>
                <w:sz w:val="21"/>
                <w:szCs w:val="21"/>
              </w:rPr>
            </w:pPr>
            <w:r>
              <w:rPr>
                <w:rFonts w:hint="eastAsia" w:ascii="宋体" w:hAnsi="宋体" w:cs="宋体"/>
                <w:sz w:val="21"/>
                <w:szCs w:val="21"/>
              </w:rPr>
              <w:t>文件管理</w:t>
            </w:r>
          </w:p>
        </w:tc>
        <w:tc>
          <w:tcPr>
            <w:tcW w:w="6502" w:type="dxa"/>
            <w:noWrap w:val="0"/>
            <w:vAlign w:val="center"/>
          </w:tcPr>
          <w:p w14:paraId="0AC150F1">
            <w:pPr>
              <w:pStyle w:val="56"/>
              <w:tabs>
                <w:tab w:val="left" w:pos="7740"/>
              </w:tabs>
              <w:spacing w:line="288" w:lineRule="auto"/>
              <w:rPr>
                <w:rFonts w:ascii="宋体" w:hAnsi="宋体" w:cs="宋体"/>
                <w:spacing w:val="-1"/>
                <w:sz w:val="21"/>
                <w:szCs w:val="21"/>
              </w:rPr>
            </w:pPr>
            <w:r>
              <w:rPr>
                <w:rFonts w:hint="eastAsia" w:ascii="宋体" w:hAnsi="宋体" w:cs="宋体"/>
                <w:sz w:val="21"/>
                <w:szCs w:val="21"/>
              </w:rPr>
              <w:t>提供输血科内部进行上传、下载、传阅文件</w:t>
            </w:r>
          </w:p>
        </w:tc>
      </w:tr>
      <w:tr w14:paraId="08FD9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1237" w:type="dxa"/>
            <w:vMerge w:val="continue"/>
            <w:noWrap w:val="0"/>
            <w:vAlign w:val="center"/>
          </w:tcPr>
          <w:p w14:paraId="69EA8714">
            <w:pPr>
              <w:pStyle w:val="56"/>
              <w:tabs>
                <w:tab w:val="left" w:pos="7740"/>
              </w:tabs>
              <w:spacing w:line="288" w:lineRule="auto"/>
              <w:rPr>
                <w:rFonts w:ascii="宋体" w:hAnsi="宋体" w:cs="宋体"/>
                <w:sz w:val="21"/>
                <w:szCs w:val="21"/>
              </w:rPr>
            </w:pPr>
          </w:p>
        </w:tc>
        <w:tc>
          <w:tcPr>
            <w:tcW w:w="1999" w:type="dxa"/>
            <w:noWrap w:val="0"/>
            <w:vAlign w:val="center"/>
          </w:tcPr>
          <w:p w14:paraId="094C815D">
            <w:pPr>
              <w:pStyle w:val="56"/>
              <w:tabs>
                <w:tab w:val="left" w:pos="7740"/>
              </w:tabs>
              <w:spacing w:line="288" w:lineRule="auto"/>
              <w:rPr>
                <w:rFonts w:ascii="宋体" w:hAnsi="宋体" w:cs="宋体"/>
                <w:spacing w:val="-10"/>
                <w:sz w:val="21"/>
                <w:szCs w:val="21"/>
              </w:rPr>
            </w:pPr>
            <w:r>
              <w:rPr>
                <w:rFonts w:hint="eastAsia" w:ascii="宋体" w:hAnsi="宋体" w:cs="宋体"/>
                <w:sz w:val="21"/>
                <w:szCs w:val="21"/>
                <w:lang w:val="zh-CN"/>
              </w:rPr>
              <w:t>▲</w:t>
            </w:r>
            <w:r>
              <w:rPr>
                <w:rFonts w:hint="eastAsia" w:ascii="宋体" w:hAnsi="宋体" w:cs="宋体"/>
                <w:spacing w:val="-10"/>
                <w:sz w:val="21"/>
                <w:szCs w:val="21"/>
              </w:rPr>
              <w:t>满足《临床用血质量质量指标（2019）版》</w:t>
            </w:r>
          </w:p>
        </w:tc>
        <w:tc>
          <w:tcPr>
            <w:tcW w:w="6502" w:type="dxa"/>
            <w:noWrap w:val="0"/>
            <w:vAlign w:val="center"/>
          </w:tcPr>
          <w:p w14:paraId="54E0E959">
            <w:pPr>
              <w:pStyle w:val="56"/>
              <w:tabs>
                <w:tab w:val="left" w:pos="7740"/>
              </w:tabs>
              <w:spacing w:line="288" w:lineRule="auto"/>
              <w:rPr>
                <w:rFonts w:ascii="宋体" w:hAnsi="宋体" w:cs="宋体"/>
                <w:spacing w:val="-10"/>
                <w:sz w:val="21"/>
                <w:szCs w:val="21"/>
              </w:rPr>
            </w:pPr>
            <w:r>
              <w:rPr>
                <w:rFonts w:hint="eastAsia" w:ascii="宋体" w:hAnsi="宋体" w:cs="宋体"/>
                <w:spacing w:val="-10"/>
                <w:sz w:val="21"/>
                <w:szCs w:val="21"/>
              </w:rPr>
              <w:t>可以统计该指标中的10个核心内容，满足三甲评审质控标准</w:t>
            </w:r>
          </w:p>
        </w:tc>
      </w:tr>
      <w:tr w14:paraId="4B3CB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237" w:type="dxa"/>
            <w:vMerge w:val="continue"/>
            <w:noWrap w:val="0"/>
            <w:vAlign w:val="top"/>
          </w:tcPr>
          <w:p w14:paraId="587DDD96">
            <w:pPr>
              <w:pStyle w:val="56"/>
              <w:tabs>
                <w:tab w:val="left" w:pos="7740"/>
              </w:tabs>
              <w:spacing w:line="288" w:lineRule="auto"/>
              <w:rPr>
                <w:rFonts w:ascii="宋体" w:hAnsi="宋体" w:cs="宋体"/>
                <w:sz w:val="21"/>
                <w:szCs w:val="21"/>
              </w:rPr>
            </w:pPr>
          </w:p>
        </w:tc>
        <w:tc>
          <w:tcPr>
            <w:tcW w:w="1999" w:type="dxa"/>
            <w:noWrap w:val="0"/>
            <w:vAlign w:val="top"/>
          </w:tcPr>
          <w:p w14:paraId="71A483B0">
            <w:pPr>
              <w:pStyle w:val="56"/>
              <w:tabs>
                <w:tab w:val="left" w:pos="7740"/>
              </w:tabs>
              <w:spacing w:line="288" w:lineRule="auto"/>
              <w:rPr>
                <w:rFonts w:ascii="宋体" w:hAnsi="宋体" w:cs="宋体"/>
                <w:spacing w:val="-1"/>
                <w:sz w:val="21"/>
                <w:szCs w:val="21"/>
              </w:rPr>
            </w:pPr>
            <w:r>
              <w:rPr>
                <w:rFonts w:hint="eastAsia" w:ascii="宋体" w:hAnsi="宋体" w:cs="宋体"/>
                <w:sz w:val="21"/>
                <w:szCs w:val="21"/>
              </w:rPr>
              <w:t>公告管理</w:t>
            </w:r>
          </w:p>
        </w:tc>
        <w:tc>
          <w:tcPr>
            <w:tcW w:w="6502" w:type="dxa"/>
            <w:noWrap w:val="0"/>
            <w:vAlign w:val="center"/>
          </w:tcPr>
          <w:p w14:paraId="23416441">
            <w:pPr>
              <w:pStyle w:val="56"/>
              <w:tabs>
                <w:tab w:val="left" w:pos="7740"/>
              </w:tabs>
              <w:spacing w:line="288" w:lineRule="auto"/>
              <w:rPr>
                <w:rFonts w:ascii="宋体" w:hAnsi="宋体" w:cs="宋体"/>
                <w:spacing w:val="-1"/>
                <w:sz w:val="21"/>
                <w:szCs w:val="21"/>
              </w:rPr>
            </w:pPr>
            <w:r>
              <w:rPr>
                <w:rFonts w:hint="eastAsia" w:ascii="宋体" w:hAnsi="宋体" w:cs="宋体"/>
                <w:sz w:val="21"/>
                <w:szCs w:val="21"/>
              </w:rPr>
              <w:t>提供发布公告信息或及通知给临床科室的功能</w:t>
            </w:r>
          </w:p>
        </w:tc>
      </w:tr>
      <w:tr w14:paraId="45DF9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4" w:hRule="atLeast"/>
          <w:jc w:val="center"/>
        </w:trPr>
        <w:tc>
          <w:tcPr>
            <w:tcW w:w="1237" w:type="dxa"/>
            <w:vMerge w:val="continue"/>
            <w:noWrap w:val="0"/>
            <w:vAlign w:val="top"/>
          </w:tcPr>
          <w:p w14:paraId="41367609">
            <w:pPr>
              <w:pStyle w:val="56"/>
              <w:tabs>
                <w:tab w:val="left" w:pos="7740"/>
              </w:tabs>
              <w:spacing w:line="288" w:lineRule="auto"/>
              <w:rPr>
                <w:rFonts w:ascii="宋体" w:hAnsi="宋体" w:cs="宋体"/>
                <w:sz w:val="21"/>
                <w:szCs w:val="21"/>
              </w:rPr>
            </w:pPr>
          </w:p>
        </w:tc>
        <w:tc>
          <w:tcPr>
            <w:tcW w:w="1999" w:type="dxa"/>
            <w:noWrap w:val="0"/>
            <w:vAlign w:val="top"/>
          </w:tcPr>
          <w:p w14:paraId="6504F96A">
            <w:pPr>
              <w:pStyle w:val="56"/>
              <w:tabs>
                <w:tab w:val="left" w:pos="7740"/>
              </w:tabs>
              <w:spacing w:line="288" w:lineRule="auto"/>
              <w:rPr>
                <w:rFonts w:ascii="宋体" w:hAnsi="宋体" w:cs="宋体"/>
                <w:sz w:val="21"/>
                <w:szCs w:val="21"/>
              </w:rPr>
            </w:pPr>
          </w:p>
          <w:p w14:paraId="634999D1">
            <w:pPr>
              <w:pStyle w:val="56"/>
              <w:tabs>
                <w:tab w:val="left" w:pos="7740"/>
              </w:tabs>
              <w:spacing w:line="288" w:lineRule="auto"/>
              <w:rPr>
                <w:rFonts w:ascii="宋体" w:hAnsi="宋体" w:cs="宋体"/>
                <w:sz w:val="21"/>
                <w:szCs w:val="21"/>
              </w:rPr>
            </w:pPr>
            <w:r>
              <w:rPr>
                <w:rFonts w:hint="eastAsia" w:ascii="宋体" w:hAnsi="宋体" w:cs="宋体"/>
                <w:sz w:val="21"/>
                <w:szCs w:val="21"/>
              </w:rPr>
              <w:t>危急值通知</w:t>
            </w:r>
          </w:p>
          <w:p w14:paraId="5E56E0D7">
            <w:pPr>
              <w:pStyle w:val="56"/>
              <w:tabs>
                <w:tab w:val="left" w:pos="7740"/>
              </w:tabs>
              <w:spacing w:line="288" w:lineRule="auto"/>
              <w:rPr>
                <w:rFonts w:ascii="宋体" w:hAnsi="宋体" w:cs="宋体"/>
                <w:sz w:val="21"/>
                <w:szCs w:val="21"/>
              </w:rPr>
            </w:pPr>
          </w:p>
        </w:tc>
        <w:tc>
          <w:tcPr>
            <w:tcW w:w="6502" w:type="dxa"/>
            <w:noWrap w:val="0"/>
            <w:vAlign w:val="center"/>
          </w:tcPr>
          <w:p w14:paraId="567D5F62">
            <w:pPr>
              <w:pStyle w:val="56"/>
              <w:tabs>
                <w:tab w:val="left" w:pos="7740"/>
              </w:tabs>
              <w:spacing w:line="288" w:lineRule="auto"/>
              <w:rPr>
                <w:rFonts w:ascii="宋体" w:hAnsi="宋体" w:cs="宋体"/>
                <w:sz w:val="21"/>
                <w:szCs w:val="21"/>
              </w:rPr>
            </w:pPr>
            <w:r>
              <w:rPr>
                <w:rFonts w:hint="eastAsia" w:ascii="宋体" w:hAnsi="宋体" w:cs="宋体"/>
                <w:sz w:val="21"/>
                <w:szCs w:val="21"/>
              </w:rPr>
              <w:t>支持通过系统发送消息通知临床病人检验结果出现特殊值，针对输血系统的危急值分类有：疑难交叉配血、疑难血型鉴定、RH阴性、抗体筛查阳性等</w:t>
            </w:r>
          </w:p>
        </w:tc>
      </w:tr>
      <w:tr w14:paraId="6676A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237" w:type="dxa"/>
            <w:vMerge w:val="continue"/>
            <w:noWrap w:val="0"/>
            <w:vAlign w:val="top"/>
          </w:tcPr>
          <w:p w14:paraId="285D1953">
            <w:pPr>
              <w:pStyle w:val="56"/>
              <w:tabs>
                <w:tab w:val="left" w:pos="7740"/>
              </w:tabs>
              <w:spacing w:line="288" w:lineRule="auto"/>
              <w:rPr>
                <w:rFonts w:ascii="宋体" w:hAnsi="宋体" w:cs="宋体"/>
                <w:sz w:val="21"/>
                <w:szCs w:val="21"/>
              </w:rPr>
            </w:pPr>
          </w:p>
        </w:tc>
        <w:tc>
          <w:tcPr>
            <w:tcW w:w="1999" w:type="dxa"/>
            <w:noWrap w:val="0"/>
            <w:vAlign w:val="center"/>
          </w:tcPr>
          <w:p w14:paraId="7E9FB7D4">
            <w:pPr>
              <w:pStyle w:val="56"/>
              <w:tabs>
                <w:tab w:val="left" w:pos="7740"/>
              </w:tabs>
              <w:spacing w:line="288" w:lineRule="auto"/>
              <w:rPr>
                <w:rFonts w:ascii="宋体" w:hAnsi="宋体" w:cs="宋体"/>
                <w:spacing w:val="-1"/>
                <w:sz w:val="21"/>
                <w:szCs w:val="21"/>
              </w:rPr>
            </w:pPr>
            <w:r>
              <w:rPr>
                <w:rFonts w:hint="eastAsia" w:ascii="宋体" w:hAnsi="宋体" w:cs="宋体"/>
                <w:sz w:val="21"/>
                <w:szCs w:val="21"/>
              </w:rPr>
              <w:t>交接班记录</w:t>
            </w:r>
          </w:p>
        </w:tc>
        <w:tc>
          <w:tcPr>
            <w:tcW w:w="6502" w:type="dxa"/>
            <w:noWrap w:val="0"/>
            <w:vAlign w:val="center"/>
          </w:tcPr>
          <w:p w14:paraId="515E6AD3">
            <w:pPr>
              <w:pStyle w:val="56"/>
              <w:tabs>
                <w:tab w:val="left" w:pos="7740"/>
              </w:tabs>
              <w:spacing w:line="288" w:lineRule="auto"/>
              <w:rPr>
                <w:rFonts w:ascii="宋体" w:hAnsi="宋体" w:cs="宋体"/>
                <w:sz w:val="21"/>
                <w:szCs w:val="21"/>
              </w:rPr>
            </w:pPr>
            <w:r>
              <w:rPr>
                <w:rFonts w:hint="eastAsia" w:ascii="宋体" w:hAnsi="宋体" w:cs="宋体"/>
                <w:sz w:val="21"/>
                <w:szCs w:val="21"/>
              </w:rPr>
              <w:t>登记血库人员交接班的信息</w:t>
            </w:r>
          </w:p>
        </w:tc>
      </w:tr>
      <w:tr w14:paraId="47764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237" w:type="dxa"/>
            <w:vMerge w:val="continue"/>
            <w:noWrap w:val="0"/>
            <w:vAlign w:val="top"/>
          </w:tcPr>
          <w:p w14:paraId="59C65EFB">
            <w:pPr>
              <w:pStyle w:val="56"/>
              <w:tabs>
                <w:tab w:val="left" w:pos="7740"/>
              </w:tabs>
              <w:spacing w:line="288" w:lineRule="auto"/>
              <w:rPr>
                <w:rFonts w:ascii="宋体" w:hAnsi="宋体" w:cs="宋体"/>
                <w:sz w:val="21"/>
                <w:szCs w:val="21"/>
              </w:rPr>
            </w:pPr>
          </w:p>
        </w:tc>
        <w:tc>
          <w:tcPr>
            <w:tcW w:w="1999" w:type="dxa"/>
            <w:noWrap w:val="0"/>
            <w:vAlign w:val="center"/>
          </w:tcPr>
          <w:p w14:paraId="1C5687A5">
            <w:pPr>
              <w:pStyle w:val="56"/>
              <w:tabs>
                <w:tab w:val="left" w:pos="7740"/>
              </w:tabs>
              <w:spacing w:line="288" w:lineRule="auto"/>
              <w:rPr>
                <w:rFonts w:ascii="宋体" w:hAnsi="宋体" w:cs="宋体"/>
                <w:sz w:val="21"/>
                <w:szCs w:val="21"/>
              </w:rPr>
            </w:pPr>
            <w:r>
              <w:rPr>
                <w:rFonts w:hint="eastAsia" w:ascii="宋体" w:hAnsi="宋体" w:cs="宋体"/>
                <w:sz w:val="21"/>
                <w:szCs w:val="21"/>
              </w:rPr>
              <w:t>冷链记录管理</w:t>
            </w:r>
          </w:p>
        </w:tc>
        <w:tc>
          <w:tcPr>
            <w:tcW w:w="6502" w:type="dxa"/>
            <w:noWrap w:val="0"/>
            <w:vAlign w:val="center"/>
          </w:tcPr>
          <w:p w14:paraId="79E49A9A">
            <w:pPr>
              <w:pStyle w:val="56"/>
              <w:tabs>
                <w:tab w:val="left" w:pos="7740"/>
              </w:tabs>
              <w:spacing w:line="288" w:lineRule="auto"/>
              <w:rPr>
                <w:rFonts w:ascii="宋体" w:hAnsi="宋体" w:cs="宋体"/>
                <w:sz w:val="21"/>
                <w:szCs w:val="21"/>
              </w:rPr>
            </w:pPr>
            <w:r>
              <w:rPr>
                <w:rFonts w:hint="eastAsia" w:ascii="宋体" w:hAnsi="宋体" w:cs="宋体"/>
                <w:sz w:val="21"/>
                <w:szCs w:val="21"/>
              </w:rPr>
              <w:t>支持自动和手工登记血液冰箱温度信息。</w:t>
            </w:r>
          </w:p>
        </w:tc>
      </w:tr>
      <w:tr w14:paraId="2A7E6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237" w:type="dxa"/>
            <w:vMerge w:val="restart"/>
            <w:noWrap w:val="0"/>
            <w:vAlign w:val="center"/>
          </w:tcPr>
          <w:p w14:paraId="65607AED">
            <w:pPr>
              <w:pStyle w:val="56"/>
              <w:tabs>
                <w:tab w:val="left" w:pos="7740"/>
              </w:tabs>
              <w:spacing w:line="288" w:lineRule="auto"/>
              <w:rPr>
                <w:rFonts w:ascii="宋体" w:hAnsi="宋体" w:cs="宋体"/>
                <w:sz w:val="21"/>
                <w:szCs w:val="21"/>
              </w:rPr>
            </w:pPr>
            <w:r>
              <w:rPr>
                <w:rFonts w:hint="eastAsia" w:ascii="宋体" w:hAnsi="宋体" w:cs="宋体"/>
                <w:sz w:val="21"/>
                <w:szCs w:val="21"/>
              </w:rPr>
              <w:t>基础设置</w:t>
            </w:r>
          </w:p>
        </w:tc>
        <w:tc>
          <w:tcPr>
            <w:tcW w:w="1999" w:type="dxa"/>
            <w:noWrap w:val="0"/>
            <w:vAlign w:val="center"/>
          </w:tcPr>
          <w:p w14:paraId="24323598">
            <w:pPr>
              <w:pStyle w:val="56"/>
              <w:tabs>
                <w:tab w:val="left" w:pos="7740"/>
              </w:tabs>
              <w:spacing w:line="288" w:lineRule="auto"/>
              <w:rPr>
                <w:rFonts w:ascii="宋体" w:hAnsi="宋体" w:cs="宋体"/>
                <w:spacing w:val="-1"/>
                <w:sz w:val="21"/>
                <w:szCs w:val="21"/>
              </w:rPr>
            </w:pPr>
            <w:r>
              <w:rPr>
                <w:rFonts w:hint="eastAsia" w:ascii="宋体" w:hAnsi="宋体" w:cs="宋体"/>
                <w:sz w:val="21"/>
                <w:szCs w:val="21"/>
              </w:rPr>
              <w:t>基础信息</w:t>
            </w:r>
          </w:p>
        </w:tc>
        <w:tc>
          <w:tcPr>
            <w:tcW w:w="6502" w:type="dxa"/>
            <w:noWrap w:val="0"/>
            <w:vAlign w:val="center"/>
          </w:tcPr>
          <w:p w14:paraId="12EA53ED">
            <w:pPr>
              <w:pStyle w:val="56"/>
              <w:tabs>
                <w:tab w:val="left" w:pos="7740"/>
              </w:tabs>
              <w:spacing w:line="288" w:lineRule="auto"/>
              <w:rPr>
                <w:rFonts w:ascii="宋体" w:hAnsi="宋体" w:cs="宋体"/>
                <w:spacing w:val="-1"/>
                <w:sz w:val="21"/>
                <w:szCs w:val="21"/>
              </w:rPr>
            </w:pPr>
            <w:r>
              <w:rPr>
                <w:rFonts w:hint="eastAsia" w:ascii="宋体" w:hAnsi="宋体" w:cs="宋体"/>
                <w:sz w:val="21"/>
                <w:szCs w:val="21"/>
              </w:rPr>
              <w:t>设置医院信息、血液品种及各数据字典信息</w:t>
            </w:r>
          </w:p>
        </w:tc>
      </w:tr>
      <w:tr w14:paraId="2591E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237" w:type="dxa"/>
            <w:vMerge w:val="continue"/>
            <w:noWrap w:val="0"/>
            <w:vAlign w:val="center"/>
          </w:tcPr>
          <w:p w14:paraId="02A340D8">
            <w:pPr>
              <w:pStyle w:val="56"/>
              <w:tabs>
                <w:tab w:val="left" w:pos="7740"/>
              </w:tabs>
              <w:spacing w:line="288" w:lineRule="auto"/>
              <w:rPr>
                <w:rFonts w:ascii="宋体" w:hAnsi="宋体" w:cs="宋体"/>
                <w:sz w:val="21"/>
                <w:szCs w:val="21"/>
              </w:rPr>
            </w:pPr>
          </w:p>
        </w:tc>
        <w:tc>
          <w:tcPr>
            <w:tcW w:w="1999" w:type="dxa"/>
            <w:noWrap w:val="0"/>
            <w:vAlign w:val="center"/>
          </w:tcPr>
          <w:p w14:paraId="1190318F">
            <w:pPr>
              <w:pStyle w:val="56"/>
              <w:tabs>
                <w:tab w:val="left" w:pos="7740"/>
              </w:tabs>
              <w:spacing w:line="288" w:lineRule="auto"/>
              <w:rPr>
                <w:rFonts w:ascii="宋体" w:hAnsi="宋体" w:cs="宋体"/>
                <w:spacing w:val="-1"/>
                <w:sz w:val="21"/>
                <w:szCs w:val="21"/>
              </w:rPr>
            </w:pPr>
            <w:r>
              <w:rPr>
                <w:rFonts w:hint="eastAsia" w:ascii="宋体" w:hAnsi="宋体" w:cs="宋体"/>
                <w:sz w:val="21"/>
                <w:szCs w:val="21"/>
              </w:rPr>
              <w:t>工作组设置</w:t>
            </w:r>
          </w:p>
        </w:tc>
        <w:tc>
          <w:tcPr>
            <w:tcW w:w="6502" w:type="dxa"/>
            <w:noWrap w:val="0"/>
            <w:vAlign w:val="center"/>
          </w:tcPr>
          <w:p w14:paraId="6CA87123">
            <w:pPr>
              <w:pStyle w:val="56"/>
              <w:tabs>
                <w:tab w:val="left" w:pos="7740"/>
              </w:tabs>
              <w:spacing w:line="288" w:lineRule="auto"/>
              <w:rPr>
                <w:rFonts w:ascii="宋体" w:hAnsi="宋体" w:cs="宋体"/>
                <w:spacing w:val="-1"/>
                <w:sz w:val="21"/>
                <w:szCs w:val="21"/>
              </w:rPr>
            </w:pPr>
            <w:r>
              <w:rPr>
                <w:rFonts w:hint="eastAsia" w:ascii="宋体" w:hAnsi="宋体" w:cs="宋体"/>
                <w:sz w:val="21"/>
                <w:szCs w:val="21"/>
              </w:rPr>
              <w:t>设置用户工作组，及设定工作组权限</w:t>
            </w:r>
          </w:p>
        </w:tc>
      </w:tr>
      <w:tr w14:paraId="70D61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237" w:type="dxa"/>
            <w:vMerge w:val="continue"/>
            <w:noWrap w:val="0"/>
            <w:vAlign w:val="center"/>
          </w:tcPr>
          <w:p w14:paraId="72E0E058">
            <w:pPr>
              <w:pStyle w:val="56"/>
              <w:tabs>
                <w:tab w:val="left" w:pos="7740"/>
              </w:tabs>
              <w:spacing w:line="288" w:lineRule="auto"/>
              <w:rPr>
                <w:rFonts w:ascii="宋体" w:hAnsi="宋体" w:cs="宋体"/>
                <w:sz w:val="21"/>
                <w:szCs w:val="21"/>
              </w:rPr>
            </w:pPr>
          </w:p>
        </w:tc>
        <w:tc>
          <w:tcPr>
            <w:tcW w:w="1999" w:type="dxa"/>
            <w:noWrap w:val="0"/>
            <w:vAlign w:val="center"/>
          </w:tcPr>
          <w:p w14:paraId="3B6E7B9B">
            <w:pPr>
              <w:pStyle w:val="56"/>
              <w:tabs>
                <w:tab w:val="left" w:pos="7740"/>
              </w:tabs>
              <w:spacing w:line="288" w:lineRule="auto"/>
              <w:rPr>
                <w:rFonts w:ascii="宋体" w:hAnsi="宋体" w:cs="宋体"/>
                <w:spacing w:val="-1"/>
                <w:sz w:val="21"/>
                <w:szCs w:val="21"/>
              </w:rPr>
            </w:pPr>
            <w:r>
              <w:rPr>
                <w:rFonts w:hint="eastAsia" w:ascii="宋体" w:hAnsi="宋体" w:cs="宋体"/>
                <w:sz w:val="21"/>
                <w:szCs w:val="21"/>
              </w:rPr>
              <w:t>用户设置</w:t>
            </w:r>
          </w:p>
        </w:tc>
        <w:tc>
          <w:tcPr>
            <w:tcW w:w="6502" w:type="dxa"/>
            <w:noWrap w:val="0"/>
            <w:vAlign w:val="center"/>
          </w:tcPr>
          <w:p w14:paraId="6E460831">
            <w:pPr>
              <w:pStyle w:val="56"/>
              <w:tabs>
                <w:tab w:val="left" w:pos="7740"/>
              </w:tabs>
              <w:spacing w:line="288" w:lineRule="auto"/>
              <w:rPr>
                <w:rFonts w:ascii="宋体" w:hAnsi="宋体" w:cs="宋体"/>
                <w:spacing w:val="-1"/>
                <w:sz w:val="21"/>
                <w:szCs w:val="21"/>
              </w:rPr>
            </w:pPr>
            <w:r>
              <w:rPr>
                <w:rFonts w:hint="eastAsia" w:ascii="宋体" w:hAnsi="宋体" w:cs="宋体"/>
                <w:sz w:val="21"/>
                <w:szCs w:val="21"/>
              </w:rPr>
              <w:t>设置系统的使用用户</w:t>
            </w:r>
          </w:p>
        </w:tc>
      </w:tr>
      <w:tr w14:paraId="1C9CB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237" w:type="dxa"/>
            <w:vMerge w:val="continue"/>
            <w:noWrap w:val="0"/>
            <w:vAlign w:val="center"/>
          </w:tcPr>
          <w:p w14:paraId="41FC0CB6">
            <w:pPr>
              <w:pStyle w:val="56"/>
              <w:tabs>
                <w:tab w:val="left" w:pos="7740"/>
              </w:tabs>
              <w:spacing w:line="288" w:lineRule="auto"/>
              <w:rPr>
                <w:rFonts w:ascii="宋体" w:hAnsi="宋体" w:cs="宋体"/>
                <w:sz w:val="21"/>
                <w:szCs w:val="21"/>
              </w:rPr>
            </w:pPr>
          </w:p>
        </w:tc>
        <w:tc>
          <w:tcPr>
            <w:tcW w:w="1999" w:type="dxa"/>
            <w:noWrap w:val="0"/>
            <w:vAlign w:val="center"/>
          </w:tcPr>
          <w:p w14:paraId="00AB4087">
            <w:pPr>
              <w:pStyle w:val="56"/>
              <w:tabs>
                <w:tab w:val="left" w:pos="7740"/>
              </w:tabs>
              <w:spacing w:line="288" w:lineRule="auto"/>
              <w:rPr>
                <w:rFonts w:ascii="宋体" w:hAnsi="宋体" w:cs="宋体"/>
                <w:spacing w:val="-1"/>
                <w:sz w:val="21"/>
                <w:szCs w:val="21"/>
              </w:rPr>
            </w:pPr>
            <w:r>
              <w:rPr>
                <w:rFonts w:hint="eastAsia" w:ascii="宋体" w:hAnsi="宋体" w:cs="宋体"/>
                <w:sz w:val="21"/>
                <w:szCs w:val="21"/>
              </w:rPr>
              <w:t>用户权限设置</w:t>
            </w:r>
          </w:p>
        </w:tc>
        <w:tc>
          <w:tcPr>
            <w:tcW w:w="6502" w:type="dxa"/>
            <w:noWrap w:val="0"/>
            <w:vAlign w:val="center"/>
          </w:tcPr>
          <w:p w14:paraId="5E234AC8">
            <w:pPr>
              <w:pStyle w:val="56"/>
              <w:tabs>
                <w:tab w:val="left" w:pos="7740"/>
              </w:tabs>
              <w:spacing w:line="288" w:lineRule="auto"/>
              <w:rPr>
                <w:rFonts w:ascii="宋体" w:hAnsi="宋体" w:cs="宋体"/>
                <w:spacing w:val="-1"/>
                <w:sz w:val="21"/>
                <w:szCs w:val="21"/>
              </w:rPr>
            </w:pPr>
            <w:r>
              <w:rPr>
                <w:rFonts w:hint="eastAsia" w:ascii="宋体" w:hAnsi="宋体" w:cs="宋体"/>
                <w:sz w:val="21"/>
                <w:szCs w:val="21"/>
              </w:rPr>
              <w:t>设置使用用户的操作权限</w:t>
            </w:r>
          </w:p>
        </w:tc>
      </w:tr>
      <w:tr w14:paraId="4E7C8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237" w:type="dxa"/>
            <w:vMerge w:val="continue"/>
            <w:noWrap w:val="0"/>
            <w:vAlign w:val="center"/>
          </w:tcPr>
          <w:p w14:paraId="7DE9A2E9">
            <w:pPr>
              <w:pStyle w:val="56"/>
              <w:tabs>
                <w:tab w:val="left" w:pos="7740"/>
              </w:tabs>
              <w:spacing w:line="288" w:lineRule="auto"/>
              <w:rPr>
                <w:rFonts w:ascii="宋体" w:hAnsi="宋体" w:cs="宋体"/>
                <w:sz w:val="21"/>
                <w:szCs w:val="21"/>
              </w:rPr>
            </w:pPr>
          </w:p>
        </w:tc>
        <w:tc>
          <w:tcPr>
            <w:tcW w:w="1999" w:type="dxa"/>
            <w:noWrap w:val="0"/>
            <w:vAlign w:val="center"/>
          </w:tcPr>
          <w:p w14:paraId="492603B0">
            <w:pPr>
              <w:pStyle w:val="56"/>
              <w:tabs>
                <w:tab w:val="left" w:pos="7740"/>
              </w:tabs>
              <w:spacing w:line="288" w:lineRule="auto"/>
              <w:rPr>
                <w:rFonts w:ascii="宋体" w:hAnsi="宋体" w:cs="宋体"/>
                <w:spacing w:val="-1"/>
                <w:sz w:val="21"/>
                <w:szCs w:val="21"/>
              </w:rPr>
            </w:pPr>
            <w:r>
              <w:rPr>
                <w:rFonts w:hint="eastAsia" w:ascii="宋体" w:hAnsi="宋体" w:cs="宋体"/>
                <w:sz w:val="21"/>
                <w:szCs w:val="21"/>
              </w:rPr>
              <w:t>系统参数设置</w:t>
            </w:r>
          </w:p>
        </w:tc>
        <w:tc>
          <w:tcPr>
            <w:tcW w:w="6502" w:type="dxa"/>
            <w:noWrap w:val="0"/>
            <w:vAlign w:val="center"/>
          </w:tcPr>
          <w:p w14:paraId="2E006C62">
            <w:pPr>
              <w:pStyle w:val="56"/>
              <w:tabs>
                <w:tab w:val="left" w:pos="7740"/>
              </w:tabs>
              <w:spacing w:line="288" w:lineRule="auto"/>
              <w:rPr>
                <w:rFonts w:ascii="宋体" w:hAnsi="宋体" w:cs="宋体"/>
                <w:spacing w:val="-1"/>
                <w:sz w:val="21"/>
                <w:szCs w:val="21"/>
              </w:rPr>
            </w:pPr>
            <w:r>
              <w:rPr>
                <w:rFonts w:hint="eastAsia" w:ascii="宋体" w:hAnsi="宋体" w:cs="宋体"/>
                <w:sz w:val="21"/>
                <w:szCs w:val="21"/>
              </w:rPr>
              <w:t>设置各功能模块所使用到的系统参数的值</w:t>
            </w:r>
          </w:p>
        </w:tc>
      </w:tr>
      <w:tr w14:paraId="087C8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237" w:type="dxa"/>
            <w:vMerge w:val="continue"/>
            <w:noWrap w:val="0"/>
            <w:vAlign w:val="center"/>
          </w:tcPr>
          <w:p w14:paraId="72B59873">
            <w:pPr>
              <w:pStyle w:val="56"/>
              <w:tabs>
                <w:tab w:val="left" w:pos="7740"/>
              </w:tabs>
              <w:spacing w:line="288" w:lineRule="auto"/>
              <w:rPr>
                <w:rFonts w:ascii="宋体" w:hAnsi="宋体" w:cs="宋体"/>
                <w:sz w:val="21"/>
                <w:szCs w:val="21"/>
              </w:rPr>
            </w:pPr>
          </w:p>
        </w:tc>
        <w:tc>
          <w:tcPr>
            <w:tcW w:w="1999" w:type="dxa"/>
            <w:noWrap w:val="0"/>
            <w:vAlign w:val="center"/>
          </w:tcPr>
          <w:p w14:paraId="6273FF99">
            <w:pPr>
              <w:pStyle w:val="56"/>
              <w:tabs>
                <w:tab w:val="left" w:pos="7740"/>
              </w:tabs>
              <w:spacing w:line="288" w:lineRule="auto"/>
              <w:rPr>
                <w:rFonts w:ascii="宋体" w:hAnsi="宋体" w:cs="宋体"/>
                <w:sz w:val="21"/>
                <w:szCs w:val="21"/>
              </w:rPr>
            </w:pPr>
            <w:r>
              <w:rPr>
                <w:rFonts w:hint="eastAsia" w:ascii="宋体" w:hAnsi="宋体" w:cs="宋体"/>
                <w:sz w:val="21"/>
                <w:szCs w:val="21"/>
              </w:rPr>
              <w:t>条码设置</w:t>
            </w:r>
          </w:p>
        </w:tc>
        <w:tc>
          <w:tcPr>
            <w:tcW w:w="6502" w:type="dxa"/>
            <w:noWrap w:val="0"/>
            <w:vAlign w:val="center"/>
          </w:tcPr>
          <w:p w14:paraId="0F8683BE">
            <w:pPr>
              <w:pStyle w:val="56"/>
              <w:tabs>
                <w:tab w:val="left" w:pos="7740"/>
              </w:tabs>
              <w:spacing w:line="288" w:lineRule="auto"/>
              <w:rPr>
                <w:rFonts w:ascii="宋体" w:hAnsi="宋体" w:cs="宋体"/>
                <w:sz w:val="21"/>
                <w:szCs w:val="21"/>
              </w:rPr>
            </w:pPr>
            <w:r>
              <w:rPr>
                <w:rFonts w:hint="eastAsia" w:ascii="宋体" w:hAnsi="宋体" w:cs="宋体"/>
                <w:sz w:val="21"/>
                <w:szCs w:val="21"/>
              </w:rPr>
              <w:t>条码维护 血型条码、血液种类条码等自定义管理。</w:t>
            </w:r>
          </w:p>
        </w:tc>
      </w:tr>
      <w:tr w14:paraId="7B4AF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237" w:type="dxa"/>
            <w:vMerge w:val="continue"/>
            <w:noWrap w:val="0"/>
            <w:vAlign w:val="center"/>
          </w:tcPr>
          <w:p w14:paraId="1A49D470">
            <w:pPr>
              <w:pStyle w:val="56"/>
              <w:tabs>
                <w:tab w:val="left" w:pos="7740"/>
              </w:tabs>
              <w:spacing w:line="288" w:lineRule="auto"/>
              <w:rPr>
                <w:rFonts w:ascii="宋体" w:hAnsi="宋体" w:cs="宋体"/>
                <w:sz w:val="21"/>
                <w:szCs w:val="21"/>
              </w:rPr>
            </w:pPr>
          </w:p>
        </w:tc>
        <w:tc>
          <w:tcPr>
            <w:tcW w:w="1999" w:type="dxa"/>
            <w:noWrap w:val="0"/>
            <w:vAlign w:val="center"/>
          </w:tcPr>
          <w:p w14:paraId="4FC871F2">
            <w:pPr>
              <w:pStyle w:val="56"/>
              <w:tabs>
                <w:tab w:val="left" w:pos="7740"/>
              </w:tabs>
              <w:spacing w:line="288" w:lineRule="auto"/>
              <w:rPr>
                <w:rFonts w:ascii="宋体" w:hAnsi="宋体" w:cs="宋体"/>
                <w:spacing w:val="-1"/>
                <w:sz w:val="21"/>
                <w:szCs w:val="21"/>
              </w:rPr>
            </w:pPr>
            <w:r>
              <w:rPr>
                <w:rFonts w:hint="eastAsia" w:ascii="宋体" w:hAnsi="宋体" w:cs="宋体"/>
                <w:sz w:val="21"/>
                <w:szCs w:val="21"/>
              </w:rPr>
              <w:t>数据库设置</w:t>
            </w:r>
          </w:p>
        </w:tc>
        <w:tc>
          <w:tcPr>
            <w:tcW w:w="6502" w:type="dxa"/>
            <w:noWrap w:val="0"/>
            <w:vAlign w:val="center"/>
          </w:tcPr>
          <w:p w14:paraId="409FE288">
            <w:pPr>
              <w:pStyle w:val="56"/>
              <w:tabs>
                <w:tab w:val="left" w:pos="7740"/>
              </w:tabs>
              <w:spacing w:line="288" w:lineRule="auto"/>
              <w:rPr>
                <w:rFonts w:ascii="宋体" w:hAnsi="宋体" w:cs="宋体"/>
                <w:spacing w:val="-1"/>
                <w:sz w:val="21"/>
                <w:szCs w:val="21"/>
              </w:rPr>
            </w:pPr>
            <w:r>
              <w:rPr>
                <w:rFonts w:hint="eastAsia" w:ascii="宋体" w:hAnsi="宋体" w:cs="宋体"/>
                <w:sz w:val="21"/>
                <w:szCs w:val="21"/>
              </w:rPr>
              <w:t>数据库维护设置</w:t>
            </w:r>
          </w:p>
        </w:tc>
      </w:tr>
      <w:tr w14:paraId="37907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237" w:type="dxa"/>
            <w:vMerge w:val="continue"/>
            <w:noWrap w:val="0"/>
            <w:vAlign w:val="center"/>
          </w:tcPr>
          <w:p w14:paraId="398A3999">
            <w:pPr>
              <w:pStyle w:val="56"/>
              <w:tabs>
                <w:tab w:val="left" w:pos="7740"/>
              </w:tabs>
              <w:spacing w:line="288" w:lineRule="auto"/>
              <w:rPr>
                <w:rFonts w:ascii="宋体" w:hAnsi="宋体" w:cs="宋体"/>
                <w:sz w:val="21"/>
                <w:szCs w:val="21"/>
              </w:rPr>
            </w:pPr>
          </w:p>
        </w:tc>
        <w:tc>
          <w:tcPr>
            <w:tcW w:w="1999" w:type="dxa"/>
            <w:noWrap w:val="0"/>
            <w:vAlign w:val="center"/>
          </w:tcPr>
          <w:p w14:paraId="182C4987">
            <w:pPr>
              <w:pStyle w:val="56"/>
              <w:tabs>
                <w:tab w:val="left" w:pos="7740"/>
              </w:tabs>
              <w:spacing w:line="288" w:lineRule="auto"/>
              <w:rPr>
                <w:rFonts w:ascii="宋体" w:hAnsi="宋体" w:cs="宋体"/>
                <w:spacing w:val="-1"/>
                <w:sz w:val="21"/>
                <w:szCs w:val="21"/>
              </w:rPr>
            </w:pPr>
            <w:r>
              <w:rPr>
                <w:rFonts w:hint="eastAsia" w:ascii="宋体" w:hAnsi="宋体" w:cs="宋体"/>
                <w:sz w:val="21"/>
                <w:szCs w:val="21"/>
              </w:rPr>
              <w:t>外部数据库设置</w:t>
            </w:r>
          </w:p>
        </w:tc>
        <w:tc>
          <w:tcPr>
            <w:tcW w:w="6502" w:type="dxa"/>
            <w:noWrap w:val="0"/>
            <w:vAlign w:val="center"/>
          </w:tcPr>
          <w:p w14:paraId="1A5D70E2">
            <w:pPr>
              <w:pStyle w:val="56"/>
              <w:tabs>
                <w:tab w:val="left" w:pos="7740"/>
              </w:tabs>
              <w:spacing w:line="288" w:lineRule="auto"/>
              <w:rPr>
                <w:rFonts w:ascii="宋体" w:hAnsi="宋体" w:cs="宋体"/>
                <w:spacing w:val="-1"/>
                <w:sz w:val="21"/>
                <w:szCs w:val="21"/>
              </w:rPr>
            </w:pPr>
            <w:r>
              <w:rPr>
                <w:rFonts w:hint="eastAsia" w:ascii="宋体" w:hAnsi="宋体" w:cs="宋体"/>
                <w:sz w:val="21"/>
                <w:szCs w:val="21"/>
              </w:rPr>
              <w:t>设置外部数据库的连接参数</w:t>
            </w:r>
          </w:p>
        </w:tc>
      </w:tr>
      <w:tr w14:paraId="377B1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237" w:type="dxa"/>
            <w:vMerge w:val="continue"/>
            <w:noWrap w:val="0"/>
            <w:vAlign w:val="center"/>
          </w:tcPr>
          <w:p w14:paraId="6E07B54A">
            <w:pPr>
              <w:pStyle w:val="56"/>
              <w:tabs>
                <w:tab w:val="left" w:pos="7740"/>
              </w:tabs>
              <w:spacing w:line="288" w:lineRule="auto"/>
              <w:rPr>
                <w:rFonts w:ascii="宋体" w:hAnsi="宋体" w:cs="宋体"/>
                <w:sz w:val="21"/>
                <w:szCs w:val="21"/>
              </w:rPr>
            </w:pPr>
          </w:p>
        </w:tc>
        <w:tc>
          <w:tcPr>
            <w:tcW w:w="1999" w:type="dxa"/>
            <w:noWrap w:val="0"/>
            <w:vAlign w:val="center"/>
          </w:tcPr>
          <w:p w14:paraId="304029CF">
            <w:pPr>
              <w:pStyle w:val="56"/>
              <w:tabs>
                <w:tab w:val="left" w:pos="7740"/>
              </w:tabs>
              <w:spacing w:line="288" w:lineRule="auto"/>
              <w:rPr>
                <w:rFonts w:ascii="宋体" w:hAnsi="宋体" w:cs="宋体"/>
                <w:spacing w:val="-1"/>
                <w:sz w:val="21"/>
                <w:szCs w:val="21"/>
              </w:rPr>
            </w:pPr>
            <w:r>
              <w:rPr>
                <w:rFonts w:hint="eastAsia" w:ascii="宋体" w:hAnsi="宋体" w:cs="宋体"/>
                <w:sz w:val="21"/>
                <w:szCs w:val="21"/>
              </w:rPr>
              <w:t>自动更新设置</w:t>
            </w:r>
          </w:p>
        </w:tc>
        <w:tc>
          <w:tcPr>
            <w:tcW w:w="6502" w:type="dxa"/>
            <w:noWrap w:val="0"/>
            <w:vAlign w:val="center"/>
          </w:tcPr>
          <w:p w14:paraId="1D05FDA6">
            <w:pPr>
              <w:pStyle w:val="56"/>
              <w:tabs>
                <w:tab w:val="left" w:pos="7740"/>
              </w:tabs>
              <w:spacing w:line="288" w:lineRule="auto"/>
              <w:rPr>
                <w:rFonts w:ascii="宋体" w:hAnsi="宋体" w:cs="宋体"/>
                <w:spacing w:val="-1"/>
                <w:sz w:val="21"/>
                <w:szCs w:val="21"/>
              </w:rPr>
            </w:pPr>
            <w:r>
              <w:rPr>
                <w:rFonts w:hint="eastAsia" w:ascii="宋体" w:hAnsi="宋体" w:cs="宋体"/>
                <w:sz w:val="21"/>
                <w:szCs w:val="21"/>
              </w:rPr>
              <w:t>设置系统自动更新的参数，支持客户端自动升级</w:t>
            </w:r>
          </w:p>
        </w:tc>
      </w:tr>
      <w:tr w14:paraId="65ACB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237" w:type="dxa"/>
            <w:vMerge w:val="continue"/>
            <w:noWrap w:val="0"/>
            <w:vAlign w:val="center"/>
          </w:tcPr>
          <w:p w14:paraId="597AAD73">
            <w:pPr>
              <w:pStyle w:val="56"/>
              <w:tabs>
                <w:tab w:val="left" w:pos="7740"/>
              </w:tabs>
              <w:spacing w:line="288" w:lineRule="auto"/>
              <w:rPr>
                <w:rFonts w:ascii="宋体" w:hAnsi="宋体" w:cs="宋体"/>
                <w:sz w:val="21"/>
                <w:szCs w:val="21"/>
              </w:rPr>
            </w:pPr>
          </w:p>
        </w:tc>
        <w:tc>
          <w:tcPr>
            <w:tcW w:w="1999" w:type="dxa"/>
            <w:noWrap w:val="0"/>
            <w:vAlign w:val="center"/>
          </w:tcPr>
          <w:p w14:paraId="5065C966">
            <w:pPr>
              <w:pStyle w:val="56"/>
              <w:tabs>
                <w:tab w:val="left" w:pos="7740"/>
              </w:tabs>
              <w:spacing w:line="288" w:lineRule="auto"/>
              <w:rPr>
                <w:rFonts w:ascii="宋体" w:hAnsi="宋体" w:cs="宋体"/>
                <w:spacing w:val="-1"/>
                <w:sz w:val="21"/>
                <w:szCs w:val="21"/>
              </w:rPr>
            </w:pPr>
            <w:r>
              <w:rPr>
                <w:rFonts w:hint="eastAsia" w:ascii="宋体" w:hAnsi="宋体" w:cs="宋体"/>
                <w:sz w:val="21"/>
                <w:szCs w:val="21"/>
              </w:rPr>
              <w:t>收费设置</w:t>
            </w:r>
          </w:p>
        </w:tc>
        <w:tc>
          <w:tcPr>
            <w:tcW w:w="6502" w:type="dxa"/>
            <w:noWrap w:val="0"/>
            <w:vAlign w:val="center"/>
          </w:tcPr>
          <w:p w14:paraId="023640EA">
            <w:pPr>
              <w:pStyle w:val="56"/>
              <w:tabs>
                <w:tab w:val="left" w:pos="7740"/>
              </w:tabs>
              <w:spacing w:line="288" w:lineRule="auto"/>
              <w:rPr>
                <w:rFonts w:ascii="宋体" w:hAnsi="宋体" w:cs="宋体"/>
                <w:spacing w:val="-1"/>
                <w:sz w:val="21"/>
                <w:szCs w:val="21"/>
              </w:rPr>
            </w:pPr>
            <w:r>
              <w:rPr>
                <w:rFonts w:hint="eastAsia" w:ascii="宋体" w:hAnsi="宋体" w:cs="宋体"/>
                <w:sz w:val="21"/>
                <w:szCs w:val="21"/>
              </w:rPr>
              <w:t>设置各收费模块的收费项目信息</w:t>
            </w:r>
          </w:p>
        </w:tc>
      </w:tr>
      <w:tr w14:paraId="7823B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1237" w:type="dxa"/>
            <w:vMerge w:val="continue"/>
            <w:noWrap w:val="0"/>
            <w:vAlign w:val="center"/>
          </w:tcPr>
          <w:p w14:paraId="4BA76507">
            <w:pPr>
              <w:pStyle w:val="56"/>
              <w:tabs>
                <w:tab w:val="left" w:pos="7740"/>
              </w:tabs>
              <w:spacing w:line="288" w:lineRule="auto"/>
              <w:rPr>
                <w:rFonts w:ascii="宋体" w:hAnsi="宋体" w:cs="宋体"/>
                <w:sz w:val="21"/>
                <w:szCs w:val="21"/>
              </w:rPr>
            </w:pPr>
          </w:p>
        </w:tc>
        <w:tc>
          <w:tcPr>
            <w:tcW w:w="1999" w:type="dxa"/>
            <w:noWrap w:val="0"/>
            <w:vAlign w:val="center"/>
          </w:tcPr>
          <w:p w14:paraId="5F9FA84C">
            <w:pPr>
              <w:pStyle w:val="56"/>
              <w:tabs>
                <w:tab w:val="left" w:pos="7740"/>
              </w:tabs>
              <w:spacing w:line="288" w:lineRule="auto"/>
              <w:rPr>
                <w:rFonts w:ascii="宋体" w:hAnsi="宋体" w:cs="宋体"/>
                <w:spacing w:val="-1"/>
                <w:sz w:val="21"/>
                <w:szCs w:val="21"/>
              </w:rPr>
            </w:pPr>
            <w:r>
              <w:rPr>
                <w:rFonts w:hint="eastAsia" w:ascii="宋体" w:hAnsi="宋体" w:cs="宋体"/>
                <w:sz w:val="21"/>
                <w:szCs w:val="21"/>
              </w:rPr>
              <w:t>临床输血指征设置</w:t>
            </w:r>
          </w:p>
        </w:tc>
        <w:tc>
          <w:tcPr>
            <w:tcW w:w="6502" w:type="dxa"/>
            <w:noWrap w:val="0"/>
            <w:vAlign w:val="center"/>
          </w:tcPr>
          <w:p w14:paraId="338C896A">
            <w:pPr>
              <w:pStyle w:val="56"/>
              <w:tabs>
                <w:tab w:val="left" w:pos="7740"/>
              </w:tabs>
              <w:spacing w:line="288" w:lineRule="auto"/>
              <w:rPr>
                <w:rFonts w:ascii="宋体" w:hAnsi="宋体" w:cs="宋体"/>
                <w:spacing w:val="-1"/>
                <w:sz w:val="21"/>
                <w:szCs w:val="21"/>
              </w:rPr>
            </w:pPr>
            <w:r>
              <w:rPr>
                <w:rFonts w:hint="eastAsia" w:ascii="宋体" w:hAnsi="宋体" w:cs="宋体"/>
                <w:sz w:val="21"/>
                <w:szCs w:val="21"/>
              </w:rPr>
              <w:t>设置不同血液种类对应的输血指征参数</w:t>
            </w:r>
          </w:p>
        </w:tc>
      </w:tr>
      <w:tr w14:paraId="610F2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237" w:type="dxa"/>
            <w:vMerge w:val="continue"/>
            <w:noWrap w:val="0"/>
            <w:vAlign w:val="center"/>
          </w:tcPr>
          <w:p w14:paraId="6E9CF8C5">
            <w:pPr>
              <w:pStyle w:val="56"/>
              <w:tabs>
                <w:tab w:val="left" w:pos="7740"/>
              </w:tabs>
              <w:spacing w:line="288" w:lineRule="auto"/>
              <w:rPr>
                <w:rFonts w:ascii="宋体" w:hAnsi="宋体" w:cs="宋体"/>
                <w:sz w:val="21"/>
                <w:szCs w:val="21"/>
              </w:rPr>
            </w:pPr>
          </w:p>
        </w:tc>
        <w:tc>
          <w:tcPr>
            <w:tcW w:w="1999" w:type="dxa"/>
            <w:noWrap w:val="0"/>
            <w:vAlign w:val="center"/>
          </w:tcPr>
          <w:p w14:paraId="70CD88FA">
            <w:pPr>
              <w:pStyle w:val="56"/>
              <w:tabs>
                <w:tab w:val="left" w:pos="7740"/>
              </w:tabs>
              <w:spacing w:line="288" w:lineRule="auto"/>
              <w:rPr>
                <w:rFonts w:ascii="宋体" w:hAnsi="宋体" w:cs="宋体"/>
                <w:spacing w:val="-1"/>
                <w:sz w:val="21"/>
                <w:szCs w:val="21"/>
              </w:rPr>
            </w:pPr>
            <w:r>
              <w:rPr>
                <w:rFonts w:hint="eastAsia" w:ascii="宋体" w:hAnsi="宋体" w:cs="宋体"/>
                <w:sz w:val="21"/>
                <w:szCs w:val="21"/>
              </w:rPr>
              <w:t>血液紧缺设置</w:t>
            </w:r>
          </w:p>
        </w:tc>
        <w:tc>
          <w:tcPr>
            <w:tcW w:w="6502" w:type="dxa"/>
            <w:noWrap w:val="0"/>
            <w:vAlign w:val="center"/>
          </w:tcPr>
          <w:p w14:paraId="2C8EA747">
            <w:pPr>
              <w:pStyle w:val="56"/>
              <w:tabs>
                <w:tab w:val="left" w:pos="7740"/>
              </w:tabs>
              <w:spacing w:line="288" w:lineRule="auto"/>
              <w:rPr>
                <w:rFonts w:ascii="宋体" w:hAnsi="宋体" w:cs="宋体"/>
                <w:spacing w:val="-1"/>
                <w:sz w:val="21"/>
                <w:szCs w:val="21"/>
              </w:rPr>
            </w:pPr>
            <w:r>
              <w:rPr>
                <w:rFonts w:hint="eastAsia" w:ascii="宋体" w:hAnsi="宋体" w:cs="宋体"/>
                <w:sz w:val="21"/>
                <w:szCs w:val="21"/>
              </w:rPr>
              <w:t>设置不同血液品种不同血型的血液紧缺库存下限</w:t>
            </w:r>
          </w:p>
        </w:tc>
      </w:tr>
      <w:tr w14:paraId="238FE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237" w:type="dxa"/>
            <w:vMerge w:val="continue"/>
            <w:noWrap w:val="0"/>
            <w:vAlign w:val="center"/>
          </w:tcPr>
          <w:p w14:paraId="20125D4E">
            <w:pPr>
              <w:pStyle w:val="56"/>
              <w:tabs>
                <w:tab w:val="left" w:pos="7740"/>
              </w:tabs>
              <w:spacing w:line="288" w:lineRule="auto"/>
              <w:rPr>
                <w:rFonts w:ascii="宋体" w:hAnsi="宋体" w:cs="宋体"/>
                <w:sz w:val="21"/>
                <w:szCs w:val="21"/>
              </w:rPr>
            </w:pPr>
          </w:p>
        </w:tc>
        <w:tc>
          <w:tcPr>
            <w:tcW w:w="1999" w:type="dxa"/>
            <w:noWrap w:val="0"/>
            <w:vAlign w:val="center"/>
          </w:tcPr>
          <w:p w14:paraId="39B117CD">
            <w:pPr>
              <w:pStyle w:val="56"/>
              <w:tabs>
                <w:tab w:val="left" w:pos="7740"/>
              </w:tabs>
              <w:spacing w:line="288" w:lineRule="auto"/>
              <w:rPr>
                <w:rFonts w:ascii="宋体" w:hAnsi="宋体" w:cs="宋体"/>
                <w:spacing w:val="-1"/>
                <w:sz w:val="21"/>
                <w:szCs w:val="21"/>
              </w:rPr>
            </w:pPr>
            <w:r>
              <w:rPr>
                <w:rFonts w:hint="eastAsia" w:ascii="宋体" w:hAnsi="宋体" w:cs="宋体"/>
                <w:sz w:val="21"/>
                <w:szCs w:val="21"/>
              </w:rPr>
              <w:t>系统日志</w:t>
            </w:r>
          </w:p>
        </w:tc>
        <w:tc>
          <w:tcPr>
            <w:tcW w:w="6502" w:type="dxa"/>
            <w:noWrap w:val="0"/>
            <w:vAlign w:val="center"/>
          </w:tcPr>
          <w:p w14:paraId="6AAC98A2">
            <w:pPr>
              <w:pStyle w:val="56"/>
              <w:tabs>
                <w:tab w:val="left" w:pos="7740"/>
              </w:tabs>
              <w:spacing w:line="288" w:lineRule="auto"/>
              <w:rPr>
                <w:rFonts w:ascii="宋体" w:hAnsi="宋体" w:cs="宋体"/>
                <w:spacing w:val="-1"/>
                <w:sz w:val="21"/>
                <w:szCs w:val="21"/>
              </w:rPr>
            </w:pPr>
            <w:r>
              <w:rPr>
                <w:rFonts w:hint="eastAsia" w:ascii="宋体" w:hAnsi="宋体" w:cs="宋体"/>
                <w:sz w:val="21"/>
                <w:szCs w:val="21"/>
              </w:rPr>
              <w:t>查看系统操作日志信息，支持备份、恢复日志</w:t>
            </w:r>
          </w:p>
        </w:tc>
      </w:tr>
      <w:tr w14:paraId="27718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1237" w:type="dxa"/>
            <w:vMerge w:val="continue"/>
            <w:noWrap w:val="0"/>
            <w:vAlign w:val="center"/>
          </w:tcPr>
          <w:p w14:paraId="5306CCDF">
            <w:pPr>
              <w:pStyle w:val="56"/>
              <w:tabs>
                <w:tab w:val="left" w:pos="7740"/>
              </w:tabs>
              <w:spacing w:line="288" w:lineRule="auto"/>
              <w:rPr>
                <w:rFonts w:ascii="宋体" w:hAnsi="宋体" w:cs="宋体"/>
                <w:sz w:val="21"/>
                <w:szCs w:val="21"/>
              </w:rPr>
            </w:pPr>
          </w:p>
        </w:tc>
        <w:tc>
          <w:tcPr>
            <w:tcW w:w="1999" w:type="dxa"/>
            <w:noWrap w:val="0"/>
            <w:vAlign w:val="center"/>
          </w:tcPr>
          <w:p w14:paraId="60B87668">
            <w:pPr>
              <w:pStyle w:val="56"/>
              <w:tabs>
                <w:tab w:val="left" w:pos="7740"/>
              </w:tabs>
              <w:spacing w:line="288" w:lineRule="auto"/>
              <w:rPr>
                <w:rFonts w:ascii="宋体" w:hAnsi="宋体" w:cs="宋体"/>
                <w:spacing w:val="-1"/>
                <w:sz w:val="21"/>
                <w:szCs w:val="21"/>
              </w:rPr>
            </w:pPr>
            <w:r>
              <w:rPr>
                <w:rFonts w:hint="eastAsia" w:ascii="宋体" w:hAnsi="宋体" w:cs="宋体"/>
                <w:sz w:val="21"/>
                <w:szCs w:val="21"/>
              </w:rPr>
              <w:t>打印单据格式设置</w:t>
            </w:r>
          </w:p>
        </w:tc>
        <w:tc>
          <w:tcPr>
            <w:tcW w:w="6502" w:type="dxa"/>
            <w:noWrap w:val="0"/>
            <w:vAlign w:val="center"/>
          </w:tcPr>
          <w:p w14:paraId="5F94F3B2">
            <w:pPr>
              <w:pStyle w:val="56"/>
              <w:tabs>
                <w:tab w:val="left" w:pos="7740"/>
              </w:tabs>
              <w:spacing w:line="288" w:lineRule="auto"/>
              <w:rPr>
                <w:rFonts w:ascii="宋体" w:hAnsi="宋体" w:cs="宋体"/>
                <w:spacing w:val="-1"/>
                <w:sz w:val="21"/>
                <w:szCs w:val="21"/>
              </w:rPr>
            </w:pPr>
            <w:r>
              <w:rPr>
                <w:rFonts w:hint="eastAsia" w:ascii="宋体" w:hAnsi="宋体" w:cs="宋体"/>
                <w:sz w:val="21"/>
                <w:szCs w:val="21"/>
              </w:rPr>
              <w:t>设置输血申请单、交叉配血单、临床发血单和标本标签的打印格式</w:t>
            </w:r>
          </w:p>
        </w:tc>
      </w:tr>
      <w:tr w14:paraId="18DD3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1237" w:type="dxa"/>
            <w:vMerge w:val="continue"/>
            <w:noWrap w:val="0"/>
            <w:vAlign w:val="center"/>
          </w:tcPr>
          <w:p w14:paraId="30A32064">
            <w:pPr>
              <w:pStyle w:val="56"/>
              <w:tabs>
                <w:tab w:val="left" w:pos="7740"/>
              </w:tabs>
              <w:spacing w:line="288" w:lineRule="auto"/>
              <w:rPr>
                <w:rFonts w:ascii="宋体" w:hAnsi="宋体" w:cs="宋体"/>
                <w:sz w:val="21"/>
                <w:szCs w:val="21"/>
              </w:rPr>
            </w:pPr>
          </w:p>
        </w:tc>
        <w:tc>
          <w:tcPr>
            <w:tcW w:w="1999" w:type="dxa"/>
            <w:noWrap w:val="0"/>
            <w:vAlign w:val="center"/>
          </w:tcPr>
          <w:p w14:paraId="7FAF34C8">
            <w:pPr>
              <w:pStyle w:val="56"/>
              <w:tabs>
                <w:tab w:val="left" w:pos="7740"/>
              </w:tabs>
              <w:spacing w:line="288" w:lineRule="auto"/>
              <w:rPr>
                <w:rFonts w:ascii="宋体" w:hAnsi="宋体" w:cs="宋体"/>
                <w:sz w:val="21"/>
                <w:szCs w:val="21"/>
              </w:rPr>
            </w:pPr>
            <w:r>
              <w:rPr>
                <w:rFonts w:hint="eastAsia" w:ascii="宋体" w:hAnsi="宋体" w:cs="宋体"/>
                <w:sz w:val="21"/>
                <w:szCs w:val="21"/>
              </w:rPr>
              <w:t>职能管理</w:t>
            </w:r>
          </w:p>
        </w:tc>
        <w:tc>
          <w:tcPr>
            <w:tcW w:w="6502" w:type="dxa"/>
            <w:noWrap w:val="0"/>
            <w:vAlign w:val="center"/>
          </w:tcPr>
          <w:p w14:paraId="7B4B8C85">
            <w:pPr>
              <w:pStyle w:val="56"/>
              <w:tabs>
                <w:tab w:val="left" w:pos="7740"/>
              </w:tabs>
              <w:spacing w:line="288" w:lineRule="auto"/>
              <w:rPr>
                <w:rFonts w:ascii="宋体" w:hAnsi="宋体" w:cs="宋体"/>
                <w:sz w:val="21"/>
                <w:szCs w:val="21"/>
              </w:rPr>
            </w:pPr>
            <w:r>
              <w:rPr>
                <w:rFonts w:hint="eastAsia" w:ascii="宋体" w:hAnsi="宋体" w:cs="宋体"/>
                <w:sz w:val="21"/>
                <w:szCs w:val="21"/>
              </w:rPr>
              <w:t>增加职能部门对临床用血的监控、评价、及医护人员权限的授权功能。</w:t>
            </w:r>
          </w:p>
        </w:tc>
      </w:tr>
      <w:tr w14:paraId="13013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1237" w:type="dxa"/>
            <w:vMerge w:val="restart"/>
            <w:noWrap w:val="0"/>
            <w:vAlign w:val="center"/>
          </w:tcPr>
          <w:p w14:paraId="60DD1906">
            <w:pPr>
              <w:pStyle w:val="56"/>
              <w:tabs>
                <w:tab w:val="left" w:pos="7740"/>
              </w:tabs>
              <w:spacing w:line="288" w:lineRule="auto"/>
              <w:rPr>
                <w:rFonts w:ascii="宋体" w:hAnsi="宋体" w:cs="宋体"/>
                <w:sz w:val="21"/>
                <w:szCs w:val="21"/>
              </w:rPr>
            </w:pPr>
            <w:r>
              <w:rPr>
                <w:rFonts w:hint="eastAsia" w:ascii="宋体" w:hAnsi="宋体" w:cs="宋体"/>
                <w:sz w:val="21"/>
                <w:szCs w:val="21"/>
                <w:lang w:val="zh-CN"/>
              </w:rPr>
              <w:t>▲</w:t>
            </w:r>
            <w:r>
              <w:rPr>
                <w:rFonts w:hint="eastAsia" w:ascii="宋体" w:hAnsi="宋体" w:cs="宋体"/>
                <w:sz w:val="21"/>
                <w:szCs w:val="21"/>
              </w:rPr>
              <w:t>质控管理</w:t>
            </w:r>
          </w:p>
        </w:tc>
        <w:tc>
          <w:tcPr>
            <w:tcW w:w="1999" w:type="dxa"/>
            <w:noWrap w:val="0"/>
            <w:vAlign w:val="center"/>
          </w:tcPr>
          <w:p w14:paraId="008BD1A3">
            <w:pPr>
              <w:pStyle w:val="56"/>
              <w:tabs>
                <w:tab w:val="left" w:pos="7740"/>
              </w:tabs>
              <w:spacing w:line="288" w:lineRule="auto"/>
              <w:rPr>
                <w:rFonts w:ascii="宋体" w:hAnsi="宋体" w:cs="宋体"/>
                <w:sz w:val="21"/>
                <w:szCs w:val="21"/>
              </w:rPr>
            </w:pPr>
            <w:r>
              <w:rPr>
                <w:rFonts w:hint="eastAsia" w:ascii="宋体" w:hAnsi="宋体" w:cs="宋体"/>
                <w:sz w:val="21"/>
                <w:szCs w:val="21"/>
              </w:rPr>
              <w:t>▲血液质控</w:t>
            </w:r>
          </w:p>
        </w:tc>
        <w:tc>
          <w:tcPr>
            <w:tcW w:w="6502" w:type="dxa"/>
            <w:noWrap w:val="0"/>
            <w:vAlign w:val="center"/>
          </w:tcPr>
          <w:p w14:paraId="6CA00306">
            <w:pPr>
              <w:pStyle w:val="56"/>
              <w:tabs>
                <w:tab w:val="left" w:pos="7740"/>
              </w:tabs>
              <w:spacing w:line="288" w:lineRule="auto"/>
              <w:rPr>
                <w:rFonts w:ascii="宋体" w:hAnsi="宋体" w:cs="宋体"/>
                <w:sz w:val="21"/>
                <w:szCs w:val="21"/>
              </w:rPr>
            </w:pPr>
            <w:r>
              <w:rPr>
                <w:rFonts w:hint="eastAsia" w:ascii="宋体" w:hAnsi="宋体" w:cs="宋体"/>
                <w:sz w:val="21"/>
                <w:szCs w:val="21"/>
              </w:rPr>
              <w:t>记录质控品信息、选择失控判断原则、记录多个质控项目结果、质控结果可图形显示、打印质控报告等</w:t>
            </w:r>
          </w:p>
        </w:tc>
      </w:tr>
      <w:tr w14:paraId="74C54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1237" w:type="dxa"/>
            <w:vMerge w:val="continue"/>
            <w:noWrap w:val="0"/>
            <w:vAlign w:val="center"/>
          </w:tcPr>
          <w:p w14:paraId="3D4D1887">
            <w:pPr>
              <w:pStyle w:val="56"/>
              <w:tabs>
                <w:tab w:val="left" w:pos="7740"/>
              </w:tabs>
              <w:spacing w:line="288" w:lineRule="auto"/>
              <w:rPr>
                <w:rFonts w:ascii="宋体" w:hAnsi="宋体" w:cs="宋体"/>
                <w:sz w:val="21"/>
                <w:szCs w:val="21"/>
              </w:rPr>
            </w:pPr>
          </w:p>
        </w:tc>
        <w:tc>
          <w:tcPr>
            <w:tcW w:w="1999" w:type="dxa"/>
            <w:noWrap w:val="0"/>
            <w:vAlign w:val="center"/>
          </w:tcPr>
          <w:p w14:paraId="34975E05">
            <w:pPr>
              <w:pStyle w:val="56"/>
              <w:tabs>
                <w:tab w:val="left" w:pos="7740"/>
              </w:tabs>
              <w:spacing w:line="288" w:lineRule="auto"/>
              <w:rPr>
                <w:rFonts w:ascii="宋体" w:hAnsi="宋体" w:cs="宋体"/>
                <w:sz w:val="21"/>
                <w:szCs w:val="21"/>
              </w:rPr>
            </w:pPr>
            <w:r>
              <w:rPr>
                <w:rFonts w:hint="eastAsia" w:ascii="宋体" w:hAnsi="宋体" w:cs="宋体"/>
                <w:sz w:val="21"/>
                <w:szCs w:val="21"/>
              </w:rPr>
              <w:t>▲实验室耗材试剂管理</w:t>
            </w:r>
          </w:p>
        </w:tc>
        <w:tc>
          <w:tcPr>
            <w:tcW w:w="6502" w:type="dxa"/>
            <w:noWrap w:val="0"/>
            <w:vAlign w:val="center"/>
          </w:tcPr>
          <w:p w14:paraId="0F75F7DE">
            <w:pPr>
              <w:pStyle w:val="56"/>
              <w:tabs>
                <w:tab w:val="left" w:pos="7740"/>
              </w:tabs>
              <w:spacing w:line="288" w:lineRule="auto"/>
              <w:rPr>
                <w:rFonts w:ascii="宋体" w:hAnsi="宋体" w:cs="宋体"/>
                <w:sz w:val="21"/>
                <w:szCs w:val="21"/>
              </w:rPr>
            </w:pPr>
            <w:r>
              <w:rPr>
                <w:rFonts w:hint="eastAsia" w:ascii="宋体" w:hAnsi="宋体" w:cs="宋体"/>
                <w:sz w:val="21"/>
                <w:szCs w:val="21"/>
              </w:rPr>
              <w:t>可在系统中登记录入相关试剂耗材的出入库情况，登记领取人员、时间、厂家等</w:t>
            </w:r>
          </w:p>
        </w:tc>
      </w:tr>
      <w:tr w14:paraId="16AD4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3" w:hRule="atLeast"/>
          <w:jc w:val="center"/>
        </w:trPr>
        <w:tc>
          <w:tcPr>
            <w:tcW w:w="1237" w:type="dxa"/>
            <w:vMerge w:val="continue"/>
            <w:noWrap w:val="0"/>
            <w:vAlign w:val="center"/>
          </w:tcPr>
          <w:p w14:paraId="27921BDE">
            <w:pPr>
              <w:pStyle w:val="56"/>
              <w:tabs>
                <w:tab w:val="left" w:pos="7740"/>
              </w:tabs>
              <w:spacing w:line="288" w:lineRule="auto"/>
              <w:rPr>
                <w:rFonts w:ascii="宋体" w:hAnsi="宋体" w:cs="宋体"/>
                <w:sz w:val="21"/>
                <w:szCs w:val="21"/>
              </w:rPr>
            </w:pPr>
          </w:p>
        </w:tc>
        <w:tc>
          <w:tcPr>
            <w:tcW w:w="1999" w:type="dxa"/>
            <w:noWrap w:val="0"/>
            <w:vAlign w:val="center"/>
          </w:tcPr>
          <w:p w14:paraId="30B7BE1D">
            <w:pPr>
              <w:pStyle w:val="56"/>
              <w:tabs>
                <w:tab w:val="left" w:pos="7740"/>
              </w:tabs>
              <w:spacing w:line="288" w:lineRule="auto"/>
              <w:rPr>
                <w:rFonts w:ascii="宋体" w:hAnsi="宋体" w:cs="宋体"/>
                <w:sz w:val="21"/>
                <w:szCs w:val="21"/>
              </w:rPr>
            </w:pPr>
            <w:r>
              <w:rPr>
                <w:rFonts w:hint="eastAsia" w:ascii="宋体" w:hAnsi="宋体" w:cs="宋体"/>
                <w:sz w:val="21"/>
                <w:szCs w:val="21"/>
              </w:rPr>
              <w:t>▲设备管理</w:t>
            </w:r>
          </w:p>
        </w:tc>
        <w:tc>
          <w:tcPr>
            <w:tcW w:w="6502" w:type="dxa"/>
            <w:noWrap w:val="0"/>
            <w:vAlign w:val="center"/>
          </w:tcPr>
          <w:p w14:paraId="2ABB9E0B">
            <w:pPr>
              <w:pStyle w:val="56"/>
              <w:tabs>
                <w:tab w:val="left" w:pos="7740"/>
              </w:tabs>
              <w:spacing w:line="288" w:lineRule="auto"/>
              <w:rPr>
                <w:rFonts w:ascii="宋体" w:hAnsi="宋体" w:cs="宋体"/>
                <w:sz w:val="21"/>
                <w:szCs w:val="21"/>
              </w:rPr>
            </w:pPr>
            <w:r>
              <w:rPr>
                <w:rFonts w:hint="eastAsia" w:ascii="宋体" w:hAnsi="宋体" w:cs="宋体"/>
                <w:sz w:val="21"/>
                <w:szCs w:val="21"/>
              </w:rPr>
              <w:t>记录输血科相关设备运转情况，包括开关机是否异常、发生异常时间、是否处理，处理人员、处理时间、登记人员、登记时间、保养时间、校准时间等</w:t>
            </w:r>
          </w:p>
        </w:tc>
      </w:tr>
      <w:tr w14:paraId="7F894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1237" w:type="dxa"/>
            <w:vMerge w:val="continue"/>
            <w:noWrap w:val="0"/>
            <w:vAlign w:val="center"/>
          </w:tcPr>
          <w:p w14:paraId="1074EF6B">
            <w:pPr>
              <w:pStyle w:val="56"/>
              <w:tabs>
                <w:tab w:val="left" w:pos="7740"/>
              </w:tabs>
              <w:spacing w:line="288" w:lineRule="auto"/>
              <w:rPr>
                <w:rFonts w:ascii="宋体" w:hAnsi="宋体" w:cs="宋体"/>
                <w:sz w:val="21"/>
                <w:szCs w:val="21"/>
              </w:rPr>
            </w:pPr>
          </w:p>
        </w:tc>
        <w:tc>
          <w:tcPr>
            <w:tcW w:w="1999" w:type="dxa"/>
            <w:noWrap w:val="0"/>
            <w:vAlign w:val="center"/>
          </w:tcPr>
          <w:p w14:paraId="6E2F0840">
            <w:pPr>
              <w:pStyle w:val="56"/>
              <w:tabs>
                <w:tab w:val="left" w:pos="7740"/>
              </w:tabs>
              <w:spacing w:line="288" w:lineRule="auto"/>
              <w:rPr>
                <w:rFonts w:ascii="宋体" w:hAnsi="宋体" w:cs="宋体"/>
                <w:sz w:val="21"/>
                <w:szCs w:val="21"/>
              </w:rPr>
            </w:pPr>
            <w:r>
              <w:rPr>
                <w:rFonts w:hint="eastAsia" w:ascii="宋体" w:hAnsi="宋体" w:cs="宋体"/>
                <w:sz w:val="21"/>
                <w:szCs w:val="21"/>
              </w:rPr>
              <w:t>▲其他实验记录登记</w:t>
            </w:r>
          </w:p>
        </w:tc>
        <w:tc>
          <w:tcPr>
            <w:tcW w:w="6502" w:type="dxa"/>
            <w:noWrap w:val="0"/>
            <w:vAlign w:val="center"/>
          </w:tcPr>
          <w:p w14:paraId="6B28AFA5">
            <w:pPr>
              <w:pStyle w:val="56"/>
              <w:tabs>
                <w:tab w:val="left" w:pos="7740"/>
              </w:tabs>
              <w:spacing w:line="288" w:lineRule="auto"/>
              <w:rPr>
                <w:rFonts w:ascii="宋体" w:hAnsi="宋体" w:cs="宋体"/>
                <w:sz w:val="21"/>
                <w:szCs w:val="21"/>
              </w:rPr>
            </w:pPr>
            <w:r>
              <w:rPr>
                <w:rFonts w:hint="eastAsia" w:ascii="宋体" w:hAnsi="宋体" w:cs="宋体"/>
                <w:sz w:val="21"/>
                <w:szCs w:val="21"/>
              </w:rPr>
              <w:t>输血科开展的所有实验结果登记（仪器传输或手工）及报告发放，可实现检验图片传输。</w:t>
            </w:r>
          </w:p>
        </w:tc>
      </w:tr>
      <w:tr w14:paraId="5D549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1237" w:type="dxa"/>
            <w:vMerge w:val="restart"/>
            <w:noWrap w:val="0"/>
            <w:vAlign w:val="center"/>
          </w:tcPr>
          <w:p w14:paraId="0B624B49">
            <w:pPr>
              <w:pStyle w:val="56"/>
              <w:tabs>
                <w:tab w:val="left" w:pos="7740"/>
              </w:tabs>
              <w:spacing w:line="288" w:lineRule="auto"/>
              <w:rPr>
                <w:rFonts w:ascii="宋体" w:hAnsi="宋体" w:cs="宋体"/>
                <w:sz w:val="21"/>
                <w:szCs w:val="21"/>
              </w:rPr>
            </w:pPr>
            <w:r>
              <w:rPr>
                <w:rFonts w:hint="eastAsia" w:ascii="宋体" w:hAnsi="宋体" w:cs="宋体"/>
                <w:sz w:val="21"/>
                <w:szCs w:val="21"/>
                <w:lang w:val="zh-CN"/>
              </w:rPr>
              <w:t>▲</w:t>
            </w:r>
            <w:r>
              <w:rPr>
                <w:rFonts w:hint="eastAsia" w:ascii="宋体" w:hAnsi="宋体" w:cs="宋体"/>
                <w:sz w:val="21"/>
                <w:szCs w:val="21"/>
              </w:rPr>
              <w:t>血液流程质量控制</w:t>
            </w:r>
          </w:p>
        </w:tc>
        <w:tc>
          <w:tcPr>
            <w:tcW w:w="1999" w:type="dxa"/>
            <w:noWrap w:val="0"/>
            <w:vAlign w:val="center"/>
          </w:tcPr>
          <w:p w14:paraId="02528A53">
            <w:pPr>
              <w:pStyle w:val="56"/>
              <w:tabs>
                <w:tab w:val="left" w:pos="7740"/>
              </w:tabs>
              <w:spacing w:line="288" w:lineRule="auto"/>
              <w:rPr>
                <w:rFonts w:ascii="宋体" w:hAnsi="宋体" w:cs="宋体"/>
                <w:sz w:val="21"/>
                <w:szCs w:val="21"/>
              </w:rPr>
            </w:pPr>
            <w:r>
              <w:rPr>
                <w:rFonts w:hint="eastAsia" w:ascii="宋体" w:hAnsi="宋体" w:cs="宋体"/>
                <w:sz w:val="21"/>
                <w:szCs w:val="21"/>
              </w:rPr>
              <w:t>▲质控设置</w:t>
            </w:r>
          </w:p>
        </w:tc>
        <w:tc>
          <w:tcPr>
            <w:tcW w:w="6502" w:type="dxa"/>
            <w:noWrap w:val="0"/>
            <w:vAlign w:val="center"/>
          </w:tcPr>
          <w:p w14:paraId="1F6F88A9">
            <w:pPr>
              <w:pStyle w:val="56"/>
              <w:tabs>
                <w:tab w:val="left" w:pos="7740"/>
              </w:tabs>
              <w:spacing w:line="288" w:lineRule="auto"/>
              <w:rPr>
                <w:rFonts w:ascii="宋体" w:hAnsi="宋体" w:cs="宋体"/>
                <w:sz w:val="21"/>
                <w:szCs w:val="21"/>
              </w:rPr>
            </w:pPr>
            <w:r>
              <w:rPr>
                <w:rFonts w:hint="eastAsia" w:ascii="宋体" w:hAnsi="宋体" w:cs="宋体"/>
                <w:sz w:val="21"/>
                <w:szCs w:val="21"/>
              </w:rPr>
              <w:t>设置通过输血科系统管理界面可以查看血液当前状态，记录操作时间，操作人员，时间节点。</w:t>
            </w:r>
          </w:p>
        </w:tc>
      </w:tr>
      <w:tr w14:paraId="6DE4A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237" w:type="dxa"/>
            <w:vMerge w:val="continue"/>
            <w:noWrap w:val="0"/>
            <w:vAlign w:val="center"/>
          </w:tcPr>
          <w:p w14:paraId="4D72C660">
            <w:pPr>
              <w:pStyle w:val="56"/>
              <w:tabs>
                <w:tab w:val="left" w:pos="7740"/>
              </w:tabs>
              <w:spacing w:line="288" w:lineRule="auto"/>
              <w:rPr>
                <w:rFonts w:ascii="宋体" w:hAnsi="宋体" w:cs="宋体"/>
                <w:sz w:val="21"/>
                <w:szCs w:val="21"/>
              </w:rPr>
            </w:pPr>
          </w:p>
        </w:tc>
        <w:tc>
          <w:tcPr>
            <w:tcW w:w="1999" w:type="dxa"/>
            <w:vMerge w:val="restart"/>
            <w:noWrap w:val="0"/>
            <w:vAlign w:val="center"/>
          </w:tcPr>
          <w:p w14:paraId="63FB92FF">
            <w:pPr>
              <w:pStyle w:val="56"/>
              <w:tabs>
                <w:tab w:val="left" w:pos="7740"/>
              </w:tabs>
              <w:spacing w:line="288" w:lineRule="auto"/>
              <w:rPr>
                <w:rFonts w:ascii="宋体" w:hAnsi="宋体" w:cs="宋体"/>
                <w:sz w:val="21"/>
                <w:szCs w:val="21"/>
              </w:rPr>
            </w:pPr>
            <w:r>
              <w:rPr>
                <w:rFonts w:hint="eastAsia" w:ascii="宋体" w:hAnsi="宋体" w:cs="宋体"/>
                <w:sz w:val="21"/>
                <w:szCs w:val="21"/>
              </w:rPr>
              <w:t>▲轨迹记录追溯</w:t>
            </w:r>
          </w:p>
        </w:tc>
        <w:tc>
          <w:tcPr>
            <w:tcW w:w="6502" w:type="dxa"/>
            <w:noWrap w:val="0"/>
            <w:vAlign w:val="center"/>
          </w:tcPr>
          <w:p w14:paraId="638A18EC">
            <w:pPr>
              <w:pStyle w:val="56"/>
              <w:tabs>
                <w:tab w:val="left" w:pos="7740"/>
              </w:tabs>
              <w:spacing w:line="288" w:lineRule="auto"/>
              <w:rPr>
                <w:rFonts w:ascii="宋体" w:hAnsi="宋体" w:cs="宋体"/>
                <w:sz w:val="21"/>
                <w:szCs w:val="21"/>
              </w:rPr>
            </w:pPr>
            <w:r>
              <w:rPr>
                <w:rFonts w:hint="eastAsia" w:ascii="宋体" w:hAnsi="宋体" w:cs="宋体"/>
                <w:sz w:val="21"/>
                <w:szCs w:val="21"/>
              </w:rPr>
              <w:t>输血科轨迹：输血科操作轨迹记录，流程记录操作员、时间</w:t>
            </w:r>
          </w:p>
        </w:tc>
      </w:tr>
      <w:tr w14:paraId="08DCE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1237" w:type="dxa"/>
            <w:vMerge w:val="continue"/>
            <w:noWrap w:val="0"/>
            <w:vAlign w:val="center"/>
          </w:tcPr>
          <w:p w14:paraId="5BCA6F24">
            <w:pPr>
              <w:pStyle w:val="56"/>
              <w:tabs>
                <w:tab w:val="left" w:pos="7740"/>
              </w:tabs>
              <w:spacing w:line="288" w:lineRule="auto"/>
              <w:rPr>
                <w:rFonts w:ascii="宋体" w:hAnsi="宋体" w:cs="宋体"/>
                <w:sz w:val="21"/>
                <w:szCs w:val="21"/>
              </w:rPr>
            </w:pPr>
          </w:p>
        </w:tc>
        <w:tc>
          <w:tcPr>
            <w:tcW w:w="1999" w:type="dxa"/>
            <w:vMerge w:val="continue"/>
            <w:noWrap w:val="0"/>
            <w:vAlign w:val="center"/>
          </w:tcPr>
          <w:p w14:paraId="1B71FCF7">
            <w:pPr>
              <w:pStyle w:val="56"/>
              <w:tabs>
                <w:tab w:val="left" w:pos="7740"/>
              </w:tabs>
              <w:spacing w:line="288" w:lineRule="auto"/>
              <w:rPr>
                <w:rFonts w:ascii="宋体" w:hAnsi="宋体" w:cs="宋体"/>
                <w:sz w:val="21"/>
                <w:szCs w:val="21"/>
              </w:rPr>
            </w:pPr>
          </w:p>
        </w:tc>
        <w:tc>
          <w:tcPr>
            <w:tcW w:w="6502" w:type="dxa"/>
            <w:noWrap w:val="0"/>
            <w:vAlign w:val="center"/>
          </w:tcPr>
          <w:p w14:paraId="6249F87E">
            <w:pPr>
              <w:pStyle w:val="56"/>
              <w:tabs>
                <w:tab w:val="left" w:pos="7740"/>
              </w:tabs>
              <w:spacing w:line="288" w:lineRule="auto"/>
              <w:rPr>
                <w:rFonts w:ascii="宋体" w:hAnsi="宋体" w:cs="宋体"/>
                <w:sz w:val="21"/>
                <w:szCs w:val="21"/>
              </w:rPr>
            </w:pPr>
            <w:r>
              <w:rPr>
                <w:rFonts w:hint="eastAsia" w:ascii="宋体" w:hAnsi="宋体" w:cs="宋体"/>
                <w:sz w:val="21"/>
                <w:szCs w:val="21"/>
              </w:rPr>
              <w:t>血袋闭环：血袋血站发血入库、输血科发血、临床取血、输注时间、输血反应等操作轨迹记录，流程记录操作员、时间</w:t>
            </w:r>
          </w:p>
        </w:tc>
      </w:tr>
    </w:tbl>
    <w:p w14:paraId="01E3E908">
      <w:pPr>
        <w:pStyle w:val="267"/>
        <w:rPr>
          <w:rFonts w:ascii="宋体" w:hAnsi="宋体" w:cs="宋体"/>
          <w:bCs w:val="0"/>
          <w:spacing w:val="10"/>
          <w:kern w:val="0"/>
        </w:rPr>
      </w:pPr>
    </w:p>
    <w:p w14:paraId="05A54C3B">
      <w:pPr>
        <w:pStyle w:val="267"/>
        <w:numPr>
          <w:ilvl w:val="0"/>
          <w:numId w:val="64"/>
        </w:numPr>
        <w:snapToGrid/>
        <w:spacing w:after="160" w:line="278" w:lineRule="auto"/>
        <w:rPr>
          <w:rFonts w:ascii="宋体" w:hAnsi="宋体" w:cs="宋体"/>
          <w:bCs w:val="0"/>
          <w:spacing w:val="10"/>
          <w:kern w:val="0"/>
        </w:rPr>
      </w:pPr>
      <w:r>
        <w:rPr>
          <w:rFonts w:hint="eastAsia" w:ascii="宋体" w:hAnsi="宋体" w:cs="宋体"/>
          <w:spacing w:val="10"/>
          <w:kern w:val="0"/>
        </w:rPr>
        <w:t>临床医生工作站功能</w:t>
      </w:r>
    </w:p>
    <w:tbl>
      <w:tblPr>
        <w:tblStyle w:val="46"/>
        <w:tblW w:w="9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9"/>
        <w:gridCol w:w="1635"/>
        <w:gridCol w:w="6825"/>
      </w:tblGrid>
      <w:tr w14:paraId="1B54B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1179" w:type="dxa"/>
            <w:noWrap w:val="0"/>
            <w:vAlign w:val="center"/>
          </w:tcPr>
          <w:p w14:paraId="06C71DC5">
            <w:pPr>
              <w:pStyle w:val="56"/>
              <w:tabs>
                <w:tab w:val="left" w:pos="7740"/>
              </w:tabs>
              <w:spacing w:line="288" w:lineRule="auto"/>
              <w:jc w:val="center"/>
              <w:rPr>
                <w:rFonts w:ascii="宋体" w:hAnsi="宋体" w:cs="宋体"/>
                <w:sz w:val="21"/>
                <w:szCs w:val="21"/>
              </w:rPr>
            </w:pPr>
            <w:r>
              <w:rPr>
                <w:rFonts w:hint="eastAsia" w:ascii="宋体" w:hAnsi="宋体" w:cs="宋体"/>
                <w:sz w:val="21"/>
                <w:szCs w:val="21"/>
              </w:rPr>
              <w:t>子系统</w:t>
            </w:r>
          </w:p>
        </w:tc>
        <w:tc>
          <w:tcPr>
            <w:tcW w:w="1635" w:type="dxa"/>
            <w:noWrap w:val="0"/>
            <w:vAlign w:val="center"/>
          </w:tcPr>
          <w:p w14:paraId="592C6989">
            <w:pPr>
              <w:pStyle w:val="56"/>
              <w:tabs>
                <w:tab w:val="left" w:pos="7740"/>
              </w:tabs>
              <w:spacing w:line="288" w:lineRule="auto"/>
              <w:jc w:val="center"/>
              <w:rPr>
                <w:rFonts w:ascii="宋体" w:hAnsi="宋体" w:cs="宋体"/>
                <w:sz w:val="21"/>
                <w:szCs w:val="21"/>
              </w:rPr>
            </w:pPr>
            <w:r>
              <w:rPr>
                <w:rFonts w:hint="eastAsia" w:ascii="宋体" w:hAnsi="宋体" w:cs="宋体"/>
                <w:sz w:val="21"/>
                <w:szCs w:val="21"/>
              </w:rPr>
              <w:t>系统功能</w:t>
            </w:r>
          </w:p>
        </w:tc>
        <w:tc>
          <w:tcPr>
            <w:tcW w:w="6825" w:type="dxa"/>
            <w:noWrap w:val="0"/>
            <w:vAlign w:val="center"/>
          </w:tcPr>
          <w:p w14:paraId="254A2AA9">
            <w:pPr>
              <w:pStyle w:val="56"/>
              <w:tabs>
                <w:tab w:val="left" w:pos="7740"/>
              </w:tabs>
              <w:spacing w:line="288" w:lineRule="auto"/>
              <w:jc w:val="center"/>
              <w:rPr>
                <w:rFonts w:ascii="宋体" w:hAnsi="宋体" w:cs="宋体"/>
                <w:sz w:val="21"/>
                <w:szCs w:val="21"/>
              </w:rPr>
            </w:pPr>
            <w:r>
              <w:rPr>
                <w:rFonts w:hint="eastAsia" w:ascii="宋体" w:hAnsi="宋体" w:cs="宋体"/>
                <w:sz w:val="21"/>
                <w:szCs w:val="21"/>
              </w:rPr>
              <w:t>功能描述</w:t>
            </w:r>
          </w:p>
        </w:tc>
      </w:tr>
      <w:tr w14:paraId="3736A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4" w:hRule="atLeast"/>
          <w:jc w:val="center"/>
        </w:trPr>
        <w:tc>
          <w:tcPr>
            <w:tcW w:w="1179" w:type="dxa"/>
            <w:vMerge w:val="restart"/>
            <w:noWrap w:val="0"/>
            <w:vAlign w:val="center"/>
          </w:tcPr>
          <w:p w14:paraId="40A793AE">
            <w:pPr>
              <w:pStyle w:val="56"/>
              <w:tabs>
                <w:tab w:val="left" w:pos="7740"/>
              </w:tabs>
              <w:spacing w:line="288" w:lineRule="auto"/>
              <w:rPr>
                <w:rFonts w:ascii="宋体" w:hAnsi="宋体" w:cs="宋体"/>
                <w:sz w:val="21"/>
                <w:szCs w:val="21"/>
              </w:rPr>
            </w:pPr>
          </w:p>
          <w:p w14:paraId="64D43994">
            <w:pPr>
              <w:pStyle w:val="56"/>
              <w:tabs>
                <w:tab w:val="left" w:pos="7740"/>
              </w:tabs>
              <w:spacing w:line="288" w:lineRule="auto"/>
              <w:rPr>
                <w:rFonts w:ascii="宋体" w:hAnsi="宋体" w:cs="宋体"/>
                <w:sz w:val="21"/>
                <w:szCs w:val="21"/>
              </w:rPr>
            </w:pPr>
          </w:p>
          <w:p w14:paraId="73D5D005">
            <w:pPr>
              <w:pStyle w:val="56"/>
              <w:tabs>
                <w:tab w:val="left" w:pos="7740"/>
              </w:tabs>
              <w:spacing w:line="288" w:lineRule="auto"/>
              <w:rPr>
                <w:rFonts w:ascii="宋体" w:hAnsi="宋体" w:cs="宋体"/>
                <w:sz w:val="21"/>
                <w:szCs w:val="21"/>
              </w:rPr>
            </w:pPr>
          </w:p>
          <w:p w14:paraId="42235B3A">
            <w:pPr>
              <w:pStyle w:val="56"/>
              <w:tabs>
                <w:tab w:val="left" w:pos="7740"/>
              </w:tabs>
              <w:spacing w:line="288" w:lineRule="auto"/>
              <w:rPr>
                <w:rFonts w:ascii="宋体" w:hAnsi="宋体" w:cs="宋体"/>
                <w:sz w:val="21"/>
                <w:szCs w:val="21"/>
              </w:rPr>
            </w:pPr>
          </w:p>
          <w:p w14:paraId="301A06DF">
            <w:pPr>
              <w:pStyle w:val="56"/>
              <w:tabs>
                <w:tab w:val="left" w:pos="7740"/>
              </w:tabs>
              <w:spacing w:line="288" w:lineRule="auto"/>
              <w:rPr>
                <w:rFonts w:ascii="宋体" w:hAnsi="宋体" w:cs="宋体"/>
                <w:sz w:val="21"/>
                <w:szCs w:val="21"/>
              </w:rPr>
            </w:pPr>
          </w:p>
          <w:p w14:paraId="20D59FA6">
            <w:pPr>
              <w:pStyle w:val="56"/>
              <w:tabs>
                <w:tab w:val="left" w:pos="7740"/>
              </w:tabs>
              <w:spacing w:line="288" w:lineRule="auto"/>
              <w:rPr>
                <w:rFonts w:ascii="宋体" w:hAnsi="宋体" w:cs="宋体"/>
                <w:sz w:val="21"/>
                <w:szCs w:val="21"/>
              </w:rPr>
            </w:pPr>
          </w:p>
          <w:p w14:paraId="112467CA">
            <w:pPr>
              <w:pStyle w:val="56"/>
              <w:tabs>
                <w:tab w:val="left" w:pos="7740"/>
              </w:tabs>
              <w:spacing w:line="288" w:lineRule="auto"/>
              <w:rPr>
                <w:rFonts w:ascii="宋体" w:hAnsi="宋体" w:cs="宋体"/>
                <w:sz w:val="21"/>
                <w:szCs w:val="21"/>
              </w:rPr>
            </w:pPr>
          </w:p>
          <w:p w14:paraId="09E2955F">
            <w:pPr>
              <w:pStyle w:val="56"/>
              <w:tabs>
                <w:tab w:val="left" w:pos="7740"/>
              </w:tabs>
              <w:spacing w:line="288" w:lineRule="auto"/>
              <w:rPr>
                <w:rFonts w:ascii="宋体" w:hAnsi="宋体" w:cs="宋体"/>
                <w:sz w:val="21"/>
                <w:szCs w:val="21"/>
              </w:rPr>
            </w:pPr>
          </w:p>
          <w:p w14:paraId="79648AD6">
            <w:pPr>
              <w:pStyle w:val="56"/>
              <w:tabs>
                <w:tab w:val="left" w:pos="7740"/>
              </w:tabs>
              <w:spacing w:line="288" w:lineRule="auto"/>
              <w:rPr>
                <w:rFonts w:ascii="宋体" w:hAnsi="宋体" w:cs="宋体"/>
                <w:sz w:val="21"/>
                <w:szCs w:val="21"/>
              </w:rPr>
            </w:pPr>
          </w:p>
          <w:p w14:paraId="295F9685">
            <w:pPr>
              <w:pStyle w:val="56"/>
              <w:tabs>
                <w:tab w:val="left" w:pos="7740"/>
              </w:tabs>
              <w:spacing w:line="288" w:lineRule="auto"/>
              <w:rPr>
                <w:rFonts w:ascii="宋体" w:hAnsi="宋体" w:cs="宋体"/>
                <w:sz w:val="21"/>
                <w:szCs w:val="21"/>
              </w:rPr>
            </w:pPr>
          </w:p>
          <w:p w14:paraId="445A092C">
            <w:pPr>
              <w:pStyle w:val="56"/>
              <w:tabs>
                <w:tab w:val="left" w:pos="7740"/>
              </w:tabs>
              <w:spacing w:line="288" w:lineRule="auto"/>
              <w:rPr>
                <w:rFonts w:ascii="宋体" w:hAnsi="宋体" w:cs="宋体"/>
                <w:sz w:val="21"/>
                <w:szCs w:val="21"/>
              </w:rPr>
            </w:pPr>
          </w:p>
          <w:p w14:paraId="2540BF3F">
            <w:pPr>
              <w:pStyle w:val="56"/>
              <w:tabs>
                <w:tab w:val="left" w:pos="7740"/>
              </w:tabs>
              <w:spacing w:line="288" w:lineRule="auto"/>
              <w:rPr>
                <w:rFonts w:ascii="宋体" w:hAnsi="宋体" w:cs="宋体"/>
                <w:sz w:val="21"/>
                <w:szCs w:val="21"/>
              </w:rPr>
            </w:pPr>
          </w:p>
          <w:p w14:paraId="476B3C71">
            <w:pPr>
              <w:pStyle w:val="56"/>
              <w:tabs>
                <w:tab w:val="left" w:pos="7740"/>
              </w:tabs>
              <w:spacing w:line="288" w:lineRule="auto"/>
              <w:rPr>
                <w:rFonts w:ascii="宋体" w:hAnsi="宋体" w:cs="宋体"/>
                <w:sz w:val="21"/>
                <w:szCs w:val="21"/>
              </w:rPr>
            </w:pPr>
          </w:p>
          <w:p w14:paraId="19AEC439">
            <w:pPr>
              <w:pStyle w:val="56"/>
              <w:tabs>
                <w:tab w:val="left" w:pos="7740"/>
              </w:tabs>
              <w:spacing w:line="288" w:lineRule="auto"/>
              <w:rPr>
                <w:rFonts w:ascii="宋体" w:hAnsi="宋体" w:cs="宋体"/>
                <w:sz w:val="21"/>
                <w:szCs w:val="21"/>
              </w:rPr>
            </w:pPr>
          </w:p>
          <w:p w14:paraId="7B469E3E">
            <w:pPr>
              <w:pStyle w:val="56"/>
              <w:tabs>
                <w:tab w:val="left" w:pos="7740"/>
              </w:tabs>
              <w:spacing w:line="288" w:lineRule="auto"/>
              <w:rPr>
                <w:rFonts w:ascii="宋体" w:hAnsi="宋体" w:cs="宋体"/>
                <w:sz w:val="21"/>
                <w:szCs w:val="21"/>
              </w:rPr>
            </w:pPr>
          </w:p>
          <w:p w14:paraId="3D2C2080">
            <w:pPr>
              <w:pStyle w:val="56"/>
              <w:tabs>
                <w:tab w:val="left" w:pos="7740"/>
              </w:tabs>
              <w:spacing w:line="288" w:lineRule="auto"/>
              <w:rPr>
                <w:rFonts w:ascii="宋体" w:hAnsi="宋体" w:cs="宋体"/>
                <w:sz w:val="21"/>
                <w:szCs w:val="21"/>
              </w:rPr>
            </w:pPr>
          </w:p>
          <w:p w14:paraId="63BCE7A7">
            <w:pPr>
              <w:pStyle w:val="56"/>
              <w:tabs>
                <w:tab w:val="left" w:pos="7740"/>
              </w:tabs>
              <w:spacing w:line="288" w:lineRule="auto"/>
              <w:rPr>
                <w:rFonts w:ascii="宋体" w:hAnsi="宋体" w:cs="宋体"/>
                <w:sz w:val="21"/>
                <w:szCs w:val="21"/>
              </w:rPr>
            </w:pPr>
          </w:p>
          <w:p w14:paraId="634945D7">
            <w:pPr>
              <w:pStyle w:val="56"/>
              <w:tabs>
                <w:tab w:val="left" w:pos="7740"/>
              </w:tabs>
              <w:spacing w:line="288" w:lineRule="auto"/>
              <w:rPr>
                <w:rFonts w:ascii="宋体" w:hAnsi="宋体" w:cs="宋体"/>
                <w:sz w:val="21"/>
                <w:szCs w:val="21"/>
              </w:rPr>
            </w:pPr>
          </w:p>
          <w:p w14:paraId="5015FA7A">
            <w:pPr>
              <w:pStyle w:val="56"/>
              <w:tabs>
                <w:tab w:val="left" w:pos="7740"/>
              </w:tabs>
              <w:spacing w:line="288" w:lineRule="auto"/>
              <w:rPr>
                <w:rFonts w:ascii="宋体" w:hAnsi="宋体" w:cs="宋体"/>
                <w:sz w:val="21"/>
                <w:szCs w:val="21"/>
              </w:rPr>
            </w:pPr>
          </w:p>
          <w:p w14:paraId="0E7338E5">
            <w:pPr>
              <w:pStyle w:val="56"/>
              <w:tabs>
                <w:tab w:val="left" w:pos="7740"/>
              </w:tabs>
              <w:spacing w:line="288" w:lineRule="auto"/>
              <w:rPr>
                <w:rFonts w:ascii="宋体" w:hAnsi="宋体" w:cs="宋体"/>
                <w:sz w:val="21"/>
                <w:szCs w:val="21"/>
              </w:rPr>
            </w:pPr>
          </w:p>
          <w:p w14:paraId="736C167F">
            <w:pPr>
              <w:pStyle w:val="56"/>
              <w:tabs>
                <w:tab w:val="left" w:pos="7740"/>
              </w:tabs>
              <w:spacing w:line="288" w:lineRule="auto"/>
              <w:rPr>
                <w:rFonts w:ascii="宋体" w:hAnsi="宋体" w:cs="宋体"/>
                <w:sz w:val="21"/>
                <w:szCs w:val="21"/>
              </w:rPr>
            </w:pPr>
            <w:r>
              <w:rPr>
                <w:rFonts w:hint="eastAsia" w:ascii="宋体" w:hAnsi="宋体" w:cs="宋体"/>
                <w:sz w:val="21"/>
                <w:szCs w:val="21"/>
              </w:rPr>
              <w:t>输血管理</w:t>
            </w:r>
          </w:p>
        </w:tc>
        <w:tc>
          <w:tcPr>
            <w:tcW w:w="1635" w:type="dxa"/>
            <w:tcBorders>
              <w:bottom w:val="single" w:color="auto" w:sz="4" w:space="0"/>
            </w:tcBorders>
            <w:noWrap w:val="0"/>
            <w:vAlign w:val="center"/>
          </w:tcPr>
          <w:p w14:paraId="62972639">
            <w:pPr>
              <w:pStyle w:val="56"/>
              <w:tabs>
                <w:tab w:val="left" w:pos="7740"/>
              </w:tabs>
              <w:spacing w:line="288" w:lineRule="auto"/>
              <w:rPr>
                <w:rFonts w:ascii="宋体" w:hAnsi="宋体" w:cs="宋体"/>
                <w:sz w:val="21"/>
                <w:szCs w:val="21"/>
              </w:rPr>
            </w:pPr>
            <w:r>
              <w:rPr>
                <w:rFonts w:hint="eastAsia" w:ascii="宋体" w:hAnsi="宋体" w:cs="宋体"/>
                <w:sz w:val="21"/>
                <w:szCs w:val="21"/>
              </w:rPr>
              <w:t>输血申请</w:t>
            </w:r>
          </w:p>
        </w:tc>
        <w:tc>
          <w:tcPr>
            <w:tcW w:w="6825" w:type="dxa"/>
            <w:tcBorders>
              <w:bottom w:val="single" w:color="auto" w:sz="4" w:space="0"/>
            </w:tcBorders>
            <w:noWrap w:val="0"/>
            <w:vAlign w:val="center"/>
          </w:tcPr>
          <w:p w14:paraId="3E0CC32D">
            <w:pPr>
              <w:pStyle w:val="56"/>
              <w:tabs>
                <w:tab w:val="left" w:pos="7740"/>
              </w:tabs>
              <w:spacing w:line="288" w:lineRule="auto"/>
              <w:rPr>
                <w:rFonts w:ascii="宋体" w:hAnsi="宋体" w:cs="宋体"/>
                <w:sz w:val="21"/>
                <w:szCs w:val="21"/>
              </w:rPr>
            </w:pPr>
            <w:r>
              <w:rPr>
                <w:rFonts w:hint="eastAsia" w:ascii="宋体" w:hAnsi="宋体" w:cs="宋体"/>
                <w:sz w:val="21"/>
                <w:szCs w:val="21"/>
              </w:rPr>
              <w:t>1、临床医生填写临床输血申请单，输血科审核输血申请单</w:t>
            </w:r>
          </w:p>
          <w:p w14:paraId="0023C974">
            <w:pPr>
              <w:pStyle w:val="56"/>
              <w:tabs>
                <w:tab w:val="left" w:pos="7740"/>
              </w:tabs>
              <w:spacing w:line="288" w:lineRule="auto"/>
              <w:rPr>
                <w:rFonts w:ascii="宋体" w:hAnsi="宋体" w:cs="宋体"/>
                <w:sz w:val="21"/>
                <w:szCs w:val="21"/>
              </w:rPr>
            </w:pPr>
            <w:r>
              <w:rPr>
                <w:rFonts w:hint="eastAsia" w:ascii="宋体" w:hAnsi="宋体" w:cs="宋体"/>
                <w:sz w:val="21"/>
                <w:szCs w:val="21"/>
              </w:rPr>
              <w:t>2、可区分医生的用血权限，根据职称审核用血申请医生权限，超权限将拒绝通过申请，将申请量与医生权限直接关联</w:t>
            </w:r>
          </w:p>
          <w:p w14:paraId="3EF7C8B1">
            <w:pPr>
              <w:pStyle w:val="56"/>
              <w:tabs>
                <w:tab w:val="left" w:pos="7740"/>
              </w:tabs>
              <w:spacing w:line="288" w:lineRule="auto"/>
              <w:rPr>
                <w:rFonts w:ascii="宋体" w:hAnsi="宋体" w:cs="宋体"/>
                <w:sz w:val="21"/>
                <w:szCs w:val="21"/>
              </w:rPr>
            </w:pPr>
            <w:r>
              <w:rPr>
                <w:rFonts w:hint="eastAsia" w:ascii="宋体" w:hAnsi="宋体" w:cs="宋体"/>
                <w:sz w:val="21"/>
                <w:szCs w:val="21"/>
              </w:rPr>
              <w:t>3、单病种输血知识库，医生开输血申请单时系统根据病种编码自动匹配对应得单病种输血指南，辅助医生做输血决策</w:t>
            </w:r>
          </w:p>
        </w:tc>
      </w:tr>
      <w:tr w14:paraId="11BD6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179" w:type="dxa"/>
            <w:vMerge w:val="continue"/>
            <w:noWrap w:val="0"/>
            <w:vAlign w:val="center"/>
          </w:tcPr>
          <w:p w14:paraId="54BA28F9">
            <w:pPr>
              <w:pStyle w:val="56"/>
              <w:tabs>
                <w:tab w:val="left" w:pos="7740"/>
              </w:tabs>
              <w:spacing w:line="288" w:lineRule="auto"/>
              <w:rPr>
                <w:rFonts w:ascii="宋体" w:hAnsi="宋体" w:cs="宋体"/>
                <w:sz w:val="21"/>
                <w:szCs w:val="21"/>
              </w:rPr>
            </w:pPr>
          </w:p>
        </w:tc>
        <w:tc>
          <w:tcPr>
            <w:tcW w:w="1635" w:type="dxa"/>
            <w:noWrap w:val="0"/>
            <w:vAlign w:val="center"/>
          </w:tcPr>
          <w:p w14:paraId="07F26C16">
            <w:pPr>
              <w:pStyle w:val="56"/>
              <w:tabs>
                <w:tab w:val="left" w:pos="7740"/>
              </w:tabs>
              <w:spacing w:line="288" w:lineRule="auto"/>
              <w:rPr>
                <w:rFonts w:ascii="宋体" w:hAnsi="宋体" w:cs="宋体"/>
                <w:sz w:val="21"/>
                <w:szCs w:val="21"/>
              </w:rPr>
            </w:pPr>
            <w:r>
              <w:rPr>
                <w:rFonts w:hint="eastAsia" w:ascii="宋体" w:hAnsi="宋体" w:cs="宋体"/>
                <w:sz w:val="21"/>
                <w:szCs w:val="21"/>
              </w:rPr>
              <w:t>申请分类</w:t>
            </w:r>
          </w:p>
        </w:tc>
        <w:tc>
          <w:tcPr>
            <w:tcW w:w="6825" w:type="dxa"/>
            <w:noWrap w:val="0"/>
            <w:vAlign w:val="center"/>
          </w:tcPr>
          <w:p w14:paraId="0C6FDC98">
            <w:pPr>
              <w:pStyle w:val="56"/>
              <w:tabs>
                <w:tab w:val="left" w:pos="7740"/>
              </w:tabs>
              <w:spacing w:line="288" w:lineRule="auto"/>
              <w:rPr>
                <w:rFonts w:ascii="宋体" w:hAnsi="宋体" w:cs="宋体"/>
                <w:sz w:val="21"/>
                <w:szCs w:val="21"/>
              </w:rPr>
            </w:pPr>
            <w:r>
              <w:rPr>
                <w:rFonts w:hint="eastAsia" w:ascii="宋体" w:hAnsi="宋体" w:cs="宋体"/>
                <w:sz w:val="21"/>
                <w:szCs w:val="21"/>
              </w:rPr>
              <w:t>输血申请包括按照输血流程的用血申请和绿色通道用血申请。</w:t>
            </w:r>
          </w:p>
        </w:tc>
      </w:tr>
      <w:tr w14:paraId="6E309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179" w:type="dxa"/>
            <w:vMerge w:val="continue"/>
            <w:noWrap w:val="0"/>
            <w:vAlign w:val="top"/>
          </w:tcPr>
          <w:p w14:paraId="0133591C">
            <w:pPr>
              <w:pStyle w:val="56"/>
              <w:tabs>
                <w:tab w:val="left" w:pos="7740"/>
              </w:tabs>
              <w:spacing w:line="288" w:lineRule="auto"/>
              <w:rPr>
                <w:rFonts w:ascii="宋体" w:hAnsi="宋体" w:cs="宋体"/>
                <w:sz w:val="21"/>
                <w:szCs w:val="21"/>
              </w:rPr>
            </w:pPr>
          </w:p>
        </w:tc>
        <w:tc>
          <w:tcPr>
            <w:tcW w:w="1635" w:type="dxa"/>
            <w:noWrap w:val="0"/>
            <w:vAlign w:val="center"/>
          </w:tcPr>
          <w:p w14:paraId="5EE9D6B1">
            <w:pPr>
              <w:pStyle w:val="56"/>
              <w:tabs>
                <w:tab w:val="left" w:pos="7740"/>
              </w:tabs>
              <w:spacing w:line="288" w:lineRule="auto"/>
              <w:rPr>
                <w:rFonts w:ascii="宋体" w:hAnsi="宋体" w:cs="宋体"/>
                <w:sz w:val="21"/>
                <w:szCs w:val="21"/>
              </w:rPr>
            </w:pPr>
            <w:r>
              <w:rPr>
                <w:rFonts w:hint="eastAsia" w:ascii="宋体" w:hAnsi="宋体" w:cs="宋体"/>
                <w:sz w:val="21"/>
                <w:szCs w:val="21"/>
              </w:rPr>
              <w:t>输血知情同意书</w:t>
            </w:r>
          </w:p>
        </w:tc>
        <w:tc>
          <w:tcPr>
            <w:tcW w:w="6825" w:type="dxa"/>
            <w:noWrap w:val="0"/>
            <w:vAlign w:val="center"/>
          </w:tcPr>
          <w:p w14:paraId="738059B8">
            <w:pPr>
              <w:pStyle w:val="56"/>
              <w:tabs>
                <w:tab w:val="left" w:pos="7740"/>
              </w:tabs>
              <w:spacing w:line="288" w:lineRule="auto"/>
              <w:rPr>
                <w:rFonts w:ascii="宋体" w:hAnsi="宋体" w:cs="宋体"/>
                <w:sz w:val="21"/>
                <w:szCs w:val="21"/>
              </w:rPr>
            </w:pPr>
            <w:r>
              <w:rPr>
                <w:rFonts w:hint="eastAsia" w:ascii="宋体" w:hAnsi="宋体"/>
                <w:sz w:val="21"/>
                <w:szCs w:val="21"/>
              </w:rPr>
              <w:t>★</w:t>
            </w:r>
            <w:r>
              <w:rPr>
                <w:rFonts w:hint="eastAsia" w:ascii="宋体" w:hAnsi="宋体" w:cs="宋体"/>
                <w:sz w:val="21"/>
                <w:szCs w:val="21"/>
              </w:rPr>
              <w:t>保存输血知情同意书的word文档模板，且与电子病历同意书保持一致等。</w:t>
            </w:r>
          </w:p>
        </w:tc>
      </w:tr>
      <w:tr w14:paraId="7C91D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6" w:hRule="atLeast"/>
          <w:jc w:val="center"/>
        </w:trPr>
        <w:tc>
          <w:tcPr>
            <w:tcW w:w="1179" w:type="dxa"/>
            <w:vMerge w:val="continue"/>
            <w:noWrap w:val="0"/>
            <w:vAlign w:val="top"/>
          </w:tcPr>
          <w:p w14:paraId="7663DB0A">
            <w:pPr>
              <w:pStyle w:val="56"/>
              <w:tabs>
                <w:tab w:val="left" w:pos="7740"/>
              </w:tabs>
              <w:spacing w:line="288" w:lineRule="auto"/>
              <w:rPr>
                <w:rFonts w:ascii="宋体" w:hAnsi="宋体" w:cs="宋体"/>
                <w:sz w:val="21"/>
                <w:szCs w:val="21"/>
              </w:rPr>
            </w:pPr>
          </w:p>
        </w:tc>
        <w:tc>
          <w:tcPr>
            <w:tcW w:w="1635" w:type="dxa"/>
            <w:noWrap w:val="0"/>
            <w:vAlign w:val="center"/>
          </w:tcPr>
          <w:p w14:paraId="512E65D5">
            <w:pPr>
              <w:pStyle w:val="56"/>
              <w:tabs>
                <w:tab w:val="left" w:pos="7740"/>
              </w:tabs>
              <w:spacing w:line="288" w:lineRule="auto"/>
              <w:rPr>
                <w:rFonts w:ascii="宋体" w:hAnsi="宋体" w:cs="宋体"/>
                <w:sz w:val="21"/>
                <w:szCs w:val="21"/>
              </w:rPr>
            </w:pPr>
            <w:r>
              <w:rPr>
                <w:rFonts w:hint="eastAsia" w:ascii="宋体" w:hAnsi="宋体" w:cs="宋体"/>
                <w:sz w:val="21"/>
                <w:szCs w:val="21"/>
                <w:lang w:val="zh-CN"/>
              </w:rPr>
              <w:t>▲</w:t>
            </w:r>
            <w:r>
              <w:rPr>
                <w:rFonts w:hint="eastAsia" w:ascii="宋体" w:hAnsi="宋体" w:cs="宋体"/>
                <w:sz w:val="21"/>
                <w:szCs w:val="21"/>
              </w:rPr>
              <w:t>输血合理性评估</w:t>
            </w:r>
          </w:p>
        </w:tc>
        <w:tc>
          <w:tcPr>
            <w:tcW w:w="6825" w:type="dxa"/>
            <w:noWrap w:val="0"/>
            <w:vAlign w:val="center"/>
          </w:tcPr>
          <w:p w14:paraId="564B519E">
            <w:pPr>
              <w:pStyle w:val="56"/>
              <w:tabs>
                <w:tab w:val="left" w:pos="7740"/>
              </w:tabs>
              <w:spacing w:line="288" w:lineRule="auto"/>
              <w:rPr>
                <w:rFonts w:ascii="宋体" w:hAnsi="宋体" w:cs="宋体"/>
                <w:sz w:val="21"/>
                <w:szCs w:val="21"/>
              </w:rPr>
            </w:pPr>
            <w:r>
              <w:rPr>
                <w:rFonts w:hint="eastAsia" w:ascii="宋体" w:hAnsi="宋体" w:cs="宋体"/>
                <w:sz w:val="21"/>
                <w:szCs w:val="21"/>
              </w:rPr>
              <w:t>具备输血管理系统输血合理性评估模块：</w:t>
            </w:r>
          </w:p>
          <w:p w14:paraId="17510F7C">
            <w:pPr>
              <w:pStyle w:val="56"/>
              <w:tabs>
                <w:tab w:val="left" w:pos="7740"/>
              </w:tabs>
              <w:spacing w:line="288" w:lineRule="auto"/>
              <w:rPr>
                <w:rFonts w:ascii="宋体" w:hAnsi="宋体" w:cs="宋体"/>
                <w:sz w:val="21"/>
                <w:szCs w:val="21"/>
              </w:rPr>
            </w:pPr>
            <w:r>
              <w:rPr>
                <w:rFonts w:hint="eastAsia" w:ascii="宋体" w:hAnsi="宋体" w:cs="宋体"/>
                <w:sz w:val="21"/>
                <w:szCs w:val="21"/>
              </w:rPr>
              <w:t>增加普通用血遵守自动“输血前评估”，如临床医生开具输血申请时系统判定输血指征不符时，须备注患者输血理由方可通过输血科审核可接收此单据，否则不通过申请，且不通过输血科审核，无法执行医嘱，同时信息提示该医生该申请单不合格，该提示信息由临床医生进行确认。各血液制品适应症指标可系统自主维护。</w:t>
            </w:r>
          </w:p>
        </w:tc>
      </w:tr>
      <w:tr w14:paraId="29CBA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1179" w:type="dxa"/>
            <w:vMerge w:val="continue"/>
            <w:noWrap w:val="0"/>
            <w:vAlign w:val="top"/>
          </w:tcPr>
          <w:p w14:paraId="54BC6FE9">
            <w:pPr>
              <w:pStyle w:val="56"/>
              <w:tabs>
                <w:tab w:val="left" w:pos="7740"/>
              </w:tabs>
              <w:spacing w:line="288" w:lineRule="auto"/>
              <w:rPr>
                <w:rFonts w:ascii="宋体" w:hAnsi="宋体" w:cs="宋体"/>
                <w:sz w:val="21"/>
                <w:szCs w:val="21"/>
              </w:rPr>
            </w:pPr>
          </w:p>
        </w:tc>
        <w:tc>
          <w:tcPr>
            <w:tcW w:w="1635" w:type="dxa"/>
            <w:noWrap w:val="0"/>
            <w:vAlign w:val="center"/>
          </w:tcPr>
          <w:p w14:paraId="33682983">
            <w:pPr>
              <w:pStyle w:val="56"/>
              <w:tabs>
                <w:tab w:val="left" w:pos="7740"/>
              </w:tabs>
              <w:spacing w:line="288" w:lineRule="auto"/>
              <w:rPr>
                <w:rFonts w:ascii="宋体" w:hAnsi="宋体" w:cs="宋体"/>
                <w:sz w:val="21"/>
                <w:szCs w:val="21"/>
              </w:rPr>
            </w:pPr>
            <w:r>
              <w:rPr>
                <w:rFonts w:hint="eastAsia" w:ascii="宋体" w:hAnsi="宋体" w:cs="宋体"/>
                <w:sz w:val="21"/>
                <w:szCs w:val="21"/>
              </w:rPr>
              <w:t>输血有效性评估</w:t>
            </w:r>
          </w:p>
        </w:tc>
        <w:tc>
          <w:tcPr>
            <w:tcW w:w="6825" w:type="dxa"/>
            <w:noWrap w:val="0"/>
            <w:vAlign w:val="center"/>
          </w:tcPr>
          <w:p w14:paraId="5237708D">
            <w:pPr>
              <w:pStyle w:val="56"/>
              <w:tabs>
                <w:tab w:val="left" w:pos="7740"/>
              </w:tabs>
              <w:spacing w:line="288" w:lineRule="auto"/>
              <w:rPr>
                <w:rFonts w:ascii="宋体" w:hAnsi="宋体" w:cs="宋体"/>
                <w:sz w:val="21"/>
                <w:szCs w:val="21"/>
              </w:rPr>
            </w:pPr>
            <w:r>
              <w:rPr>
                <w:rFonts w:hint="eastAsia" w:ascii="宋体" w:hAnsi="宋体" w:cs="宋体"/>
                <w:sz w:val="21"/>
                <w:szCs w:val="21"/>
              </w:rPr>
              <w:t>临床医生在患者每次输血后定期或根据实际情况，对患者抽取标本重新进行检验，对比患者在输血前后的检验结果，评估输血过程的有效性。</w:t>
            </w:r>
          </w:p>
        </w:tc>
      </w:tr>
      <w:tr w14:paraId="2E279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179" w:type="dxa"/>
            <w:vMerge w:val="continue"/>
            <w:noWrap w:val="0"/>
            <w:vAlign w:val="top"/>
          </w:tcPr>
          <w:p w14:paraId="7018FFF0">
            <w:pPr>
              <w:pStyle w:val="56"/>
              <w:tabs>
                <w:tab w:val="left" w:pos="7740"/>
              </w:tabs>
              <w:spacing w:line="288" w:lineRule="auto"/>
              <w:rPr>
                <w:rFonts w:ascii="宋体" w:hAnsi="宋体" w:cs="宋体"/>
                <w:sz w:val="21"/>
                <w:szCs w:val="21"/>
              </w:rPr>
            </w:pPr>
          </w:p>
        </w:tc>
        <w:tc>
          <w:tcPr>
            <w:tcW w:w="1635" w:type="dxa"/>
            <w:noWrap w:val="0"/>
            <w:vAlign w:val="center"/>
          </w:tcPr>
          <w:p w14:paraId="1B9AB4EB">
            <w:pPr>
              <w:pStyle w:val="56"/>
              <w:tabs>
                <w:tab w:val="left" w:pos="7740"/>
              </w:tabs>
              <w:spacing w:line="288" w:lineRule="auto"/>
              <w:rPr>
                <w:rFonts w:ascii="宋体" w:hAnsi="宋体" w:cs="宋体"/>
                <w:sz w:val="21"/>
                <w:szCs w:val="21"/>
              </w:rPr>
            </w:pPr>
            <w:r>
              <w:rPr>
                <w:rFonts w:hint="eastAsia" w:ascii="宋体" w:hAnsi="宋体" w:cs="宋体"/>
                <w:sz w:val="21"/>
                <w:szCs w:val="21"/>
              </w:rPr>
              <w:t>输血过程安全性评估</w:t>
            </w:r>
          </w:p>
        </w:tc>
        <w:tc>
          <w:tcPr>
            <w:tcW w:w="6825" w:type="dxa"/>
            <w:noWrap w:val="0"/>
            <w:vAlign w:val="center"/>
          </w:tcPr>
          <w:p w14:paraId="62F56285">
            <w:pPr>
              <w:pStyle w:val="56"/>
              <w:tabs>
                <w:tab w:val="left" w:pos="7740"/>
              </w:tabs>
              <w:spacing w:line="288" w:lineRule="auto"/>
              <w:rPr>
                <w:rFonts w:ascii="宋体" w:hAnsi="宋体" w:cs="宋体"/>
                <w:sz w:val="21"/>
                <w:szCs w:val="21"/>
              </w:rPr>
            </w:pPr>
            <w:r>
              <w:rPr>
                <w:rFonts w:hint="eastAsia" w:ascii="宋体" w:hAnsi="宋体" w:cs="宋体"/>
                <w:sz w:val="21"/>
                <w:szCs w:val="21"/>
              </w:rPr>
              <w:t>临床医生针对已结束的输血申请单，进行血液的全过程安全评估。</w:t>
            </w:r>
          </w:p>
        </w:tc>
      </w:tr>
      <w:tr w14:paraId="27331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179" w:type="dxa"/>
            <w:vMerge w:val="continue"/>
            <w:noWrap w:val="0"/>
            <w:vAlign w:val="top"/>
          </w:tcPr>
          <w:p w14:paraId="3C69679B">
            <w:pPr>
              <w:pStyle w:val="56"/>
              <w:tabs>
                <w:tab w:val="left" w:pos="7740"/>
              </w:tabs>
              <w:spacing w:line="288" w:lineRule="auto"/>
              <w:rPr>
                <w:rFonts w:ascii="宋体" w:hAnsi="宋体" w:cs="宋体"/>
                <w:sz w:val="21"/>
                <w:szCs w:val="21"/>
              </w:rPr>
            </w:pPr>
          </w:p>
        </w:tc>
        <w:tc>
          <w:tcPr>
            <w:tcW w:w="1635" w:type="dxa"/>
            <w:noWrap w:val="0"/>
            <w:vAlign w:val="center"/>
          </w:tcPr>
          <w:p w14:paraId="487CC2C6">
            <w:pPr>
              <w:pStyle w:val="56"/>
              <w:tabs>
                <w:tab w:val="left" w:pos="7740"/>
              </w:tabs>
              <w:spacing w:line="288" w:lineRule="auto"/>
              <w:rPr>
                <w:rFonts w:ascii="宋体" w:hAnsi="宋体" w:cs="宋体"/>
                <w:sz w:val="21"/>
                <w:szCs w:val="21"/>
              </w:rPr>
            </w:pPr>
            <w:r>
              <w:rPr>
                <w:rFonts w:hint="eastAsia" w:ascii="宋体" w:hAnsi="宋体" w:cs="宋体"/>
                <w:sz w:val="21"/>
                <w:szCs w:val="21"/>
              </w:rPr>
              <w:t>输血申请补录</w:t>
            </w:r>
          </w:p>
        </w:tc>
        <w:tc>
          <w:tcPr>
            <w:tcW w:w="6825" w:type="dxa"/>
            <w:noWrap w:val="0"/>
            <w:vAlign w:val="center"/>
          </w:tcPr>
          <w:p w14:paraId="7A841F81">
            <w:pPr>
              <w:pStyle w:val="56"/>
              <w:tabs>
                <w:tab w:val="left" w:pos="7740"/>
              </w:tabs>
              <w:spacing w:line="288" w:lineRule="auto"/>
              <w:rPr>
                <w:rFonts w:ascii="宋体" w:hAnsi="宋体" w:cs="宋体"/>
                <w:sz w:val="21"/>
                <w:szCs w:val="21"/>
              </w:rPr>
            </w:pPr>
            <w:r>
              <w:rPr>
                <w:rFonts w:hint="eastAsia" w:ascii="宋体" w:hAnsi="宋体" w:cs="宋体"/>
                <w:sz w:val="21"/>
                <w:szCs w:val="21"/>
              </w:rPr>
              <w:t>紧急情况下，在血液发血出库后，当临床科室补录了申请单之后，进行申请单与发血单关联操作，以确保信息的完整性。</w:t>
            </w:r>
          </w:p>
        </w:tc>
      </w:tr>
      <w:tr w14:paraId="1CC00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9" w:hRule="atLeast"/>
          <w:jc w:val="center"/>
        </w:trPr>
        <w:tc>
          <w:tcPr>
            <w:tcW w:w="1179" w:type="dxa"/>
            <w:vMerge w:val="continue"/>
            <w:noWrap w:val="0"/>
            <w:vAlign w:val="top"/>
          </w:tcPr>
          <w:p w14:paraId="2560CE52">
            <w:pPr>
              <w:pStyle w:val="56"/>
              <w:tabs>
                <w:tab w:val="left" w:pos="7740"/>
              </w:tabs>
              <w:spacing w:line="288" w:lineRule="auto"/>
              <w:rPr>
                <w:rFonts w:ascii="宋体" w:hAnsi="宋体" w:cs="宋体"/>
                <w:sz w:val="21"/>
                <w:szCs w:val="21"/>
              </w:rPr>
            </w:pPr>
          </w:p>
        </w:tc>
        <w:tc>
          <w:tcPr>
            <w:tcW w:w="1635" w:type="dxa"/>
            <w:noWrap w:val="0"/>
            <w:vAlign w:val="center"/>
          </w:tcPr>
          <w:p w14:paraId="65BC9019">
            <w:pPr>
              <w:pStyle w:val="56"/>
              <w:tabs>
                <w:tab w:val="left" w:pos="7740"/>
              </w:tabs>
              <w:spacing w:line="288" w:lineRule="auto"/>
              <w:rPr>
                <w:rFonts w:ascii="宋体" w:hAnsi="宋体" w:cs="宋体"/>
                <w:sz w:val="21"/>
                <w:szCs w:val="21"/>
              </w:rPr>
            </w:pPr>
            <w:r>
              <w:rPr>
                <w:rFonts w:hint="eastAsia" w:ascii="宋体" w:hAnsi="宋体" w:cs="宋体"/>
                <w:sz w:val="21"/>
                <w:szCs w:val="21"/>
              </w:rPr>
              <w:t>输血反应管理</w:t>
            </w:r>
          </w:p>
        </w:tc>
        <w:tc>
          <w:tcPr>
            <w:tcW w:w="6825" w:type="dxa"/>
            <w:noWrap w:val="0"/>
            <w:vAlign w:val="center"/>
          </w:tcPr>
          <w:p w14:paraId="27820EF9">
            <w:pPr>
              <w:pStyle w:val="56"/>
              <w:tabs>
                <w:tab w:val="left" w:pos="7740"/>
              </w:tabs>
              <w:spacing w:line="288" w:lineRule="auto"/>
              <w:rPr>
                <w:rFonts w:ascii="宋体" w:hAnsi="宋体" w:cs="宋体"/>
                <w:sz w:val="21"/>
                <w:szCs w:val="21"/>
              </w:rPr>
            </w:pPr>
            <w:r>
              <w:rPr>
                <w:rFonts w:hint="eastAsia" w:ascii="宋体" w:hAnsi="宋体" w:cs="宋体"/>
                <w:sz w:val="21"/>
                <w:szCs w:val="21"/>
              </w:rPr>
              <w:t>须根据SHOT的标准管理输血不良反应。临床科室登记输血反应信息及临床科室处理信息，输血科值班人员登记输血科处理信息及跟踪信息，提交科主任审核后再流转到医务科审核后反馈到输血科及临床打印存档。</w:t>
            </w:r>
          </w:p>
        </w:tc>
      </w:tr>
      <w:tr w14:paraId="3D2FF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9" w:hRule="atLeast"/>
          <w:jc w:val="center"/>
        </w:trPr>
        <w:tc>
          <w:tcPr>
            <w:tcW w:w="1179" w:type="dxa"/>
            <w:vMerge w:val="continue"/>
            <w:noWrap w:val="0"/>
            <w:vAlign w:val="top"/>
          </w:tcPr>
          <w:p w14:paraId="53B34A85">
            <w:pPr>
              <w:pStyle w:val="56"/>
              <w:tabs>
                <w:tab w:val="left" w:pos="7740"/>
              </w:tabs>
              <w:spacing w:line="288" w:lineRule="auto"/>
              <w:rPr>
                <w:rFonts w:ascii="宋体" w:hAnsi="宋体" w:cs="宋体"/>
                <w:sz w:val="21"/>
                <w:szCs w:val="21"/>
              </w:rPr>
            </w:pPr>
          </w:p>
        </w:tc>
        <w:tc>
          <w:tcPr>
            <w:tcW w:w="1635" w:type="dxa"/>
            <w:noWrap w:val="0"/>
            <w:vAlign w:val="center"/>
          </w:tcPr>
          <w:p w14:paraId="183DDDE9">
            <w:pPr>
              <w:pStyle w:val="56"/>
              <w:tabs>
                <w:tab w:val="left" w:pos="7740"/>
              </w:tabs>
              <w:spacing w:line="288" w:lineRule="auto"/>
              <w:rPr>
                <w:rFonts w:ascii="宋体" w:hAnsi="宋体" w:cs="宋体"/>
                <w:sz w:val="21"/>
                <w:szCs w:val="21"/>
              </w:rPr>
            </w:pPr>
            <w:r>
              <w:rPr>
                <w:rFonts w:hint="eastAsia" w:ascii="宋体" w:hAnsi="宋体" w:cs="宋体"/>
                <w:sz w:val="21"/>
                <w:szCs w:val="21"/>
              </w:rPr>
              <w:t>▲输血评估记录</w:t>
            </w:r>
          </w:p>
        </w:tc>
        <w:tc>
          <w:tcPr>
            <w:tcW w:w="6825" w:type="dxa"/>
            <w:noWrap w:val="0"/>
            <w:vAlign w:val="top"/>
          </w:tcPr>
          <w:p w14:paraId="305AF810">
            <w:pPr>
              <w:pStyle w:val="56"/>
              <w:tabs>
                <w:tab w:val="left" w:pos="7740"/>
              </w:tabs>
              <w:spacing w:line="288" w:lineRule="auto"/>
              <w:rPr>
                <w:rFonts w:ascii="宋体" w:hAnsi="宋体" w:cs="宋体"/>
                <w:sz w:val="21"/>
                <w:szCs w:val="21"/>
              </w:rPr>
            </w:pPr>
            <w:r>
              <w:rPr>
                <w:rFonts w:hint="eastAsia" w:ascii="宋体" w:hAnsi="宋体" w:cs="宋体"/>
                <w:sz w:val="21"/>
                <w:szCs w:val="21"/>
              </w:rPr>
              <w:t>输血前评估记录可以根据输血过程根据有无输血不良反应，按照固定格式生成输血过程记录，可以根据医院电子病历的情况写入电子病历系统，构成输血病历的一部分。输血后依据检验数据对本次输血做出评价。</w:t>
            </w:r>
          </w:p>
        </w:tc>
      </w:tr>
      <w:tr w14:paraId="4ED18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6" w:hRule="atLeast"/>
          <w:jc w:val="center"/>
        </w:trPr>
        <w:tc>
          <w:tcPr>
            <w:tcW w:w="1179" w:type="dxa"/>
            <w:vMerge w:val="continue"/>
            <w:noWrap w:val="0"/>
            <w:vAlign w:val="top"/>
          </w:tcPr>
          <w:p w14:paraId="7A61720A">
            <w:pPr>
              <w:pStyle w:val="56"/>
              <w:tabs>
                <w:tab w:val="left" w:pos="7740"/>
              </w:tabs>
              <w:spacing w:line="288" w:lineRule="auto"/>
              <w:rPr>
                <w:rFonts w:ascii="宋体" w:hAnsi="宋体" w:cs="宋体"/>
                <w:sz w:val="21"/>
                <w:szCs w:val="21"/>
              </w:rPr>
            </w:pPr>
          </w:p>
        </w:tc>
        <w:tc>
          <w:tcPr>
            <w:tcW w:w="1635" w:type="dxa"/>
            <w:noWrap w:val="0"/>
            <w:vAlign w:val="center"/>
          </w:tcPr>
          <w:p w14:paraId="4E2520E4">
            <w:pPr>
              <w:pStyle w:val="56"/>
              <w:tabs>
                <w:tab w:val="left" w:pos="7740"/>
              </w:tabs>
              <w:spacing w:line="288" w:lineRule="auto"/>
              <w:rPr>
                <w:rFonts w:ascii="宋体" w:hAnsi="宋体" w:cs="宋体"/>
                <w:sz w:val="21"/>
                <w:szCs w:val="21"/>
              </w:rPr>
            </w:pPr>
            <w:r>
              <w:rPr>
                <w:rFonts w:hint="eastAsia" w:ascii="宋体" w:hAnsi="宋体" w:cs="宋体"/>
                <w:sz w:val="21"/>
                <w:szCs w:val="21"/>
              </w:rPr>
              <w:t>大量用血审批</w:t>
            </w:r>
          </w:p>
        </w:tc>
        <w:tc>
          <w:tcPr>
            <w:tcW w:w="6825" w:type="dxa"/>
            <w:noWrap w:val="0"/>
            <w:vAlign w:val="center"/>
          </w:tcPr>
          <w:p w14:paraId="7E036C94">
            <w:pPr>
              <w:pStyle w:val="56"/>
              <w:tabs>
                <w:tab w:val="left" w:pos="7740"/>
              </w:tabs>
              <w:spacing w:line="288" w:lineRule="auto"/>
              <w:rPr>
                <w:rFonts w:ascii="宋体" w:hAnsi="宋体" w:cs="宋体"/>
                <w:sz w:val="21"/>
                <w:szCs w:val="21"/>
              </w:rPr>
            </w:pPr>
            <w:r>
              <w:rPr>
                <w:rFonts w:hint="eastAsia" w:ascii="宋体" w:hAnsi="宋体" w:cs="宋体"/>
                <w:sz w:val="21"/>
                <w:szCs w:val="21"/>
              </w:rPr>
              <w:t>具备用血审批及大量用血审批模块，符合85号令要求，即本次申请红细胞时，系统自动识别24h之内是否红细胞用量达8U（包括本次申请量）。如达到或大于8U生成大量用血审批单，临床填写后输血科和医务科审批。发血时如该病人24h之内红细胞用量达8U应提醒输血科及临床填写审批单。</w:t>
            </w:r>
          </w:p>
        </w:tc>
      </w:tr>
      <w:tr w14:paraId="6771E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jc w:val="center"/>
        </w:trPr>
        <w:tc>
          <w:tcPr>
            <w:tcW w:w="1179" w:type="dxa"/>
            <w:vMerge w:val="continue"/>
            <w:noWrap w:val="0"/>
            <w:vAlign w:val="top"/>
          </w:tcPr>
          <w:p w14:paraId="459FB8C1">
            <w:pPr>
              <w:pStyle w:val="56"/>
              <w:tabs>
                <w:tab w:val="left" w:pos="7740"/>
              </w:tabs>
              <w:spacing w:line="288" w:lineRule="auto"/>
              <w:rPr>
                <w:rFonts w:ascii="宋体" w:hAnsi="宋体" w:cs="宋体"/>
                <w:sz w:val="21"/>
                <w:szCs w:val="21"/>
              </w:rPr>
            </w:pPr>
          </w:p>
        </w:tc>
        <w:tc>
          <w:tcPr>
            <w:tcW w:w="1635" w:type="dxa"/>
            <w:noWrap w:val="0"/>
            <w:vAlign w:val="center"/>
          </w:tcPr>
          <w:p w14:paraId="77B92603">
            <w:pPr>
              <w:spacing w:line="288" w:lineRule="auto"/>
              <w:jc w:val="left"/>
              <w:textAlignment w:val="center"/>
              <w:rPr>
                <w:rFonts w:ascii="宋体" w:hAnsi="宋体"/>
                <w:bCs/>
                <w:spacing w:val="10"/>
                <w:kern w:val="0"/>
                <w:szCs w:val="21"/>
              </w:rPr>
            </w:pPr>
            <w:r>
              <w:rPr>
                <w:rFonts w:hint="eastAsia" w:ascii="宋体" w:hAnsi="宋体"/>
                <w:bCs/>
                <w:spacing w:val="10"/>
                <w:kern w:val="0"/>
                <w:szCs w:val="21"/>
              </w:rPr>
              <w:t>▲输血病程记录</w:t>
            </w:r>
          </w:p>
        </w:tc>
        <w:tc>
          <w:tcPr>
            <w:tcW w:w="6825" w:type="dxa"/>
            <w:noWrap w:val="0"/>
            <w:vAlign w:val="center"/>
          </w:tcPr>
          <w:p w14:paraId="350FBCC6">
            <w:pPr>
              <w:spacing w:line="288" w:lineRule="auto"/>
              <w:ind w:firstLine="525"/>
              <w:jc w:val="left"/>
              <w:textAlignment w:val="center"/>
              <w:rPr>
                <w:rFonts w:ascii="宋体" w:hAnsi="宋体"/>
                <w:bCs/>
                <w:spacing w:val="10"/>
                <w:kern w:val="0"/>
                <w:szCs w:val="21"/>
              </w:rPr>
            </w:pPr>
            <w:r>
              <w:rPr>
                <w:rFonts w:hint="eastAsia" w:ascii="宋体" w:hAnsi="宋体"/>
                <w:bCs/>
                <w:spacing w:val="10"/>
                <w:kern w:val="0"/>
                <w:szCs w:val="21"/>
              </w:rPr>
              <w:t>输血结束后根据病程模板产生病程记录，自动插入输血前评估，备血，输血，护理，输血后评价等输血病程信息，避免医生重复录入输血病程</w:t>
            </w:r>
          </w:p>
        </w:tc>
      </w:tr>
      <w:tr w14:paraId="542E1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1179" w:type="dxa"/>
            <w:vMerge w:val="continue"/>
            <w:noWrap w:val="0"/>
            <w:vAlign w:val="center"/>
          </w:tcPr>
          <w:p w14:paraId="46F2C1C8">
            <w:pPr>
              <w:pStyle w:val="56"/>
              <w:tabs>
                <w:tab w:val="left" w:pos="7740"/>
              </w:tabs>
              <w:spacing w:line="288" w:lineRule="auto"/>
              <w:rPr>
                <w:rFonts w:ascii="宋体" w:hAnsi="宋体" w:cs="宋体"/>
                <w:sz w:val="21"/>
                <w:szCs w:val="21"/>
              </w:rPr>
            </w:pPr>
          </w:p>
        </w:tc>
        <w:tc>
          <w:tcPr>
            <w:tcW w:w="1635" w:type="dxa"/>
            <w:noWrap w:val="0"/>
            <w:vAlign w:val="center"/>
          </w:tcPr>
          <w:p w14:paraId="7E13EA45">
            <w:pPr>
              <w:pStyle w:val="56"/>
              <w:tabs>
                <w:tab w:val="left" w:pos="7740"/>
              </w:tabs>
              <w:spacing w:line="288" w:lineRule="auto"/>
              <w:rPr>
                <w:rFonts w:ascii="宋体" w:hAnsi="宋体" w:cs="宋体"/>
                <w:sz w:val="21"/>
                <w:szCs w:val="21"/>
              </w:rPr>
            </w:pPr>
            <w:r>
              <w:rPr>
                <w:rFonts w:hint="eastAsia" w:ascii="宋体" w:hAnsi="宋体" w:cs="宋体"/>
                <w:sz w:val="21"/>
                <w:szCs w:val="21"/>
                <w:lang w:val="zh-CN"/>
              </w:rPr>
              <w:t>▲</w:t>
            </w:r>
            <w:r>
              <w:rPr>
                <w:rFonts w:hint="eastAsia" w:ascii="宋体" w:hAnsi="宋体" w:cs="宋体"/>
                <w:sz w:val="21"/>
                <w:szCs w:val="21"/>
              </w:rPr>
              <w:t>稀释式和回收式自体输血模块</w:t>
            </w:r>
          </w:p>
        </w:tc>
        <w:tc>
          <w:tcPr>
            <w:tcW w:w="6825" w:type="dxa"/>
            <w:noWrap w:val="0"/>
            <w:vAlign w:val="center"/>
          </w:tcPr>
          <w:p w14:paraId="2DA0A072">
            <w:pPr>
              <w:pStyle w:val="56"/>
              <w:tabs>
                <w:tab w:val="left" w:pos="7740"/>
              </w:tabs>
              <w:spacing w:line="288" w:lineRule="auto"/>
              <w:rPr>
                <w:rFonts w:ascii="宋体" w:hAnsi="宋体" w:cs="宋体"/>
                <w:sz w:val="21"/>
                <w:szCs w:val="21"/>
              </w:rPr>
            </w:pPr>
            <w:r>
              <w:rPr>
                <w:rFonts w:hint="eastAsia" w:ascii="宋体" w:hAnsi="宋体" w:cs="宋体"/>
                <w:sz w:val="21"/>
                <w:szCs w:val="21"/>
              </w:rPr>
              <w:t>支持对接手麻系统，记录手术中稀释式和回收式自体输血的统计等功能。</w:t>
            </w:r>
          </w:p>
        </w:tc>
      </w:tr>
      <w:tr w14:paraId="4A8D9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179" w:type="dxa"/>
            <w:vMerge w:val="restart"/>
            <w:noWrap w:val="0"/>
            <w:vAlign w:val="center"/>
          </w:tcPr>
          <w:p w14:paraId="0A3A7A43">
            <w:pPr>
              <w:pStyle w:val="56"/>
              <w:tabs>
                <w:tab w:val="left" w:pos="7740"/>
              </w:tabs>
              <w:spacing w:line="288" w:lineRule="auto"/>
              <w:rPr>
                <w:rFonts w:ascii="宋体" w:hAnsi="宋体" w:cs="宋体"/>
                <w:sz w:val="21"/>
                <w:szCs w:val="21"/>
              </w:rPr>
            </w:pPr>
            <w:r>
              <w:rPr>
                <w:rFonts w:hint="eastAsia" w:ascii="宋体" w:hAnsi="宋体" w:cs="宋体"/>
                <w:sz w:val="21"/>
                <w:szCs w:val="21"/>
              </w:rPr>
              <w:t>自体输血管理</w:t>
            </w:r>
          </w:p>
        </w:tc>
        <w:tc>
          <w:tcPr>
            <w:tcW w:w="1635" w:type="dxa"/>
            <w:noWrap w:val="0"/>
            <w:vAlign w:val="center"/>
          </w:tcPr>
          <w:p w14:paraId="14D35A3B">
            <w:pPr>
              <w:pStyle w:val="56"/>
              <w:tabs>
                <w:tab w:val="left" w:pos="7740"/>
              </w:tabs>
              <w:spacing w:line="288" w:lineRule="auto"/>
              <w:rPr>
                <w:rFonts w:ascii="宋体" w:hAnsi="宋体" w:cs="宋体"/>
                <w:sz w:val="21"/>
                <w:szCs w:val="21"/>
              </w:rPr>
            </w:pPr>
            <w:r>
              <w:rPr>
                <w:rFonts w:hint="eastAsia" w:ascii="宋体" w:hAnsi="宋体" w:cs="宋体"/>
                <w:sz w:val="21"/>
                <w:szCs w:val="21"/>
              </w:rPr>
              <w:t>贮存式自体血登记</w:t>
            </w:r>
          </w:p>
        </w:tc>
        <w:tc>
          <w:tcPr>
            <w:tcW w:w="6825" w:type="dxa"/>
            <w:noWrap w:val="0"/>
            <w:vAlign w:val="center"/>
          </w:tcPr>
          <w:p w14:paraId="6615EF2F">
            <w:pPr>
              <w:pStyle w:val="56"/>
              <w:tabs>
                <w:tab w:val="left" w:pos="7740"/>
              </w:tabs>
              <w:spacing w:line="288" w:lineRule="auto"/>
              <w:rPr>
                <w:rFonts w:ascii="宋体" w:hAnsi="宋体" w:cs="宋体"/>
                <w:sz w:val="21"/>
                <w:szCs w:val="21"/>
              </w:rPr>
            </w:pPr>
            <w:r>
              <w:rPr>
                <w:rFonts w:hint="eastAsia" w:ascii="宋体" w:hAnsi="宋体" w:cs="宋体"/>
                <w:sz w:val="21"/>
                <w:szCs w:val="21"/>
              </w:rPr>
              <w:t>登记自体采血的信息，打印自体血标签</w:t>
            </w:r>
          </w:p>
        </w:tc>
      </w:tr>
      <w:tr w14:paraId="29AEB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179" w:type="dxa"/>
            <w:vMerge w:val="continue"/>
            <w:noWrap w:val="0"/>
            <w:vAlign w:val="top"/>
          </w:tcPr>
          <w:p w14:paraId="055A05E7">
            <w:pPr>
              <w:pStyle w:val="56"/>
              <w:tabs>
                <w:tab w:val="left" w:pos="7740"/>
              </w:tabs>
              <w:spacing w:line="288" w:lineRule="auto"/>
              <w:rPr>
                <w:rFonts w:ascii="宋体" w:hAnsi="宋体" w:cs="宋体"/>
                <w:sz w:val="21"/>
                <w:szCs w:val="21"/>
              </w:rPr>
            </w:pPr>
          </w:p>
        </w:tc>
        <w:tc>
          <w:tcPr>
            <w:tcW w:w="1635" w:type="dxa"/>
            <w:noWrap w:val="0"/>
            <w:vAlign w:val="center"/>
          </w:tcPr>
          <w:p w14:paraId="7D7AF4D0">
            <w:pPr>
              <w:pStyle w:val="56"/>
              <w:tabs>
                <w:tab w:val="left" w:pos="7740"/>
              </w:tabs>
              <w:spacing w:line="288" w:lineRule="auto"/>
              <w:rPr>
                <w:rFonts w:ascii="宋体" w:hAnsi="宋体" w:cs="宋体"/>
                <w:sz w:val="21"/>
                <w:szCs w:val="21"/>
              </w:rPr>
            </w:pPr>
            <w:r>
              <w:rPr>
                <w:rFonts w:hint="eastAsia" w:ascii="宋体" w:hAnsi="宋体" w:cs="宋体"/>
                <w:sz w:val="21"/>
                <w:szCs w:val="21"/>
              </w:rPr>
              <w:t>贮存式自体血出库</w:t>
            </w:r>
          </w:p>
        </w:tc>
        <w:tc>
          <w:tcPr>
            <w:tcW w:w="6825" w:type="dxa"/>
            <w:noWrap w:val="0"/>
            <w:vAlign w:val="center"/>
          </w:tcPr>
          <w:p w14:paraId="2298688A">
            <w:pPr>
              <w:pStyle w:val="56"/>
              <w:tabs>
                <w:tab w:val="left" w:pos="7740"/>
              </w:tabs>
              <w:spacing w:line="288" w:lineRule="auto"/>
              <w:rPr>
                <w:rFonts w:ascii="宋体" w:hAnsi="宋体" w:cs="宋体"/>
                <w:sz w:val="21"/>
                <w:szCs w:val="21"/>
              </w:rPr>
            </w:pPr>
            <w:r>
              <w:rPr>
                <w:rFonts w:hint="eastAsia" w:ascii="宋体" w:hAnsi="宋体" w:cs="宋体"/>
                <w:sz w:val="21"/>
                <w:szCs w:val="21"/>
              </w:rPr>
              <w:t>自体血出库，自体输回病人，根据申请单进行出库</w:t>
            </w:r>
          </w:p>
        </w:tc>
      </w:tr>
      <w:tr w14:paraId="36CEC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179" w:type="dxa"/>
            <w:vMerge w:val="continue"/>
            <w:noWrap w:val="0"/>
            <w:vAlign w:val="top"/>
          </w:tcPr>
          <w:p w14:paraId="72FCDF34">
            <w:pPr>
              <w:pStyle w:val="56"/>
              <w:tabs>
                <w:tab w:val="left" w:pos="7740"/>
              </w:tabs>
              <w:spacing w:line="288" w:lineRule="auto"/>
              <w:rPr>
                <w:rFonts w:ascii="宋体" w:hAnsi="宋体" w:cs="宋体"/>
                <w:sz w:val="21"/>
                <w:szCs w:val="21"/>
              </w:rPr>
            </w:pPr>
          </w:p>
        </w:tc>
        <w:tc>
          <w:tcPr>
            <w:tcW w:w="1635" w:type="dxa"/>
            <w:noWrap w:val="0"/>
            <w:vAlign w:val="center"/>
          </w:tcPr>
          <w:p w14:paraId="5057D154">
            <w:pPr>
              <w:pStyle w:val="56"/>
              <w:tabs>
                <w:tab w:val="left" w:pos="7740"/>
              </w:tabs>
              <w:spacing w:line="288" w:lineRule="auto"/>
              <w:rPr>
                <w:rFonts w:ascii="宋体" w:hAnsi="宋体" w:cs="宋体"/>
                <w:sz w:val="21"/>
                <w:szCs w:val="21"/>
              </w:rPr>
            </w:pPr>
            <w:r>
              <w:rPr>
                <w:rFonts w:hint="eastAsia" w:ascii="宋体" w:hAnsi="宋体" w:cs="宋体"/>
                <w:sz w:val="21"/>
                <w:szCs w:val="21"/>
              </w:rPr>
              <w:t>输血治疗申请</w:t>
            </w:r>
          </w:p>
        </w:tc>
        <w:tc>
          <w:tcPr>
            <w:tcW w:w="6825" w:type="dxa"/>
            <w:noWrap w:val="0"/>
            <w:vAlign w:val="center"/>
          </w:tcPr>
          <w:p w14:paraId="6D12D436">
            <w:pPr>
              <w:pStyle w:val="56"/>
              <w:tabs>
                <w:tab w:val="left" w:pos="7740"/>
              </w:tabs>
              <w:spacing w:line="288" w:lineRule="auto"/>
              <w:rPr>
                <w:rFonts w:ascii="宋体" w:hAnsi="宋体" w:cs="宋体"/>
                <w:sz w:val="21"/>
                <w:szCs w:val="21"/>
              </w:rPr>
            </w:pPr>
            <w:r>
              <w:rPr>
                <w:rFonts w:hint="eastAsia" w:ascii="宋体" w:hAnsi="宋体" w:cs="宋体"/>
                <w:sz w:val="21"/>
                <w:szCs w:val="21"/>
              </w:rPr>
              <w:t>临床科室登记输血治疗申请单，输血科对申请单进行审核操作</w:t>
            </w:r>
          </w:p>
        </w:tc>
      </w:tr>
      <w:tr w14:paraId="757F2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179" w:type="dxa"/>
            <w:vMerge w:val="continue"/>
            <w:noWrap w:val="0"/>
            <w:vAlign w:val="top"/>
          </w:tcPr>
          <w:p w14:paraId="45AA7F1B">
            <w:pPr>
              <w:pStyle w:val="56"/>
              <w:tabs>
                <w:tab w:val="left" w:pos="7740"/>
              </w:tabs>
              <w:spacing w:line="288" w:lineRule="auto"/>
              <w:rPr>
                <w:rFonts w:ascii="宋体" w:hAnsi="宋体" w:cs="宋体"/>
                <w:sz w:val="21"/>
                <w:szCs w:val="21"/>
              </w:rPr>
            </w:pPr>
          </w:p>
        </w:tc>
        <w:tc>
          <w:tcPr>
            <w:tcW w:w="1635" w:type="dxa"/>
            <w:noWrap w:val="0"/>
            <w:vAlign w:val="center"/>
          </w:tcPr>
          <w:p w14:paraId="19B2E0A6">
            <w:pPr>
              <w:pStyle w:val="56"/>
              <w:tabs>
                <w:tab w:val="left" w:pos="7740"/>
              </w:tabs>
              <w:spacing w:line="288" w:lineRule="auto"/>
              <w:rPr>
                <w:rFonts w:ascii="宋体" w:hAnsi="宋体" w:cs="宋体"/>
                <w:sz w:val="21"/>
                <w:szCs w:val="21"/>
              </w:rPr>
            </w:pPr>
            <w:r>
              <w:rPr>
                <w:rFonts w:hint="eastAsia" w:ascii="宋体" w:hAnsi="宋体" w:cs="宋体"/>
                <w:sz w:val="21"/>
                <w:szCs w:val="21"/>
              </w:rPr>
              <w:t>输血治疗登记</w:t>
            </w:r>
          </w:p>
        </w:tc>
        <w:tc>
          <w:tcPr>
            <w:tcW w:w="6825" w:type="dxa"/>
            <w:noWrap w:val="0"/>
            <w:vAlign w:val="center"/>
          </w:tcPr>
          <w:p w14:paraId="25964650">
            <w:pPr>
              <w:pStyle w:val="56"/>
              <w:tabs>
                <w:tab w:val="left" w:pos="7740"/>
              </w:tabs>
              <w:spacing w:line="288" w:lineRule="auto"/>
              <w:rPr>
                <w:rFonts w:ascii="宋体" w:hAnsi="宋体" w:cs="宋体"/>
                <w:sz w:val="21"/>
                <w:szCs w:val="21"/>
              </w:rPr>
            </w:pPr>
            <w:r>
              <w:rPr>
                <w:rFonts w:hint="eastAsia" w:ascii="宋体" w:hAnsi="宋体" w:cs="宋体"/>
                <w:sz w:val="21"/>
                <w:szCs w:val="21"/>
              </w:rPr>
              <w:t>输血科登记输血治疗信息，包括不良反应信息，若有采血，还需登记采血的血液信息</w:t>
            </w:r>
          </w:p>
        </w:tc>
      </w:tr>
      <w:tr w14:paraId="6E391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jc w:val="center"/>
        </w:trPr>
        <w:tc>
          <w:tcPr>
            <w:tcW w:w="1179" w:type="dxa"/>
            <w:noWrap w:val="0"/>
            <w:vAlign w:val="center"/>
          </w:tcPr>
          <w:p w14:paraId="3B334AB2">
            <w:pPr>
              <w:pStyle w:val="56"/>
              <w:tabs>
                <w:tab w:val="left" w:pos="7740"/>
              </w:tabs>
              <w:spacing w:line="288" w:lineRule="auto"/>
              <w:rPr>
                <w:rFonts w:ascii="宋体" w:hAnsi="宋体" w:cs="宋体"/>
                <w:sz w:val="21"/>
                <w:szCs w:val="21"/>
              </w:rPr>
            </w:pPr>
            <w:r>
              <w:rPr>
                <w:rFonts w:hint="eastAsia" w:ascii="宋体" w:hAnsi="宋体" w:cs="宋体"/>
                <w:sz w:val="21"/>
                <w:szCs w:val="21"/>
              </w:rPr>
              <w:t>血液流程质量控制</w:t>
            </w:r>
          </w:p>
        </w:tc>
        <w:tc>
          <w:tcPr>
            <w:tcW w:w="1635" w:type="dxa"/>
            <w:noWrap w:val="0"/>
            <w:vAlign w:val="center"/>
          </w:tcPr>
          <w:p w14:paraId="00476F4E">
            <w:pPr>
              <w:pStyle w:val="56"/>
              <w:tabs>
                <w:tab w:val="left" w:pos="7740"/>
              </w:tabs>
              <w:spacing w:line="288" w:lineRule="auto"/>
              <w:rPr>
                <w:rFonts w:ascii="宋体" w:hAnsi="宋体" w:cs="宋体"/>
                <w:sz w:val="21"/>
                <w:szCs w:val="21"/>
              </w:rPr>
            </w:pPr>
            <w:r>
              <w:rPr>
                <w:rFonts w:hint="eastAsia" w:ascii="宋体" w:hAnsi="宋体" w:cs="宋体"/>
                <w:sz w:val="21"/>
                <w:szCs w:val="21"/>
                <w:lang w:val="zh-CN"/>
              </w:rPr>
              <w:t>▲</w:t>
            </w:r>
            <w:r>
              <w:rPr>
                <w:rFonts w:hint="eastAsia" w:ascii="宋体" w:hAnsi="宋体" w:cs="宋体"/>
                <w:sz w:val="21"/>
                <w:szCs w:val="21"/>
              </w:rPr>
              <w:t>轨迹记录追溯</w:t>
            </w:r>
          </w:p>
        </w:tc>
        <w:tc>
          <w:tcPr>
            <w:tcW w:w="6825" w:type="dxa"/>
            <w:noWrap w:val="0"/>
            <w:vAlign w:val="center"/>
          </w:tcPr>
          <w:p w14:paraId="135D9295">
            <w:pPr>
              <w:pStyle w:val="56"/>
              <w:tabs>
                <w:tab w:val="left" w:pos="7740"/>
              </w:tabs>
              <w:spacing w:line="288" w:lineRule="auto"/>
              <w:rPr>
                <w:rFonts w:ascii="宋体" w:hAnsi="宋体" w:cs="宋体"/>
                <w:sz w:val="21"/>
                <w:szCs w:val="21"/>
              </w:rPr>
            </w:pPr>
            <w:r>
              <w:rPr>
                <w:rFonts w:hint="eastAsia" w:ascii="宋体" w:hAnsi="宋体" w:cs="宋体"/>
                <w:sz w:val="21"/>
                <w:szCs w:val="21"/>
              </w:rPr>
              <w:t>医生轨迹：医生操作轨迹记录，流程记录操作员、时间</w:t>
            </w:r>
          </w:p>
        </w:tc>
      </w:tr>
    </w:tbl>
    <w:p w14:paraId="38D57EC4">
      <w:pPr>
        <w:pStyle w:val="267"/>
        <w:rPr>
          <w:rFonts w:ascii="宋体" w:hAnsi="宋体" w:cs="宋体"/>
          <w:bCs w:val="0"/>
          <w:spacing w:val="10"/>
          <w:kern w:val="0"/>
        </w:rPr>
      </w:pPr>
    </w:p>
    <w:p w14:paraId="203B81E1">
      <w:pPr>
        <w:pStyle w:val="267"/>
        <w:numPr>
          <w:ilvl w:val="0"/>
          <w:numId w:val="65"/>
        </w:numPr>
        <w:snapToGrid/>
        <w:spacing w:after="160" w:line="278" w:lineRule="auto"/>
        <w:rPr>
          <w:rFonts w:ascii="宋体" w:hAnsi="宋体" w:cs="宋体"/>
          <w:bCs w:val="0"/>
          <w:spacing w:val="10"/>
          <w:kern w:val="0"/>
        </w:rPr>
      </w:pPr>
      <w:r>
        <w:rPr>
          <w:rFonts w:hint="eastAsia" w:ascii="宋体" w:hAnsi="宋体" w:cs="宋体"/>
          <w:spacing w:val="10"/>
          <w:kern w:val="0"/>
        </w:rPr>
        <w:t>护士工作站功能</w:t>
      </w:r>
    </w:p>
    <w:tbl>
      <w:tblPr>
        <w:tblStyle w:val="46"/>
        <w:tblpPr w:leftFromText="180" w:rightFromText="180" w:vertAnchor="text" w:horzAnchor="page" w:tblpXSpec="center" w:tblpY="696"/>
        <w:tblOverlap w:val="never"/>
        <w:tblW w:w="97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9"/>
        <w:gridCol w:w="1978"/>
        <w:gridCol w:w="6381"/>
      </w:tblGrid>
      <w:tr w14:paraId="251C3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1399" w:type="dxa"/>
            <w:noWrap w:val="0"/>
            <w:vAlign w:val="top"/>
          </w:tcPr>
          <w:p w14:paraId="168A2B88">
            <w:pPr>
              <w:pStyle w:val="56"/>
              <w:tabs>
                <w:tab w:val="left" w:pos="7740"/>
              </w:tabs>
              <w:spacing w:line="24" w:lineRule="atLeast"/>
              <w:jc w:val="center"/>
              <w:rPr>
                <w:rFonts w:ascii="宋体" w:hAnsi="宋体" w:cs="宋体"/>
                <w:sz w:val="21"/>
                <w:szCs w:val="21"/>
              </w:rPr>
            </w:pPr>
            <w:bookmarkStart w:id="106" w:name="_Toc16248"/>
            <w:r>
              <w:rPr>
                <w:rFonts w:hint="eastAsia" w:ascii="宋体" w:hAnsi="宋体" w:cs="宋体"/>
                <w:sz w:val="21"/>
                <w:szCs w:val="21"/>
              </w:rPr>
              <w:t>子系统</w:t>
            </w:r>
          </w:p>
        </w:tc>
        <w:tc>
          <w:tcPr>
            <w:tcW w:w="1978" w:type="dxa"/>
            <w:noWrap w:val="0"/>
            <w:vAlign w:val="top"/>
          </w:tcPr>
          <w:p w14:paraId="16B40669">
            <w:pPr>
              <w:pStyle w:val="56"/>
              <w:tabs>
                <w:tab w:val="left" w:pos="7740"/>
              </w:tabs>
              <w:spacing w:line="24" w:lineRule="atLeast"/>
              <w:jc w:val="center"/>
              <w:rPr>
                <w:rFonts w:ascii="宋体" w:hAnsi="宋体" w:cs="宋体"/>
                <w:sz w:val="21"/>
                <w:szCs w:val="21"/>
              </w:rPr>
            </w:pPr>
            <w:r>
              <w:rPr>
                <w:rFonts w:hint="eastAsia" w:ascii="宋体" w:hAnsi="宋体" w:cs="宋体"/>
                <w:sz w:val="21"/>
                <w:szCs w:val="21"/>
              </w:rPr>
              <w:t>系统功能</w:t>
            </w:r>
          </w:p>
        </w:tc>
        <w:tc>
          <w:tcPr>
            <w:tcW w:w="6381" w:type="dxa"/>
            <w:noWrap w:val="0"/>
            <w:vAlign w:val="top"/>
          </w:tcPr>
          <w:p w14:paraId="0B88F63F">
            <w:pPr>
              <w:pStyle w:val="56"/>
              <w:tabs>
                <w:tab w:val="left" w:pos="7740"/>
              </w:tabs>
              <w:spacing w:line="24" w:lineRule="atLeast"/>
              <w:jc w:val="center"/>
              <w:rPr>
                <w:rFonts w:ascii="宋体" w:hAnsi="宋体" w:cs="宋体"/>
                <w:sz w:val="21"/>
                <w:szCs w:val="21"/>
              </w:rPr>
            </w:pPr>
            <w:r>
              <w:rPr>
                <w:rFonts w:hint="eastAsia" w:ascii="宋体" w:hAnsi="宋体" w:cs="宋体"/>
                <w:sz w:val="21"/>
                <w:szCs w:val="21"/>
              </w:rPr>
              <w:t>功能描述</w:t>
            </w:r>
          </w:p>
        </w:tc>
      </w:tr>
      <w:tr w14:paraId="4A438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1399" w:type="dxa"/>
            <w:vMerge w:val="restart"/>
            <w:noWrap w:val="0"/>
            <w:vAlign w:val="top"/>
          </w:tcPr>
          <w:p w14:paraId="737D5C0D">
            <w:pPr>
              <w:pStyle w:val="56"/>
              <w:tabs>
                <w:tab w:val="left" w:pos="7740"/>
              </w:tabs>
              <w:spacing w:line="24" w:lineRule="atLeast"/>
              <w:rPr>
                <w:rFonts w:ascii="宋体" w:hAnsi="宋体" w:cs="宋体"/>
                <w:sz w:val="21"/>
                <w:szCs w:val="21"/>
              </w:rPr>
            </w:pPr>
            <w:r>
              <w:rPr>
                <w:rFonts w:hint="eastAsia" w:ascii="宋体" w:hAnsi="宋体" w:cs="宋体"/>
                <w:sz w:val="21"/>
                <w:szCs w:val="21"/>
              </w:rPr>
              <w:t>标本管理</w:t>
            </w:r>
          </w:p>
        </w:tc>
        <w:tc>
          <w:tcPr>
            <w:tcW w:w="1978" w:type="dxa"/>
            <w:noWrap w:val="0"/>
            <w:vAlign w:val="top"/>
          </w:tcPr>
          <w:p w14:paraId="00AA8AD7">
            <w:pPr>
              <w:pStyle w:val="56"/>
              <w:tabs>
                <w:tab w:val="left" w:pos="7740"/>
              </w:tabs>
              <w:spacing w:line="24" w:lineRule="atLeast"/>
              <w:rPr>
                <w:rFonts w:ascii="宋体" w:hAnsi="宋体" w:cs="宋体"/>
                <w:sz w:val="21"/>
                <w:szCs w:val="21"/>
              </w:rPr>
            </w:pPr>
            <w:r>
              <w:rPr>
                <w:rFonts w:hint="eastAsia" w:ascii="宋体" w:hAnsi="宋体" w:cs="宋体"/>
                <w:sz w:val="21"/>
                <w:szCs w:val="21"/>
              </w:rPr>
              <w:t>标本采集</w:t>
            </w:r>
          </w:p>
        </w:tc>
        <w:tc>
          <w:tcPr>
            <w:tcW w:w="6381" w:type="dxa"/>
            <w:noWrap w:val="0"/>
            <w:vAlign w:val="top"/>
          </w:tcPr>
          <w:p w14:paraId="1EB3F746">
            <w:pPr>
              <w:pStyle w:val="56"/>
              <w:tabs>
                <w:tab w:val="left" w:pos="7740"/>
              </w:tabs>
              <w:spacing w:line="24" w:lineRule="atLeast"/>
              <w:rPr>
                <w:rFonts w:ascii="宋体" w:hAnsi="宋体" w:cs="宋体"/>
                <w:sz w:val="21"/>
                <w:szCs w:val="21"/>
              </w:rPr>
            </w:pPr>
            <w:r>
              <w:rPr>
                <w:rFonts w:hint="eastAsia" w:ascii="宋体" w:hAnsi="宋体" w:cs="宋体"/>
                <w:sz w:val="21"/>
                <w:szCs w:val="21"/>
              </w:rPr>
              <w:t>护士采集标本的信息记录，包括采集时间、标签等。</w:t>
            </w:r>
          </w:p>
        </w:tc>
      </w:tr>
      <w:tr w14:paraId="51A89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1399" w:type="dxa"/>
            <w:vMerge w:val="continue"/>
            <w:noWrap w:val="0"/>
            <w:vAlign w:val="top"/>
          </w:tcPr>
          <w:p w14:paraId="0D32AE3E">
            <w:pPr>
              <w:pStyle w:val="56"/>
              <w:tabs>
                <w:tab w:val="left" w:pos="7740"/>
              </w:tabs>
              <w:spacing w:line="24" w:lineRule="atLeast"/>
              <w:rPr>
                <w:rFonts w:ascii="宋体" w:hAnsi="宋体" w:cs="宋体"/>
                <w:sz w:val="21"/>
                <w:szCs w:val="21"/>
              </w:rPr>
            </w:pPr>
          </w:p>
        </w:tc>
        <w:tc>
          <w:tcPr>
            <w:tcW w:w="1978" w:type="dxa"/>
            <w:noWrap w:val="0"/>
            <w:vAlign w:val="top"/>
          </w:tcPr>
          <w:p w14:paraId="50B5B609">
            <w:pPr>
              <w:pStyle w:val="56"/>
              <w:tabs>
                <w:tab w:val="left" w:pos="7740"/>
              </w:tabs>
              <w:spacing w:line="24" w:lineRule="atLeast"/>
              <w:rPr>
                <w:rFonts w:ascii="宋体" w:hAnsi="宋体" w:cs="宋体"/>
                <w:sz w:val="21"/>
                <w:szCs w:val="21"/>
              </w:rPr>
            </w:pPr>
            <w:r>
              <w:rPr>
                <w:rFonts w:hint="eastAsia" w:ascii="宋体" w:hAnsi="宋体" w:cs="宋体"/>
                <w:sz w:val="21"/>
                <w:szCs w:val="21"/>
              </w:rPr>
              <w:t>标本录入</w:t>
            </w:r>
          </w:p>
        </w:tc>
        <w:tc>
          <w:tcPr>
            <w:tcW w:w="6381" w:type="dxa"/>
            <w:noWrap w:val="0"/>
            <w:vAlign w:val="top"/>
          </w:tcPr>
          <w:p w14:paraId="1E9C73D4">
            <w:pPr>
              <w:pStyle w:val="56"/>
              <w:tabs>
                <w:tab w:val="left" w:pos="7740"/>
              </w:tabs>
              <w:spacing w:line="24" w:lineRule="atLeast"/>
              <w:rPr>
                <w:rFonts w:ascii="宋体" w:hAnsi="宋体" w:cs="宋体"/>
                <w:sz w:val="21"/>
                <w:szCs w:val="21"/>
              </w:rPr>
            </w:pPr>
            <w:r>
              <w:rPr>
                <w:rFonts w:hint="eastAsia" w:ascii="宋体" w:hAnsi="宋体" w:cs="宋体"/>
                <w:sz w:val="21"/>
                <w:szCs w:val="21"/>
              </w:rPr>
              <w:t>护士录入采集标本的信息</w:t>
            </w:r>
          </w:p>
        </w:tc>
      </w:tr>
      <w:tr w14:paraId="3E78A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1399" w:type="dxa"/>
            <w:vMerge w:val="continue"/>
            <w:noWrap w:val="0"/>
            <w:vAlign w:val="top"/>
          </w:tcPr>
          <w:p w14:paraId="0C504C32">
            <w:pPr>
              <w:pStyle w:val="56"/>
              <w:tabs>
                <w:tab w:val="left" w:pos="7740"/>
              </w:tabs>
              <w:spacing w:line="24" w:lineRule="atLeast"/>
              <w:rPr>
                <w:rFonts w:ascii="宋体" w:hAnsi="宋体" w:cs="宋体"/>
                <w:sz w:val="21"/>
                <w:szCs w:val="21"/>
              </w:rPr>
            </w:pPr>
          </w:p>
        </w:tc>
        <w:tc>
          <w:tcPr>
            <w:tcW w:w="1978" w:type="dxa"/>
            <w:noWrap w:val="0"/>
            <w:vAlign w:val="top"/>
          </w:tcPr>
          <w:p w14:paraId="5ACFCB3B">
            <w:pPr>
              <w:pStyle w:val="56"/>
              <w:tabs>
                <w:tab w:val="left" w:pos="7740"/>
              </w:tabs>
              <w:spacing w:line="24" w:lineRule="atLeast"/>
              <w:rPr>
                <w:rFonts w:ascii="宋体" w:hAnsi="宋体" w:cs="宋体"/>
                <w:sz w:val="21"/>
                <w:szCs w:val="21"/>
              </w:rPr>
            </w:pPr>
            <w:r>
              <w:rPr>
                <w:rFonts w:hint="eastAsia" w:ascii="宋体" w:hAnsi="宋体" w:cs="宋体"/>
                <w:sz w:val="21"/>
                <w:szCs w:val="21"/>
              </w:rPr>
              <w:t>标本送出</w:t>
            </w:r>
          </w:p>
        </w:tc>
        <w:tc>
          <w:tcPr>
            <w:tcW w:w="6381" w:type="dxa"/>
            <w:noWrap w:val="0"/>
            <w:vAlign w:val="top"/>
          </w:tcPr>
          <w:p w14:paraId="1C0BBCD5">
            <w:pPr>
              <w:pStyle w:val="56"/>
              <w:tabs>
                <w:tab w:val="left" w:pos="7740"/>
              </w:tabs>
              <w:spacing w:line="24" w:lineRule="atLeast"/>
              <w:rPr>
                <w:rFonts w:ascii="宋体" w:hAnsi="宋体" w:cs="宋体"/>
                <w:sz w:val="21"/>
                <w:szCs w:val="21"/>
              </w:rPr>
            </w:pPr>
            <w:r>
              <w:rPr>
                <w:rFonts w:hint="eastAsia" w:ascii="宋体" w:hAnsi="宋体" w:cs="宋体"/>
                <w:sz w:val="21"/>
                <w:szCs w:val="21"/>
              </w:rPr>
              <w:t>护士/运输工运送出标本的信息确认</w:t>
            </w:r>
          </w:p>
        </w:tc>
      </w:tr>
      <w:tr w14:paraId="7F668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1399" w:type="dxa"/>
            <w:vMerge w:val="continue"/>
            <w:noWrap w:val="0"/>
            <w:vAlign w:val="top"/>
          </w:tcPr>
          <w:p w14:paraId="41986B93">
            <w:pPr>
              <w:pStyle w:val="56"/>
              <w:tabs>
                <w:tab w:val="left" w:pos="7740"/>
              </w:tabs>
              <w:spacing w:line="24" w:lineRule="atLeast"/>
              <w:rPr>
                <w:rFonts w:ascii="宋体" w:hAnsi="宋体" w:cs="宋体"/>
                <w:sz w:val="21"/>
                <w:szCs w:val="21"/>
              </w:rPr>
            </w:pPr>
          </w:p>
        </w:tc>
        <w:tc>
          <w:tcPr>
            <w:tcW w:w="1978" w:type="dxa"/>
            <w:noWrap w:val="0"/>
            <w:vAlign w:val="top"/>
          </w:tcPr>
          <w:p w14:paraId="3BEAD3C0">
            <w:pPr>
              <w:pStyle w:val="56"/>
              <w:tabs>
                <w:tab w:val="left" w:pos="7740"/>
              </w:tabs>
              <w:spacing w:line="24" w:lineRule="atLeast"/>
              <w:rPr>
                <w:rFonts w:ascii="宋体" w:hAnsi="宋体" w:cs="宋体"/>
                <w:sz w:val="21"/>
                <w:szCs w:val="21"/>
              </w:rPr>
            </w:pPr>
            <w:r>
              <w:rPr>
                <w:rFonts w:hint="eastAsia" w:ascii="宋体" w:hAnsi="宋体" w:cs="宋体"/>
                <w:sz w:val="21"/>
                <w:szCs w:val="21"/>
              </w:rPr>
              <w:t>标本送检</w:t>
            </w:r>
          </w:p>
        </w:tc>
        <w:tc>
          <w:tcPr>
            <w:tcW w:w="6381" w:type="dxa"/>
            <w:noWrap w:val="0"/>
            <w:vAlign w:val="top"/>
          </w:tcPr>
          <w:p w14:paraId="5205F757">
            <w:pPr>
              <w:pStyle w:val="56"/>
              <w:tabs>
                <w:tab w:val="left" w:pos="7740"/>
              </w:tabs>
              <w:spacing w:line="24" w:lineRule="atLeast"/>
              <w:rPr>
                <w:rFonts w:ascii="宋体" w:hAnsi="宋体" w:cs="宋体"/>
                <w:sz w:val="21"/>
                <w:szCs w:val="21"/>
              </w:rPr>
            </w:pPr>
            <w:r>
              <w:rPr>
                <w:rFonts w:hint="eastAsia" w:ascii="宋体" w:hAnsi="宋体" w:cs="宋体"/>
                <w:sz w:val="21"/>
                <w:szCs w:val="21"/>
              </w:rPr>
              <w:t>护士把采集标本送到血库，及登记送检信息</w:t>
            </w:r>
          </w:p>
        </w:tc>
      </w:tr>
      <w:tr w14:paraId="337BF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1399" w:type="dxa"/>
            <w:vMerge w:val="restart"/>
            <w:noWrap w:val="0"/>
            <w:vAlign w:val="top"/>
          </w:tcPr>
          <w:p w14:paraId="5DFE7A53">
            <w:pPr>
              <w:pStyle w:val="56"/>
              <w:tabs>
                <w:tab w:val="left" w:pos="7740"/>
              </w:tabs>
              <w:spacing w:line="24" w:lineRule="atLeast"/>
              <w:rPr>
                <w:rFonts w:ascii="宋体" w:hAnsi="宋体" w:cs="宋体"/>
                <w:sz w:val="21"/>
                <w:szCs w:val="21"/>
              </w:rPr>
            </w:pPr>
            <w:r>
              <w:rPr>
                <w:rFonts w:hint="eastAsia" w:ascii="宋体" w:hAnsi="宋体" w:cs="宋体"/>
                <w:sz w:val="21"/>
                <w:szCs w:val="21"/>
              </w:rPr>
              <w:t>输血管理</w:t>
            </w:r>
          </w:p>
        </w:tc>
        <w:tc>
          <w:tcPr>
            <w:tcW w:w="1978" w:type="dxa"/>
            <w:noWrap w:val="0"/>
            <w:vAlign w:val="top"/>
          </w:tcPr>
          <w:p w14:paraId="71730459">
            <w:pPr>
              <w:pStyle w:val="56"/>
              <w:tabs>
                <w:tab w:val="left" w:pos="7740"/>
              </w:tabs>
              <w:spacing w:line="24" w:lineRule="atLeast"/>
              <w:rPr>
                <w:rFonts w:ascii="宋体" w:hAnsi="宋体" w:cs="宋体"/>
                <w:sz w:val="21"/>
                <w:szCs w:val="21"/>
              </w:rPr>
            </w:pPr>
            <w:r>
              <w:rPr>
                <w:rFonts w:hint="eastAsia" w:ascii="宋体" w:hAnsi="宋体" w:cs="宋体"/>
                <w:sz w:val="21"/>
                <w:szCs w:val="21"/>
              </w:rPr>
              <w:t>接收血液确认</w:t>
            </w:r>
          </w:p>
        </w:tc>
        <w:tc>
          <w:tcPr>
            <w:tcW w:w="6381" w:type="dxa"/>
            <w:noWrap w:val="0"/>
            <w:vAlign w:val="top"/>
          </w:tcPr>
          <w:p w14:paraId="4F10FA65">
            <w:pPr>
              <w:pStyle w:val="56"/>
              <w:tabs>
                <w:tab w:val="left" w:pos="7740"/>
              </w:tabs>
              <w:spacing w:line="24" w:lineRule="atLeast"/>
              <w:rPr>
                <w:rFonts w:ascii="宋体" w:hAnsi="宋体" w:cs="宋体"/>
                <w:sz w:val="21"/>
                <w:szCs w:val="21"/>
              </w:rPr>
            </w:pPr>
            <w:r>
              <w:rPr>
                <w:rFonts w:hint="eastAsia" w:ascii="宋体" w:hAnsi="宋体" w:cs="宋体"/>
                <w:sz w:val="21"/>
                <w:szCs w:val="21"/>
              </w:rPr>
              <w:t>护士对血液进行接收的确认</w:t>
            </w:r>
          </w:p>
        </w:tc>
      </w:tr>
      <w:tr w14:paraId="3068B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1399" w:type="dxa"/>
            <w:vMerge w:val="continue"/>
            <w:noWrap w:val="0"/>
            <w:vAlign w:val="top"/>
          </w:tcPr>
          <w:p w14:paraId="07646230">
            <w:pPr>
              <w:pStyle w:val="56"/>
              <w:tabs>
                <w:tab w:val="left" w:pos="7740"/>
              </w:tabs>
              <w:spacing w:line="24" w:lineRule="atLeast"/>
              <w:rPr>
                <w:rFonts w:ascii="宋体" w:hAnsi="宋体" w:cs="宋体"/>
                <w:sz w:val="21"/>
                <w:szCs w:val="21"/>
              </w:rPr>
            </w:pPr>
          </w:p>
        </w:tc>
        <w:tc>
          <w:tcPr>
            <w:tcW w:w="1978" w:type="dxa"/>
            <w:noWrap w:val="0"/>
            <w:vAlign w:val="top"/>
          </w:tcPr>
          <w:p w14:paraId="64D0B490">
            <w:pPr>
              <w:pStyle w:val="56"/>
              <w:tabs>
                <w:tab w:val="left" w:pos="7740"/>
              </w:tabs>
              <w:spacing w:line="24" w:lineRule="atLeast"/>
              <w:rPr>
                <w:rFonts w:ascii="宋体" w:hAnsi="宋体" w:cs="宋体"/>
                <w:sz w:val="21"/>
                <w:szCs w:val="21"/>
              </w:rPr>
            </w:pPr>
            <w:r>
              <w:rPr>
                <w:rFonts w:hint="eastAsia" w:ascii="宋体" w:hAnsi="宋体" w:cs="宋体"/>
                <w:sz w:val="21"/>
                <w:szCs w:val="21"/>
              </w:rPr>
              <w:t>取血电子凭证打印</w:t>
            </w:r>
          </w:p>
        </w:tc>
        <w:tc>
          <w:tcPr>
            <w:tcW w:w="6381" w:type="dxa"/>
            <w:noWrap w:val="0"/>
            <w:vAlign w:val="top"/>
          </w:tcPr>
          <w:p w14:paraId="3C83F5CA">
            <w:pPr>
              <w:pStyle w:val="56"/>
              <w:tabs>
                <w:tab w:val="left" w:pos="7740"/>
              </w:tabs>
              <w:spacing w:line="24" w:lineRule="atLeast"/>
              <w:rPr>
                <w:rFonts w:ascii="宋体" w:hAnsi="宋体" w:cs="宋体"/>
                <w:sz w:val="21"/>
                <w:szCs w:val="21"/>
              </w:rPr>
            </w:pPr>
            <w:r>
              <w:rPr>
                <w:rFonts w:hint="eastAsia" w:ascii="宋体" w:hAnsi="宋体" w:cs="宋体"/>
                <w:sz w:val="21"/>
                <w:szCs w:val="21"/>
              </w:rPr>
              <w:t>护士接到血库发出的取血通知，打印取血凭证，持凭证到血库取血</w:t>
            </w:r>
          </w:p>
        </w:tc>
      </w:tr>
      <w:tr w14:paraId="1A14B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1399" w:type="dxa"/>
            <w:vMerge w:val="continue"/>
            <w:noWrap w:val="0"/>
            <w:vAlign w:val="top"/>
          </w:tcPr>
          <w:p w14:paraId="55290A50">
            <w:pPr>
              <w:pStyle w:val="56"/>
              <w:tabs>
                <w:tab w:val="left" w:pos="7740"/>
              </w:tabs>
              <w:spacing w:line="24" w:lineRule="atLeast"/>
              <w:rPr>
                <w:rFonts w:ascii="宋体" w:hAnsi="宋体" w:cs="宋体"/>
                <w:sz w:val="21"/>
                <w:szCs w:val="21"/>
              </w:rPr>
            </w:pPr>
          </w:p>
        </w:tc>
        <w:tc>
          <w:tcPr>
            <w:tcW w:w="1978" w:type="dxa"/>
            <w:noWrap w:val="0"/>
            <w:vAlign w:val="top"/>
          </w:tcPr>
          <w:p w14:paraId="42999053">
            <w:pPr>
              <w:pStyle w:val="56"/>
              <w:tabs>
                <w:tab w:val="left" w:pos="7740"/>
              </w:tabs>
              <w:spacing w:line="24" w:lineRule="atLeast"/>
              <w:rPr>
                <w:rFonts w:ascii="宋体" w:hAnsi="宋体" w:cs="宋体"/>
                <w:sz w:val="21"/>
                <w:szCs w:val="21"/>
              </w:rPr>
            </w:pPr>
            <w:r>
              <w:rPr>
                <w:rFonts w:hint="eastAsia" w:ascii="宋体" w:hAnsi="宋体" w:cs="宋体"/>
                <w:sz w:val="21"/>
                <w:szCs w:val="21"/>
              </w:rPr>
              <w:t>血液、申请单追溯</w:t>
            </w:r>
          </w:p>
        </w:tc>
        <w:tc>
          <w:tcPr>
            <w:tcW w:w="6381" w:type="dxa"/>
            <w:noWrap w:val="0"/>
            <w:vAlign w:val="top"/>
          </w:tcPr>
          <w:p w14:paraId="783E89AB">
            <w:pPr>
              <w:pStyle w:val="56"/>
              <w:tabs>
                <w:tab w:val="left" w:pos="7740"/>
              </w:tabs>
              <w:spacing w:line="24" w:lineRule="atLeast"/>
              <w:rPr>
                <w:rFonts w:ascii="宋体" w:hAnsi="宋体" w:cs="宋体"/>
                <w:sz w:val="21"/>
                <w:szCs w:val="21"/>
              </w:rPr>
            </w:pPr>
            <w:r>
              <w:rPr>
                <w:rFonts w:hint="eastAsia" w:ascii="宋体" w:hAnsi="宋体" w:cs="宋体"/>
                <w:sz w:val="21"/>
                <w:szCs w:val="21"/>
              </w:rPr>
              <w:t>申请单、标本送达状态，取血查看、取血提醒</w:t>
            </w:r>
          </w:p>
        </w:tc>
      </w:tr>
      <w:tr w14:paraId="2A876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399" w:type="dxa"/>
            <w:vMerge w:val="continue"/>
            <w:noWrap w:val="0"/>
            <w:vAlign w:val="top"/>
          </w:tcPr>
          <w:p w14:paraId="3EE21490">
            <w:pPr>
              <w:pStyle w:val="56"/>
              <w:tabs>
                <w:tab w:val="left" w:pos="7740"/>
              </w:tabs>
              <w:spacing w:line="24" w:lineRule="atLeast"/>
              <w:rPr>
                <w:rFonts w:ascii="宋体" w:hAnsi="宋体" w:cs="宋体"/>
                <w:sz w:val="21"/>
                <w:szCs w:val="21"/>
              </w:rPr>
            </w:pPr>
          </w:p>
        </w:tc>
        <w:tc>
          <w:tcPr>
            <w:tcW w:w="1978" w:type="dxa"/>
            <w:noWrap w:val="0"/>
            <w:vAlign w:val="top"/>
          </w:tcPr>
          <w:p w14:paraId="486F1618">
            <w:pPr>
              <w:pStyle w:val="56"/>
              <w:tabs>
                <w:tab w:val="left" w:pos="7740"/>
              </w:tabs>
              <w:spacing w:line="24" w:lineRule="atLeast"/>
              <w:rPr>
                <w:rFonts w:ascii="宋体" w:hAnsi="宋体" w:cs="宋体"/>
                <w:sz w:val="21"/>
                <w:szCs w:val="21"/>
              </w:rPr>
            </w:pPr>
            <w:r>
              <w:rPr>
                <w:rFonts w:hint="eastAsia" w:ascii="宋体" w:hAnsi="宋体" w:cs="宋体"/>
                <w:sz w:val="21"/>
                <w:szCs w:val="21"/>
              </w:rPr>
              <w:t>输血输注及护理登记</w:t>
            </w:r>
          </w:p>
        </w:tc>
        <w:tc>
          <w:tcPr>
            <w:tcW w:w="6381" w:type="dxa"/>
            <w:noWrap w:val="0"/>
            <w:vAlign w:val="top"/>
          </w:tcPr>
          <w:p w14:paraId="134883F8">
            <w:pPr>
              <w:pStyle w:val="56"/>
              <w:tabs>
                <w:tab w:val="left" w:pos="7740"/>
              </w:tabs>
              <w:spacing w:line="24" w:lineRule="atLeast"/>
              <w:rPr>
                <w:rFonts w:ascii="宋体" w:hAnsi="宋体" w:cs="宋体"/>
                <w:sz w:val="21"/>
                <w:szCs w:val="21"/>
              </w:rPr>
            </w:pPr>
            <w:r>
              <w:rPr>
                <w:rFonts w:hint="eastAsia" w:ascii="宋体" w:hAnsi="宋体" w:cs="宋体"/>
                <w:sz w:val="21"/>
                <w:szCs w:val="21"/>
              </w:rPr>
              <w:t>护士在每次血液输注时，需对患者的信息和血液进行核对，同时记录血液输注开始时间、结束时间，输血信息记录</w:t>
            </w:r>
          </w:p>
        </w:tc>
      </w:tr>
      <w:tr w14:paraId="6ECCA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399" w:type="dxa"/>
            <w:vMerge w:val="continue"/>
            <w:noWrap w:val="0"/>
            <w:vAlign w:val="top"/>
          </w:tcPr>
          <w:p w14:paraId="7B697398">
            <w:pPr>
              <w:pStyle w:val="56"/>
              <w:tabs>
                <w:tab w:val="left" w:pos="7740"/>
              </w:tabs>
              <w:spacing w:line="24" w:lineRule="atLeast"/>
              <w:rPr>
                <w:rFonts w:ascii="宋体" w:hAnsi="宋体" w:cs="宋体"/>
                <w:sz w:val="21"/>
                <w:szCs w:val="21"/>
              </w:rPr>
            </w:pPr>
          </w:p>
        </w:tc>
        <w:tc>
          <w:tcPr>
            <w:tcW w:w="1978" w:type="dxa"/>
            <w:noWrap w:val="0"/>
            <w:vAlign w:val="top"/>
          </w:tcPr>
          <w:p w14:paraId="611B3199">
            <w:pPr>
              <w:spacing w:line="24" w:lineRule="atLeast"/>
              <w:jc w:val="left"/>
              <w:textAlignment w:val="center"/>
              <w:rPr>
                <w:rFonts w:ascii="宋体" w:hAnsi="宋体"/>
                <w:szCs w:val="21"/>
              </w:rPr>
            </w:pPr>
            <w:r>
              <w:rPr>
                <w:rFonts w:hint="eastAsia" w:ascii="宋体" w:hAnsi="宋体"/>
                <w:bCs/>
                <w:spacing w:val="10"/>
                <w:kern w:val="0"/>
                <w:szCs w:val="21"/>
              </w:rPr>
              <w:t>血袋回收打印</w:t>
            </w:r>
          </w:p>
        </w:tc>
        <w:tc>
          <w:tcPr>
            <w:tcW w:w="6381" w:type="dxa"/>
            <w:noWrap w:val="0"/>
            <w:vAlign w:val="top"/>
          </w:tcPr>
          <w:p w14:paraId="799FA62E">
            <w:pPr>
              <w:spacing w:line="24" w:lineRule="atLeast"/>
              <w:ind w:firstLine="525"/>
              <w:jc w:val="left"/>
              <w:textAlignment w:val="center"/>
              <w:rPr>
                <w:rFonts w:ascii="宋体" w:hAnsi="宋体"/>
                <w:szCs w:val="21"/>
              </w:rPr>
            </w:pPr>
            <w:r>
              <w:rPr>
                <w:rFonts w:hint="eastAsia" w:ascii="宋体" w:hAnsi="宋体"/>
                <w:bCs/>
                <w:spacing w:val="10"/>
                <w:kern w:val="0"/>
                <w:szCs w:val="21"/>
              </w:rPr>
              <w:t>打印一张血袋回收标签，贴在回收袋上面，一张回收标签自动识别需要回收的血袋数量，送会输血科后扫码标签完成血袋回收</w:t>
            </w:r>
          </w:p>
        </w:tc>
      </w:tr>
      <w:tr w14:paraId="1045E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399" w:type="dxa"/>
            <w:vMerge w:val="continue"/>
            <w:noWrap w:val="0"/>
            <w:vAlign w:val="top"/>
          </w:tcPr>
          <w:p w14:paraId="0D4BDB4E">
            <w:pPr>
              <w:pStyle w:val="56"/>
              <w:tabs>
                <w:tab w:val="left" w:pos="7740"/>
              </w:tabs>
              <w:spacing w:line="24" w:lineRule="atLeast"/>
              <w:rPr>
                <w:rFonts w:ascii="宋体" w:hAnsi="宋体" w:cs="宋体"/>
                <w:sz w:val="21"/>
                <w:szCs w:val="21"/>
              </w:rPr>
            </w:pPr>
          </w:p>
        </w:tc>
        <w:tc>
          <w:tcPr>
            <w:tcW w:w="1978" w:type="dxa"/>
            <w:noWrap w:val="0"/>
            <w:vAlign w:val="top"/>
          </w:tcPr>
          <w:p w14:paraId="7DE85C58">
            <w:pPr>
              <w:pStyle w:val="56"/>
              <w:tabs>
                <w:tab w:val="left" w:pos="7740"/>
              </w:tabs>
              <w:spacing w:line="24" w:lineRule="atLeast"/>
              <w:rPr>
                <w:rFonts w:ascii="宋体" w:hAnsi="宋体" w:cs="宋体"/>
                <w:sz w:val="21"/>
                <w:szCs w:val="21"/>
              </w:rPr>
            </w:pPr>
            <w:r>
              <w:rPr>
                <w:rFonts w:hint="eastAsia" w:ascii="宋体" w:hAnsi="宋体" w:cs="宋体"/>
                <w:sz w:val="21"/>
                <w:szCs w:val="21"/>
              </w:rPr>
              <w:t>输血反应管理</w:t>
            </w:r>
          </w:p>
        </w:tc>
        <w:tc>
          <w:tcPr>
            <w:tcW w:w="6381" w:type="dxa"/>
            <w:noWrap w:val="0"/>
            <w:vAlign w:val="top"/>
          </w:tcPr>
          <w:p w14:paraId="03F2B8BF">
            <w:pPr>
              <w:pStyle w:val="56"/>
              <w:tabs>
                <w:tab w:val="left" w:pos="7740"/>
              </w:tabs>
              <w:spacing w:line="24" w:lineRule="atLeast"/>
              <w:rPr>
                <w:rFonts w:ascii="宋体" w:hAnsi="宋体" w:cs="宋体"/>
                <w:sz w:val="21"/>
                <w:szCs w:val="21"/>
              </w:rPr>
            </w:pPr>
            <w:r>
              <w:rPr>
                <w:rFonts w:hint="eastAsia" w:ascii="宋体" w:hAnsi="宋体" w:cs="宋体"/>
                <w:sz w:val="21"/>
                <w:szCs w:val="21"/>
              </w:rPr>
              <w:t>临床科室登记输血反应信息及临床科室处理信息，输血科值班人员登记输血科处理信息及跟踪信息，提交科主任审核后再流转到医务科审核后反馈到输血科及上报的临床科室打印存档</w:t>
            </w:r>
          </w:p>
        </w:tc>
      </w:tr>
      <w:tr w14:paraId="2A9A1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399" w:type="dxa"/>
            <w:vMerge w:val="continue"/>
            <w:noWrap w:val="0"/>
            <w:vAlign w:val="top"/>
          </w:tcPr>
          <w:p w14:paraId="48396835">
            <w:pPr>
              <w:pStyle w:val="56"/>
              <w:tabs>
                <w:tab w:val="left" w:pos="7740"/>
              </w:tabs>
              <w:spacing w:line="24" w:lineRule="atLeast"/>
              <w:rPr>
                <w:rFonts w:ascii="宋体" w:hAnsi="宋体" w:cs="宋体"/>
                <w:sz w:val="21"/>
                <w:szCs w:val="21"/>
              </w:rPr>
            </w:pPr>
          </w:p>
        </w:tc>
        <w:tc>
          <w:tcPr>
            <w:tcW w:w="1978" w:type="dxa"/>
            <w:noWrap w:val="0"/>
            <w:vAlign w:val="top"/>
          </w:tcPr>
          <w:p w14:paraId="520B05E1">
            <w:pPr>
              <w:spacing w:line="24" w:lineRule="atLeast"/>
              <w:jc w:val="left"/>
              <w:textAlignment w:val="center"/>
              <w:rPr>
                <w:rFonts w:ascii="宋体" w:hAnsi="宋体"/>
                <w:bCs/>
                <w:spacing w:val="10"/>
                <w:kern w:val="0"/>
                <w:szCs w:val="21"/>
              </w:rPr>
            </w:pPr>
            <w:r>
              <w:rPr>
                <w:rFonts w:hint="eastAsia" w:ascii="宋体" w:hAnsi="宋体"/>
                <w:bCs/>
                <w:spacing w:val="10"/>
                <w:kern w:val="0"/>
                <w:szCs w:val="21"/>
              </w:rPr>
              <w:t>▲输血安全护理单打印</w:t>
            </w:r>
          </w:p>
        </w:tc>
        <w:tc>
          <w:tcPr>
            <w:tcW w:w="6381" w:type="dxa"/>
            <w:noWrap w:val="0"/>
            <w:vAlign w:val="top"/>
          </w:tcPr>
          <w:p w14:paraId="03C39D35">
            <w:pPr>
              <w:spacing w:line="24" w:lineRule="atLeast"/>
              <w:ind w:firstLine="525"/>
              <w:jc w:val="left"/>
              <w:textAlignment w:val="center"/>
              <w:rPr>
                <w:rFonts w:ascii="宋体" w:hAnsi="宋体"/>
                <w:bCs/>
                <w:spacing w:val="10"/>
                <w:kern w:val="0"/>
                <w:szCs w:val="21"/>
              </w:rPr>
            </w:pPr>
            <w:r>
              <w:rPr>
                <w:rFonts w:hint="eastAsia" w:ascii="宋体" w:hAnsi="宋体"/>
                <w:bCs/>
                <w:spacing w:val="10"/>
                <w:kern w:val="0"/>
                <w:szCs w:val="21"/>
              </w:rPr>
              <w:t>打印输血护理单，有护理数据时直接打印护理结果，没有护理数据时打印出来给医护人员填写护理信息</w:t>
            </w:r>
          </w:p>
        </w:tc>
      </w:tr>
      <w:tr w14:paraId="7D94A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1399" w:type="dxa"/>
            <w:vMerge w:val="restart"/>
            <w:noWrap w:val="0"/>
            <w:vAlign w:val="top"/>
          </w:tcPr>
          <w:p w14:paraId="5F30A574">
            <w:pPr>
              <w:pStyle w:val="56"/>
              <w:tabs>
                <w:tab w:val="left" w:pos="7740"/>
              </w:tabs>
              <w:spacing w:line="24" w:lineRule="atLeast"/>
              <w:rPr>
                <w:rFonts w:ascii="宋体" w:hAnsi="宋体" w:cs="宋体"/>
                <w:sz w:val="21"/>
                <w:szCs w:val="21"/>
              </w:rPr>
            </w:pPr>
            <w:r>
              <w:rPr>
                <w:rFonts w:hint="eastAsia" w:ascii="宋体" w:hAnsi="宋体" w:cs="宋体"/>
                <w:sz w:val="21"/>
                <w:szCs w:val="21"/>
              </w:rPr>
              <w:t>血液流程质量控制</w:t>
            </w:r>
          </w:p>
        </w:tc>
        <w:tc>
          <w:tcPr>
            <w:tcW w:w="1978" w:type="dxa"/>
            <w:vMerge w:val="restart"/>
            <w:noWrap w:val="0"/>
            <w:vAlign w:val="top"/>
          </w:tcPr>
          <w:p w14:paraId="1F495F87">
            <w:pPr>
              <w:pStyle w:val="56"/>
              <w:tabs>
                <w:tab w:val="left" w:pos="7740"/>
              </w:tabs>
              <w:spacing w:line="24" w:lineRule="atLeast"/>
              <w:rPr>
                <w:rFonts w:ascii="宋体" w:hAnsi="宋体" w:cs="宋体"/>
                <w:sz w:val="21"/>
                <w:szCs w:val="21"/>
              </w:rPr>
            </w:pPr>
            <w:r>
              <w:rPr>
                <w:rFonts w:hint="eastAsia" w:ascii="宋体" w:hAnsi="宋体" w:cs="宋体"/>
                <w:sz w:val="21"/>
                <w:szCs w:val="21"/>
                <w:lang w:val="zh-CN"/>
              </w:rPr>
              <w:t>▲</w:t>
            </w:r>
            <w:r>
              <w:rPr>
                <w:rFonts w:hint="eastAsia" w:ascii="宋体" w:hAnsi="宋体" w:cs="宋体"/>
                <w:sz w:val="21"/>
                <w:szCs w:val="21"/>
              </w:rPr>
              <w:t>轨迹记录追溯</w:t>
            </w:r>
          </w:p>
        </w:tc>
        <w:tc>
          <w:tcPr>
            <w:tcW w:w="6381" w:type="dxa"/>
            <w:noWrap w:val="0"/>
            <w:vAlign w:val="top"/>
          </w:tcPr>
          <w:p w14:paraId="6C256124">
            <w:pPr>
              <w:pStyle w:val="56"/>
              <w:tabs>
                <w:tab w:val="left" w:pos="7740"/>
              </w:tabs>
              <w:spacing w:line="24" w:lineRule="atLeast"/>
              <w:rPr>
                <w:rFonts w:ascii="宋体" w:hAnsi="宋体" w:cs="宋体"/>
                <w:sz w:val="21"/>
                <w:szCs w:val="21"/>
              </w:rPr>
            </w:pPr>
            <w:r>
              <w:rPr>
                <w:rFonts w:hint="eastAsia" w:ascii="宋体" w:hAnsi="宋体" w:cs="宋体"/>
                <w:sz w:val="21"/>
                <w:szCs w:val="21"/>
              </w:rPr>
              <w:t>护士轨迹：医生操作轨迹记录，流程记录操作员、时间</w:t>
            </w:r>
          </w:p>
        </w:tc>
      </w:tr>
      <w:tr w14:paraId="18CBA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399" w:type="dxa"/>
            <w:vMerge w:val="continue"/>
            <w:noWrap w:val="0"/>
            <w:vAlign w:val="top"/>
          </w:tcPr>
          <w:p w14:paraId="2F1832D5">
            <w:pPr>
              <w:pStyle w:val="56"/>
              <w:tabs>
                <w:tab w:val="left" w:pos="7740"/>
              </w:tabs>
              <w:spacing w:line="24" w:lineRule="atLeast"/>
              <w:rPr>
                <w:rFonts w:ascii="宋体" w:hAnsi="宋体" w:cs="宋体"/>
                <w:sz w:val="21"/>
                <w:szCs w:val="21"/>
              </w:rPr>
            </w:pPr>
          </w:p>
        </w:tc>
        <w:tc>
          <w:tcPr>
            <w:tcW w:w="1978" w:type="dxa"/>
            <w:vMerge w:val="continue"/>
            <w:noWrap w:val="0"/>
            <w:vAlign w:val="top"/>
          </w:tcPr>
          <w:p w14:paraId="23587D9D">
            <w:pPr>
              <w:pStyle w:val="56"/>
              <w:tabs>
                <w:tab w:val="left" w:pos="7740"/>
              </w:tabs>
              <w:spacing w:line="24" w:lineRule="atLeast"/>
              <w:rPr>
                <w:rFonts w:ascii="宋体" w:hAnsi="宋体" w:cs="宋体"/>
                <w:sz w:val="21"/>
                <w:szCs w:val="21"/>
              </w:rPr>
            </w:pPr>
          </w:p>
        </w:tc>
        <w:tc>
          <w:tcPr>
            <w:tcW w:w="6381" w:type="dxa"/>
            <w:noWrap w:val="0"/>
            <w:vAlign w:val="top"/>
          </w:tcPr>
          <w:p w14:paraId="45734B49">
            <w:pPr>
              <w:pStyle w:val="56"/>
              <w:tabs>
                <w:tab w:val="left" w:pos="7740"/>
              </w:tabs>
              <w:spacing w:line="24" w:lineRule="atLeast"/>
              <w:rPr>
                <w:rFonts w:ascii="宋体" w:hAnsi="宋体" w:cs="宋体"/>
                <w:sz w:val="21"/>
                <w:szCs w:val="21"/>
              </w:rPr>
            </w:pPr>
            <w:r>
              <w:rPr>
                <w:rFonts w:hint="eastAsia" w:ascii="宋体" w:hAnsi="宋体" w:cs="宋体"/>
                <w:sz w:val="21"/>
                <w:szCs w:val="21"/>
              </w:rPr>
              <w:t>血袋闭环：血袋血站发血入库、输血科发血、临床取血、输注时间、输血反应等操作轨迹记录，流程记录操作员、时间</w:t>
            </w:r>
          </w:p>
        </w:tc>
      </w:tr>
      <w:bookmarkEnd w:id="106"/>
    </w:tbl>
    <w:p w14:paraId="0483AACC">
      <w:pPr>
        <w:pStyle w:val="267"/>
        <w:rPr>
          <w:rFonts w:hint="eastAsia" w:ascii="宋体" w:hAnsi="宋体" w:cs="宋体"/>
          <w:bCs w:val="0"/>
          <w:spacing w:val="10"/>
          <w:kern w:val="0"/>
        </w:rPr>
      </w:pPr>
    </w:p>
    <w:p w14:paraId="625E1391">
      <w:pPr>
        <w:pStyle w:val="269"/>
        <w:numPr>
          <w:ilvl w:val="0"/>
          <w:numId w:val="66"/>
        </w:numPr>
        <w:tabs>
          <w:tab w:val="left" w:pos="720"/>
        </w:tabs>
        <w:ind w:left="0" w:firstLine="0"/>
        <w:outlineLvl w:val="9"/>
        <w:rPr>
          <w:rFonts w:ascii="宋体" w:hAnsi="宋体" w:cs="宋体"/>
          <w:b w:val="0"/>
          <w:bCs/>
          <w:spacing w:val="10"/>
          <w:kern w:val="0"/>
          <w:szCs w:val="21"/>
        </w:rPr>
      </w:pPr>
      <w:r>
        <w:rPr>
          <w:rFonts w:hint="eastAsia" w:ascii="宋体" w:hAnsi="宋体" w:cs="宋体"/>
          <w:b w:val="0"/>
          <w:bCs/>
          <w:spacing w:val="10"/>
          <w:kern w:val="0"/>
          <w:szCs w:val="21"/>
        </w:rPr>
        <w:t>医务科工作站</w:t>
      </w:r>
    </w:p>
    <w:tbl>
      <w:tblPr>
        <w:tblStyle w:val="46"/>
        <w:tblpPr w:leftFromText="180" w:rightFromText="180" w:vertAnchor="text" w:horzAnchor="page" w:tblpXSpec="center" w:tblpY="92"/>
        <w:tblOverlap w:val="never"/>
        <w:tblW w:w="99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8"/>
        <w:gridCol w:w="1962"/>
        <w:gridCol w:w="6568"/>
      </w:tblGrid>
      <w:tr w14:paraId="5A4B7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blHeader/>
          <w:jc w:val="center"/>
        </w:trPr>
        <w:tc>
          <w:tcPr>
            <w:tcW w:w="1388" w:type="dxa"/>
            <w:noWrap w:val="0"/>
            <w:vAlign w:val="center"/>
          </w:tcPr>
          <w:p w14:paraId="3A881234">
            <w:pPr>
              <w:pStyle w:val="56"/>
              <w:tabs>
                <w:tab w:val="left" w:pos="7740"/>
              </w:tabs>
              <w:spacing w:line="288" w:lineRule="auto"/>
              <w:jc w:val="center"/>
              <w:rPr>
                <w:rFonts w:ascii="宋体" w:hAnsi="宋体" w:cs="宋体"/>
                <w:sz w:val="21"/>
                <w:szCs w:val="21"/>
              </w:rPr>
            </w:pPr>
            <w:r>
              <w:rPr>
                <w:rFonts w:hint="eastAsia" w:ascii="宋体" w:hAnsi="宋体" w:cs="宋体"/>
                <w:sz w:val="21"/>
                <w:szCs w:val="21"/>
              </w:rPr>
              <w:t>子系统</w:t>
            </w:r>
          </w:p>
        </w:tc>
        <w:tc>
          <w:tcPr>
            <w:tcW w:w="1962" w:type="dxa"/>
            <w:noWrap w:val="0"/>
            <w:vAlign w:val="center"/>
          </w:tcPr>
          <w:p w14:paraId="081FFD38">
            <w:pPr>
              <w:pStyle w:val="56"/>
              <w:tabs>
                <w:tab w:val="left" w:pos="7740"/>
              </w:tabs>
              <w:spacing w:line="288" w:lineRule="auto"/>
              <w:jc w:val="center"/>
              <w:rPr>
                <w:rFonts w:ascii="宋体" w:hAnsi="宋体" w:cs="宋体"/>
                <w:sz w:val="21"/>
                <w:szCs w:val="21"/>
              </w:rPr>
            </w:pPr>
            <w:r>
              <w:rPr>
                <w:rFonts w:hint="eastAsia" w:ascii="宋体" w:hAnsi="宋体" w:cs="宋体"/>
                <w:sz w:val="21"/>
                <w:szCs w:val="21"/>
              </w:rPr>
              <w:t>系统功能</w:t>
            </w:r>
          </w:p>
        </w:tc>
        <w:tc>
          <w:tcPr>
            <w:tcW w:w="6568" w:type="dxa"/>
            <w:noWrap w:val="0"/>
            <w:vAlign w:val="center"/>
          </w:tcPr>
          <w:p w14:paraId="1660F814">
            <w:pPr>
              <w:pStyle w:val="56"/>
              <w:tabs>
                <w:tab w:val="left" w:pos="7740"/>
              </w:tabs>
              <w:spacing w:line="288" w:lineRule="auto"/>
              <w:jc w:val="center"/>
              <w:rPr>
                <w:rFonts w:ascii="宋体" w:hAnsi="宋体" w:cs="宋体"/>
                <w:sz w:val="21"/>
                <w:szCs w:val="21"/>
              </w:rPr>
            </w:pPr>
            <w:r>
              <w:rPr>
                <w:rFonts w:hint="eastAsia" w:ascii="宋体" w:hAnsi="宋体" w:cs="宋体"/>
                <w:sz w:val="21"/>
                <w:szCs w:val="21"/>
              </w:rPr>
              <w:t>功能描述</w:t>
            </w:r>
          </w:p>
        </w:tc>
      </w:tr>
      <w:tr w14:paraId="6DB61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blHeader/>
          <w:jc w:val="center"/>
        </w:trPr>
        <w:tc>
          <w:tcPr>
            <w:tcW w:w="1388" w:type="dxa"/>
            <w:shd w:val="clear" w:color="auto" w:fill="FFFFFF"/>
            <w:noWrap w:val="0"/>
            <w:vAlign w:val="center"/>
          </w:tcPr>
          <w:p w14:paraId="67BE2D7C">
            <w:pPr>
              <w:pStyle w:val="56"/>
              <w:tabs>
                <w:tab w:val="left" w:pos="7740"/>
              </w:tabs>
              <w:spacing w:line="288" w:lineRule="auto"/>
              <w:rPr>
                <w:rFonts w:ascii="宋体" w:hAnsi="宋体" w:cs="宋体"/>
                <w:sz w:val="21"/>
                <w:szCs w:val="21"/>
              </w:rPr>
            </w:pPr>
            <w:r>
              <w:rPr>
                <w:rFonts w:hint="eastAsia" w:ascii="宋体" w:hAnsi="宋体" w:cs="宋体"/>
                <w:sz w:val="21"/>
                <w:szCs w:val="21"/>
              </w:rPr>
              <w:t>▲用血查询</w:t>
            </w:r>
          </w:p>
        </w:tc>
        <w:tc>
          <w:tcPr>
            <w:tcW w:w="1962" w:type="dxa"/>
            <w:shd w:val="clear" w:color="auto" w:fill="FFFFFF"/>
            <w:noWrap w:val="0"/>
            <w:vAlign w:val="center"/>
          </w:tcPr>
          <w:p w14:paraId="107D18FB">
            <w:pPr>
              <w:spacing w:line="288" w:lineRule="auto"/>
              <w:ind w:firstLine="525"/>
              <w:jc w:val="left"/>
              <w:textAlignment w:val="center"/>
              <w:rPr>
                <w:rFonts w:ascii="宋体" w:hAnsi="宋体"/>
                <w:bCs/>
                <w:spacing w:val="10"/>
                <w:kern w:val="0"/>
                <w:szCs w:val="21"/>
              </w:rPr>
            </w:pPr>
            <w:r>
              <w:rPr>
                <w:rFonts w:hint="eastAsia" w:ascii="宋体" w:hAnsi="宋体"/>
                <w:bCs/>
                <w:spacing w:val="10"/>
                <w:kern w:val="0"/>
                <w:szCs w:val="21"/>
              </w:rPr>
              <w:t>输血申请查询追溯</w:t>
            </w:r>
          </w:p>
        </w:tc>
        <w:tc>
          <w:tcPr>
            <w:tcW w:w="6568" w:type="dxa"/>
            <w:shd w:val="clear" w:color="auto" w:fill="FFFFFF"/>
            <w:noWrap w:val="0"/>
            <w:vAlign w:val="center"/>
          </w:tcPr>
          <w:p w14:paraId="7B8E893A">
            <w:pPr>
              <w:spacing w:line="288" w:lineRule="auto"/>
              <w:ind w:firstLine="525"/>
              <w:jc w:val="left"/>
              <w:textAlignment w:val="center"/>
              <w:rPr>
                <w:rFonts w:ascii="宋体" w:hAnsi="宋体"/>
                <w:bCs/>
                <w:spacing w:val="10"/>
                <w:kern w:val="0"/>
                <w:szCs w:val="21"/>
              </w:rPr>
            </w:pPr>
            <w:r>
              <w:rPr>
                <w:rFonts w:hint="eastAsia" w:ascii="宋体" w:hAnsi="宋体"/>
                <w:bCs/>
                <w:spacing w:val="10"/>
                <w:kern w:val="0"/>
                <w:szCs w:val="21"/>
              </w:rPr>
              <w:t>查询输血申请单信息，给大量用血审批提供依据</w:t>
            </w:r>
          </w:p>
        </w:tc>
      </w:tr>
      <w:tr w14:paraId="4477E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tblHeader/>
          <w:jc w:val="center"/>
        </w:trPr>
        <w:tc>
          <w:tcPr>
            <w:tcW w:w="1388" w:type="dxa"/>
            <w:shd w:val="clear" w:color="auto" w:fill="FFFFFF"/>
            <w:noWrap w:val="0"/>
            <w:vAlign w:val="center"/>
          </w:tcPr>
          <w:p w14:paraId="5DA11A03">
            <w:pPr>
              <w:pStyle w:val="56"/>
              <w:tabs>
                <w:tab w:val="left" w:pos="7740"/>
              </w:tabs>
              <w:spacing w:line="288" w:lineRule="auto"/>
              <w:rPr>
                <w:rFonts w:ascii="宋体" w:hAnsi="宋体" w:cs="宋体"/>
                <w:sz w:val="21"/>
                <w:szCs w:val="21"/>
              </w:rPr>
            </w:pPr>
            <w:r>
              <w:rPr>
                <w:rFonts w:hint="eastAsia" w:ascii="宋体" w:hAnsi="宋体" w:cs="宋体"/>
                <w:sz w:val="21"/>
                <w:szCs w:val="21"/>
              </w:rPr>
              <w:t>▲审核功能</w:t>
            </w:r>
          </w:p>
        </w:tc>
        <w:tc>
          <w:tcPr>
            <w:tcW w:w="1962" w:type="dxa"/>
            <w:shd w:val="clear" w:color="auto" w:fill="FFFFFF"/>
            <w:noWrap w:val="0"/>
            <w:vAlign w:val="center"/>
          </w:tcPr>
          <w:p w14:paraId="22E2B004">
            <w:pPr>
              <w:spacing w:line="288" w:lineRule="auto"/>
              <w:ind w:firstLine="525"/>
              <w:jc w:val="left"/>
              <w:textAlignment w:val="center"/>
              <w:rPr>
                <w:rFonts w:ascii="宋体" w:hAnsi="宋体"/>
                <w:szCs w:val="21"/>
              </w:rPr>
            </w:pPr>
            <w:r>
              <w:rPr>
                <w:rFonts w:hint="eastAsia" w:ascii="宋体" w:hAnsi="宋体"/>
                <w:bCs/>
                <w:spacing w:val="10"/>
                <w:kern w:val="0"/>
                <w:szCs w:val="21"/>
              </w:rPr>
              <w:t>大量用血审批</w:t>
            </w:r>
          </w:p>
        </w:tc>
        <w:tc>
          <w:tcPr>
            <w:tcW w:w="6568" w:type="dxa"/>
            <w:shd w:val="clear" w:color="auto" w:fill="FFFFFF"/>
            <w:noWrap w:val="0"/>
            <w:vAlign w:val="center"/>
          </w:tcPr>
          <w:p w14:paraId="71F3A1D9">
            <w:pPr>
              <w:spacing w:line="288" w:lineRule="auto"/>
              <w:ind w:firstLine="525"/>
              <w:jc w:val="left"/>
              <w:textAlignment w:val="center"/>
              <w:rPr>
                <w:rFonts w:ascii="宋体" w:hAnsi="宋体"/>
                <w:szCs w:val="21"/>
              </w:rPr>
            </w:pPr>
            <w:r>
              <w:rPr>
                <w:rFonts w:hint="eastAsia" w:ascii="宋体" w:hAnsi="宋体"/>
                <w:bCs/>
                <w:spacing w:val="10"/>
                <w:kern w:val="0"/>
                <w:szCs w:val="21"/>
              </w:rPr>
              <w:t>输血患者24h内输血/备血累积≥1600ml时，须进行大量输血审批流程，临床医生提交审批流程，输血科审批，医务科进行大量输血审批</w:t>
            </w:r>
          </w:p>
        </w:tc>
      </w:tr>
      <w:tr w14:paraId="69FBC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blHeader/>
          <w:jc w:val="center"/>
        </w:trPr>
        <w:tc>
          <w:tcPr>
            <w:tcW w:w="1388" w:type="dxa"/>
            <w:vMerge w:val="restart"/>
            <w:shd w:val="clear" w:color="auto" w:fill="FFFFFF"/>
            <w:noWrap w:val="0"/>
            <w:vAlign w:val="center"/>
          </w:tcPr>
          <w:p w14:paraId="2D4763A0">
            <w:pPr>
              <w:pStyle w:val="56"/>
              <w:tabs>
                <w:tab w:val="left" w:pos="7740"/>
              </w:tabs>
              <w:spacing w:line="288" w:lineRule="auto"/>
              <w:rPr>
                <w:rFonts w:ascii="宋体" w:hAnsi="宋体" w:cs="宋体"/>
                <w:sz w:val="21"/>
                <w:szCs w:val="21"/>
              </w:rPr>
            </w:pPr>
            <w:r>
              <w:rPr>
                <w:rFonts w:hint="eastAsia" w:ascii="宋体" w:hAnsi="宋体" w:cs="宋体"/>
                <w:sz w:val="21"/>
                <w:szCs w:val="21"/>
              </w:rPr>
              <w:t>统计报表</w:t>
            </w:r>
          </w:p>
        </w:tc>
        <w:tc>
          <w:tcPr>
            <w:tcW w:w="1962" w:type="dxa"/>
            <w:shd w:val="clear" w:color="auto" w:fill="FFFFFF"/>
            <w:noWrap w:val="0"/>
            <w:vAlign w:val="center"/>
          </w:tcPr>
          <w:p w14:paraId="2CD5037A">
            <w:pPr>
              <w:pStyle w:val="56"/>
              <w:tabs>
                <w:tab w:val="left" w:pos="7740"/>
              </w:tabs>
              <w:spacing w:line="288" w:lineRule="auto"/>
              <w:rPr>
                <w:rFonts w:ascii="宋体" w:hAnsi="宋体" w:cs="宋体"/>
                <w:sz w:val="21"/>
                <w:szCs w:val="21"/>
              </w:rPr>
            </w:pPr>
            <w:r>
              <w:rPr>
                <w:rFonts w:hint="eastAsia" w:ascii="宋体" w:hAnsi="宋体" w:cs="宋体"/>
                <w:sz w:val="21"/>
                <w:szCs w:val="21"/>
              </w:rPr>
              <w:t>审核报告</w:t>
            </w:r>
          </w:p>
        </w:tc>
        <w:tc>
          <w:tcPr>
            <w:tcW w:w="6568" w:type="dxa"/>
            <w:shd w:val="clear" w:color="auto" w:fill="FFFFFF"/>
            <w:noWrap w:val="0"/>
            <w:vAlign w:val="center"/>
          </w:tcPr>
          <w:p w14:paraId="03F49C3C">
            <w:pPr>
              <w:pStyle w:val="56"/>
              <w:tabs>
                <w:tab w:val="left" w:pos="7740"/>
              </w:tabs>
              <w:spacing w:line="288" w:lineRule="auto"/>
              <w:rPr>
                <w:rFonts w:ascii="宋体" w:hAnsi="宋体" w:cs="宋体"/>
                <w:sz w:val="21"/>
                <w:szCs w:val="21"/>
              </w:rPr>
            </w:pPr>
            <w:r>
              <w:rPr>
                <w:rFonts w:hint="eastAsia" w:ascii="宋体" w:hAnsi="宋体" w:cs="宋体"/>
                <w:sz w:val="21"/>
                <w:szCs w:val="21"/>
              </w:rPr>
              <w:t>定期（月、季度、年）自动生成经过医务部门的审核报告</w:t>
            </w:r>
          </w:p>
        </w:tc>
      </w:tr>
      <w:tr w14:paraId="194D2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tblHeader/>
          <w:jc w:val="center"/>
        </w:trPr>
        <w:tc>
          <w:tcPr>
            <w:tcW w:w="1388" w:type="dxa"/>
            <w:vMerge w:val="continue"/>
            <w:shd w:val="clear" w:color="auto" w:fill="FFFFFF"/>
            <w:noWrap w:val="0"/>
            <w:vAlign w:val="top"/>
          </w:tcPr>
          <w:p w14:paraId="41AA49A9">
            <w:pPr>
              <w:pStyle w:val="56"/>
              <w:tabs>
                <w:tab w:val="left" w:pos="7740"/>
              </w:tabs>
              <w:spacing w:line="288" w:lineRule="auto"/>
              <w:rPr>
                <w:rFonts w:ascii="宋体" w:hAnsi="宋体" w:cs="宋体"/>
                <w:sz w:val="21"/>
                <w:szCs w:val="21"/>
              </w:rPr>
            </w:pPr>
          </w:p>
        </w:tc>
        <w:tc>
          <w:tcPr>
            <w:tcW w:w="1962" w:type="dxa"/>
            <w:shd w:val="clear" w:color="auto" w:fill="FFFFFF"/>
            <w:noWrap w:val="0"/>
            <w:vAlign w:val="center"/>
          </w:tcPr>
          <w:p w14:paraId="647D5697">
            <w:pPr>
              <w:pStyle w:val="56"/>
              <w:tabs>
                <w:tab w:val="left" w:pos="7740"/>
              </w:tabs>
              <w:spacing w:line="288" w:lineRule="auto"/>
              <w:rPr>
                <w:rFonts w:ascii="宋体" w:hAnsi="宋体" w:cs="宋体"/>
                <w:sz w:val="21"/>
                <w:szCs w:val="21"/>
              </w:rPr>
            </w:pPr>
            <w:r>
              <w:rPr>
                <w:rFonts w:hint="eastAsia" w:ascii="宋体" w:hAnsi="宋体" w:cs="宋体"/>
                <w:sz w:val="21"/>
                <w:szCs w:val="21"/>
              </w:rPr>
              <w:t>统计分析</w:t>
            </w:r>
          </w:p>
        </w:tc>
        <w:tc>
          <w:tcPr>
            <w:tcW w:w="6568" w:type="dxa"/>
            <w:shd w:val="clear" w:color="auto" w:fill="FFFFFF"/>
            <w:noWrap w:val="0"/>
            <w:vAlign w:val="center"/>
          </w:tcPr>
          <w:p w14:paraId="6C62ABFF">
            <w:pPr>
              <w:pStyle w:val="56"/>
              <w:tabs>
                <w:tab w:val="left" w:pos="7740"/>
              </w:tabs>
              <w:spacing w:line="288" w:lineRule="auto"/>
              <w:rPr>
                <w:rFonts w:ascii="宋体" w:hAnsi="宋体" w:cs="宋体"/>
                <w:sz w:val="21"/>
                <w:szCs w:val="21"/>
              </w:rPr>
            </w:pPr>
            <w:r>
              <w:rPr>
                <w:rFonts w:hint="eastAsia" w:ascii="宋体" w:hAnsi="宋体" w:cs="宋体"/>
                <w:sz w:val="21"/>
                <w:szCs w:val="21"/>
              </w:rPr>
              <w:t>可以在后台查看历史审批情况，能根据科室、人员、疾病等进行统计和分析</w:t>
            </w:r>
          </w:p>
        </w:tc>
      </w:tr>
      <w:tr w14:paraId="0DA05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blHeader/>
          <w:jc w:val="center"/>
        </w:trPr>
        <w:tc>
          <w:tcPr>
            <w:tcW w:w="1388" w:type="dxa"/>
            <w:vMerge w:val="continue"/>
            <w:shd w:val="clear" w:color="auto" w:fill="FFFFFF"/>
            <w:noWrap w:val="0"/>
            <w:vAlign w:val="top"/>
          </w:tcPr>
          <w:p w14:paraId="6328B1CD">
            <w:pPr>
              <w:pStyle w:val="56"/>
              <w:tabs>
                <w:tab w:val="left" w:pos="7740"/>
              </w:tabs>
              <w:spacing w:line="288" w:lineRule="auto"/>
              <w:rPr>
                <w:rFonts w:ascii="宋体" w:hAnsi="宋体" w:cs="宋体"/>
                <w:sz w:val="21"/>
                <w:szCs w:val="21"/>
              </w:rPr>
            </w:pPr>
          </w:p>
        </w:tc>
        <w:tc>
          <w:tcPr>
            <w:tcW w:w="1962" w:type="dxa"/>
            <w:shd w:val="clear" w:color="auto" w:fill="FFFFFF"/>
            <w:noWrap w:val="0"/>
            <w:vAlign w:val="center"/>
          </w:tcPr>
          <w:p w14:paraId="77114716">
            <w:pPr>
              <w:spacing w:line="288" w:lineRule="auto"/>
              <w:ind w:firstLine="525"/>
              <w:jc w:val="left"/>
              <w:textAlignment w:val="center"/>
              <w:rPr>
                <w:rFonts w:ascii="宋体" w:hAnsi="宋体"/>
                <w:bCs/>
                <w:spacing w:val="10"/>
                <w:kern w:val="0"/>
                <w:szCs w:val="21"/>
              </w:rPr>
            </w:pPr>
            <w:r>
              <w:rPr>
                <w:rFonts w:hint="eastAsia" w:ascii="宋体" w:hAnsi="宋体"/>
                <w:bCs/>
                <w:spacing w:val="10"/>
                <w:kern w:val="0"/>
                <w:szCs w:val="21"/>
              </w:rPr>
              <w:t>输血不良反应统计</w:t>
            </w:r>
          </w:p>
        </w:tc>
        <w:tc>
          <w:tcPr>
            <w:tcW w:w="6568" w:type="dxa"/>
            <w:shd w:val="clear" w:color="auto" w:fill="FFFFFF"/>
            <w:noWrap w:val="0"/>
            <w:vAlign w:val="center"/>
          </w:tcPr>
          <w:p w14:paraId="054B85E9">
            <w:pPr>
              <w:spacing w:line="288" w:lineRule="auto"/>
              <w:ind w:firstLine="525"/>
              <w:jc w:val="left"/>
              <w:textAlignment w:val="center"/>
              <w:rPr>
                <w:rFonts w:ascii="宋体" w:hAnsi="宋体"/>
                <w:bCs/>
                <w:spacing w:val="10"/>
                <w:kern w:val="0"/>
                <w:szCs w:val="21"/>
              </w:rPr>
            </w:pPr>
            <w:r>
              <w:rPr>
                <w:rFonts w:hint="eastAsia" w:ascii="宋体" w:hAnsi="宋体"/>
                <w:bCs/>
                <w:spacing w:val="10"/>
                <w:kern w:val="0"/>
                <w:szCs w:val="21"/>
              </w:rPr>
              <w:t>查询和统计输血不良反应</w:t>
            </w:r>
          </w:p>
        </w:tc>
      </w:tr>
    </w:tbl>
    <w:p w14:paraId="4CD426B1">
      <w:pPr>
        <w:pStyle w:val="267"/>
        <w:rPr>
          <w:rFonts w:ascii="宋体" w:hAnsi="宋体" w:cs="宋体"/>
        </w:rPr>
      </w:pPr>
    </w:p>
    <w:p w14:paraId="5FA2FCDC">
      <w:pPr>
        <w:pStyle w:val="267"/>
        <w:rPr>
          <w:rFonts w:ascii="宋体" w:hAnsi="宋体" w:cs="宋体"/>
        </w:rPr>
      </w:pPr>
    </w:p>
    <w:p w14:paraId="42609DD5">
      <w:pPr>
        <w:pStyle w:val="268"/>
        <w:spacing w:line="360" w:lineRule="auto"/>
        <w:ind w:firstLine="465"/>
        <w:rPr>
          <w:rFonts w:hint="eastAsia" w:ascii="宋体" w:hAnsi="宋体" w:cs="宋体"/>
          <w:bCs/>
          <w:spacing w:val="10"/>
          <w:kern w:val="0"/>
          <w:sz w:val="21"/>
          <w:szCs w:val="21"/>
        </w:rPr>
      </w:pPr>
      <w:r>
        <w:rPr>
          <w:rFonts w:hint="eastAsia" w:ascii="宋体" w:hAnsi="宋体" w:cs="宋体"/>
          <w:bCs/>
          <w:spacing w:val="10"/>
          <w:kern w:val="0"/>
          <w:sz w:val="21"/>
          <w:szCs w:val="21"/>
        </w:rPr>
        <w:t>5、临床用血安全监控系统</w:t>
      </w:r>
    </w:p>
    <w:p w14:paraId="3E0D2710">
      <w:pPr>
        <w:pStyle w:val="268"/>
        <w:spacing w:line="360" w:lineRule="auto"/>
        <w:ind w:firstLine="465"/>
        <w:rPr>
          <w:rFonts w:hint="eastAsia" w:ascii="宋体" w:hAnsi="宋体" w:cs="宋体"/>
          <w:bCs/>
          <w:spacing w:val="10"/>
          <w:kern w:val="0"/>
          <w:sz w:val="21"/>
          <w:szCs w:val="21"/>
        </w:rPr>
      </w:pPr>
    </w:p>
    <w:tbl>
      <w:tblPr>
        <w:tblStyle w:val="46"/>
        <w:tblW w:w="9959" w:type="dxa"/>
        <w:jc w:val="center"/>
        <w:tblLayout w:type="autofit"/>
        <w:tblCellMar>
          <w:top w:w="0" w:type="dxa"/>
          <w:left w:w="108" w:type="dxa"/>
          <w:bottom w:w="0" w:type="dxa"/>
          <w:right w:w="108" w:type="dxa"/>
        </w:tblCellMar>
      </w:tblPr>
      <w:tblGrid>
        <w:gridCol w:w="1331"/>
        <w:gridCol w:w="2032"/>
        <w:gridCol w:w="6596"/>
      </w:tblGrid>
      <w:tr w14:paraId="4646E3FB">
        <w:tblPrEx>
          <w:tblCellMar>
            <w:top w:w="0" w:type="dxa"/>
            <w:left w:w="108" w:type="dxa"/>
            <w:bottom w:w="0" w:type="dxa"/>
            <w:right w:w="108" w:type="dxa"/>
          </w:tblCellMar>
        </w:tblPrEx>
        <w:trPr>
          <w:trHeight w:val="451" w:hRule="atLeast"/>
          <w:jc w:val="center"/>
        </w:trPr>
        <w:tc>
          <w:tcPr>
            <w:tcW w:w="1331" w:type="dxa"/>
            <w:tcBorders>
              <w:top w:val="single" w:color="000000" w:sz="4" w:space="0"/>
              <w:left w:val="single" w:color="000000" w:sz="4" w:space="0"/>
              <w:bottom w:val="single" w:color="000000" w:sz="4" w:space="0"/>
              <w:right w:val="single" w:color="000000" w:sz="4" w:space="0"/>
            </w:tcBorders>
            <w:noWrap w:val="0"/>
            <w:vAlign w:val="center"/>
          </w:tcPr>
          <w:p w14:paraId="6C5F4390">
            <w:pPr>
              <w:pStyle w:val="56"/>
              <w:tabs>
                <w:tab w:val="left" w:pos="7740"/>
              </w:tabs>
              <w:spacing w:line="24" w:lineRule="atLeast"/>
              <w:jc w:val="center"/>
              <w:rPr>
                <w:rFonts w:ascii="宋体" w:hAnsi="宋体" w:cs="宋体"/>
                <w:sz w:val="21"/>
                <w:szCs w:val="21"/>
              </w:rPr>
            </w:pPr>
            <w:r>
              <w:rPr>
                <w:rFonts w:hint="eastAsia" w:ascii="宋体" w:hAnsi="宋体" w:cs="宋体"/>
                <w:sz w:val="21"/>
                <w:szCs w:val="21"/>
              </w:rPr>
              <w:t>子系统</w:t>
            </w:r>
          </w:p>
        </w:tc>
        <w:tc>
          <w:tcPr>
            <w:tcW w:w="2032" w:type="dxa"/>
            <w:tcBorders>
              <w:top w:val="single" w:color="000000" w:sz="4" w:space="0"/>
              <w:left w:val="single" w:color="000000" w:sz="4" w:space="0"/>
              <w:bottom w:val="single" w:color="000000" w:sz="4" w:space="0"/>
              <w:right w:val="single" w:color="000000" w:sz="4" w:space="0"/>
            </w:tcBorders>
            <w:noWrap w:val="0"/>
            <w:vAlign w:val="center"/>
          </w:tcPr>
          <w:p w14:paraId="003E7B02">
            <w:pPr>
              <w:pStyle w:val="56"/>
              <w:tabs>
                <w:tab w:val="left" w:pos="7740"/>
              </w:tabs>
              <w:spacing w:line="24" w:lineRule="atLeast"/>
              <w:jc w:val="center"/>
              <w:rPr>
                <w:rFonts w:ascii="宋体" w:hAnsi="宋体" w:cs="宋体"/>
                <w:sz w:val="21"/>
                <w:szCs w:val="21"/>
              </w:rPr>
            </w:pPr>
            <w:r>
              <w:rPr>
                <w:rFonts w:hint="eastAsia" w:ascii="宋体" w:hAnsi="宋体" w:cs="宋体"/>
                <w:sz w:val="21"/>
                <w:szCs w:val="21"/>
              </w:rPr>
              <w:t>系统功能</w:t>
            </w:r>
          </w:p>
        </w:tc>
        <w:tc>
          <w:tcPr>
            <w:tcW w:w="6596" w:type="dxa"/>
            <w:tcBorders>
              <w:top w:val="single" w:color="000000" w:sz="4" w:space="0"/>
              <w:left w:val="single" w:color="000000" w:sz="4" w:space="0"/>
              <w:bottom w:val="single" w:color="000000" w:sz="4" w:space="0"/>
              <w:right w:val="single" w:color="000000" w:sz="4" w:space="0"/>
            </w:tcBorders>
            <w:noWrap w:val="0"/>
            <w:vAlign w:val="center"/>
          </w:tcPr>
          <w:p w14:paraId="35C515D0">
            <w:pPr>
              <w:spacing w:line="24" w:lineRule="atLeast"/>
              <w:ind w:firstLine="525"/>
              <w:jc w:val="center"/>
              <w:textAlignment w:val="center"/>
              <w:rPr>
                <w:rFonts w:ascii="宋体" w:hAnsi="宋体"/>
                <w:bCs/>
                <w:spacing w:val="10"/>
                <w:kern w:val="0"/>
                <w:szCs w:val="21"/>
              </w:rPr>
            </w:pPr>
            <w:r>
              <w:rPr>
                <w:rFonts w:hint="eastAsia" w:ascii="宋体" w:hAnsi="宋体"/>
                <w:bCs/>
                <w:spacing w:val="10"/>
                <w:kern w:val="0"/>
                <w:szCs w:val="21"/>
              </w:rPr>
              <w:t>功能描述</w:t>
            </w:r>
          </w:p>
        </w:tc>
      </w:tr>
      <w:tr w14:paraId="277A4E73">
        <w:tblPrEx>
          <w:tblCellMar>
            <w:top w:w="0" w:type="dxa"/>
            <w:left w:w="108" w:type="dxa"/>
            <w:bottom w:w="0" w:type="dxa"/>
            <w:right w:w="108" w:type="dxa"/>
          </w:tblCellMar>
        </w:tblPrEx>
        <w:trPr>
          <w:trHeight w:val="652" w:hRule="atLeast"/>
          <w:jc w:val="center"/>
        </w:trPr>
        <w:tc>
          <w:tcPr>
            <w:tcW w:w="1331" w:type="dxa"/>
            <w:vMerge w:val="restart"/>
            <w:tcBorders>
              <w:top w:val="single" w:color="000000" w:sz="4" w:space="0"/>
              <w:left w:val="single" w:color="000000" w:sz="4" w:space="0"/>
              <w:bottom w:val="single" w:color="000000" w:sz="4" w:space="0"/>
              <w:right w:val="single" w:color="000000" w:sz="4" w:space="0"/>
            </w:tcBorders>
            <w:noWrap w:val="0"/>
            <w:vAlign w:val="center"/>
          </w:tcPr>
          <w:p w14:paraId="24322D68">
            <w:pPr>
              <w:spacing w:line="24" w:lineRule="atLeast"/>
              <w:jc w:val="left"/>
              <w:rPr>
                <w:rFonts w:ascii="宋体" w:hAnsi="宋体"/>
                <w:bCs/>
                <w:spacing w:val="10"/>
                <w:kern w:val="0"/>
                <w:szCs w:val="21"/>
              </w:rPr>
            </w:pPr>
            <w:r>
              <w:rPr>
                <w:rFonts w:hint="eastAsia" w:ascii="宋体" w:hAnsi="宋体"/>
                <w:bCs/>
                <w:spacing w:val="10"/>
                <w:kern w:val="0"/>
                <w:szCs w:val="21"/>
              </w:rPr>
              <w:t>▲临床用血安全监控系统</w:t>
            </w:r>
          </w:p>
        </w:tc>
        <w:tc>
          <w:tcPr>
            <w:tcW w:w="2032" w:type="dxa"/>
            <w:tcBorders>
              <w:top w:val="single" w:color="000000" w:sz="4" w:space="0"/>
              <w:left w:val="single" w:color="000000" w:sz="4" w:space="0"/>
              <w:bottom w:val="single" w:color="000000" w:sz="4" w:space="0"/>
              <w:right w:val="single" w:color="000000" w:sz="4" w:space="0"/>
            </w:tcBorders>
            <w:noWrap w:val="0"/>
            <w:vAlign w:val="center"/>
          </w:tcPr>
          <w:p w14:paraId="0D858F0B">
            <w:pPr>
              <w:spacing w:line="24" w:lineRule="atLeast"/>
              <w:ind w:firstLine="525"/>
              <w:jc w:val="left"/>
              <w:rPr>
                <w:rFonts w:ascii="宋体" w:hAnsi="宋体"/>
                <w:bCs/>
                <w:spacing w:val="10"/>
                <w:kern w:val="0"/>
                <w:szCs w:val="21"/>
              </w:rPr>
            </w:pPr>
            <w:r>
              <w:rPr>
                <w:rFonts w:hint="eastAsia" w:ascii="宋体" w:hAnsi="宋体"/>
                <w:bCs/>
                <w:spacing w:val="10"/>
                <w:kern w:val="0"/>
                <w:szCs w:val="21"/>
              </w:rPr>
              <w:t>实时监控</w:t>
            </w:r>
          </w:p>
        </w:tc>
        <w:tc>
          <w:tcPr>
            <w:tcW w:w="6596" w:type="dxa"/>
            <w:tcBorders>
              <w:top w:val="single" w:color="000000" w:sz="4" w:space="0"/>
              <w:left w:val="single" w:color="000000" w:sz="4" w:space="0"/>
              <w:bottom w:val="single" w:color="000000" w:sz="4" w:space="0"/>
              <w:right w:val="single" w:color="000000" w:sz="4" w:space="0"/>
            </w:tcBorders>
            <w:noWrap w:val="0"/>
            <w:vAlign w:val="center"/>
          </w:tcPr>
          <w:p w14:paraId="7E45C58F">
            <w:pPr>
              <w:spacing w:line="24" w:lineRule="atLeast"/>
              <w:ind w:firstLine="525"/>
              <w:jc w:val="left"/>
              <w:rPr>
                <w:rFonts w:ascii="宋体" w:hAnsi="宋体"/>
                <w:bCs/>
                <w:spacing w:val="10"/>
                <w:kern w:val="0"/>
                <w:szCs w:val="21"/>
              </w:rPr>
            </w:pPr>
            <w:r>
              <w:rPr>
                <w:rFonts w:hint="eastAsia" w:ascii="宋体" w:hAnsi="宋体"/>
                <w:bCs/>
                <w:spacing w:val="10"/>
                <w:kern w:val="0"/>
                <w:szCs w:val="21"/>
              </w:rPr>
              <w:t>实时库存统计，实时输血申请统计，已配待发统计，免配待发统计</w:t>
            </w:r>
          </w:p>
        </w:tc>
      </w:tr>
      <w:tr w14:paraId="2307C0EA">
        <w:tblPrEx>
          <w:tblCellMar>
            <w:top w:w="0" w:type="dxa"/>
            <w:left w:w="108" w:type="dxa"/>
            <w:bottom w:w="0" w:type="dxa"/>
            <w:right w:w="108" w:type="dxa"/>
          </w:tblCellMar>
        </w:tblPrEx>
        <w:trPr>
          <w:trHeight w:val="652" w:hRule="atLeast"/>
          <w:jc w:val="center"/>
        </w:trPr>
        <w:tc>
          <w:tcPr>
            <w:tcW w:w="1331" w:type="dxa"/>
            <w:vMerge w:val="continue"/>
            <w:tcBorders>
              <w:top w:val="single" w:color="000000" w:sz="4" w:space="0"/>
              <w:left w:val="single" w:color="000000" w:sz="4" w:space="0"/>
              <w:bottom w:val="single" w:color="000000" w:sz="4" w:space="0"/>
              <w:right w:val="single" w:color="000000" w:sz="4" w:space="0"/>
            </w:tcBorders>
            <w:noWrap w:val="0"/>
            <w:vAlign w:val="center"/>
          </w:tcPr>
          <w:p w14:paraId="13F7BBB5">
            <w:pPr>
              <w:spacing w:line="24" w:lineRule="atLeast"/>
              <w:ind w:firstLine="525"/>
              <w:jc w:val="left"/>
              <w:rPr>
                <w:rFonts w:ascii="宋体" w:hAnsi="宋体"/>
                <w:bCs/>
                <w:spacing w:val="10"/>
                <w:kern w:val="0"/>
                <w:szCs w:val="21"/>
              </w:rPr>
            </w:pPr>
          </w:p>
        </w:tc>
        <w:tc>
          <w:tcPr>
            <w:tcW w:w="2032" w:type="dxa"/>
            <w:tcBorders>
              <w:top w:val="single" w:color="000000" w:sz="4" w:space="0"/>
              <w:left w:val="single" w:color="000000" w:sz="4" w:space="0"/>
              <w:bottom w:val="single" w:color="000000" w:sz="4" w:space="0"/>
              <w:right w:val="single" w:color="000000" w:sz="4" w:space="0"/>
            </w:tcBorders>
            <w:noWrap w:val="0"/>
            <w:vAlign w:val="center"/>
          </w:tcPr>
          <w:p w14:paraId="2093973A">
            <w:pPr>
              <w:spacing w:line="24" w:lineRule="atLeast"/>
              <w:ind w:firstLine="525"/>
              <w:jc w:val="left"/>
              <w:rPr>
                <w:rFonts w:ascii="宋体" w:hAnsi="宋体"/>
                <w:bCs/>
                <w:spacing w:val="10"/>
                <w:kern w:val="0"/>
                <w:szCs w:val="21"/>
              </w:rPr>
            </w:pPr>
            <w:r>
              <w:rPr>
                <w:rFonts w:hint="eastAsia" w:ascii="宋体" w:hAnsi="宋体"/>
                <w:bCs/>
                <w:spacing w:val="10"/>
                <w:kern w:val="0"/>
                <w:szCs w:val="21"/>
              </w:rPr>
              <w:t>备血用血分析</w:t>
            </w:r>
          </w:p>
        </w:tc>
        <w:tc>
          <w:tcPr>
            <w:tcW w:w="6596" w:type="dxa"/>
            <w:tcBorders>
              <w:top w:val="single" w:color="000000" w:sz="4" w:space="0"/>
              <w:left w:val="single" w:color="000000" w:sz="4" w:space="0"/>
              <w:bottom w:val="single" w:color="000000" w:sz="4" w:space="0"/>
              <w:right w:val="single" w:color="000000" w:sz="4" w:space="0"/>
            </w:tcBorders>
            <w:noWrap w:val="0"/>
            <w:vAlign w:val="center"/>
          </w:tcPr>
          <w:p w14:paraId="082C952C">
            <w:pPr>
              <w:spacing w:line="24" w:lineRule="atLeast"/>
              <w:ind w:firstLine="525"/>
              <w:jc w:val="left"/>
              <w:rPr>
                <w:rFonts w:ascii="宋体" w:hAnsi="宋体"/>
                <w:bCs/>
                <w:spacing w:val="10"/>
                <w:kern w:val="0"/>
                <w:szCs w:val="21"/>
              </w:rPr>
            </w:pPr>
            <w:r>
              <w:rPr>
                <w:rFonts w:hint="eastAsia" w:ascii="宋体" w:hAnsi="宋体"/>
                <w:bCs/>
                <w:spacing w:val="10"/>
                <w:kern w:val="0"/>
                <w:szCs w:val="21"/>
              </w:rPr>
              <w:t>72小时手术备血统计，交接班信息，实施血液输注过程，血液过期提醒</w:t>
            </w:r>
          </w:p>
        </w:tc>
      </w:tr>
      <w:tr w14:paraId="486E80A5">
        <w:tblPrEx>
          <w:tblCellMar>
            <w:top w:w="0" w:type="dxa"/>
            <w:left w:w="108" w:type="dxa"/>
            <w:bottom w:w="0" w:type="dxa"/>
            <w:right w:w="108" w:type="dxa"/>
          </w:tblCellMar>
        </w:tblPrEx>
        <w:trPr>
          <w:trHeight w:val="621" w:hRule="atLeast"/>
          <w:jc w:val="center"/>
        </w:trPr>
        <w:tc>
          <w:tcPr>
            <w:tcW w:w="1331" w:type="dxa"/>
            <w:vMerge w:val="continue"/>
            <w:tcBorders>
              <w:top w:val="single" w:color="000000" w:sz="4" w:space="0"/>
              <w:left w:val="single" w:color="000000" w:sz="4" w:space="0"/>
              <w:bottom w:val="single" w:color="000000" w:sz="4" w:space="0"/>
              <w:right w:val="single" w:color="000000" w:sz="4" w:space="0"/>
            </w:tcBorders>
            <w:noWrap w:val="0"/>
            <w:vAlign w:val="center"/>
          </w:tcPr>
          <w:p w14:paraId="1DD6BEBD">
            <w:pPr>
              <w:spacing w:line="24" w:lineRule="atLeast"/>
              <w:ind w:firstLine="525"/>
              <w:jc w:val="left"/>
              <w:rPr>
                <w:rFonts w:ascii="宋体" w:hAnsi="宋体"/>
                <w:bCs/>
                <w:spacing w:val="10"/>
                <w:kern w:val="0"/>
                <w:szCs w:val="21"/>
              </w:rPr>
            </w:pPr>
          </w:p>
        </w:tc>
        <w:tc>
          <w:tcPr>
            <w:tcW w:w="2032" w:type="dxa"/>
            <w:tcBorders>
              <w:top w:val="single" w:color="000000" w:sz="4" w:space="0"/>
              <w:left w:val="single" w:color="000000" w:sz="4" w:space="0"/>
              <w:bottom w:val="single" w:color="000000" w:sz="4" w:space="0"/>
              <w:right w:val="single" w:color="000000" w:sz="4" w:space="0"/>
            </w:tcBorders>
            <w:noWrap w:val="0"/>
            <w:vAlign w:val="center"/>
          </w:tcPr>
          <w:p w14:paraId="6EFDA67E">
            <w:pPr>
              <w:spacing w:line="24" w:lineRule="atLeast"/>
              <w:ind w:firstLine="525"/>
              <w:jc w:val="left"/>
              <w:rPr>
                <w:rFonts w:ascii="宋体" w:hAnsi="宋体"/>
                <w:bCs/>
                <w:spacing w:val="10"/>
                <w:kern w:val="0"/>
                <w:szCs w:val="21"/>
              </w:rPr>
            </w:pPr>
            <w:r>
              <w:rPr>
                <w:rFonts w:hint="eastAsia" w:ascii="宋体" w:hAnsi="宋体"/>
                <w:bCs/>
                <w:spacing w:val="10"/>
                <w:kern w:val="0"/>
                <w:szCs w:val="21"/>
              </w:rPr>
              <w:t>科室用血分析</w:t>
            </w:r>
          </w:p>
        </w:tc>
        <w:tc>
          <w:tcPr>
            <w:tcW w:w="6596" w:type="dxa"/>
            <w:tcBorders>
              <w:top w:val="single" w:color="000000" w:sz="4" w:space="0"/>
              <w:left w:val="single" w:color="000000" w:sz="4" w:space="0"/>
              <w:bottom w:val="single" w:color="000000" w:sz="4" w:space="0"/>
              <w:right w:val="single" w:color="000000" w:sz="4" w:space="0"/>
            </w:tcBorders>
            <w:noWrap w:val="0"/>
            <w:vAlign w:val="center"/>
          </w:tcPr>
          <w:p w14:paraId="5C45F7CC">
            <w:pPr>
              <w:spacing w:line="24" w:lineRule="atLeast"/>
              <w:ind w:firstLine="525"/>
              <w:jc w:val="left"/>
              <w:rPr>
                <w:rFonts w:ascii="宋体" w:hAnsi="宋体"/>
                <w:bCs/>
                <w:spacing w:val="10"/>
                <w:kern w:val="0"/>
                <w:szCs w:val="21"/>
              </w:rPr>
            </w:pPr>
            <w:r>
              <w:rPr>
                <w:rFonts w:hint="eastAsia" w:ascii="宋体" w:hAnsi="宋体"/>
                <w:bCs/>
                <w:spacing w:val="10"/>
                <w:kern w:val="0"/>
                <w:szCs w:val="21"/>
              </w:rPr>
              <w:t>科室申请输血人次，科室用血人次，科室用血排名</w:t>
            </w:r>
          </w:p>
        </w:tc>
      </w:tr>
      <w:tr w14:paraId="1E8DF471">
        <w:tblPrEx>
          <w:tblCellMar>
            <w:top w:w="0" w:type="dxa"/>
            <w:left w:w="108" w:type="dxa"/>
            <w:bottom w:w="0" w:type="dxa"/>
            <w:right w:w="108" w:type="dxa"/>
          </w:tblCellMar>
        </w:tblPrEx>
        <w:trPr>
          <w:trHeight w:val="670" w:hRule="atLeast"/>
          <w:jc w:val="center"/>
        </w:trPr>
        <w:tc>
          <w:tcPr>
            <w:tcW w:w="1331" w:type="dxa"/>
            <w:vMerge w:val="continue"/>
            <w:tcBorders>
              <w:top w:val="single" w:color="000000" w:sz="4" w:space="0"/>
              <w:left w:val="single" w:color="000000" w:sz="4" w:space="0"/>
              <w:bottom w:val="single" w:color="000000" w:sz="4" w:space="0"/>
              <w:right w:val="single" w:color="000000" w:sz="4" w:space="0"/>
            </w:tcBorders>
            <w:noWrap w:val="0"/>
            <w:vAlign w:val="center"/>
          </w:tcPr>
          <w:p w14:paraId="4E434B6C">
            <w:pPr>
              <w:spacing w:line="24" w:lineRule="atLeast"/>
              <w:ind w:firstLine="525"/>
              <w:jc w:val="left"/>
              <w:rPr>
                <w:rFonts w:ascii="宋体" w:hAnsi="宋体"/>
                <w:bCs/>
                <w:spacing w:val="10"/>
                <w:kern w:val="0"/>
                <w:szCs w:val="21"/>
              </w:rPr>
            </w:pPr>
          </w:p>
        </w:tc>
        <w:tc>
          <w:tcPr>
            <w:tcW w:w="2032" w:type="dxa"/>
            <w:tcBorders>
              <w:top w:val="single" w:color="000000" w:sz="4" w:space="0"/>
              <w:left w:val="single" w:color="000000" w:sz="4" w:space="0"/>
              <w:bottom w:val="single" w:color="000000" w:sz="4" w:space="0"/>
              <w:right w:val="single" w:color="000000" w:sz="4" w:space="0"/>
            </w:tcBorders>
            <w:noWrap w:val="0"/>
            <w:vAlign w:val="center"/>
          </w:tcPr>
          <w:p w14:paraId="2A73B77E">
            <w:pPr>
              <w:pStyle w:val="56"/>
              <w:rPr>
                <w:rFonts w:ascii="宋体" w:hAnsi="宋体"/>
                <w:sz w:val="21"/>
                <w:szCs w:val="21"/>
              </w:rPr>
            </w:pPr>
            <w:r>
              <w:rPr>
                <w:rFonts w:hint="eastAsia" w:ascii="宋体" w:hAnsi="宋体"/>
                <w:sz w:val="21"/>
                <w:szCs w:val="21"/>
              </w:rPr>
              <w:t>其他业务实时追溯</w:t>
            </w:r>
          </w:p>
        </w:tc>
        <w:tc>
          <w:tcPr>
            <w:tcW w:w="6596" w:type="dxa"/>
            <w:tcBorders>
              <w:top w:val="single" w:color="000000" w:sz="4" w:space="0"/>
              <w:left w:val="single" w:color="000000" w:sz="4" w:space="0"/>
              <w:bottom w:val="single" w:color="000000" w:sz="4" w:space="0"/>
              <w:right w:val="single" w:color="000000" w:sz="4" w:space="0"/>
            </w:tcBorders>
            <w:noWrap w:val="0"/>
            <w:vAlign w:val="center"/>
          </w:tcPr>
          <w:p w14:paraId="09293DE7">
            <w:pPr>
              <w:pStyle w:val="56"/>
              <w:rPr>
                <w:rFonts w:ascii="宋体" w:hAnsi="宋体"/>
                <w:sz w:val="21"/>
                <w:szCs w:val="21"/>
              </w:rPr>
            </w:pPr>
            <w:r>
              <w:rPr>
                <w:rFonts w:hint="eastAsia" w:ascii="宋体" w:hAnsi="宋体"/>
                <w:sz w:val="21"/>
                <w:szCs w:val="21"/>
              </w:rPr>
              <w:t>血液过期提醒、已配待发、待发血液、血液特殊处理情况、退血情况、输注情况跟踪</w:t>
            </w:r>
          </w:p>
        </w:tc>
      </w:tr>
      <w:tr w14:paraId="59BDEEA6">
        <w:tblPrEx>
          <w:tblCellMar>
            <w:top w:w="0" w:type="dxa"/>
            <w:left w:w="108" w:type="dxa"/>
            <w:bottom w:w="0" w:type="dxa"/>
            <w:right w:w="108" w:type="dxa"/>
          </w:tblCellMar>
        </w:tblPrEx>
        <w:trPr>
          <w:trHeight w:val="632" w:hRule="atLeast"/>
          <w:jc w:val="center"/>
        </w:trPr>
        <w:tc>
          <w:tcPr>
            <w:tcW w:w="1331" w:type="dxa"/>
            <w:vMerge w:val="continue"/>
            <w:tcBorders>
              <w:top w:val="single" w:color="000000" w:sz="4" w:space="0"/>
              <w:left w:val="single" w:color="000000" w:sz="4" w:space="0"/>
              <w:bottom w:val="single" w:color="000000" w:sz="4" w:space="0"/>
              <w:right w:val="single" w:color="000000" w:sz="4" w:space="0"/>
            </w:tcBorders>
            <w:noWrap w:val="0"/>
            <w:vAlign w:val="center"/>
          </w:tcPr>
          <w:p w14:paraId="31E3003F">
            <w:pPr>
              <w:spacing w:line="24" w:lineRule="atLeast"/>
              <w:ind w:firstLine="525"/>
              <w:jc w:val="left"/>
              <w:rPr>
                <w:rFonts w:ascii="宋体" w:hAnsi="宋体"/>
                <w:bCs/>
                <w:spacing w:val="10"/>
                <w:kern w:val="0"/>
                <w:szCs w:val="21"/>
              </w:rPr>
            </w:pPr>
          </w:p>
        </w:tc>
        <w:tc>
          <w:tcPr>
            <w:tcW w:w="2032" w:type="dxa"/>
            <w:tcBorders>
              <w:top w:val="single" w:color="000000" w:sz="4" w:space="0"/>
              <w:left w:val="single" w:color="000000" w:sz="4" w:space="0"/>
              <w:bottom w:val="single" w:color="000000" w:sz="4" w:space="0"/>
              <w:right w:val="single" w:color="000000" w:sz="4" w:space="0"/>
            </w:tcBorders>
            <w:noWrap w:val="0"/>
            <w:vAlign w:val="center"/>
          </w:tcPr>
          <w:p w14:paraId="1FDA1225">
            <w:pPr>
              <w:spacing w:line="24" w:lineRule="atLeast"/>
              <w:ind w:firstLine="525"/>
              <w:jc w:val="left"/>
              <w:rPr>
                <w:rFonts w:ascii="宋体" w:hAnsi="宋体"/>
                <w:bCs/>
                <w:spacing w:val="10"/>
                <w:kern w:val="0"/>
                <w:szCs w:val="21"/>
              </w:rPr>
            </w:pPr>
            <w:r>
              <w:rPr>
                <w:rFonts w:hint="eastAsia" w:ascii="宋体" w:hAnsi="宋体"/>
                <w:bCs/>
                <w:spacing w:val="10"/>
                <w:kern w:val="0"/>
                <w:szCs w:val="21"/>
              </w:rPr>
              <w:t>用血大屏字幕播报</w:t>
            </w:r>
          </w:p>
        </w:tc>
        <w:tc>
          <w:tcPr>
            <w:tcW w:w="6596" w:type="dxa"/>
            <w:tcBorders>
              <w:top w:val="single" w:color="000000" w:sz="4" w:space="0"/>
              <w:left w:val="single" w:color="000000" w:sz="4" w:space="0"/>
              <w:bottom w:val="single" w:color="000000" w:sz="4" w:space="0"/>
              <w:right w:val="single" w:color="000000" w:sz="4" w:space="0"/>
            </w:tcBorders>
            <w:noWrap w:val="0"/>
            <w:vAlign w:val="center"/>
          </w:tcPr>
          <w:p w14:paraId="404E3DAF">
            <w:pPr>
              <w:spacing w:line="24" w:lineRule="atLeast"/>
              <w:ind w:firstLine="525"/>
              <w:jc w:val="left"/>
              <w:rPr>
                <w:rFonts w:ascii="宋体" w:hAnsi="宋体"/>
                <w:bCs/>
                <w:spacing w:val="10"/>
                <w:kern w:val="0"/>
                <w:szCs w:val="21"/>
              </w:rPr>
            </w:pPr>
            <w:r>
              <w:rPr>
                <w:rFonts w:hint="eastAsia" w:ascii="宋体" w:hAnsi="宋体"/>
                <w:bCs/>
                <w:spacing w:val="10"/>
                <w:kern w:val="0"/>
                <w:szCs w:val="21"/>
              </w:rPr>
              <w:t>实时字幕滚动，显示系统最新动态，紧急输血预警等</w:t>
            </w:r>
          </w:p>
        </w:tc>
      </w:tr>
    </w:tbl>
    <w:p w14:paraId="78322116">
      <w:pPr>
        <w:pStyle w:val="268"/>
        <w:spacing w:line="360" w:lineRule="auto"/>
        <w:ind w:firstLine="465"/>
        <w:rPr>
          <w:rFonts w:ascii="宋体" w:hAnsi="宋体" w:cs="宋体"/>
          <w:bCs/>
          <w:spacing w:val="10"/>
          <w:kern w:val="0"/>
          <w:sz w:val="21"/>
          <w:szCs w:val="21"/>
        </w:rPr>
      </w:pPr>
    </w:p>
    <w:p w14:paraId="234870E1">
      <w:pPr>
        <w:pStyle w:val="268"/>
        <w:spacing w:line="360" w:lineRule="auto"/>
        <w:ind w:firstLine="465"/>
        <w:rPr>
          <w:rFonts w:ascii="宋体" w:hAnsi="宋体" w:cs="宋体"/>
          <w:bCs/>
          <w:spacing w:val="10"/>
          <w:kern w:val="0"/>
          <w:sz w:val="21"/>
          <w:szCs w:val="21"/>
        </w:rPr>
      </w:pPr>
      <w:r>
        <w:rPr>
          <w:rFonts w:ascii="宋体" w:hAnsi="宋体" w:cs="宋体"/>
          <w:bCs/>
          <w:spacing w:val="10"/>
          <w:kern w:val="0"/>
          <w:sz w:val="21"/>
          <w:szCs w:val="21"/>
        </w:rPr>
        <w:t>6</w:t>
      </w:r>
      <w:r>
        <w:rPr>
          <w:rFonts w:hint="eastAsia" w:ascii="宋体" w:hAnsi="宋体" w:cs="宋体"/>
          <w:bCs/>
          <w:spacing w:val="10"/>
          <w:kern w:val="0"/>
          <w:sz w:val="21"/>
          <w:szCs w:val="21"/>
        </w:rPr>
        <w:t>、输血考试培训功能模块</w:t>
      </w:r>
    </w:p>
    <w:tbl>
      <w:tblPr>
        <w:tblStyle w:val="46"/>
        <w:tblW w:w="10039" w:type="dxa"/>
        <w:jc w:val="center"/>
        <w:tblLayout w:type="autofit"/>
        <w:tblCellMar>
          <w:top w:w="0" w:type="dxa"/>
          <w:left w:w="108" w:type="dxa"/>
          <w:bottom w:w="0" w:type="dxa"/>
          <w:right w:w="108" w:type="dxa"/>
        </w:tblCellMar>
      </w:tblPr>
      <w:tblGrid>
        <w:gridCol w:w="1342"/>
        <w:gridCol w:w="2049"/>
        <w:gridCol w:w="6648"/>
      </w:tblGrid>
      <w:tr w14:paraId="1F2E7A2E">
        <w:tblPrEx>
          <w:tblCellMar>
            <w:top w:w="0" w:type="dxa"/>
            <w:left w:w="108" w:type="dxa"/>
            <w:bottom w:w="0" w:type="dxa"/>
            <w:right w:w="108" w:type="dxa"/>
          </w:tblCellMar>
        </w:tblPrEx>
        <w:trPr>
          <w:trHeight w:val="505" w:hRule="atLeast"/>
          <w:jc w:val="center"/>
        </w:trPr>
        <w:tc>
          <w:tcPr>
            <w:tcW w:w="1342" w:type="dxa"/>
            <w:tcBorders>
              <w:top w:val="single" w:color="000000" w:sz="4" w:space="0"/>
              <w:left w:val="single" w:color="000000" w:sz="4" w:space="0"/>
              <w:bottom w:val="single" w:color="000000" w:sz="4" w:space="0"/>
              <w:right w:val="single" w:color="000000" w:sz="4" w:space="0"/>
            </w:tcBorders>
            <w:noWrap w:val="0"/>
            <w:vAlign w:val="center"/>
          </w:tcPr>
          <w:p w14:paraId="7EEC3A9D">
            <w:pPr>
              <w:pStyle w:val="56"/>
              <w:tabs>
                <w:tab w:val="left" w:pos="7740"/>
              </w:tabs>
              <w:spacing w:line="24" w:lineRule="atLeast"/>
              <w:jc w:val="center"/>
              <w:rPr>
                <w:rFonts w:ascii="宋体" w:hAnsi="宋体" w:cs="宋体"/>
                <w:sz w:val="21"/>
                <w:szCs w:val="21"/>
              </w:rPr>
            </w:pPr>
            <w:r>
              <w:rPr>
                <w:rFonts w:hint="eastAsia" w:ascii="宋体" w:hAnsi="宋体" w:cs="宋体"/>
                <w:sz w:val="21"/>
                <w:szCs w:val="21"/>
              </w:rPr>
              <w:t>子系统</w:t>
            </w:r>
          </w:p>
        </w:tc>
        <w:tc>
          <w:tcPr>
            <w:tcW w:w="2049" w:type="dxa"/>
            <w:tcBorders>
              <w:top w:val="single" w:color="000000" w:sz="4" w:space="0"/>
              <w:left w:val="single" w:color="000000" w:sz="4" w:space="0"/>
              <w:bottom w:val="single" w:color="000000" w:sz="4" w:space="0"/>
              <w:right w:val="single" w:color="000000" w:sz="4" w:space="0"/>
            </w:tcBorders>
            <w:noWrap w:val="0"/>
            <w:vAlign w:val="center"/>
          </w:tcPr>
          <w:p w14:paraId="1FAF304C">
            <w:pPr>
              <w:pStyle w:val="56"/>
              <w:tabs>
                <w:tab w:val="left" w:pos="7740"/>
              </w:tabs>
              <w:spacing w:line="24" w:lineRule="atLeast"/>
              <w:jc w:val="center"/>
              <w:rPr>
                <w:rFonts w:ascii="宋体" w:hAnsi="宋体" w:cs="宋体"/>
                <w:sz w:val="21"/>
                <w:szCs w:val="21"/>
              </w:rPr>
            </w:pPr>
            <w:r>
              <w:rPr>
                <w:rFonts w:hint="eastAsia" w:ascii="宋体" w:hAnsi="宋体" w:cs="宋体"/>
                <w:sz w:val="21"/>
                <w:szCs w:val="21"/>
              </w:rPr>
              <w:t>系统功能</w:t>
            </w:r>
          </w:p>
        </w:tc>
        <w:tc>
          <w:tcPr>
            <w:tcW w:w="6648" w:type="dxa"/>
            <w:tcBorders>
              <w:top w:val="single" w:color="000000" w:sz="4" w:space="0"/>
              <w:left w:val="single" w:color="000000" w:sz="4" w:space="0"/>
              <w:bottom w:val="single" w:color="000000" w:sz="4" w:space="0"/>
              <w:right w:val="single" w:color="000000" w:sz="4" w:space="0"/>
            </w:tcBorders>
            <w:noWrap w:val="0"/>
            <w:vAlign w:val="center"/>
          </w:tcPr>
          <w:p w14:paraId="44E28001">
            <w:pPr>
              <w:spacing w:line="24" w:lineRule="atLeast"/>
              <w:ind w:firstLine="525"/>
              <w:jc w:val="center"/>
              <w:textAlignment w:val="center"/>
              <w:rPr>
                <w:rFonts w:ascii="宋体" w:hAnsi="宋体"/>
                <w:bCs/>
                <w:spacing w:val="10"/>
                <w:kern w:val="0"/>
                <w:szCs w:val="21"/>
              </w:rPr>
            </w:pPr>
            <w:r>
              <w:rPr>
                <w:rFonts w:hint="eastAsia" w:ascii="宋体" w:hAnsi="宋体"/>
                <w:bCs/>
                <w:spacing w:val="10"/>
                <w:kern w:val="0"/>
                <w:szCs w:val="21"/>
              </w:rPr>
              <w:t>功能描述</w:t>
            </w:r>
          </w:p>
        </w:tc>
      </w:tr>
      <w:tr w14:paraId="6BAB14EE">
        <w:tblPrEx>
          <w:tblCellMar>
            <w:top w:w="0" w:type="dxa"/>
            <w:left w:w="108" w:type="dxa"/>
            <w:bottom w:w="0" w:type="dxa"/>
            <w:right w:w="108" w:type="dxa"/>
          </w:tblCellMar>
        </w:tblPrEx>
        <w:trPr>
          <w:trHeight w:val="743" w:hRule="atLeast"/>
          <w:jc w:val="center"/>
        </w:trPr>
        <w:tc>
          <w:tcPr>
            <w:tcW w:w="1342" w:type="dxa"/>
            <w:vMerge w:val="restart"/>
            <w:tcBorders>
              <w:top w:val="single" w:color="000000" w:sz="4" w:space="0"/>
              <w:left w:val="single" w:color="000000" w:sz="4" w:space="0"/>
              <w:bottom w:val="single" w:color="000000" w:sz="4" w:space="0"/>
              <w:right w:val="single" w:color="000000" w:sz="4" w:space="0"/>
            </w:tcBorders>
            <w:noWrap w:val="0"/>
            <w:vAlign w:val="center"/>
          </w:tcPr>
          <w:p w14:paraId="0E94DCF5">
            <w:pPr>
              <w:spacing w:line="24" w:lineRule="atLeast"/>
              <w:jc w:val="left"/>
              <w:rPr>
                <w:rFonts w:ascii="宋体" w:hAnsi="宋体"/>
                <w:bCs/>
                <w:spacing w:val="10"/>
                <w:kern w:val="0"/>
                <w:szCs w:val="21"/>
              </w:rPr>
            </w:pPr>
            <w:r>
              <w:rPr>
                <w:rFonts w:hint="eastAsia" w:ascii="宋体" w:hAnsi="宋体"/>
                <w:bCs/>
                <w:spacing w:val="10"/>
                <w:kern w:val="0"/>
                <w:szCs w:val="21"/>
              </w:rPr>
              <w:t>▲输血考试培训功能模块</w:t>
            </w:r>
          </w:p>
        </w:tc>
        <w:tc>
          <w:tcPr>
            <w:tcW w:w="2049" w:type="dxa"/>
            <w:tcBorders>
              <w:top w:val="single" w:color="000000" w:sz="4" w:space="0"/>
              <w:left w:val="single" w:color="000000" w:sz="4" w:space="0"/>
              <w:bottom w:val="single" w:color="000000" w:sz="4" w:space="0"/>
              <w:right w:val="single" w:color="000000" w:sz="4" w:space="0"/>
            </w:tcBorders>
            <w:noWrap w:val="0"/>
            <w:vAlign w:val="center"/>
          </w:tcPr>
          <w:p w14:paraId="132A132D">
            <w:pPr>
              <w:spacing w:line="24" w:lineRule="atLeast"/>
              <w:ind w:firstLine="485"/>
              <w:jc w:val="left"/>
              <w:rPr>
                <w:rFonts w:ascii="宋体" w:hAnsi="宋体"/>
                <w:bCs/>
                <w:spacing w:val="10"/>
                <w:kern w:val="0"/>
                <w:szCs w:val="21"/>
              </w:rPr>
            </w:pPr>
            <w:r>
              <w:rPr>
                <w:rFonts w:hint="eastAsia" w:ascii="宋体" w:hAnsi="宋体"/>
                <w:szCs w:val="21"/>
              </w:rPr>
              <w:t>考试测验</w:t>
            </w:r>
          </w:p>
        </w:tc>
        <w:tc>
          <w:tcPr>
            <w:tcW w:w="6648" w:type="dxa"/>
            <w:tcBorders>
              <w:top w:val="single" w:color="000000" w:sz="4" w:space="0"/>
              <w:left w:val="single" w:color="000000" w:sz="4" w:space="0"/>
              <w:bottom w:val="single" w:color="000000" w:sz="4" w:space="0"/>
              <w:right w:val="single" w:color="000000" w:sz="4" w:space="0"/>
            </w:tcBorders>
            <w:noWrap w:val="0"/>
            <w:vAlign w:val="center"/>
          </w:tcPr>
          <w:p w14:paraId="603F45CA">
            <w:pPr>
              <w:ind w:left="400" w:firstLine="485"/>
              <w:rPr>
                <w:rFonts w:ascii="宋体" w:hAnsi="宋体"/>
                <w:szCs w:val="21"/>
              </w:rPr>
            </w:pPr>
            <w:r>
              <w:rPr>
                <w:rFonts w:hint="eastAsia" w:ascii="宋体" w:hAnsi="宋体"/>
                <w:szCs w:val="21"/>
              </w:rPr>
              <w:t>医务科或输血科发起，提供给医护人员进行输血相关知识的定期考核。</w:t>
            </w:r>
          </w:p>
        </w:tc>
      </w:tr>
      <w:tr w14:paraId="200474CC">
        <w:tblPrEx>
          <w:tblCellMar>
            <w:top w:w="0" w:type="dxa"/>
            <w:left w:w="108" w:type="dxa"/>
            <w:bottom w:w="0" w:type="dxa"/>
            <w:right w:w="108" w:type="dxa"/>
          </w:tblCellMar>
        </w:tblPrEx>
        <w:trPr>
          <w:trHeight w:val="743" w:hRule="atLeast"/>
          <w:jc w:val="center"/>
        </w:trPr>
        <w:tc>
          <w:tcPr>
            <w:tcW w:w="1342" w:type="dxa"/>
            <w:vMerge w:val="continue"/>
            <w:tcBorders>
              <w:top w:val="single" w:color="000000" w:sz="4" w:space="0"/>
              <w:left w:val="single" w:color="000000" w:sz="4" w:space="0"/>
              <w:bottom w:val="single" w:color="000000" w:sz="4" w:space="0"/>
              <w:right w:val="single" w:color="000000" w:sz="4" w:space="0"/>
            </w:tcBorders>
            <w:noWrap w:val="0"/>
            <w:vAlign w:val="center"/>
          </w:tcPr>
          <w:p w14:paraId="5975D941">
            <w:pPr>
              <w:spacing w:line="24" w:lineRule="atLeast"/>
              <w:ind w:firstLine="525"/>
              <w:jc w:val="left"/>
              <w:rPr>
                <w:rFonts w:ascii="宋体" w:hAnsi="宋体"/>
                <w:bCs/>
                <w:spacing w:val="10"/>
                <w:kern w:val="0"/>
                <w:szCs w:val="21"/>
              </w:rPr>
            </w:pPr>
          </w:p>
        </w:tc>
        <w:tc>
          <w:tcPr>
            <w:tcW w:w="2049" w:type="dxa"/>
            <w:tcBorders>
              <w:top w:val="single" w:color="000000" w:sz="4" w:space="0"/>
              <w:left w:val="single" w:color="000000" w:sz="4" w:space="0"/>
              <w:bottom w:val="single" w:color="000000" w:sz="4" w:space="0"/>
              <w:right w:val="single" w:color="000000" w:sz="4" w:space="0"/>
            </w:tcBorders>
            <w:noWrap w:val="0"/>
            <w:vAlign w:val="center"/>
          </w:tcPr>
          <w:p w14:paraId="3E1960C4">
            <w:pPr>
              <w:spacing w:line="24" w:lineRule="atLeast"/>
              <w:ind w:firstLine="485"/>
              <w:jc w:val="left"/>
              <w:rPr>
                <w:rFonts w:ascii="宋体" w:hAnsi="宋体"/>
                <w:bCs/>
                <w:spacing w:val="10"/>
                <w:kern w:val="0"/>
                <w:szCs w:val="21"/>
              </w:rPr>
            </w:pPr>
            <w:r>
              <w:rPr>
                <w:rFonts w:hint="eastAsia" w:ascii="宋体" w:hAnsi="宋体"/>
                <w:szCs w:val="21"/>
              </w:rPr>
              <w:t>试题管理</w:t>
            </w:r>
          </w:p>
        </w:tc>
        <w:tc>
          <w:tcPr>
            <w:tcW w:w="6648" w:type="dxa"/>
            <w:tcBorders>
              <w:top w:val="single" w:color="000000" w:sz="4" w:space="0"/>
              <w:left w:val="single" w:color="000000" w:sz="4" w:space="0"/>
              <w:bottom w:val="single" w:color="000000" w:sz="4" w:space="0"/>
              <w:right w:val="single" w:color="000000" w:sz="4" w:space="0"/>
            </w:tcBorders>
            <w:noWrap w:val="0"/>
            <w:vAlign w:val="center"/>
          </w:tcPr>
          <w:p w14:paraId="6B8E0FA0">
            <w:pPr>
              <w:ind w:left="400"/>
              <w:rPr>
                <w:rFonts w:ascii="宋体" w:hAnsi="宋体"/>
                <w:szCs w:val="21"/>
              </w:rPr>
            </w:pPr>
            <w:r>
              <w:rPr>
                <w:rFonts w:hint="eastAsia" w:ascii="宋体" w:hAnsi="宋体"/>
                <w:szCs w:val="21"/>
              </w:rPr>
              <w:t>内置一千道以上，输血相关的题目，单选，多选，判断等题型丰富。</w:t>
            </w:r>
          </w:p>
        </w:tc>
      </w:tr>
      <w:tr w14:paraId="4D13EC5C">
        <w:tblPrEx>
          <w:tblCellMar>
            <w:top w:w="0" w:type="dxa"/>
            <w:left w:w="108" w:type="dxa"/>
            <w:bottom w:w="0" w:type="dxa"/>
            <w:right w:w="108" w:type="dxa"/>
          </w:tblCellMar>
        </w:tblPrEx>
        <w:trPr>
          <w:trHeight w:val="628" w:hRule="atLeast"/>
          <w:jc w:val="center"/>
        </w:trPr>
        <w:tc>
          <w:tcPr>
            <w:tcW w:w="1342" w:type="dxa"/>
            <w:vMerge w:val="continue"/>
            <w:tcBorders>
              <w:top w:val="single" w:color="000000" w:sz="4" w:space="0"/>
              <w:left w:val="single" w:color="000000" w:sz="4" w:space="0"/>
              <w:bottom w:val="single" w:color="000000" w:sz="4" w:space="0"/>
              <w:right w:val="single" w:color="000000" w:sz="4" w:space="0"/>
            </w:tcBorders>
            <w:noWrap w:val="0"/>
            <w:vAlign w:val="center"/>
          </w:tcPr>
          <w:p w14:paraId="16EB6995">
            <w:pPr>
              <w:spacing w:line="24" w:lineRule="atLeast"/>
              <w:ind w:firstLine="525"/>
              <w:jc w:val="left"/>
              <w:rPr>
                <w:rFonts w:ascii="宋体" w:hAnsi="宋体"/>
                <w:bCs/>
                <w:spacing w:val="10"/>
                <w:kern w:val="0"/>
                <w:szCs w:val="21"/>
              </w:rPr>
            </w:pPr>
          </w:p>
        </w:tc>
        <w:tc>
          <w:tcPr>
            <w:tcW w:w="2049" w:type="dxa"/>
            <w:tcBorders>
              <w:top w:val="single" w:color="000000" w:sz="4" w:space="0"/>
              <w:left w:val="single" w:color="000000" w:sz="4" w:space="0"/>
              <w:bottom w:val="single" w:color="000000" w:sz="4" w:space="0"/>
              <w:right w:val="single" w:color="000000" w:sz="4" w:space="0"/>
            </w:tcBorders>
            <w:noWrap w:val="0"/>
            <w:vAlign w:val="center"/>
          </w:tcPr>
          <w:p w14:paraId="516726F0">
            <w:pPr>
              <w:spacing w:line="24" w:lineRule="atLeast"/>
              <w:ind w:firstLine="485"/>
              <w:jc w:val="left"/>
              <w:rPr>
                <w:rFonts w:ascii="宋体" w:hAnsi="宋体"/>
                <w:bCs/>
                <w:spacing w:val="10"/>
                <w:kern w:val="0"/>
                <w:szCs w:val="21"/>
              </w:rPr>
            </w:pPr>
            <w:r>
              <w:rPr>
                <w:rFonts w:hint="eastAsia" w:ascii="宋体" w:hAnsi="宋体"/>
                <w:szCs w:val="21"/>
              </w:rPr>
              <w:t>试卷管理</w:t>
            </w:r>
          </w:p>
        </w:tc>
        <w:tc>
          <w:tcPr>
            <w:tcW w:w="6648" w:type="dxa"/>
            <w:tcBorders>
              <w:top w:val="single" w:color="000000" w:sz="4" w:space="0"/>
              <w:left w:val="single" w:color="000000" w:sz="4" w:space="0"/>
              <w:bottom w:val="single" w:color="000000" w:sz="4" w:space="0"/>
              <w:right w:val="single" w:color="000000" w:sz="4" w:space="0"/>
            </w:tcBorders>
            <w:noWrap w:val="0"/>
            <w:vAlign w:val="center"/>
          </w:tcPr>
          <w:p w14:paraId="1D48C931">
            <w:pPr>
              <w:spacing w:line="24" w:lineRule="atLeast"/>
              <w:ind w:firstLine="485"/>
              <w:jc w:val="left"/>
              <w:rPr>
                <w:rFonts w:ascii="宋体" w:hAnsi="宋体"/>
                <w:bCs/>
                <w:spacing w:val="10"/>
                <w:kern w:val="0"/>
                <w:szCs w:val="21"/>
              </w:rPr>
            </w:pPr>
            <w:r>
              <w:rPr>
                <w:rFonts w:hint="eastAsia" w:ascii="宋体" w:hAnsi="宋体"/>
                <w:szCs w:val="21"/>
              </w:rPr>
              <w:t>内置考试试卷，可以进行新增，修改。可按业务不同配置不同的试卷</w:t>
            </w:r>
          </w:p>
        </w:tc>
      </w:tr>
      <w:tr w14:paraId="37C13E73">
        <w:tblPrEx>
          <w:tblCellMar>
            <w:top w:w="0" w:type="dxa"/>
            <w:left w:w="108" w:type="dxa"/>
            <w:bottom w:w="0" w:type="dxa"/>
            <w:right w:w="108" w:type="dxa"/>
          </w:tblCellMar>
        </w:tblPrEx>
        <w:trPr>
          <w:trHeight w:val="604" w:hRule="atLeast"/>
          <w:jc w:val="center"/>
        </w:trPr>
        <w:tc>
          <w:tcPr>
            <w:tcW w:w="1342" w:type="dxa"/>
            <w:vMerge w:val="continue"/>
            <w:tcBorders>
              <w:top w:val="single" w:color="000000" w:sz="4" w:space="0"/>
              <w:left w:val="single" w:color="000000" w:sz="4" w:space="0"/>
              <w:bottom w:val="single" w:color="000000" w:sz="4" w:space="0"/>
              <w:right w:val="single" w:color="000000" w:sz="4" w:space="0"/>
            </w:tcBorders>
            <w:noWrap w:val="0"/>
            <w:vAlign w:val="center"/>
          </w:tcPr>
          <w:p w14:paraId="4BDCBA99">
            <w:pPr>
              <w:spacing w:line="24" w:lineRule="atLeast"/>
              <w:ind w:firstLine="525"/>
              <w:jc w:val="left"/>
              <w:rPr>
                <w:rFonts w:ascii="宋体" w:hAnsi="宋体"/>
                <w:bCs/>
                <w:spacing w:val="10"/>
                <w:kern w:val="0"/>
                <w:szCs w:val="21"/>
              </w:rPr>
            </w:pPr>
          </w:p>
        </w:tc>
        <w:tc>
          <w:tcPr>
            <w:tcW w:w="2049" w:type="dxa"/>
            <w:tcBorders>
              <w:top w:val="single" w:color="000000" w:sz="4" w:space="0"/>
              <w:left w:val="single" w:color="000000" w:sz="4" w:space="0"/>
              <w:bottom w:val="single" w:color="000000" w:sz="4" w:space="0"/>
              <w:right w:val="single" w:color="000000" w:sz="4" w:space="0"/>
            </w:tcBorders>
            <w:noWrap w:val="0"/>
            <w:vAlign w:val="center"/>
          </w:tcPr>
          <w:p w14:paraId="2F64C924">
            <w:pPr>
              <w:pStyle w:val="56"/>
              <w:rPr>
                <w:rFonts w:ascii="宋体" w:hAnsi="宋体"/>
                <w:sz w:val="21"/>
                <w:szCs w:val="21"/>
              </w:rPr>
            </w:pPr>
            <w:r>
              <w:rPr>
                <w:rFonts w:hint="eastAsia" w:ascii="宋体" w:hAnsi="宋体"/>
                <w:sz w:val="21"/>
                <w:szCs w:val="21"/>
              </w:rPr>
              <w:t>题库管理</w:t>
            </w:r>
          </w:p>
        </w:tc>
        <w:tc>
          <w:tcPr>
            <w:tcW w:w="6648" w:type="dxa"/>
            <w:tcBorders>
              <w:top w:val="single" w:color="000000" w:sz="4" w:space="0"/>
              <w:left w:val="single" w:color="000000" w:sz="4" w:space="0"/>
              <w:bottom w:val="single" w:color="000000" w:sz="4" w:space="0"/>
              <w:right w:val="single" w:color="000000" w:sz="4" w:space="0"/>
            </w:tcBorders>
            <w:noWrap w:val="0"/>
            <w:vAlign w:val="center"/>
          </w:tcPr>
          <w:p w14:paraId="4E6D2973">
            <w:pPr>
              <w:pStyle w:val="56"/>
              <w:rPr>
                <w:rFonts w:ascii="宋体" w:hAnsi="宋体"/>
                <w:sz w:val="21"/>
                <w:szCs w:val="21"/>
              </w:rPr>
            </w:pPr>
            <w:r>
              <w:rPr>
                <w:rFonts w:hint="eastAsia" w:ascii="宋体" w:hAnsi="宋体"/>
                <w:sz w:val="21"/>
                <w:szCs w:val="21"/>
              </w:rPr>
              <w:t>按业务类型，题目类型对题目进行分库管理</w:t>
            </w:r>
          </w:p>
        </w:tc>
      </w:tr>
      <w:tr w14:paraId="5E091CC4">
        <w:tblPrEx>
          <w:tblCellMar>
            <w:top w:w="0" w:type="dxa"/>
            <w:left w:w="108" w:type="dxa"/>
            <w:bottom w:w="0" w:type="dxa"/>
            <w:right w:w="108" w:type="dxa"/>
          </w:tblCellMar>
        </w:tblPrEx>
        <w:trPr>
          <w:trHeight w:val="638" w:hRule="atLeast"/>
          <w:jc w:val="center"/>
        </w:trPr>
        <w:tc>
          <w:tcPr>
            <w:tcW w:w="1342" w:type="dxa"/>
            <w:vMerge w:val="continue"/>
            <w:tcBorders>
              <w:top w:val="single" w:color="000000" w:sz="4" w:space="0"/>
              <w:left w:val="single" w:color="000000" w:sz="4" w:space="0"/>
              <w:bottom w:val="single" w:color="000000" w:sz="4" w:space="0"/>
              <w:right w:val="single" w:color="000000" w:sz="4" w:space="0"/>
            </w:tcBorders>
            <w:noWrap w:val="0"/>
            <w:vAlign w:val="center"/>
          </w:tcPr>
          <w:p w14:paraId="2E6DF636">
            <w:pPr>
              <w:spacing w:line="24" w:lineRule="atLeast"/>
              <w:ind w:firstLine="525"/>
              <w:jc w:val="left"/>
              <w:rPr>
                <w:rFonts w:ascii="宋体" w:hAnsi="宋体"/>
                <w:bCs/>
                <w:spacing w:val="10"/>
                <w:kern w:val="0"/>
                <w:szCs w:val="21"/>
              </w:rPr>
            </w:pPr>
          </w:p>
        </w:tc>
        <w:tc>
          <w:tcPr>
            <w:tcW w:w="2049" w:type="dxa"/>
            <w:tcBorders>
              <w:top w:val="single" w:color="000000" w:sz="4" w:space="0"/>
              <w:left w:val="single" w:color="000000" w:sz="4" w:space="0"/>
              <w:bottom w:val="single" w:color="000000" w:sz="4" w:space="0"/>
              <w:right w:val="single" w:color="000000" w:sz="4" w:space="0"/>
            </w:tcBorders>
            <w:noWrap w:val="0"/>
            <w:vAlign w:val="center"/>
          </w:tcPr>
          <w:p w14:paraId="21700499">
            <w:pPr>
              <w:spacing w:line="24" w:lineRule="atLeast"/>
              <w:ind w:firstLine="485"/>
              <w:jc w:val="left"/>
              <w:rPr>
                <w:rFonts w:ascii="宋体" w:hAnsi="宋体"/>
                <w:bCs/>
                <w:spacing w:val="10"/>
                <w:kern w:val="0"/>
                <w:szCs w:val="21"/>
              </w:rPr>
            </w:pPr>
            <w:r>
              <w:rPr>
                <w:rFonts w:hint="eastAsia" w:ascii="宋体" w:hAnsi="宋体"/>
                <w:szCs w:val="21"/>
              </w:rPr>
              <w:t>考试管理</w:t>
            </w:r>
          </w:p>
        </w:tc>
        <w:tc>
          <w:tcPr>
            <w:tcW w:w="6648" w:type="dxa"/>
            <w:tcBorders>
              <w:top w:val="single" w:color="000000" w:sz="4" w:space="0"/>
              <w:left w:val="single" w:color="000000" w:sz="4" w:space="0"/>
              <w:bottom w:val="single" w:color="000000" w:sz="4" w:space="0"/>
              <w:right w:val="single" w:color="000000" w:sz="4" w:space="0"/>
            </w:tcBorders>
            <w:noWrap w:val="0"/>
            <w:vAlign w:val="center"/>
          </w:tcPr>
          <w:p w14:paraId="7F2343E5">
            <w:pPr>
              <w:spacing w:line="24" w:lineRule="atLeast"/>
              <w:ind w:firstLine="485"/>
              <w:jc w:val="left"/>
              <w:rPr>
                <w:rFonts w:ascii="宋体" w:hAnsi="宋体"/>
                <w:bCs/>
                <w:spacing w:val="10"/>
                <w:kern w:val="0"/>
                <w:szCs w:val="21"/>
              </w:rPr>
            </w:pPr>
            <w:r>
              <w:rPr>
                <w:rFonts w:hint="eastAsia" w:ascii="宋体" w:hAnsi="宋体"/>
                <w:szCs w:val="21"/>
              </w:rPr>
              <w:t>输血科选取试卷，设置考试范围，考试安排等。并对考试结果进行审核，发布考试结果</w:t>
            </w:r>
          </w:p>
        </w:tc>
      </w:tr>
    </w:tbl>
    <w:p w14:paraId="1ED8ACE0">
      <w:pPr>
        <w:pStyle w:val="268"/>
        <w:spacing w:line="360" w:lineRule="auto"/>
        <w:ind w:firstLine="465"/>
        <w:rPr>
          <w:rFonts w:ascii="宋体" w:hAnsi="宋体" w:cs="宋体"/>
          <w:bCs/>
          <w:spacing w:val="10"/>
          <w:kern w:val="0"/>
          <w:sz w:val="21"/>
          <w:szCs w:val="21"/>
        </w:rPr>
      </w:pPr>
      <w:r>
        <w:rPr>
          <w:rFonts w:ascii="宋体" w:hAnsi="宋体" w:cs="宋体"/>
          <w:bCs/>
          <w:spacing w:val="10"/>
          <w:kern w:val="0"/>
          <w:sz w:val="21"/>
          <w:szCs w:val="21"/>
        </w:rPr>
        <w:t>7</w:t>
      </w:r>
      <w:r>
        <w:rPr>
          <w:rFonts w:hint="eastAsia" w:ascii="宋体" w:hAnsi="宋体" w:cs="宋体"/>
          <w:bCs/>
          <w:spacing w:val="10"/>
          <w:kern w:val="0"/>
          <w:sz w:val="21"/>
          <w:szCs w:val="21"/>
        </w:rPr>
        <w:t>、智能语音通知取血模块</w:t>
      </w:r>
    </w:p>
    <w:tbl>
      <w:tblPr>
        <w:tblStyle w:val="46"/>
        <w:tblW w:w="10058" w:type="dxa"/>
        <w:jc w:val="center"/>
        <w:tblLayout w:type="autofit"/>
        <w:tblCellMar>
          <w:top w:w="0" w:type="dxa"/>
          <w:left w:w="108" w:type="dxa"/>
          <w:bottom w:w="0" w:type="dxa"/>
          <w:right w:w="108" w:type="dxa"/>
        </w:tblCellMar>
      </w:tblPr>
      <w:tblGrid>
        <w:gridCol w:w="1344"/>
        <w:gridCol w:w="2053"/>
        <w:gridCol w:w="6661"/>
      </w:tblGrid>
      <w:tr w14:paraId="078FB4D8">
        <w:tblPrEx>
          <w:tblCellMar>
            <w:top w:w="0" w:type="dxa"/>
            <w:left w:w="108" w:type="dxa"/>
            <w:bottom w:w="0" w:type="dxa"/>
            <w:right w:w="108" w:type="dxa"/>
          </w:tblCellMar>
        </w:tblPrEx>
        <w:trPr>
          <w:trHeight w:val="477" w:hRule="atLeast"/>
          <w:jc w:val="center"/>
        </w:trPr>
        <w:tc>
          <w:tcPr>
            <w:tcW w:w="1344" w:type="dxa"/>
            <w:tcBorders>
              <w:top w:val="single" w:color="000000" w:sz="4" w:space="0"/>
              <w:left w:val="single" w:color="000000" w:sz="4" w:space="0"/>
              <w:bottom w:val="single" w:color="000000" w:sz="4" w:space="0"/>
              <w:right w:val="single" w:color="000000" w:sz="4" w:space="0"/>
            </w:tcBorders>
            <w:noWrap w:val="0"/>
            <w:vAlign w:val="center"/>
          </w:tcPr>
          <w:p w14:paraId="24CC0BAC">
            <w:pPr>
              <w:pStyle w:val="56"/>
              <w:tabs>
                <w:tab w:val="left" w:pos="7740"/>
              </w:tabs>
              <w:spacing w:line="24" w:lineRule="atLeast"/>
              <w:jc w:val="center"/>
              <w:rPr>
                <w:rFonts w:ascii="宋体" w:hAnsi="宋体" w:cs="宋体"/>
                <w:sz w:val="21"/>
                <w:szCs w:val="21"/>
              </w:rPr>
            </w:pPr>
            <w:r>
              <w:rPr>
                <w:rFonts w:hint="eastAsia" w:ascii="宋体" w:hAnsi="宋体" w:cs="宋体"/>
                <w:sz w:val="21"/>
                <w:szCs w:val="21"/>
              </w:rPr>
              <w:t>子系统</w:t>
            </w:r>
          </w:p>
        </w:tc>
        <w:tc>
          <w:tcPr>
            <w:tcW w:w="2053" w:type="dxa"/>
            <w:tcBorders>
              <w:top w:val="single" w:color="000000" w:sz="4" w:space="0"/>
              <w:left w:val="single" w:color="000000" w:sz="4" w:space="0"/>
              <w:bottom w:val="single" w:color="000000" w:sz="4" w:space="0"/>
              <w:right w:val="single" w:color="000000" w:sz="4" w:space="0"/>
            </w:tcBorders>
            <w:noWrap w:val="0"/>
            <w:vAlign w:val="center"/>
          </w:tcPr>
          <w:p w14:paraId="39355A8F">
            <w:pPr>
              <w:pStyle w:val="56"/>
              <w:tabs>
                <w:tab w:val="left" w:pos="7740"/>
              </w:tabs>
              <w:spacing w:line="24" w:lineRule="atLeast"/>
              <w:jc w:val="center"/>
              <w:rPr>
                <w:rFonts w:ascii="宋体" w:hAnsi="宋体" w:cs="宋体"/>
                <w:sz w:val="21"/>
                <w:szCs w:val="21"/>
              </w:rPr>
            </w:pPr>
            <w:r>
              <w:rPr>
                <w:rFonts w:hint="eastAsia" w:ascii="宋体" w:hAnsi="宋体" w:cs="宋体"/>
                <w:sz w:val="21"/>
                <w:szCs w:val="21"/>
              </w:rPr>
              <w:t>系统功能</w:t>
            </w:r>
          </w:p>
        </w:tc>
        <w:tc>
          <w:tcPr>
            <w:tcW w:w="6661" w:type="dxa"/>
            <w:tcBorders>
              <w:top w:val="single" w:color="000000" w:sz="4" w:space="0"/>
              <w:left w:val="single" w:color="000000" w:sz="4" w:space="0"/>
              <w:bottom w:val="single" w:color="000000" w:sz="4" w:space="0"/>
              <w:right w:val="single" w:color="000000" w:sz="4" w:space="0"/>
            </w:tcBorders>
            <w:noWrap w:val="0"/>
            <w:vAlign w:val="center"/>
          </w:tcPr>
          <w:p w14:paraId="1C144372">
            <w:pPr>
              <w:spacing w:line="24" w:lineRule="atLeast"/>
              <w:ind w:firstLine="525"/>
              <w:jc w:val="center"/>
              <w:textAlignment w:val="center"/>
              <w:rPr>
                <w:rFonts w:ascii="宋体" w:hAnsi="宋体"/>
                <w:bCs/>
                <w:spacing w:val="10"/>
                <w:kern w:val="0"/>
                <w:szCs w:val="21"/>
              </w:rPr>
            </w:pPr>
            <w:r>
              <w:rPr>
                <w:rFonts w:hint="eastAsia" w:ascii="宋体" w:hAnsi="宋体"/>
                <w:bCs/>
                <w:spacing w:val="10"/>
                <w:kern w:val="0"/>
                <w:szCs w:val="21"/>
              </w:rPr>
              <w:t>功能描述</w:t>
            </w:r>
          </w:p>
        </w:tc>
      </w:tr>
      <w:tr w14:paraId="53394AA4">
        <w:tblPrEx>
          <w:tblCellMar>
            <w:top w:w="0" w:type="dxa"/>
            <w:left w:w="108" w:type="dxa"/>
            <w:bottom w:w="0" w:type="dxa"/>
            <w:right w:w="108" w:type="dxa"/>
          </w:tblCellMar>
        </w:tblPrEx>
        <w:trPr>
          <w:trHeight w:val="1177" w:hRule="atLeast"/>
          <w:jc w:val="center"/>
        </w:trPr>
        <w:tc>
          <w:tcPr>
            <w:tcW w:w="1344" w:type="dxa"/>
            <w:vMerge w:val="restart"/>
            <w:tcBorders>
              <w:top w:val="single" w:color="000000" w:sz="4" w:space="0"/>
              <w:left w:val="single" w:color="000000" w:sz="4" w:space="0"/>
              <w:bottom w:val="single" w:color="000000" w:sz="4" w:space="0"/>
              <w:right w:val="single" w:color="000000" w:sz="4" w:space="0"/>
            </w:tcBorders>
            <w:noWrap w:val="0"/>
            <w:vAlign w:val="center"/>
          </w:tcPr>
          <w:p w14:paraId="710BFF6D">
            <w:pPr>
              <w:spacing w:line="24" w:lineRule="atLeast"/>
              <w:jc w:val="left"/>
              <w:rPr>
                <w:rFonts w:ascii="宋体" w:hAnsi="宋体"/>
                <w:bCs/>
                <w:spacing w:val="10"/>
                <w:kern w:val="0"/>
                <w:szCs w:val="21"/>
              </w:rPr>
            </w:pPr>
            <w:r>
              <w:rPr>
                <w:rFonts w:hint="eastAsia" w:ascii="宋体" w:hAnsi="宋体"/>
                <w:bCs/>
                <w:spacing w:val="10"/>
                <w:kern w:val="0"/>
                <w:szCs w:val="21"/>
              </w:rPr>
              <w:t>▲智能语音通知取血模块</w:t>
            </w:r>
          </w:p>
        </w:tc>
        <w:tc>
          <w:tcPr>
            <w:tcW w:w="2053" w:type="dxa"/>
            <w:tcBorders>
              <w:top w:val="single" w:color="000000" w:sz="4" w:space="0"/>
              <w:left w:val="single" w:color="000000" w:sz="4" w:space="0"/>
              <w:bottom w:val="single" w:color="000000" w:sz="4" w:space="0"/>
              <w:right w:val="single" w:color="000000" w:sz="4" w:space="0"/>
            </w:tcBorders>
            <w:noWrap w:val="0"/>
            <w:vAlign w:val="center"/>
          </w:tcPr>
          <w:p w14:paraId="74A3C456">
            <w:pPr>
              <w:spacing w:line="24" w:lineRule="atLeast"/>
              <w:jc w:val="left"/>
              <w:rPr>
                <w:rFonts w:ascii="宋体" w:hAnsi="宋体"/>
                <w:bCs/>
                <w:spacing w:val="10"/>
                <w:kern w:val="0"/>
                <w:szCs w:val="21"/>
              </w:rPr>
            </w:pPr>
            <w:r>
              <w:rPr>
                <w:rFonts w:hint="eastAsia" w:ascii="宋体" w:hAnsi="宋体"/>
                <w:bCs/>
                <w:spacing w:val="10"/>
                <w:szCs w:val="21"/>
              </w:rPr>
              <w:t>自动通知功能</w:t>
            </w:r>
          </w:p>
        </w:tc>
        <w:tc>
          <w:tcPr>
            <w:tcW w:w="6661" w:type="dxa"/>
            <w:tcBorders>
              <w:top w:val="single" w:color="000000" w:sz="4" w:space="0"/>
              <w:left w:val="single" w:color="000000" w:sz="4" w:space="0"/>
              <w:bottom w:val="single" w:color="000000" w:sz="4" w:space="0"/>
              <w:right w:val="single" w:color="000000" w:sz="4" w:space="0"/>
            </w:tcBorders>
            <w:noWrap w:val="0"/>
            <w:vAlign w:val="center"/>
          </w:tcPr>
          <w:p w14:paraId="1EF723B3">
            <w:pPr>
              <w:ind w:left="400" w:firstLine="485"/>
              <w:rPr>
                <w:rFonts w:ascii="宋体" w:hAnsi="宋体"/>
                <w:szCs w:val="21"/>
              </w:rPr>
            </w:pPr>
            <w:r>
              <w:rPr>
                <w:rFonts w:hint="eastAsia" w:ascii="宋体" w:hAnsi="宋体"/>
                <w:szCs w:val="21"/>
                <w:lang w:val="zh-CN"/>
              </w:rPr>
              <w:t>▲</w:t>
            </w:r>
            <w:r>
              <w:rPr>
                <w:rFonts w:ascii="宋体" w:hAnsi="宋体" w:cs="微软雅黑"/>
                <w:szCs w:val="21"/>
                <w:lang w:bidi="ar"/>
              </w:rPr>
              <w:t>在输血科配血完成后，系统</w:t>
            </w:r>
            <w:r>
              <w:rPr>
                <w:rFonts w:hint="eastAsia" w:ascii="宋体" w:hAnsi="宋体" w:cs="微软雅黑"/>
                <w:szCs w:val="21"/>
                <w:lang w:bidi="ar"/>
              </w:rPr>
              <w:t>可单独或者批量</w:t>
            </w:r>
            <w:r>
              <w:rPr>
                <w:rFonts w:ascii="宋体" w:hAnsi="宋体" w:cs="微软雅黑"/>
                <w:szCs w:val="21"/>
                <w:lang w:bidi="ar"/>
              </w:rPr>
              <w:t>自动拨打患者所在的科室电话，自动播放取血通知的语音，同时记录被通知人的工号，以方便追溯。如无人接听，隔一段时间还会再次通知。</w:t>
            </w:r>
          </w:p>
        </w:tc>
      </w:tr>
      <w:tr w14:paraId="47AEF632">
        <w:tblPrEx>
          <w:tblCellMar>
            <w:top w:w="0" w:type="dxa"/>
            <w:left w:w="108" w:type="dxa"/>
            <w:bottom w:w="0" w:type="dxa"/>
            <w:right w:w="108" w:type="dxa"/>
          </w:tblCellMar>
        </w:tblPrEx>
        <w:trPr>
          <w:trHeight w:val="711" w:hRule="atLeast"/>
          <w:jc w:val="center"/>
        </w:trPr>
        <w:tc>
          <w:tcPr>
            <w:tcW w:w="13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7719AD54">
            <w:pPr>
              <w:spacing w:line="24" w:lineRule="atLeast"/>
              <w:ind w:firstLine="525"/>
              <w:jc w:val="left"/>
              <w:rPr>
                <w:rFonts w:ascii="宋体" w:hAnsi="宋体"/>
                <w:bCs/>
                <w:spacing w:val="10"/>
                <w:kern w:val="0"/>
                <w:szCs w:val="21"/>
              </w:rPr>
            </w:pPr>
          </w:p>
        </w:tc>
        <w:tc>
          <w:tcPr>
            <w:tcW w:w="2053" w:type="dxa"/>
            <w:tcBorders>
              <w:top w:val="single" w:color="000000" w:sz="4" w:space="0"/>
              <w:left w:val="single" w:color="000000" w:sz="4" w:space="0"/>
              <w:bottom w:val="single" w:color="000000" w:sz="4" w:space="0"/>
              <w:right w:val="single" w:color="000000" w:sz="4" w:space="0"/>
            </w:tcBorders>
            <w:noWrap w:val="0"/>
            <w:vAlign w:val="center"/>
          </w:tcPr>
          <w:p w14:paraId="3551B157">
            <w:pPr>
              <w:spacing w:line="24" w:lineRule="atLeast"/>
              <w:jc w:val="left"/>
              <w:rPr>
                <w:rFonts w:ascii="宋体" w:hAnsi="宋体"/>
                <w:bCs/>
                <w:spacing w:val="10"/>
                <w:kern w:val="0"/>
                <w:szCs w:val="21"/>
              </w:rPr>
            </w:pPr>
            <w:r>
              <w:rPr>
                <w:rFonts w:hint="eastAsia" w:ascii="宋体" w:hAnsi="宋体"/>
                <w:bCs/>
                <w:spacing w:val="10"/>
                <w:szCs w:val="21"/>
              </w:rPr>
              <w:t>电话录音</w:t>
            </w:r>
          </w:p>
        </w:tc>
        <w:tc>
          <w:tcPr>
            <w:tcW w:w="6661" w:type="dxa"/>
            <w:tcBorders>
              <w:top w:val="single" w:color="000000" w:sz="4" w:space="0"/>
              <w:left w:val="single" w:color="000000" w:sz="4" w:space="0"/>
              <w:bottom w:val="single" w:color="000000" w:sz="4" w:space="0"/>
              <w:right w:val="single" w:color="000000" w:sz="4" w:space="0"/>
            </w:tcBorders>
            <w:noWrap w:val="0"/>
            <w:vAlign w:val="center"/>
          </w:tcPr>
          <w:p w14:paraId="620B4D16">
            <w:pPr>
              <w:ind w:left="400"/>
              <w:rPr>
                <w:rFonts w:ascii="宋体" w:hAnsi="宋体"/>
                <w:szCs w:val="21"/>
              </w:rPr>
            </w:pPr>
            <w:r>
              <w:rPr>
                <w:rFonts w:hint="eastAsia" w:ascii="宋体" w:hAnsi="宋体"/>
                <w:szCs w:val="21"/>
              </w:rPr>
              <w:t>自动录音电话内容，以便有纠纷时可追溯</w:t>
            </w:r>
          </w:p>
        </w:tc>
      </w:tr>
    </w:tbl>
    <w:p w14:paraId="4260239D">
      <w:pPr>
        <w:pStyle w:val="268"/>
        <w:spacing w:line="360" w:lineRule="auto"/>
        <w:ind w:firstLine="465"/>
        <w:rPr>
          <w:rFonts w:hint="eastAsia" w:ascii="宋体" w:hAnsi="宋体" w:eastAsia="宋体" w:cs="宋体"/>
          <w:bCs/>
          <w:spacing w:val="10"/>
          <w:kern w:val="0"/>
          <w:sz w:val="21"/>
          <w:szCs w:val="21"/>
          <w:lang w:eastAsia="zh-CN"/>
        </w:rPr>
      </w:pPr>
      <w:r>
        <w:rPr>
          <w:rFonts w:ascii="宋体" w:hAnsi="宋体" w:cs="宋体"/>
          <w:bCs/>
          <w:spacing w:val="10"/>
          <w:kern w:val="0"/>
          <w:sz w:val="21"/>
          <w:szCs w:val="21"/>
        </w:rPr>
        <w:t>8</w:t>
      </w:r>
      <w:r>
        <w:rPr>
          <w:rFonts w:hint="eastAsia" w:ascii="宋体" w:hAnsi="宋体" w:cs="宋体"/>
          <w:bCs/>
          <w:spacing w:val="10"/>
          <w:kern w:val="0"/>
          <w:sz w:val="21"/>
          <w:szCs w:val="21"/>
        </w:rPr>
        <w:t>、</w:t>
      </w:r>
      <w:bookmarkStart w:id="107" w:name="OLE_LINK1"/>
      <w:r>
        <w:rPr>
          <w:rFonts w:hint="eastAsia" w:ascii="宋体" w:hAnsi="宋体" w:cs="宋体"/>
          <w:bCs/>
          <w:spacing w:val="10"/>
          <w:kern w:val="0"/>
          <w:sz w:val="21"/>
          <w:szCs w:val="21"/>
          <w:lang w:eastAsia="zh-CN"/>
        </w:rPr>
        <w:t>企业微信</w:t>
      </w:r>
      <w:r>
        <w:rPr>
          <w:rFonts w:hint="eastAsia" w:ascii="宋体" w:hAnsi="宋体" w:cs="宋体"/>
          <w:bCs/>
          <w:spacing w:val="10"/>
          <w:kern w:val="0"/>
          <w:sz w:val="21"/>
          <w:szCs w:val="21"/>
        </w:rPr>
        <w:t>移动端用血审批功能</w:t>
      </w:r>
      <w:bookmarkEnd w:id="107"/>
      <w:r>
        <w:rPr>
          <w:rFonts w:hint="eastAsia" w:ascii="宋体" w:hAnsi="宋体" w:cs="宋体"/>
          <w:bCs/>
          <w:spacing w:val="10"/>
          <w:kern w:val="0"/>
          <w:sz w:val="21"/>
          <w:szCs w:val="21"/>
          <w:lang w:eastAsia="zh-CN"/>
        </w:rPr>
        <w:t>（提供可嵌入企业微信的</w:t>
      </w:r>
      <w:r>
        <w:rPr>
          <w:rFonts w:hint="eastAsia" w:ascii="宋体" w:hAnsi="宋体" w:cs="宋体"/>
          <w:bCs/>
          <w:spacing w:val="10"/>
          <w:kern w:val="0"/>
          <w:sz w:val="21"/>
          <w:szCs w:val="21"/>
          <w:lang w:val="en-US" w:eastAsia="zh-CN"/>
        </w:rPr>
        <w:t>H5页面</w:t>
      </w:r>
      <w:r>
        <w:rPr>
          <w:rFonts w:hint="eastAsia" w:ascii="宋体" w:hAnsi="宋体" w:cs="宋体"/>
          <w:bCs/>
          <w:spacing w:val="10"/>
          <w:kern w:val="0"/>
          <w:sz w:val="21"/>
          <w:szCs w:val="21"/>
          <w:lang w:eastAsia="zh-CN"/>
        </w:rPr>
        <w:t>）</w:t>
      </w:r>
    </w:p>
    <w:tbl>
      <w:tblPr>
        <w:tblStyle w:val="46"/>
        <w:tblW w:w="9959" w:type="dxa"/>
        <w:jc w:val="center"/>
        <w:tblLayout w:type="autofit"/>
        <w:tblCellMar>
          <w:top w:w="0" w:type="dxa"/>
          <w:left w:w="108" w:type="dxa"/>
          <w:bottom w:w="0" w:type="dxa"/>
          <w:right w:w="108" w:type="dxa"/>
        </w:tblCellMar>
      </w:tblPr>
      <w:tblGrid>
        <w:gridCol w:w="1332"/>
        <w:gridCol w:w="2033"/>
        <w:gridCol w:w="6594"/>
      </w:tblGrid>
      <w:tr w14:paraId="4E7074A2">
        <w:tblPrEx>
          <w:tblCellMar>
            <w:top w:w="0" w:type="dxa"/>
            <w:left w:w="108" w:type="dxa"/>
            <w:bottom w:w="0" w:type="dxa"/>
            <w:right w:w="108" w:type="dxa"/>
          </w:tblCellMar>
        </w:tblPrEx>
        <w:trPr>
          <w:trHeight w:val="502" w:hRule="atLeast"/>
          <w:jc w:val="center"/>
        </w:trPr>
        <w:tc>
          <w:tcPr>
            <w:tcW w:w="1332" w:type="dxa"/>
            <w:tcBorders>
              <w:top w:val="single" w:color="000000" w:sz="4" w:space="0"/>
              <w:left w:val="single" w:color="000000" w:sz="4" w:space="0"/>
              <w:bottom w:val="single" w:color="000000" w:sz="4" w:space="0"/>
              <w:right w:val="single" w:color="000000" w:sz="4" w:space="0"/>
            </w:tcBorders>
            <w:noWrap w:val="0"/>
            <w:vAlign w:val="center"/>
          </w:tcPr>
          <w:p w14:paraId="63486202">
            <w:pPr>
              <w:pStyle w:val="56"/>
              <w:tabs>
                <w:tab w:val="left" w:pos="7740"/>
              </w:tabs>
              <w:spacing w:line="24" w:lineRule="atLeast"/>
              <w:jc w:val="center"/>
              <w:rPr>
                <w:rFonts w:ascii="宋体" w:hAnsi="宋体" w:cs="宋体"/>
                <w:sz w:val="21"/>
                <w:szCs w:val="21"/>
              </w:rPr>
            </w:pPr>
            <w:r>
              <w:rPr>
                <w:rFonts w:hint="eastAsia" w:ascii="宋体" w:hAnsi="宋体" w:cs="宋体"/>
                <w:sz w:val="21"/>
                <w:szCs w:val="21"/>
              </w:rPr>
              <w:t>子系统</w:t>
            </w:r>
          </w:p>
        </w:tc>
        <w:tc>
          <w:tcPr>
            <w:tcW w:w="2033" w:type="dxa"/>
            <w:tcBorders>
              <w:top w:val="single" w:color="000000" w:sz="4" w:space="0"/>
              <w:left w:val="single" w:color="000000" w:sz="4" w:space="0"/>
              <w:bottom w:val="single" w:color="000000" w:sz="4" w:space="0"/>
              <w:right w:val="single" w:color="000000" w:sz="4" w:space="0"/>
            </w:tcBorders>
            <w:noWrap w:val="0"/>
            <w:vAlign w:val="center"/>
          </w:tcPr>
          <w:p w14:paraId="04B78D7C">
            <w:pPr>
              <w:pStyle w:val="56"/>
              <w:tabs>
                <w:tab w:val="left" w:pos="7740"/>
              </w:tabs>
              <w:spacing w:line="24" w:lineRule="atLeast"/>
              <w:jc w:val="center"/>
              <w:rPr>
                <w:rFonts w:ascii="宋体" w:hAnsi="宋体" w:cs="宋体"/>
                <w:sz w:val="21"/>
                <w:szCs w:val="21"/>
              </w:rPr>
            </w:pPr>
            <w:r>
              <w:rPr>
                <w:rFonts w:hint="eastAsia" w:ascii="宋体" w:hAnsi="宋体" w:cs="宋体"/>
                <w:sz w:val="21"/>
                <w:szCs w:val="21"/>
              </w:rPr>
              <w:t>系统功能</w:t>
            </w:r>
          </w:p>
        </w:tc>
        <w:tc>
          <w:tcPr>
            <w:tcW w:w="6594" w:type="dxa"/>
            <w:tcBorders>
              <w:top w:val="single" w:color="000000" w:sz="4" w:space="0"/>
              <w:left w:val="single" w:color="000000" w:sz="4" w:space="0"/>
              <w:bottom w:val="single" w:color="000000" w:sz="4" w:space="0"/>
              <w:right w:val="single" w:color="000000" w:sz="4" w:space="0"/>
            </w:tcBorders>
            <w:noWrap w:val="0"/>
            <w:vAlign w:val="center"/>
          </w:tcPr>
          <w:p w14:paraId="22FA5D1C">
            <w:pPr>
              <w:spacing w:line="24" w:lineRule="atLeast"/>
              <w:ind w:firstLine="525"/>
              <w:jc w:val="center"/>
              <w:textAlignment w:val="center"/>
              <w:rPr>
                <w:rFonts w:ascii="宋体" w:hAnsi="宋体"/>
                <w:bCs/>
                <w:spacing w:val="10"/>
                <w:kern w:val="0"/>
                <w:szCs w:val="21"/>
              </w:rPr>
            </w:pPr>
            <w:r>
              <w:rPr>
                <w:rFonts w:hint="eastAsia" w:ascii="宋体" w:hAnsi="宋体"/>
                <w:bCs/>
                <w:spacing w:val="10"/>
                <w:kern w:val="0"/>
                <w:szCs w:val="21"/>
              </w:rPr>
              <w:t>功能描述</w:t>
            </w:r>
          </w:p>
        </w:tc>
      </w:tr>
      <w:tr w14:paraId="32B718DB">
        <w:tblPrEx>
          <w:tblCellMar>
            <w:top w:w="0" w:type="dxa"/>
            <w:left w:w="108" w:type="dxa"/>
            <w:bottom w:w="0" w:type="dxa"/>
            <w:right w:w="108" w:type="dxa"/>
          </w:tblCellMar>
        </w:tblPrEx>
        <w:trPr>
          <w:trHeight w:val="1249" w:hRule="atLeast"/>
          <w:jc w:val="center"/>
        </w:trPr>
        <w:tc>
          <w:tcPr>
            <w:tcW w:w="1332" w:type="dxa"/>
            <w:tcBorders>
              <w:top w:val="single" w:color="000000" w:sz="4" w:space="0"/>
              <w:left w:val="single" w:color="000000" w:sz="4" w:space="0"/>
              <w:bottom w:val="single" w:color="000000" w:sz="4" w:space="0"/>
              <w:right w:val="single" w:color="000000" w:sz="4" w:space="0"/>
            </w:tcBorders>
            <w:noWrap w:val="0"/>
            <w:vAlign w:val="center"/>
          </w:tcPr>
          <w:p w14:paraId="35BFB461">
            <w:pPr>
              <w:spacing w:line="24" w:lineRule="atLeast"/>
              <w:jc w:val="left"/>
              <w:rPr>
                <w:rFonts w:ascii="宋体" w:hAnsi="宋体"/>
                <w:bCs/>
                <w:spacing w:val="10"/>
                <w:kern w:val="0"/>
                <w:szCs w:val="21"/>
              </w:rPr>
            </w:pPr>
            <w:r>
              <w:rPr>
                <w:rFonts w:hint="eastAsia" w:ascii="宋体" w:hAnsi="宋体"/>
                <w:bCs/>
                <w:spacing w:val="10"/>
                <w:kern w:val="0"/>
                <w:szCs w:val="21"/>
              </w:rPr>
              <w:t>▲</w:t>
            </w:r>
            <w:r>
              <w:rPr>
                <w:rFonts w:hint="eastAsia" w:ascii="宋体" w:hAnsi="宋体"/>
                <w:bCs/>
                <w:spacing w:val="10"/>
                <w:kern w:val="0"/>
                <w:szCs w:val="21"/>
                <w:lang w:eastAsia="zh-CN"/>
              </w:rPr>
              <w:t>企业微信</w:t>
            </w:r>
            <w:r>
              <w:rPr>
                <w:rFonts w:hint="eastAsia" w:ascii="宋体" w:hAnsi="宋体"/>
                <w:bCs/>
                <w:spacing w:val="10"/>
                <w:kern w:val="0"/>
                <w:szCs w:val="21"/>
              </w:rPr>
              <w:t>移动端用血审批功能</w:t>
            </w:r>
          </w:p>
        </w:tc>
        <w:tc>
          <w:tcPr>
            <w:tcW w:w="2033" w:type="dxa"/>
            <w:tcBorders>
              <w:top w:val="single" w:color="000000" w:sz="4" w:space="0"/>
              <w:left w:val="single" w:color="000000" w:sz="4" w:space="0"/>
              <w:bottom w:val="single" w:color="000000" w:sz="4" w:space="0"/>
              <w:right w:val="single" w:color="000000" w:sz="4" w:space="0"/>
            </w:tcBorders>
            <w:noWrap w:val="0"/>
            <w:vAlign w:val="center"/>
          </w:tcPr>
          <w:p w14:paraId="50DEE7FD">
            <w:pPr>
              <w:spacing w:line="24" w:lineRule="atLeast"/>
              <w:jc w:val="left"/>
              <w:rPr>
                <w:rFonts w:ascii="宋体" w:hAnsi="宋体"/>
                <w:bCs/>
                <w:spacing w:val="10"/>
                <w:kern w:val="0"/>
                <w:szCs w:val="21"/>
              </w:rPr>
            </w:pPr>
            <w:r>
              <w:rPr>
                <w:rFonts w:hint="eastAsia" w:ascii="宋体" w:hAnsi="宋体"/>
                <w:bCs/>
                <w:spacing w:val="10"/>
                <w:szCs w:val="21"/>
              </w:rPr>
              <w:t>移动端功能</w:t>
            </w:r>
          </w:p>
        </w:tc>
        <w:tc>
          <w:tcPr>
            <w:tcW w:w="6594" w:type="dxa"/>
            <w:tcBorders>
              <w:top w:val="single" w:color="000000" w:sz="4" w:space="0"/>
              <w:left w:val="single" w:color="000000" w:sz="4" w:space="0"/>
              <w:bottom w:val="single" w:color="000000" w:sz="4" w:space="0"/>
              <w:right w:val="single" w:color="000000" w:sz="4" w:space="0"/>
            </w:tcBorders>
            <w:noWrap w:val="0"/>
            <w:vAlign w:val="center"/>
          </w:tcPr>
          <w:p w14:paraId="7282971D">
            <w:pPr>
              <w:rPr>
                <w:rFonts w:ascii="宋体" w:hAnsi="宋体"/>
                <w:szCs w:val="21"/>
              </w:rPr>
            </w:pPr>
            <w:r>
              <w:rPr>
                <w:rFonts w:hint="eastAsia" w:ascii="宋体" w:hAnsi="宋体"/>
                <w:szCs w:val="21"/>
                <w:lang w:val="zh-CN"/>
              </w:rPr>
              <w:t>▲</w:t>
            </w:r>
            <w:r>
              <w:rPr>
                <w:rFonts w:hint="eastAsia" w:ascii="宋体" w:hAnsi="宋体" w:cs="微软雅黑"/>
                <w:szCs w:val="21"/>
                <w:lang w:bidi="ar"/>
              </w:rPr>
              <w:t>用血申请审批，库存信息展示，大量用血审核</w:t>
            </w:r>
          </w:p>
        </w:tc>
      </w:tr>
      <w:bookmarkEnd w:id="104"/>
      <w:bookmarkEnd w:id="105"/>
    </w:tbl>
    <w:p w14:paraId="7B510CAA">
      <w:pPr>
        <w:pStyle w:val="268"/>
        <w:spacing w:line="360" w:lineRule="auto"/>
        <w:ind w:firstLine="465"/>
        <w:rPr>
          <w:rFonts w:hint="eastAsia" w:ascii="宋体" w:hAnsi="宋体" w:eastAsia="宋体" w:cs="宋体"/>
          <w:bCs/>
          <w:spacing w:val="10"/>
          <w:kern w:val="0"/>
          <w:sz w:val="21"/>
          <w:szCs w:val="21"/>
          <w:lang w:eastAsia="zh-CN"/>
        </w:rPr>
      </w:pPr>
      <w:r>
        <w:rPr>
          <w:rFonts w:hint="eastAsia" w:ascii="宋体" w:hAnsi="宋体" w:cs="宋体"/>
          <w:bCs/>
          <w:spacing w:val="10"/>
          <w:kern w:val="0"/>
          <w:sz w:val="21"/>
          <w:szCs w:val="21"/>
          <w:lang w:val="en-US" w:eastAsia="zh-CN"/>
        </w:rPr>
        <w:t>9</w:t>
      </w:r>
      <w:r>
        <w:rPr>
          <w:rFonts w:hint="eastAsia" w:ascii="宋体" w:hAnsi="宋体" w:cs="宋体"/>
          <w:bCs/>
          <w:spacing w:val="10"/>
          <w:kern w:val="0"/>
          <w:sz w:val="21"/>
          <w:szCs w:val="21"/>
        </w:rPr>
        <w:t>、</w:t>
      </w:r>
      <w:r>
        <w:rPr>
          <w:rFonts w:hint="eastAsia" w:ascii="宋体" w:hAnsi="宋体" w:cs="宋体"/>
          <w:bCs/>
          <w:spacing w:val="10"/>
          <w:kern w:val="0"/>
          <w:sz w:val="21"/>
          <w:szCs w:val="21"/>
          <w:lang w:eastAsia="zh-CN"/>
        </w:rPr>
        <w:t>手麻系统对接（可通过嵌入式界面或者接口方式实现）</w:t>
      </w:r>
    </w:p>
    <w:tbl>
      <w:tblPr>
        <w:tblStyle w:val="46"/>
        <w:tblW w:w="9959" w:type="dxa"/>
        <w:jc w:val="center"/>
        <w:tblLayout w:type="autofit"/>
        <w:tblCellMar>
          <w:top w:w="0" w:type="dxa"/>
          <w:left w:w="108" w:type="dxa"/>
          <w:bottom w:w="0" w:type="dxa"/>
          <w:right w:w="108" w:type="dxa"/>
        </w:tblCellMar>
      </w:tblPr>
      <w:tblGrid>
        <w:gridCol w:w="1332"/>
        <w:gridCol w:w="2033"/>
        <w:gridCol w:w="6594"/>
      </w:tblGrid>
      <w:tr w14:paraId="280F7B2D">
        <w:tblPrEx>
          <w:tblCellMar>
            <w:top w:w="0" w:type="dxa"/>
            <w:left w:w="108" w:type="dxa"/>
            <w:bottom w:w="0" w:type="dxa"/>
            <w:right w:w="108" w:type="dxa"/>
          </w:tblCellMar>
        </w:tblPrEx>
        <w:trPr>
          <w:trHeight w:val="502" w:hRule="atLeast"/>
          <w:jc w:val="center"/>
        </w:trPr>
        <w:tc>
          <w:tcPr>
            <w:tcW w:w="1332" w:type="dxa"/>
            <w:tcBorders>
              <w:top w:val="single" w:color="000000" w:sz="4" w:space="0"/>
              <w:left w:val="single" w:color="000000" w:sz="4" w:space="0"/>
              <w:bottom w:val="single" w:color="000000" w:sz="4" w:space="0"/>
              <w:right w:val="single" w:color="000000" w:sz="4" w:space="0"/>
            </w:tcBorders>
            <w:noWrap w:val="0"/>
            <w:vAlign w:val="center"/>
          </w:tcPr>
          <w:p w14:paraId="570E1094">
            <w:pPr>
              <w:pStyle w:val="56"/>
              <w:tabs>
                <w:tab w:val="left" w:pos="7740"/>
              </w:tabs>
              <w:spacing w:line="24" w:lineRule="atLeast"/>
              <w:jc w:val="center"/>
              <w:rPr>
                <w:rFonts w:ascii="宋体" w:hAnsi="宋体" w:cs="宋体"/>
                <w:sz w:val="21"/>
                <w:szCs w:val="21"/>
              </w:rPr>
            </w:pPr>
            <w:r>
              <w:rPr>
                <w:rFonts w:hint="eastAsia" w:ascii="宋体" w:hAnsi="宋体" w:cs="宋体"/>
                <w:sz w:val="21"/>
                <w:szCs w:val="21"/>
              </w:rPr>
              <w:t>子系统</w:t>
            </w:r>
          </w:p>
        </w:tc>
        <w:tc>
          <w:tcPr>
            <w:tcW w:w="2033" w:type="dxa"/>
            <w:tcBorders>
              <w:top w:val="single" w:color="000000" w:sz="4" w:space="0"/>
              <w:left w:val="single" w:color="000000" w:sz="4" w:space="0"/>
              <w:bottom w:val="single" w:color="000000" w:sz="4" w:space="0"/>
              <w:right w:val="single" w:color="000000" w:sz="4" w:space="0"/>
            </w:tcBorders>
            <w:noWrap w:val="0"/>
            <w:vAlign w:val="center"/>
          </w:tcPr>
          <w:p w14:paraId="08BB7834">
            <w:pPr>
              <w:pStyle w:val="56"/>
              <w:tabs>
                <w:tab w:val="left" w:pos="7740"/>
              </w:tabs>
              <w:spacing w:line="24" w:lineRule="atLeast"/>
              <w:jc w:val="center"/>
              <w:rPr>
                <w:rFonts w:ascii="宋体" w:hAnsi="宋体" w:cs="宋体"/>
                <w:sz w:val="21"/>
                <w:szCs w:val="21"/>
              </w:rPr>
            </w:pPr>
            <w:r>
              <w:rPr>
                <w:rFonts w:hint="eastAsia" w:ascii="宋体" w:hAnsi="宋体" w:cs="宋体"/>
                <w:sz w:val="21"/>
                <w:szCs w:val="21"/>
              </w:rPr>
              <w:t>系统功能</w:t>
            </w:r>
          </w:p>
        </w:tc>
        <w:tc>
          <w:tcPr>
            <w:tcW w:w="6594" w:type="dxa"/>
            <w:tcBorders>
              <w:top w:val="single" w:color="000000" w:sz="4" w:space="0"/>
              <w:left w:val="single" w:color="000000" w:sz="4" w:space="0"/>
              <w:bottom w:val="single" w:color="000000" w:sz="4" w:space="0"/>
              <w:right w:val="single" w:color="000000" w:sz="4" w:space="0"/>
            </w:tcBorders>
            <w:noWrap w:val="0"/>
            <w:vAlign w:val="center"/>
          </w:tcPr>
          <w:p w14:paraId="670CEDAC">
            <w:pPr>
              <w:spacing w:line="24" w:lineRule="atLeast"/>
              <w:ind w:firstLine="525"/>
              <w:jc w:val="center"/>
              <w:textAlignment w:val="center"/>
              <w:rPr>
                <w:rFonts w:ascii="宋体" w:hAnsi="宋体"/>
                <w:bCs/>
                <w:spacing w:val="10"/>
                <w:kern w:val="0"/>
                <w:szCs w:val="21"/>
              </w:rPr>
            </w:pPr>
            <w:r>
              <w:rPr>
                <w:rFonts w:hint="eastAsia" w:ascii="宋体" w:hAnsi="宋体"/>
                <w:bCs/>
                <w:spacing w:val="10"/>
                <w:kern w:val="0"/>
                <w:szCs w:val="21"/>
              </w:rPr>
              <w:t>功能描述</w:t>
            </w:r>
          </w:p>
        </w:tc>
      </w:tr>
      <w:tr w14:paraId="1D1FE6D3">
        <w:tblPrEx>
          <w:tblCellMar>
            <w:top w:w="0" w:type="dxa"/>
            <w:left w:w="108" w:type="dxa"/>
            <w:bottom w:w="0" w:type="dxa"/>
            <w:right w:w="108" w:type="dxa"/>
          </w:tblCellMar>
        </w:tblPrEx>
        <w:trPr>
          <w:trHeight w:val="1249" w:hRule="atLeast"/>
          <w:jc w:val="center"/>
        </w:trPr>
        <w:tc>
          <w:tcPr>
            <w:tcW w:w="1332" w:type="dxa"/>
            <w:tcBorders>
              <w:top w:val="single" w:color="000000" w:sz="4" w:space="0"/>
              <w:left w:val="single" w:color="000000" w:sz="4" w:space="0"/>
              <w:bottom w:val="single" w:color="000000" w:sz="4" w:space="0"/>
              <w:right w:val="single" w:color="000000" w:sz="4" w:space="0"/>
            </w:tcBorders>
            <w:noWrap w:val="0"/>
            <w:vAlign w:val="center"/>
          </w:tcPr>
          <w:p w14:paraId="2F086E65">
            <w:pPr>
              <w:spacing w:line="24" w:lineRule="atLeast"/>
              <w:jc w:val="left"/>
              <w:rPr>
                <w:rFonts w:ascii="宋体" w:hAnsi="宋体"/>
                <w:bCs/>
                <w:spacing w:val="10"/>
                <w:kern w:val="0"/>
                <w:szCs w:val="21"/>
              </w:rPr>
            </w:pPr>
            <w:r>
              <w:rPr>
                <w:rFonts w:hint="eastAsia" w:ascii="宋体" w:hAnsi="宋体" w:cs="宋体"/>
                <w:bCs/>
                <w:spacing w:val="10"/>
                <w:kern w:val="0"/>
                <w:sz w:val="21"/>
                <w:szCs w:val="21"/>
                <w:lang w:eastAsia="zh-CN"/>
              </w:rPr>
              <w:t>手麻系统对接</w:t>
            </w:r>
          </w:p>
        </w:tc>
        <w:tc>
          <w:tcPr>
            <w:tcW w:w="2033" w:type="dxa"/>
            <w:tcBorders>
              <w:top w:val="single" w:color="000000" w:sz="4" w:space="0"/>
              <w:left w:val="single" w:color="000000" w:sz="4" w:space="0"/>
              <w:bottom w:val="single" w:color="000000" w:sz="4" w:space="0"/>
              <w:right w:val="single" w:color="000000" w:sz="4" w:space="0"/>
            </w:tcBorders>
            <w:noWrap w:val="0"/>
            <w:vAlign w:val="center"/>
          </w:tcPr>
          <w:p w14:paraId="29A95D46">
            <w:pPr>
              <w:keepNext w:val="0"/>
              <w:keepLines w:val="0"/>
              <w:widowControl/>
              <w:suppressLineNumbers w:val="0"/>
              <w:jc w:val="left"/>
              <w:rPr>
                <w:rFonts w:hint="eastAsia" w:ascii="宋体" w:hAnsi="宋体" w:cs="宋体"/>
                <w:bCs/>
                <w:spacing w:val="10"/>
                <w:kern w:val="0"/>
                <w:szCs w:val="21"/>
              </w:rPr>
            </w:pPr>
            <w:r>
              <w:rPr>
                <w:rStyle w:val="49"/>
                <w:rFonts w:hint="eastAsia" w:ascii="宋体" w:hAnsi="宋体" w:eastAsia="宋体" w:cs="宋体"/>
                <w:b/>
                <w:bCs/>
                <w:i w:val="0"/>
                <w:iCs w:val="0"/>
                <w:caps w:val="0"/>
                <w:color w:val="0F1115"/>
                <w:spacing w:val="0"/>
                <w:kern w:val="0"/>
                <w:sz w:val="21"/>
                <w:szCs w:val="21"/>
                <w:lang w:val="en-US" w:eastAsia="zh-CN" w:bidi="ar"/>
              </w:rPr>
              <w:t>手麻系统对接</w:t>
            </w:r>
          </w:p>
        </w:tc>
        <w:tc>
          <w:tcPr>
            <w:tcW w:w="6594" w:type="dxa"/>
            <w:tcBorders>
              <w:top w:val="single" w:color="000000" w:sz="4" w:space="0"/>
              <w:left w:val="single" w:color="000000" w:sz="4" w:space="0"/>
              <w:bottom w:val="single" w:color="000000" w:sz="4" w:space="0"/>
              <w:right w:val="single" w:color="000000" w:sz="4" w:space="0"/>
            </w:tcBorders>
            <w:noWrap w:val="0"/>
            <w:vAlign w:val="center"/>
          </w:tcPr>
          <w:p w14:paraId="0F601684">
            <w:pPr>
              <w:keepNext w:val="0"/>
              <w:keepLines w:val="0"/>
              <w:widowControl/>
              <w:suppressLineNumbers w:val="0"/>
              <w:jc w:val="left"/>
              <w:rPr>
                <w:rFonts w:hint="eastAsia" w:ascii="宋体" w:hAnsi="宋体" w:cs="宋体"/>
                <w:szCs w:val="21"/>
              </w:rPr>
            </w:pPr>
            <w:r>
              <w:rPr>
                <w:rFonts w:hint="eastAsia" w:ascii="宋体" w:hAnsi="宋体" w:eastAsia="宋体" w:cs="宋体"/>
                <w:i w:val="0"/>
                <w:iCs w:val="0"/>
                <w:caps w:val="0"/>
                <w:color w:val="0F1115"/>
                <w:spacing w:val="0"/>
                <w:sz w:val="21"/>
                <w:szCs w:val="21"/>
                <w:shd w:val="clear" w:fill="FFFFFF"/>
              </w:rPr>
              <w:t>1. 与手麻系统对接，同步手术患者信息及支持在手麻系统提出手术用血申请。</w:t>
            </w:r>
            <w:r>
              <w:rPr>
                <w:rFonts w:hint="eastAsia" w:ascii="宋体" w:hAnsi="宋体" w:eastAsia="宋体" w:cs="宋体"/>
                <w:i w:val="0"/>
                <w:iCs w:val="0"/>
                <w:caps w:val="0"/>
                <w:color w:val="0F1115"/>
                <w:spacing w:val="0"/>
                <w:sz w:val="21"/>
                <w:szCs w:val="21"/>
                <w:shd w:val="clear" w:fill="FFFFFF"/>
              </w:rPr>
              <w:br w:type="textWrapping"/>
            </w:r>
            <w:r>
              <w:rPr>
                <w:rFonts w:hint="eastAsia" w:ascii="宋体" w:hAnsi="宋体" w:eastAsia="宋体" w:cs="宋体"/>
                <w:i w:val="0"/>
                <w:iCs w:val="0"/>
                <w:caps w:val="0"/>
                <w:color w:val="0F1115"/>
                <w:spacing w:val="0"/>
                <w:sz w:val="21"/>
                <w:szCs w:val="21"/>
                <w:shd w:val="clear" w:fill="FFFFFF"/>
              </w:rPr>
              <w:t>2. 备血完成后</w:t>
            </w:r>
            <w:r>
              <w:rPr>
                <w:rFonts w:hint="eastAsia" w:ascii="宋体" w:hAnsi="宋体" w:cs="宋体"/>
                <w:i w:val="0"/>
                <w:iCs w:val="0"/>
                <w:caps w:val="0"/>
                <w:color w:val="0F1115"/>
                <w:spacing w:val="0"/>
                <w:sz w:val="21"/>
                <w:szCs w:val="21"/>
                <w:shd w:val="clear" w:fill="FFFFFF"/>
                <w:lang w:eastAsia="zh-CN"/>
              </w:rPr>
              <w:t>可推送</w:t>
            </w:r>
            <w:r>
              <w:rPr>
                <w:rFonts w:hint="eastAsia" w:ascii="宋体" w:hAnsi="宋体" w:eastAsia="宋体" w:cs="宋体"/>
                <w:i w:val="0"/>
                <w:iCs w:val="0"/>
                <w:caps w:val="0"/>
                <w:color w:val="0F1115"/>
                <w:spacing w:val="0"/>
                <w:sz w:val="21"/>
                <w:szCs w:val="21"/>
                <w:shd w:val="clear" w:fill="FFFFFF"/>
              </w:rPr>
              <w:t>取血提醒至手术室。支持术中输血扫码核对，完成血制品接收与输注闭环。</w:t>
            </w:r>
            <w:r>
              <w:rPr>
                <w:rFonts w:hint="eastAsia" w:ascii="宋体" w:hAnsi="宋体" w:eastAsia="宋体" w:cs="宋体"/>
                <w:i w:val="0"/>
                <w:iCs w:val="0"/>
                <w:caps w:val="0"/>
                <w:color w:val="0F1115"/>
                <w:spacing w:val="0"/>
                <w:sz w:val="21"/>
                <w:szCs w:val="21"/>
                <w:shd w:val="clear" w:fill="FFFFFF"/>
              </w:rPr>
              <w:br w:type="textWrapping"/>
            </w:r>
            <w:r>
              <w:rPr>
                <w:rFonts w:hint="eastAsia" w:ascii="宋体" w:hAnsi="宋体" w:eastAsia="宋体" w:cs="宋体"/>
                <w:i w:val="0"/>
                <w:iCs w:val="0"/>
                <w:caps w:val="0"/>
                <w:color w:val="0F1115"/>
                <w:spacing w:val="0"/>
                <w:sz w:val="21"/>
                <w:szCs w:val="21"/>
                <w:shd w:val="clear" w:fill="FFFFFF"/>
                <w:lang w:eastAsia="zh-CN"/>
              </w:rPr>
              <w:t>3</w:t>
            </w:r>
            <w:r>
              <w:rPr>
                <w:rFonts w:hint="eastAsia" w:ascii="宋体" w:hAnsi="宋体" w:eastAsia="宋体" w:cs="宋体"/>
                <w:i w:val="0"/>
                <w:iCs w:val="0"/>
                <w:caps w:val="0"/>
                <w:color w:val="0F1115"/>
                <w:spacing w:val="0"/>
                <w:sz w:val="21"/>
                <w:szCs w:val="21"/>
                <w:shd w:val="clear" w:fill="FFFFFF"/>
              </w:rPr>
              <w:t>. 申请时校验医生用血权限，超限拦截提示。</w:t>
            </w:r>
            <w:r>
              <w:rPr>
                <w:rFonts w:hint="eastAsia" w:ascii="宋体" w:hAnsi="宋体" w:eastAsia="宋体" w:cs="宋体"/>
                <w:i w:val="0"/>
                <w:iCs w:val="0"/>
                <w:caps w:val="0"/>
                <w:color w:val="0F1115"/>
                <w:spacing w:val="0"/>
                <w:sz w:val="21"/>
                <w:szCs w:val="21"/>
                <w:shd w:val="clear" w:fill="FFFFFF"/>
              </w:rPr>
              <w:br w:type="textWrapping"/>
            </w:r>
            <w:r>
              <w:rPr>
                <w:rFonts w:hint="eastAsia" w:ascii="宋体" w:hAnsi="宋体" w:eastAsia="宋体" w:cs="宋体"/>
                <w:i w:val="0"/>
                <w:iCs w:val="0"/>
                <w:caps w:val="0"/>
                <w:color w:val="0F1115"/>
                <w:spacing w:val="0"/>
                <w:sz w:val="21"/>
                <w:szCs w:val="21"/>
                <w:shd w:val="clear" w:fill="FFFFFF"/>
                <w:lang w:eastAsia="zh-CN"/>
              </w:rPr>
              <w:t>4</w:t>
            </w:r>
            <w:r>
              <w:rPr>
                <w:rFonts w:hint="eastAsia" w:ascii="宋体" w:hAnsi="宋体" w:eastAsia="宋体" w:cs="宋体"/>
                <w:i w:val="0"/>
                <w:iCs w:val="0"/>
                <w:caps w:val="0"/>
                <w:color w:val="0F1115"/>
                <w:spacing w:val="0"/>
                <w:sz w:val="21"/>
                <w:szCs w:val="21"/>
                <w:shd w:val="clear" w:fill="FFFFFF"/>
              </w:rPr>
              <w:t>. 备血库存不足时，输血科及手术室</w:t>
            </w:r>
            <w:r>
              <w:rPr>
                <w:rFonts w:hint="eastAsia" w:ascii="宋体" w:hAnsi="宋体" w:eastAsia="宋体" w:cs="宋体"/>
                <w:i w:val="0"/>
                <w:iCs w:val="0"/>
                <w:caps w:val="0"/>
                <w:color w:val="0F1115"/>
                <w:spacing w:val="0"/>
                <w:sz w:val="21"/>
                <w:szCs w:val="21"/>
                <w:shd w:val="clear" w:fill="FFFFFF"/>
                <w:lang w:eastAsia="zh-CN"/>
              </w:rPr>
              <w:t>可进行</w:t>
            </w:r>
            <w:r>
              <w:rPr>
                <w:rFonts w:hint="eastAsia" w:ascii="宋体" w:hAnsi="宋体" w:eastAsia="宋体" w:cs="宋体"/>
                <w:i w:val="0"/>
                <w:iCs w:val="0"/>
                <w:caps w:val="0"/>
                <w:color w:val="0F1115"/>
                <w:spacing w:val="0"/>
                <w:sz w:val="21"/>
                <w:szCs w:val="21"/>
                <w:shd w:val="clear" w:fill="FFFFFF"/>
              </w:rPr>
              <w:t>同步预警。</w:t>
            </w:r>
            <w:r>
              <w:rPr>
                <w:rFonts w:hint="eastAsia" w:ascii="宋体" w:hAnsi="宋体" w:eastAsia="宋体" w:cs="宋体"/>
                <w:i w:val="0"/>
                <w:iCs w:val="0"/>
                <w:caps w:val="0"/>
                <w:color w:val="0F1115"/>
                <w:spacing w:val="0"/>
                <w:sz w:val="21"/>
                <w:szCs w:val="21"/>
                <w:shd w:val="clear" w:fill="FFFFFF"/>
              </w:rPr>
              <w:br w:type="textWrapping"/>
            </w:r>
            <w:r>
              <w:rPr>
                <w:rFonts w:hint="eastAsia" w:ascii="宋体" w:hAnsi="宋体" w:eastAsia="宋体" w:cs="宋体"/>
                <w:i w:val="0"/>
                <w:iCs w:val="0"/>
                <w:caps w:val="0"/>
                <w:color w:val="0F1115"/>
                <w:spacing w:val="0"/>
                <w:sz w:val="21"/>
                <w:szCs w:val="21"/>
                <w:shd w:val="clear" w:fill="FFFFFF"/>
                <w:lang w:eastAsia="zh-CN"/>
              </w:rPr>
              <w:t>5</w:t>
            </w:r>
            <w:r>
              <w:rPr>
                <w:rFonts w:hint="eastAsia" w:ascii="宋体" w:hAnsi="宋体" w:eastAsia="宋体" w:cs="宋体"/>
                <w:i w:val="0"/>
                <w:iCs w:val="0"/>
                <w:caps w:val="0"/>
                <w:color w:val="0F1115"/>
                <w:spacing w:val="0"/>
                <w:sz w:val="21"/>
                <w:szCs w:val="21"/>
                <w:shd w:val="clear" w:fill="FFFFFF"/>
              </w:rPr>
              <w:t>. 支持按手术科室等维度统计用血量。</w:t>
            </w:r>
          </w:p>
        </w:tc>
      </w:tr>
    </w:tbl>
    <w:p w14:paraId="617EA76B">
      <w:pPr>
        <w:keepNext w:val="0"/>
        <w:keepLines w:val="0"/>
        <w:pageBreakBefore w:val="0"/>
        <w:kinsoku/>
        <w:wordWrap/>
        <w:overflowPunct/>
        <w:topLinePunct w:val="0"/>
        <w:autoSpaceDE/>
        <w:autoSpaceDN/>
        <w:bidi w:val="0"/>
        <w:snapToGrid/>
        <w:spacing w:line="360" w:lineRule="auto"/>
        <w:rPr>
          <w:rFonts w:hint="eastAsia" w:ascii="宋体" w:hAnsi="宋体" w:cs="宋体"/>
          <w:b/>
          <w:bCs/>
          <w:color w:val="000000"/>
          <w:kern w:val="0"/>
          <w:szCs w:val="21"/>
        </w:rPr>
      </w:pPr>
    </w:p>
    <w:p w14:paraId="0950F581">
      <w:pPr>
        <w:keepNext w:val="0"/>
        <w:keepLines w:val="0"/>
        <w:pageBreakBefore w:val="0"/>
        <w:kinsoku/>
        <w:wordWrap/>
        <w:overflowPunct/>
        <w:topLinePunct w:val="0"/>
        <w:autoSpaceDE/>
        <w:autoSpaceDN/>
        <w:bidi w:val="0"/>
        <w:snapToGrid/>
        <w:spacing w:line="360" w:lineRule="auto"/>
        <w:rPr>
          <w:rFonts w:hint="eastAsia" w:ascii="宋体" w:hAnsi="宋体" w:cs="宋体"/>
          <w:b/>
          <w:bCs/>
          <w:color w:val="000000"/>
          <w:kern w:val="0"/>
          <w:szCs w:val="21"/>
        </w:rPr>
      </w:pPr>
    </w:p>
    <w:p w14:paraId="2B5CE902">
      <w:pPr>
        <w:rPr>
          <w:rFonts w:ascii="宋体" w:hAnsi="宋体" w:cs="宋体"/>
          <w:color w:val="auto"/>
        </w:rPr>
      </w:pPr>
    </w:p>
    <w:p w14:paraId="7FD8E310">
      <w:pPr>
        <w:pStyle w:val="4"/>
        <w:bidi w:val="0"/>
      </w:pPr>
      <w:bookmarkStart w:id="108" w:name="_Toc23329"/>
      <w:bookmarkStart w:id="109" w:name="_Toc3938"/>
      <w:bookmarkStart w:id="110" w:name="_Toc21558"/>
      <w:bookmarkStart w:id="111" w:name="_Toc7570"/>
      <w:bookmarkStart w:id="112" w:name="_Toc8988"/>
      <w:r>
        <w:rPr>
          <w:rFonts w:hint="eastAsia"/>
        </w:rPr>
        <w:t>合理用药系统</w:t>
      </w:r>
      <w:bookmarkEnd w:id="108"/>
      <w:bookmarkEnd w:id="109"/>
      <w:bookmarkEnd w:id="110"/>
      <w:bookmarkEnd w:id="111"/>
      <w:bookmarkEnd w:id="112"/>
    </w:p>
    <w:tbl>
      <w:tblPr>
        <w:tblStyle w:val="4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1"/>
        <w:gridCol w:w="1704"/>
        <w:gridCol w:w="7119"/>
      </w:tblGrid>
      <w:tr w14:paraId="5FC54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blHeader/>
          <w:jc w:val="center"/>
        </w:trPr>
        <w:tc>
          <w:tcPr>
            <w:tcW w:w="1242" w:type="dxa"/>
            <w:vAlign w:val="center"/>
          </w:tcPr>
          <w:p w14:paraId="2B1ACF45">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b/>
                <w:bCs/>
                <w:color w:val="auto"/>
                <w:kern w:val="0"/>
                <w:sz w:val="21"/>
                <w:szCs w:val="21"/>
              </w:rPr>
            </w:pPr>
            <w:r>
              <w:rPr>
                <w:rFonts w:hint="eastAsia" w:ascii="宋体" w:hAnsi="宋体" w:cs="宋体"/>
                <w:color w:val="auto"/>
                <w:kern w:val="0"/>
                <w:sz w:val="21"/>
                <w:szCs w:val="21"/>
              </w:rPr>
              <w:t>需求名称</w:t>
            </w:r>
          </w:p>
        </w:tc>
        <w:tc>
          <w:tcPr>
            <w:tcW w:w="2268" w:type="dxa"/>
            <w:vAlign w:val="center"/>
          </w:tcPr>
          <w:p w14:paraId="4B45445A">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b/>
                <w:bCs/>
                <w:color w:val="auto"/>
                <w:kern w:val="0"/>
                <w:sz w:val="21"/>
                <w:szCs w:val="21"/>
              </w:rPr>
            </w:pPr>
            <w:r>
              <w:rPr>
                <w:rFonts w:hint="eastAsia" w:ascii="宋体" w:hAnsi="宋体" w:cs="宋体"/>
                <w:color w:val="auto"/>
                <w:kern w:val="0"/>
                <w:sz w:val="21"/>
                <w:szCs w:val="21"/>
              </w:rPr>
              <w:t>序号</w:t>
            </w:r>
          </w:p>
        </w:tc>
        <w:tc>
          <w:tcPr>
            <w:tcW w:w="10666" w:type="dxa"/>
            <w:vAlign w:val="center"/>
          </w:tcPr>
          <w:p w14:paraId="63D75841">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b/>
                <w:bCs/>
                <w:color w:val="auto"/>
                <w:kern w:val="0"/>
                <w:sz w:val="21"/>
                <w:szCs w:val="21"/>
              </w:rPr>
            </w:pPr>
            <w:r>
              <w:rPr>
                <w:rFonts w:hint="eastAsia" w:ascii="宋体" w:hAnsi="宋体" w:cs="宋体"/>
                <w:color w:val="auto"/>
                <w:kern w:val="0"/>
                <w:sz w:val="21"/>
                <w:szCs w:val="21"/>
              </w:rPr>
              <w:t>需求描述</w:t>
            </w:r>
          </w:p>
        </w:tc>
      </w:tr>
      <w:tr w14:paraId="394F0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jc w:val="center"/>
        </w:trPr>
        <w:tc>
          <w:tcPr>
            <w:tcW w:w="1242" w:type="dxa"/>
            <w:vMerge w:val="restart"/>
            <w:vAlign w:val="center"/>
          </w:tcPr>
          <w:p w14:paraId="1FF02C5A">
            <w:pPr>
              <w:keepNext w:val="0"/>
              <w:keepLines w:val="0"/>
              <w:pageBreakBefore w:val="0"/>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sz w:val="21"/>
                <w:szCs w:val="21"/>
              </w:rPr>
            </w:pPr>
            <w:r>
              <w:rPr>
                <w:rFonts w:hint="eastAsia" w:ascii="宋体" w:hAnsi="宋体" w:cs="宋体"/>
                <w:color w:val="auto"/>
                <w:sz w:val="21"/>
                <w:szCs w:val="21"/>
              </w:rPr>
              <w:t>合理用药系统</w:t>
            </w:r>
          </w:p>
        </w:tc>
        <w:tc>
          <w:tcPr>
            <w:tcW w:w="12934" w:type="dxa"/>
            <w:gridSpan w:val="2"/>
            <w:vAlign w:val="center"/>
          </w:tcPr>
          <w:p w14:paraId="4FEDF48F">
            <w:pPr>
              <w:keepNext w:val="0"/>
              <w:keepLines w:val="0"/>
              <w:pageBreakBefore w:val="0"/>
              <w:numPr>
                <w:ilvl w:val="1"/>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rPr>
            </w:pPr>
            <w:bookmarkStart w:id="113" w:name="_Toc192772584"/>
            <w:r>
              <w:rPr>
                <w:rFonts w:hint="eastAsia" w:ascii="宋体" w:hAnsi="宋体" w:cs="宋体"/>
                <w:color w:val="auto"/>
                <w:sz w:val="21"/>
                <w:szCs w:val="21"/>
              </w:rPr>
              <w:t>合理用药审查</w:t>
            </w:r>
            <w:bookmarkEnd w:id="113"/>
          </w:p>
        </w:tc>
      </w:tr>
      <w:tr w14:paraId="62670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jc w:val="center"/>
        </w:trPr>
        <w:tc>
          <w:tcPr>
            <w:tcW w:w="1242" w:type="dxa"/>
            <w:vMerge w:val="continue"/>
            <w:vAlign w:val="center"/>
          </w:tcPr>
          <w:p w14:paraId="14F85166">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rPr>
            </w:pPr>
          </w:p>
        </w:tc>
        <w:tc>
          <w:tcPr>
            <w:tcW w:w="2268" w:type="dxa"/>
            <w:vAlign w:val="center"/>
          </w:tcPr>
          <w:p w14:paraId="4853273E">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rPr>
            </w:pPr>
            <w:r>
              <w:rPr>
                <w:rFonts w:hint="eastAsia" w:ascii="宋体" w:hAnsi="宋体" w:cs="宋体"/>
                <w:color w:val="auto"/>
                <w:sz w:val="21"/>
                <w:szCs w:val="21"/>
              </w:rPr>
              <w:t>相互作用审查</w:t>
            </w:r>
          </w:p>
        </w:tc>
        <w:tc>
          <w:tcPr>
            <w:tcW w:w="10666" w:type="dxa"/>
            <w:vAlign w:val="center"/>
          </w:tcPr>
          <w:p w14:paraId="376F0BBA">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系统支持根据药品说明书或指南内容，对患者处方/医嘱中的药品进行相互作用审查，主要分析药品所含成份之间是否存在相互作用，并给出提示，提示内容包括问题详情、分析依据及参考文献。支持按药品或者药理分类进行相互作用审查。</w:t>
            </w:r>
          </w:p>
        </w:tc>
      </w:tr>
      <w:tr w14:paraId="743CB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242" w:type="dxa"/>
            <w:vMerge w:val="continue"/>
            <w:vAlign w:val="center"/>
          </w:tcPr>
          <w:p w14:paraId="1979FB1E">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rPr>
            </w:pPr>
          </w:p>
        </w:tc>
        <w:tc>
          <w:tcPr>
            <w:tcW w:w="2268" w:type="dxa"/>
            <w:vAlign w:val="center"/>
          </w:tcPr>
          <w:p w14:paraId="3851627D">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rPr>
            </w:pPr>
            <w:r>
              <w:rPr>
                <w:rFonts w:hint="eastAsia" w:ascii="宋体" w:hAnsi="宋体" w:cs="宋体"/>
                <w:color w:val="auto"/>
                <w:sz w:val="21"/>
                <w:szCs w:val="21"/>
              </w:rPr>
              <w:t>重复用药审查</w:t>
            </w:r>
          </w:p>
        </w:tc>
        <w:tc>
          <w:tcPr>
            <w:tcW w:w="10666" w:type="dxa"/>
            <w:vAlign w:val="center"/>
          </w:tcPr>
          <w:p w14:paraId="0972C78A">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系统支持根据药品说明书或指南内容，对处方/医嘱中的药品进行两两之间的重复用药审查，并给出提示，提示内容包括问题详情、分析依据及参考文献。</w:t>
            </w:r>
          </w:p>
          <w:p w14:paraId="74A570C6">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重复用药审查包括以下情况：</w:t>
            </w:r>
          </w:p>
          <w:p w14:paraId="75427848">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1)</w:t>
            </w:r>
            <w:r>
              <w:rPr>
                <w:rFonts w:hint="eastAsia" w:ascii="宋体" w:hAnsi="宋体" w:cs="宋体"/>
                <w:bCs/>
                <w:color w:val="auto"/>
                <w:sz w:val="21"/>
                <w:szCs w:val="21"/>
              </w:rPr>
              <w:tab/>
            </w:r>
            <w:r>
              <w:rPr>
                <w:rFonts w:hint="eastAsia" w:ascii="宋体" w:hAnsi="宋体" w:cs="宋体"/>
                <w:bCs/>
                <w:color w:val="auto"/>
                <w:sz w:val="21"/>
                <w:szCs w:val="21"/>
              </w:rPr>
              <w:t>同药理分类审查：审查两种药品的药理作用分类是否向。</w:t>
            </w:r>
          </w:p>
          <w:p w14:paraId="4AD70BA2">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2)</w:t>
            </w:r>
            <w:r>
              <w:rPr>
                <w:rFonts w:hint="eastAsia" w:ascii="宋体" w:hAnsi="宋体" w:cs="宋体"/>
                <w:bCs/>
                <w:color w:val="auto"/>
                <w:sz w:val="21"/>
                <w:szCs w:val="21"/>
              </w:rPr>
              <w:tab/>
            </w:r>
            <w:r>
              <w:rPr>
                <w:rFonts w:hint="eastAsia" w:ascii="宋体" w:hAnsi="宋体" w:cs="宋体"/>
                <w:bCs/>
                <w:color w:val="auto"/>
                <w:sz w:val="21"/>
                <w:szCs w:val="21"/>
              </w:rPr>
              <w:t>同成份审查：审查两种药品的成分是否相同。</w:t>
            </w:r>
          </w:p>
        </w:tc>
      </w:tr>
      <w:tr w14:paraId="2F01C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1242" w:type="dxa"/>
            <w:vMerge w:val="continue"/>
            <w:vAlign w:val="center"/>
          </w:tcPr>
          <w:p w14:paraId="0A8B59B5">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rPr>
            </w:pPr>
          </w:p>
        </w:tc>
        <w:tc>
          <w:tcPr>
            <w:tcW w:w="2268" w:type="dxa"/>
            <w:vAlign w:val="center"/>
          </w:tcPr>
          <w:p w14:paraId="32EE2122">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rPr>
            </w:pPr>
            <w:r>
              <w:rPr>
                <w:rFonts w:hint="eastAsia" w:ascii="宋体" w:hAnsi="宋体" w:cs="宋体"/>
                <w:color w:val="auto"/>
                <w:sz w:val="21"/>
                <w:szCs w:val="21"/>
              </w:rPr>
              <w:t>适应症审查</w:t>
            </w:r>
          </w:p>
        </w:tc>
        <w:tc>
          <w:tcPr>
            <w:tcW w:w="10666" w:type="dxa"/>
            <w:vAlign w:val="center"/>
          </w:tcPr>
          <w:p w14:paraId="148DD0B0">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系统支持根据药品说明书或指南内容，审查处方/医嘱中药品的适应症是否与患者疾病诊断相符，并给出提示，提示内容包括问题详情、分析依据及参考文献。</w:t>
            </w:r>
          </w:p>
          <w:p w14:paraId="1305EA66">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适应症审查功能包括：</w:t>
            </w:r>
          </w:p>
          <w:p w14:paraId="53747188">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1)</w:t>
            </w:r>
            <w:r>
              <w:rPr>
                <w:rFonts w:hint="eastAsia" w:ascii="宋体" w:hAnsi="宋体" w:cs="宋体"/>
                <w:bCs/>
                <w:color w:val="auto"/>
                <w:sz w:val="21"/>
                <w:szCs w:val="21"/>
              </w:rPr>
              <w:tab/>
            </w:r>
            <w:r>
              <w:rPr>
                <w:rFonts w:hint="eastAsia" w:ascii="宋体" w:hAnsi="宋体" w:cs="宋体"/>
                <w:bCs/>
                <w:color w:val="auto"/>
                <w:sz w:val="21"/>
                <w:szCs w:val="21"/>
              </w:rPr>
              <w:t>ICD10适应症审查；</w:t>
            </w:r>
          </w:p>
          <w:p w14:paraId="1AA98AE1">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2)</w:t>
            </w:r>
            <w:r>
              <w:rPr>
                <w:rFonts w:hint="eastAsia" w:ascii="宋体" w:hAnsi="宋体" w:cs="宋体"/>
                <w:bCs/>
                <w:color w:val="auto"/>
                <w:sz w:val="21"/>
                <w:szCs w:val="21"/>
              </w:rPr>
              <w:tab/>
            </w:r>
            <w:r>
              <w:rPr>
                <w:rFonts w:hint="eastAsia" w:ascii="宋体" w:hAnsi="宋体" w:cs="宋体"/>
                <w:bCs/>
                <w:color w:val="auto"/>
                <w:sz w:val="21"/>
                <w:szCs w:val="21"/>
              </w:rPr>
              <w:t>诊断关键字审查。</w:t>
            </w:r>
          </w:p>
        </w:tc>
      </w:tr>
      <w:tr w14:paraId="2F81F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242" w:type="dxa"/>
            <w:vMerge w:val="continue"/>
            <w:vAlign w:val="center"/>
          </w:tcPr>
          <w:p w14:paraId="0D015DAB">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rPr>
            </w:pPr>
          </w:p>
        </w:tc>
        <w:tc>
          <w:tcPr>
            <w:tcW w:w="2268" w:type="dxa"/>
            <w:vAlign w:val="center"/>
          </w:tcPr>
          <w:p w14:paraId="33800DAF">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rPr>
            </w:pPr>
            <w:bookmarkStart w:id="114" w:name="_Toc17571"/>
            <w:bookmarkStart w:id="115" w:name="_Toc13594"/>
            <w:bookmarkStart w:id="116" w:name="_Toc476036432"/>
            <w:bookmarkStart w:id="117" w:name="_Toc4289"/>
            <w:bookmarkStart w:id="118" w:name="_Toc20466"/>
            <w:r>
              <w:rPr>
                <w:rFonts w:hint="eastAsia" w:ascii="宋体" w:hAnsi="宋体" w:cs="宋体"/>
                <w:color w:val="auto"/>
                <w:sz w:val="21"/>
                <w:szCs w:val="21"/>
              </w:rPr>
              <w:t>禁忌症审查</w:t>
            </w:r>
            <w:bookmarkEnd w:id="114"/>
            <w:bookmarkEnd w:id="115"/>
            <w:bookmarkEnd w:id="116"/>
            <w:bookmarkEnd w:id="117"/>
            <w:bookmarkEnd w:id="118"/>
          </w:p>
        </w:tc>
        <w:tc>
          <w:tcPr>
            <w:tcW w:w="10666" w:type="dxa"/>
            <w:vAlign w:val="center"/>
          </w:tcPr>
          <w:p w14:paraId="39D8EE17">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系统支持根据药品说明书或指南内容，结合患者疾病情况，审查处方/医嘱中药品的禁忌症与患者病情是否相关，如果相关则给出提示，提示内容包括问题详情、分析依据及参考文献。</w:t>
            </w:r>
          </w:p>
        </w:tc>
      </w:tr>
      <w:tr w14:paraId="2724B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242" w:type="dxa"/>
            <w:vMerge w:val="continue"/>
            <w:vAlign w:val="center"/>
          </w:tcPr>
          <w:p w14:paraId="3713431F">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rPr>
            </w:pPr>
          </w:p>
        </w:tc>
        <w:tc>
          <w:tcPr>
            <w:tcW w:w="2268" w:type="dxa"/>
            <w:vAlign w:val="center"/>
          </w:tcPr>
          <w:p w14:paraId="5D48089C">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rPr>
            </w:pPr>
            <w:r>
              <w:rPr>
                <w:rFonts w:hint="eastAsia" w:ascii="宋体" w:hAnsi="宋体" w:cs="宋体"/>
                <w:color w:val="auto"/>
                <w:sz w:val="21"/>
                <w:szCs w:val="21"/>
              </w:rPr>
              <w:t>给药途径审查</w:t>
            </w:r>
          </w:p>
        </w:tc>
        <w:tc>
          <w:tcPr>
            <w:tcW w:w="10666" w:type="dxa"/>
            <w:vAlign w:val="center"/>
          </w:tcPr>
          <w:p w14:paraId="63B8580B">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系统支持根据药品说明书或指南内容，对处方/医嘱中药品的给药途径进行审查，并给出提示，提示内容包括问题详情、分析依据及参考文献。支持按适用的给药途径或禁用的给药途径进行审查。</w:t>
            </w:r>
          </w:p>
        </w:tc>
      </w:tr>
      <w:tr w14:paraId="60DC3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242" w:type="dxa"/>
            <w:vMerge w:val="continue"/>
            <w:vAlign w:val="center"/>
          </w:tcPr>
          <w:p w14:paraId="0ECEC018">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rPr>
            </w:pPr>
          </w:p>
        </w:tc>
        <w:tc>
          <w:tcPr>
            <w:tcW w:w="2268" w:type="dxa"/>
            <w:vAlign w:val="center"/>
          </w:tcPr>
          <w:p w14:paraId="3EF8A22C">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rPr>
            </w:pPr>
            <w:r>
              <w:rPr>
                <w:rFonts w:hint="eastAsia" w:ascii="宋体" w:hAnsi="宋体" w:cs="宋体"/>
                <w:color w:val="auto"/>
                <w:sz w:val="21"/>
                <w:szCs w:val="21"/>
              </w:rPr>
              <w:t>配伍禁忌审查</w:t>
            </w:r>
          </w:p>
        </w:tc>
        <w:tc>
          <w:tcPr>
            <w:tcW w:w="10666" w:type="dxa"/>
            <w:vAlign w:val="center"/>
          </w:tcPr>
          <w:p w14:paraId="5B250478">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系统支持根据药品说明书或指南内容，对同一容器中混合的注射药品进行配伍禁忌审查，对混合后可能导致药液浑浊、变色、稳定性出现问题的配伍情况进行分析，并给出提示，提示内容包括问题详情、分析依据及参考文献。支持按药品或者药理分类进行配伍禁忌审查。</w:t>
            </w:r>
          </w:p>
        </w:tc>
      </w:tr>
      <w:tr w14:paraId="2E3B9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242" w:type="dxa"/>
            <w:vMerge w:val="continue"/>
            <w:vAlign w:val="center"/>
          </w:tcPr>
          <w:p w14:paraId="5225F946">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rPr>
            </w:pPr>
          </w:p>
        </w:tc>
        <w:tc>
          <w:tcPr>
            <w:tcW w:w="2268" w:type="dxa"/>
            <w:vAlign w:val="center"/>
          </w:tcPr>
          <w:p w14:paraId="204DFC98">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rPr>
            </w:pPr>
            <w:bookmarkStart w:id="119" w:name="_Toc25766163"/>
            <w:bookmarkStart w:id="120" w:name="_Toc35868307"/>
            <w:r>
              <w:rPr>
                <w:rFonts w:hint="eastAsia" w:ascii="宋体" w:hAnsi="宋体" w:cs="宋体"/>
                <w:color w:val="auto"/>
                <w:sz w:val="21"/>
                <w:szCs w:val="21"/>
              </w:rPr>
              <w:t>配伍浓度审查</w:t>
            </w:r>
            <w:bookmarkEnd w:id="119"/>
            <w:bookmarkEnd w:id="120"/>
          </w:p>
        </w:tc>
        <w:tc>
          <w:tcPr>
            <w:tcW w:w="10666" w:type="dxa"/>
            <w:vAlign w:val="center"/>
          </w:tcPr>
          <w:p w14:paraId="51B87A07">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系统支持根据药品说明书或指南内容，审查同组注射药品配伍后的药品浓度是否在规定浓度范围内，如果超出规定浓度则给出提示，提示内容包括问题详情、分析依据（配置浓度、配制方法）及参考文献。</w:t>
            </w:r>
          </w:p>
        </w:tc>
      </w:tr>
      <w:tr w14:paraId="40977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1242" w:type="dxa"/>
            <w:vMerge w:val="continue"/>
            <w:vAlign w:val="center"/>
          </w:tcPr>
          <w:p w14:paraId="3B199B3F">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rPr>
            </w:pPr>
          </w:p>
        </w:tc>
        <w:tc>
          <w:tcPr>
            <w:tcW w:w="2268" w:type="dxa"/>
            <w:vAlign w:val="center"/>
          </w:tcPr>
          <w:p w14:paraId="4610B20B">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rPr>
            </w:pPr>
            <w:r>
              <w:rPr>
                <w:rFonts w:hint="eastAsia" w:ascii="宋体" w:hAnsi="宋体" w:cs="宋体"/>
                <w:color w:val="auto"/>
                <w:sz w:val="21"/>
                <w:szCs w:val="21"/>
              </w:rPr>
              <w:t>年龄与性别用药审查</w:t>
            </w:r>
          </w:p>
        </w:tc>
        <w:tc>
          <w:tcPr>
            <w:tcW w:w="10666" w:type="dxa"/>
            <w:vAlign w:val="center"/>
          </w:tcPr>
          <w:p w14:paraId="0E30E9C1">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系统支持根据药品说明书或指南内容，结合患者的年龄、性别对处方/医嘱进行审查，并给出提示，提示内容包括问题详情、分析依据及参考文献。</w:t>
            </w:r>
          </w:p>
          <w:p w14:paraId="7A090CD9">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年龄与性别用药审查包括</w:t>
            </w:r>
          </w:p>
          <w:p w14:paraId="323A541E">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1)</w:t>
            </w:r>
            <w:r>
              <w:rPr>
                <w:rFonts w:hint="eastAsia" w:ascii="宋体" w:hAnsi="宋体" w:cs="宋体"/>
                <w:bCs/>
                <w:color w:val="auto"/>
                <w:sz w:val="21"/>
                <w:szCs w:val="21"/>
              </w:rPr>
              <w:tab/>
            </w:r>
            <w:r>
              <w:rPr>
                <w:rFonts w:hint="eastAsia" w:ascii="宋体" w:hAnsi="宋体" w:cs="宋体"/>
                <w:bCs/>
                <w:color w:val="auto"/>
                <w:sz w:val="21"/>
                <w:szCs w:val="21"/>
              </w:rPr>
              <w:t>审查处方/医嘱中的药品是否符合说明书或指南关于年龄的规定；</w:t>
            </w:r>
          </w:p>
          <w:p w14:paraId="63DA8B1E">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2)</w:t>
            </w:r>
            <w:r>
              <w:rPr>
                <w:rFonts w:hint="eastAsia" w:ascii="宋体" w:hAnsi="宋体" w:cs="宋体"/>
                <w:bCs/>
                <w:color w:val="auto"/>
                <w:sz w:val="21"/>
                <w:szCs w:val="21"/>
              </w:rPr>
              <w:tab/>
            </w:r>
            <w:r>
              <w:rPr>
                <w:rFonts w:hint="eastAsia" w:ascii="宋体" w:hAnsi="宋体" w:cs="宋体"/>
                <w:bCs/>
                <w:color w:val="auto"/>
                <w:sz w:val="21"/>
                <w:szCs w:val="21"/>
              </w:rPr>
              <w:t>审查处方/医嘱中的药品是否符合说明书或指南关于性别的规定；</w:t>
            </w:r>
          </w:p>
          <w:p w14:paraId="47F7B03A">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3)</w:t>
            </w:r>
            <w:r>
              <w:rPr>
                <w:rFonts w:hint="eastAsia" w:ascii="宋体" w:hAnsi="宋体" w:cs="宋体"/>
                <w:bCs/>
                <w:color w:val="auto"/>
                <w:sz w:val="21"/>
                <w:szCs w:val="21"/>
              </w:rPr>
              <w:tab/>
            </w:r>
            <w:r>
              <w:rPr>
                <w:rFonts w:hint="eastAsia" w:ascii="宋体" w:hAnsi="宋体" w:cs="宋体"/>
                <w:bCs/>
                <w:color w:val="auto"/>
                <w:sz w:val="21"/>
                <w:szCs w:val="21"/>
              </w:rPr>
              <w:t>审查处方/医嘱中的药品是否符合说明书或指南关于“年龄+性别”的规定。</w:t>
            </w:r>
          </w:p>
        </w:tc>
      </w:tr>
      <w:tr w14:paraId="09F7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242" w:type="dxa"/>
            <w:vMerge w:val="continue"/>
            <w:vAlign w:val="center"/>
          </w:tcPr>
          <w:p w14:paraId="296D2290">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rPr>
            </w:pPr>
          </w:p>
        </w:tc>
        <w:tc>
          <w:tcPr>
            <w:tcW w:w="2268" w:type="dxa"/>
            <w:vAlign w:val="center"/>
          </w:tcPr>
          <w:p w14:paraId="3B4567B9">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rPr>
            </w:pPr>
            <w:r>
              <w:rPr>
                <w:rFonts w:hint="eastAsia" w:ascii="宋体" w:hAnsi="宋体" w:cs="宋体"/>
                <w:color w:val="auto"/>
                <w:sz w:val="21"/>
                <w:szCs w:val="21"/>
              </w:rPr>
              <w:t>妊娠期妇女用药审查</w:t>
            </w:r>
          </w:p>
        </w:tc>
        <w:tc>
          <w:tcPr>
            <w:tcW w:w="10666" w:type="dxa"/>
            <w:vAlign w:val="center"/>
          </w:tcPr>
          <w:p w14:paraId="54C1EFB0">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系统支持根据药品说明书或指南内容，结合患者的妊娠期周期，审查处方/医嘱中是否存在妊娠期慎用或禁用的药品，并给出提示，提示内容包括问题详情、分析依据及参考文献。</w:t>
            </w:r>
          </w:p>
        </w:tc>
      </w:tr>
      <w:tr w14:paraId="16204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242" w:type="dxa"/>
            <w:vMerge w:val="continue"/>
            <w:vAlign w:val="center"/>
          </w:tcPr>
          <w:p w14:paraId="78978EF5">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rPr>
            </w:pPr>
          </w:p>
        </w:tc>
        <w:tc>
          <w:tcPr>
            <w:tcW w:w="2268" w:type="dxa"/>
            <w:vAlign w:val="center"/>
          </w:tcPr>
          <w:p w14:paraId="6A17E22D">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rPr>
            </w:pPr>
            <w:bookmarkStart w:id="121" w:name="_Toc361822006"/>
            <w:bookmarkStart w:id="122" w:name="_Toc383282814"/>
            <w:r>
              <w:rPr>
                <w:rFonts w:hint="eastAsia" w:ascii="宋体" w:hAnsi="宋体" w:cs="宋体"/>
                <w:color w:val="auto"/>
                <w:sz w:val="21"/>
                <w:szCs w:val="21"/>
              </w:rPr>
              <w:t>哺乳期妇女用药审查</w:t>
            </w:r>
            <w:bookmarkEnd w:id="121"/>
            <w:bookmarkEnd w:id="122"/>
          </w:p>
        </w:tc>
        <w:tc>
          <w:tcPr>
            <w:tcW w:w="10666" w:type="dxa"/>
            <w:vAlign w:val="center"/>
          </w:tcPr>
          <w:p w14:paraId="7D3EEC52">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系统支持根据药品说明书或指南内容，结合患者的哺乳期状况，审查处方/医嘱中是否存在哺乳期慎用或禁用的药品，并给出提示，提示内容包括问题详情、分析依据及参考文献。</w:t>
            </w:r>
          </w:p>
        </w:tc>
      </w:tr>
      <w:tr w14:paraId="4E650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1242" w:type="dxa"/>
            <w:vMerge w:val="continue"/>
            <w:vAlign w:val="center"/>
          </w:tcPr>
          <w:p w14:paraId="302448CC">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rPr>
            </w:pPr>
          </w:p>
        </w:tc>
        <w:tc>
          <w:tcPr>
            <w:tcW w:w="2268" w:type="dxa"/>
            <w:vAlign w:val="center"/>
          </w:tcPr>
          <w:p w14:paraId="270C3EAD">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rPr>
            </w:pPr>
            <w:r>
              <w:rPr>
                <w:rFonts w:hint="eastAsia" w:ascii="宋体" w:hAnsi="宋体" w:cs="宋体"/>
                <w:color w:val="auto"/>
                <w:sz w:val="21"/>
                <w:szCs w:val="21"/>
              </w:rPr>
              <w:t>儿童用药审查</w:t>
            </w:r>
          </w:p>
        </w:tc>
        <w:tc>
          <w:tcPr>
            <w:tcW w:w="10666" w:type="dxa"/>
            <w:vAlign w:val="center"/>
          </w:tcPr>
          <w:p w14:paraId="7579A0A7">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系统支持根据药品说明书或指南内容，结合儿童的年龄，审查处方/医嘱中是否存在儿童慎用或禁用的药品，并给出提示，提示内容包括问题详情、分析依据及参考文献。</w:t>
            </w:r>
          </w:p>
        </w:tc>
      </w:tr>
      <w:tr w14:paraId="1C152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242" w:type="dxa"/>
            <w:vMerge w:val="continue"/>
            <w:vAlign w:val="center"/>
          </w:tcPr>
          <w:p w14:paraId="051E5183">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rPr>
            </w:pPr>
          </w:p>
        </w:tc>
        <w:tc>
          <w:tcPr>
            <w:tcW w:w="2268" w:type="dxa"/>
            <w:vAlign w:val="center"/>
          </w:tcPr>
          <w:p w14:paraId="0851AB14">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rPr>
            </w:pPr>
            <w:r>
              <w:rPr>
                <w:rFonts w:hint="eastAsia" w:ascii="宋体" w:hAnsi="宋体" w:cs="宋体"/>
                <w:color w:val="auto"/>
                <w:sz w:val="21"/>
                <w:szCs w:val="21"/>
              </w:rPr>
              <w:t>老人用药审查</w:t>
            </w:r>
          </w:p>
        </w:tc>
        <w:tc>
          <w:tcPr>
            <w:tcW w:w="10666" w:type="dxa"/>
            <w:vAlign w:val="center"/>
          </w:tcPr>
          <w:p w14:paraId="5F8EDA84">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系统支持根据药品说明书或指南内容，结合老人的年龄，审查处方/医嘱中是否存在老人慎用或禁用的药品，并给出提示，提示内容包括问题详情、分析依据及参考文献。</w:t>
            </w:r>
          </w:p>
        </w:tc>
      </w:tr>
      <w:tr w14:paraId="42AAB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1242" w:type="dxa"/>
            <w:vMerge w:val="continue"/>
            <w:vAlign w:val="center"/>
          </w:tcPr>
          <w:p w14:paraId="11EE3B3C">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rPr>
            </w:pPr>
          </w:p>
        </w:tc>
        <w:tc>
          <w:tcPr>
            <w:tcW w:w="2268" w:type="dxa"/>
            <w:vAlign w:val="center"/>
          </w:tcPr>
          <w:p w14:paraId="6D7E31AE">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rPr>
            </w:pPr>
            <w:r>
              <w:rPr>
                <w:rFonts w:hint="eastAsia" w:ascii="宋体" w:hAnsi="宋体" w:cs="宋体"/>
                <w:color w:val="auto"/>
                <w:sz w:val="21"/>
                <w:szCs w:val="21"/>
              </w:rPr>
              <w:t>肝功能不全患者用药审查</w:t>
            </w:r>
          </w:p>
        </w:tc>
        <w:tc>
          <w:tcPr>
            <w:tcW w:w="10666" w:type="dxa"/>
            <w:vAlign w:val="center"/>
          </w:tcPr>
          <w:p w14:paraId="117904D0">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系统支持根据药品说明书或指南内容，结合患者肝功能状态（结合LIST与肝功能状态标识）进行药品审查，当发现药品可能引起治疗问题时，给出提示，提示内容包括问题详情、分析依据及参考文献。可根据药品说明书或指南详细的LIST肝功能值设置相应的警示级别。</w:t>
            </w:r>
          </w:p>
        </w:tc>
      </w:tr>
      <w:tr w14:paraId="2FCFC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8" w:hRule="atLeast"/>
          <w:jc w:val="center"/>
        </w:trPr>
        <w:tc>
          <w:tcPr>
            <w:tcW w:w="1242" w:type="dxa"/>
            <w:vMerge w:val="continue"/>
            <w:vAlign w:val="center"/>
          </w:tcPr>
          <w:p w14:paraId="5EE1E8CA">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rPr>
            </w:pPr>
          </w:p>
        </w:tc>
        <w:tc>
          <w:tcPr>
            <w:tcW w:w="2268" w:type="dxa"/>
            <w:vAlign w:val="center"/>
          </w:tcPr>
          <w:p w14:paraId="4B28C613">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rPr>
            </w:pPr>
            <w:r>
              <w:rPr>
                <w:rFonts w:hint="eastAsia" w:ascii="宋体" w:hAnsi="宋体" w:cs="宋体"/>
                <w:color w:val="auto"/>
                <w:sz w:val="21"/>
                <w:szCs w:val="21"/>
              </w:rPr>
              <w:t>肾功能不全患者用药审查</w:t>
            </w:r>
          </w:p>
        </w:tc>
        <w:tc>
          <w:tcPr>
            <w:tcW w:w="10666" w:type="dxa"/>
            <w:vAlign w:val="center"/>
          </w:tcPr>
          <w:p w14:paraId="5A40C15A">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系统支持根据药品说明书或指南内容，结合患者肾功能状态（结合LIST与肾功能状态标识）进行药品审查，当发现药品可能引起治疗问题时，给出提示，提示内容包括问题详情、分析依据及参考文献。可根据药品说明书或指南详细的LIST肾功能值设置相应的警示级别。如不同肌酐清楚率对应不同剂量。</w:t>
            </w:r>
          </w:p>
        </w:tc>
      </w:tr>
      <w:tr w14:paraId="46169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1242" w:type="dxa"/>
            <w:vMerge w:val="continue"/>
            <w:vAlign w:val="center"/>
          </w:tcPr>
          <w:p w14:paraId="7BEB1455">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rPr>
            </w:pPr>
          </w:p>
        </w:tc>
        <w:tc>
          <w:tcPr>
            <w:tcW w:w="2268" w:type="dxa"/>
            <w:vAlign w:val="center"/>
          </w:tcPr>
          <w:p w14:paraId="7D445187">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rPr>
            </w:pPr>
            <w:r>
              <w:rPr>
                <w:rFonts w:hint="eastAsia" w:ascii="宋体" w:hAnsi="宋体" w:cs="宋体"/>
                <w:color w:val="auto"/>
                <w:sz w:val="21"/>
                <w:szCs w:val="21"/>
              </w:rPr>
              <w:t>药品检验值审查</w:t>
            </w:r>
          </w:p>
        </w:tc>
        <w:tc>
          <w:tcPr>
            <w:tcW w:w="10666" w:type="dxa"/>
            <w:vAlign w:val="center"/>
          </w:tcPr>
          <w:p w14:paraId="31DE1415">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系统支持根据药品说明书或指南内容，结合患者的检验值，审查处方/医嘱中的药品是否合理，并给出提示，提示内容包括问题详情、分析依据及参考文献。</w:t>
            </w:r>
          </w:p>
        </w:tc>
      </w:tr>
      <w:tr w14:paraId="3AE65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242" w:type="dxa"/>
            <w:vMerge w:val="continue"/>
            <w:vAlign w:val="center"/>
          </w:tcPr>
          <w:p w14:paraId="3774B6B7">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rPr>
            </w:pPr>
          </w:p>
        </w:tc>
        <w:tc>
          <w:tcPr>
            <w:tcW w:w="2268" w:type="dxa"/>
            <w:vAlign w:val="center"/>
          </w:tcPr>
          <w:p w14:paraId="49387EE0">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rPr>
            </w:pPr>
            <w:r>
              <w:rPr>
                <w:rFonts w:hint="eastAsia" w:ascii="宋体" w:hAnsi="宋体" w:cs="宋体"/>
                <w:color w:val="auto"/>
                <w:sz w:val="21"/>
                <w:szCs w:val="21"/>
              </w:rPr>
              <w:t>中草药十八反十九畏审查</w:t>
            </w:r>
          </w:p>
        </w:tc>
        <w:tc>
          <w:tcPr>
            <w:tcW w:w="10666" w:type="dxa"/>
            <w:vAlign w:val="center"/>
          </w:tcPr>
          <w:p w14:paraId="50654BCD">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系统支持根据药品说明书或《中国药典》内容，审查中草药处方/医嘱中是否存在“十八反”“十九畏”的药品，并给出提示，提示内容包括问题详情、分析依据及参考文献。</w:t>
            </w:r>
          </w:p>
        </w:tc>
      </w:tr>
      <w:tr w14:paraId="52C67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242" w:type="dxa"/>
            <w:vMerge w:val="continue"/>
            <w:vAlign w:val="center"/>
          </w:tcPr>
          <w:p w14:paraId="19AE0E89">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rPr>
            </w:pPr>
          </w:p>
        </w:tc>
        <w:tc>
          <w:tcPr>
            <w:tcW w:w="2268" w:type="dxa"/>
            <w:vAlign w:val="center"/>
          </w:tcPr>
          <w:p w14:paraId="7B72D356">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rPr>
            </w:pPr>
            <w:r>
              <w:rPr>
                <w:rFonts w:hint="eastAsia" w:ascii="宋体" w:hAnsi="宋体" w:cs="宋体"/>
                <w:color w:val="auto"/>
                <w:sz w:val="21"/>
                <w:szCs w:val="21"/>
              </w:rPr>
              <w:t>中草药煎煮方法审查</w:t>
            </w:r>
          </w:p>
        </w:tc>
        <w:tc>
          <w:tcPr>
            <w:tcW w:w="10666" w:type="dxa"/>
            <w:vAlign w:val="center"/>
          </w:tcPr>
          <w:p w14:paraId="1F1DD68E">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系统支持根据药品说明书或《中国药典》内容，审查中草药处方/医嘱中药品的煎煮方法是否适合，并给出提示，提示内容包括问题详情、分析依据及参考文献。</w:t>
            </w:r>
          </w:p>
        </w:tc>
      </w:tr>
      <w:tr w14:paraId="222C9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242" w:type="dxa"/>
            <w:vMerge w:val="continue"/>
            <w:vAlign w:val="center"/>
          </w:tcPr>
          <w:p w14:paraId="2B4F55E4">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rPr>
            </w:pPr>
          </w:p>
        </w:tc>
        <w:tc>
          <w:tcPr>
            <w:tcW w:w="2268" w:type="dxa"/>
            <w:vAlign w:val="center"/>
          </w:tcPr>
          <w:p w14:paraId="6FA72ACA">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rPr>
            </w:pPr>
            <w:r>
              <w:rPr>
                <w:rFonts w:hint="eastAsia" w:ascii="宋体" w:hAnsi="宋体" w:cs="宋体"/>
                <w:color w:val="auto"/>
                <w:sz w:val="21"/>
                <w:szCs w:val="21"/>
              </w:rPr>
              <w:t>剂量审查</w:t>
            </w:r>
          </w:p>
        </w:tc>
        <w:tc>
          <w:tcPr>
            <w:tcW w:w="10666" w:type="dxa"/>
            <w:vAlign w:val="center"/>
          </w:tcPr>
          <w:p w14:paraId="585C9F2B">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系统支持根据药品说明书或指南内容，结合体重、年龄、给药途径信息审查处方（医嘱）中药品剂量、给药频率是否在药品厂家说明书推荐范围内，对超出范围的情况给出提示，提示内容包括问题详情、分析依据及参考文献。支持按体表面积或体重审查剂量。</w:t>
            </w:r>
          </w:p>
          <w:p w14:paraId="73E295E6">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剂量审查包括以下情况：</w:t>
            </w:r>
          </w:p>
          <w:p w14:paraId="508EBFA5">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1)</w:t>
            </w:r>
            <w:r>
              <w:rPr>
                <w:rFonts w:hint="eastAsia" w:ascii="宋体" w:hAnsi="宋体" w:cs="宋体"/>
                <w:bCs/>
                <w:color w:val="auto"/>
                <w:sz w:val="21"/>
                <w:szCs w:val="21"/>
              </w:rPr>
              <w:tab/>
            </w:r>
            <w:r>
              <w:rPr>
                <w:rFonts w:hint="eastAsia" w:ascii="宋体" w:hAnsi="宋体" w:cs="宋体"/>
                <w:bCs/>
                <w:color w:val="auto"/>
                <w:sz w:val="21"/>
                <w:szCs w:val="21"/>
              </w:rPr>
              <w:t>审查每次剂量的最大最小推荐量；</w:t>
            </w:r>
          </w:p>
          <w:p w14:paraId="65AA2E14">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2)</w:t>
            </w:r>
            <w:r>
              <w:rPr>
                <w:rFonts w:hint="eastAsia" w:ascii="宋体" w:hAnsi="宋体" w:cs="宋体"/>
                <w:bCs/>
                <w:color w:val="auto"/>
                <w:sz w:val="21"/>
                <w:szCs w:val="21"/>
              </w:rPr>
              <w:tab/>
            </w:r>
            <w:r>
              <w:rPr>
                <w:rFonts w:hint="eastAsia" w:ascii="宋体" w:hAnsi="宋体" w:cs="宋体"/>
                <w:bCs/>
                <w:color w:val="auto"/>
                <w:sz w:val="21"/>
                <w:szCs w:val="21"/>
              </w:rPr>
              <w:t>审查每日剂量的最大最小推荐量；</w:t>
            </w:r>
          </w:p>
          <w:p w14:paraId="61B2669B">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3)</w:t>
            </w:r>
            <w:r>
              <w:rPr>
                <w:rFonts w:hint="eastAsia" w:ascii="宋体" w:hAnsi="宋体" w:cs="宋体"/>
                <w:bCs/>
                <w:color w:val="auto"/>
                <w:sz w:val="21"/>
                <w:szCs w:val="21"/>
              </w:rPr>
              <w:tab/>
            </w:r>
            <w:r>
              <w:rPr>
                <w:rFonts w:hint="eastAsia" w:ascii="宋体" w:hAnsi="宋体" w:cs="宋体"/>
                <w:bCs/>
                <w:color w:val="auto"/>
                <w:sz w:val="21"/>
                <w:szCs w:val="21"/>
              </w:rPr>
              <w:t>审查每次给药剂量是否超出规定极量；</w:t>
            </w:r>
          </w:p>
          <w:p w14:paraId="10E88084">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4)</w:t>
            </w:r>
            <w:r>
              <w:rPr>
                <w:rFonts w:hint="eastAsia" w:ascii="宋体" w:hAnsi="宋体" w:cs="宋体"/>
                <w:bCs/>
                <w:color w:val="auto"/>
                <w:sz w:val="21"/>
                <w:szCs w:val="21"/>
              </w:rPr>
              <w:tab/>
            </w:r>
            <w:r>
              <w:rPr>
                <w:rFonts w:hint="eastAsia" w:ascii="宋体" w:hAnsi="宋体" w:cs="宋体"/>
                <w:bCs/>
                <w:color w:val="auto"/>
                <w:sz w:val="21"/>
                <w:szCs w:val="21"/>
              </w:rPr>
              <w:t>审查每日给药剂量是否超出规定极量；</w:t>
            </w:r>
          </w:p>
          <w:p w14:paraId="79C3DBCD">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5)</w:t>
            </w:r>
            <w:r>
              <w:rPr>
                <w:rFonts w:hint="eastAsia" w:ascii="宋体" w:hAnsi="宋体" w:cs="宋体"/>
                <w:bCs/>
                <w:color w:val="auto"/>
                <w:sz w:val="21"/>
                <w:szCs w:val="21"/>
              </w:rPr>
              <w:tab/>
            </w:r>
            <w:r>
              <w:rPr>
                <w:rFonts w:hint="eastAsia" w:ascii="宋体" w:hAnsi="宋体" w:cs="宋体"/>
                <w:bCs/>
                <w:color w:val="auto"/>
                <w:sz w:val="21"/>
                <w:szCs w:val="21"/>
              </w:rPr>
              <w:t>审查超过2倍最大推荐量明显异常用量的情况；</w:t>
            </w:r>
          </w:p>
          <w:p w14:paraId="28CCE19E">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6)</w:t>
            </w:r>
            <w:r>
              <w:rPr>
                <w:rFonts w:hint="eastAsia" w:ascii="宋体" w:hAnsi="宋体" w:cs="宋体"/>
                <w:bCs/>
                <w:color w:val="auto"/>
                <w:sz w:val="21"/>
                <w:szCs w:val="21"/>
              </w:rPr>
              <w:tab/>
            </w:r>
            <w:r>
              <w:rPr>
                <w:rFonts w:hint="eastAsia" w:ascii="宋体" w:hAnsi="宋体" w:cs="宋体"/>
                <w:bCs/>
                <w:color w:val="auto"/>
                <w:sz w:val="21"/>
                <w:szCs w:val="21"/>
              </w:rPr>
              <w:t>审给药频率是否超出规定频率。</w:t>
            </w:r>
          </w:p>
          <w:p w14:paraId="38EF3F9B">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7）说明书不同适应症对应不同剂量，系统需有精细化规则，不能仅仅有最大与最小剂量</w:t>
            </w:r>
          </w:p>
          <w:p w14:paraId="6D649CD9">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8）说明书有儿童不同体重不同年龄段剂量，需按说明书精细化设置，如说明书无具体年龄段剂量，需按《新编药物学》（第18版）P19 儿童用药剂量折算表设置规则。</w:t>
            </w:r>
          </w:p>
          <w:p w14:paraId="4F8F031F">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9）剂量小于常规剂量10分之一或大于常规剂量10倍，可设置严重警告或刚性拦截</w:t>
            </w:r>
          </w:p>
        </w:tc>
      </w:tr>
      <w:tr w14:paraId="5AD08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242" w:type="dxa"/>
            <w:vMerge w:val="continue"/>
            <w:vAlign w:val="center"/>
          </w:tcPr>
          <w:p w14:paraId="5553EEEE">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rPr>
            </w:pPr>
          </w:p>
        </w:tc>
        <w:tc>
          <w:tcPr>
            <w:tcW w:w="2268" w:type="dxa"/>
            <w:vAlign w:val="center"/>
          </w:tcPr>
          <w:p w14:paraId="4D05774B">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rPr>
            </w:pPr>
            <w:r>
              <w:rPr>
                <w:rFonts w:hint="eastAsia" w:ascii="宋体" w:hAnsi="宋体" w:cs="宋体"/>
                <w:color w:val="auto"/>
                <w:sz w:val="21"/>
                <w:szCs w:val="21"/>
              </w:rPr>
              <w:t>超多日量审查</w:t>
            </w:r>
          </w:p>
        </w:tc>
        <w:tc>
          <w:tcPr>
            <w:tcW w:w="10666" w:type="dxa"/>
            <w:vAlign w:val="center"/>
          </w:tcPr>
          <w:p w14:paraId="33A9E441">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系统支持根据《处方管理办法》关于处方一般不得超过7日用量的规定，审查门诊处方药品、急诊处方药品、麻醉药品、精神类药品、慢性病患者处方的药品用量是否超出规定范围，并给出提示，提示内容包括问题详情、分析依据及参考规定。</w:t>
            </w:r>
          </w:p>
          <w:p w14:paraId="552306E1">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可自定义按具体药品或某一类药品设置处方量（单张处方最大用药天数），可对特殊药品（麻醉、精神药品）可根据不同诊断设置不同天数的刚性拦截。</w:t>
            </w:r>
          </w:p>
          <w:p w14:paraId="381B3B3C">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余药量提醒、拦截功能，可自定义设置余药量3或7天时方可开具处方，例如A药设置为余药量7天，刚性拦截，患者某日开具28天用药量，第3日还剩余25天药量，超过7天，此时开具A药则刚性拦截，不允许开具。</w:t>
            </w:r>
          </w:p>
        </w:tc>
      </w:tr>
      <w:tr w14:paraId="6E984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242" w:type="dxa"/>
            <w:vMerge w:val="continue"/>
            <w:vAlign w:val="center"/>
          </w:tcPr>
          <w:p w14:paraId="423FFAE6">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rPr>
            </w:pPr>
          </w:p>
        </w:tc>
        <w:tc>
          <w:tcPr>
            <w:tcW w:w="2268" w:type="dxa"/>
            <w:vAlign w:val="center"/>
          </w:tcPr>
          <w:p w14:paraId="2261D531">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rPr>
            </w:pPr>
            <w:r>
              <w:rPr>
                <w:rFonts w:hint="eastAsia" w:ascii="宋体" w:hAnsi="宋体" w:cs="宋体"/>
                <w:color w:val="auto"/>
                <w:sz w:val="21"/>
                <w:szCs w:val="21"/>
              </w:rPr>
              <w:t>累积量审查</w:t>
            </w:r>
          </w:p>
        </w:tc>
        <w:tc>
          <w:tcPr>
            <w:tcW w:w="10666" w:type="dxa"/>
            <w:vAlign w:val="center"/>
          </w:tcPr>
          <w:p w14:paraId="5BEEF3AE">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系统支持根据药品说明书或指南内容，结合体重、年龄、给药途径信息审查患者一定时间内的累积用量是否在管理范围内，对超出范围的情况给出提示，提示内容包括问题详情、分析依据及参考文献。</w:t>
            </w:r>
          </w:p>
        </w:tc>
      </w:tr>
      <w:tr w14:paraId="1A207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242" w:type="dxa"/>
            <w:vMerge w:val="continue"/>
            <w:vAlign w:val="center"/>
          </w:tcPr>
          <w:p w14:paraId="07B02ACA">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rPr>
            </w:pPr>
          </w:p>
        </w:tc>
        <w:tc>
          <w:tcPr>
            <w:tcW w:w="2268" w:type="dxa"/>
            <w:vAlign w:val="center"/>
          </w:tcPr>
          <w:p w14:paraId="56832292">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rPr>
            </w:pPr>
            <w:r>
              <w:rPr>
                <w:rFonts w:hint="eastAsia" w:ascii="宋体" w:hAnsi="宋体" w:cs="宋体"/>
                <w:color w:val="auto"/>
                <w:sz w:val="21"/>
                <w:szCs w:val="21"/>
              </w:rPr>
              <w:t>医保药学审查</w:t>
            </w:r>
          </w:p>
        </w:tc>
        <w:tc>
          <w:tcPr>
            <w:tcW w:w="10666" w:type="dxa"/>
            <w:vAlign w:val="center"/>
          </w:tcPr>
          <w:p w14:paraId="5DA7E440">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对标说明书内容，对医保患者超适应症用药、超剂量用药、超人群用药、超给药途径用药、重复用药，弹框提醒医生“超说明书用药需征得患者同意后自费”。</w:t>
            </w:r>
          </w:p>
        </w:tc>
      </w:tr>
      <w:tr w14:paraId="696B7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242" w:type="dxa"/>
            <w:vMerge w:val="continue"/>
            <w:vAlign w:val="center"/>
          </w:tcPr>
          <w:p w14:paraId="232D232B">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rPr>
            </w:pPr>
          </w:p>
        </w:tc>
        <w:tc>
          <w:tcPr>
            <w:tcW w:w="2268" w:type="dxa"/>
            <w:vAlign w:val="center"/>
          </w:tcPr>
          <w:p w14:paraId="0E00A774">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rPr>
            </w:pPr>
            <w:r>
              <w:rPr>
                <w:rFonts w:hint="eastAsia" w:ascii="宋体" w:hAnsi="宋体" w:cs="宋体"/>
                <w:color w:val="auto"/>
                <w:sz w:val="21"/>
                <w:szCs w:val="21"/>
              </w:rPr>
              <w:t>要点提示</w:t>
            </w:r>
          </w:p>
        </w:tc>
        <w:tc>
          <w:tcPr>
            <w:tcW w:w="10666" w:type="dxa"/>
            <w:vAlign w:val="center"/>
          </w:tcPr>
          <w:p w14:paraId="1A0BBFEB">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系统支持针对用户所选择的药品进行“要点提示”。此功能可以帮助医生节省通篇阅读药品说明书的时间，用户仅需要几秒的时间即能迅速了解药品说明书中包括禁用、慎用和注意事项在内的重点内容，以及部分有特殊使用要求的药品提示信息；方便用户准确、规范的使用药品。</w:t>
            </w:r>
          </w:p>
          <w:p w14:paraId="37EEC9B4">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要点提示包括以下内容：</w:t>
            </w:r>
          </w:p>
          <w:p w14:paraId="1F743D53">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1)</w:t>
            </w:r>
            <w:r>
              <w:rPr>
                <w:rFonts w:hint="eastAsia" w:ascii="宋体" w:hAnsi="宋体" w:cs="宋体"/>
                <w:bCs/>
                <w:color w:val="auto"/>
                <w:sz w:val="21"/>
                <w:szCs w:val="21"/>
              </w:rPr>
              <w:tab/>
            </w:r>
            <w:r>
              <w:rPr>
                <w:rFonts w:hint="eastAsia" w:ascii="宋体" w:hAnsi="宋体" w:cs="宋体"/>
                <w:bCs/>
                <w:color w:val="auto"/>
                <w:sz w:val="21"/>
                <w:szCs w:val="21"/>
              </w:rPr>
              <w:t>说明书要点提示。将药品说明书的全文内容进行提炼，对用药过程中需要注意的事项进行摘要提示；</w:t>
            </w:r>
          </w:p>
          <w:p w14:paraId="26D4A1A5">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2)</w:t>
            </w:r>
            <w:r>
              <w:rPr>
                <w:rFonts w:hint="eastAsia" w:ascii="宋体" w:hAnsi="宋体" w:cs="宋体"/>
                <w:bCs/>
                <w:color w:val="auto"/>
                <w:sz w:val="21"/>
                <w:szCs w:val="21"/>
              </w:rPr>
              <w:tab/>
            </w:r>
            <w:r>
              <w:rPr>
                <w:rFonts w:hint="eastAsia" w:ascii="宋体" w:hAnsi="宋体" w:cs="宋体"/>
                <w:bCs/>
                <w:color w:val="auto"/>
                <w:sz w:val="21"/>
                <w:szCs w:val="21"/>
              </w:rPr>
              <w:t>细菌耐药率提示。提示处方中抗菌药物的耐药品种及本院细菌耐药率（取医院最新耐药率报告）；</w:t>
            </w:r>
          </w:p>
          <w:p w14:paraId="0FF31B98">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3)</w:t>
            </w:r>
            <w:r>
              <w:rPr>
                <w:rFonts w:hint="eastAsia" w:ascii="宋体" w:hAnsi="宋体" w:cs="宋体"/>
                <w:bCs/>
                <w:color w:val="auto"/>
                <w:sz w:val="21"/>
                <w:szCs w:val="21"/>
              </w:rPr>
              <w:tab/>
            </w:r>
            <w:r>
              <w:rPr>
                <w:rFonts w:hint="eastAsia" w:ascii="宋体" w:hAnsi="宋体" w:cs="宋体"/>
                <w:bCs/>
                <w:color w:val="auto"/>
                <w:sz w:val="21"/>
                <w:szCs w:val="21"/>
              </w:rPr>
              <w:t>黑框提示。将说明书中存在的黑框内容提示。</w:t>
            </w:r>
          </w:p>
        </w:tc>
      </w:tr>
      <w:tr w14:paraId="3121D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242" w:type="dxa"/>
            <w:vMerge w:val="continue"/>
            <w:vAlign w:val="center"/>
          </w:tcPr>
          <w:p w14:paraId="3A67D36C">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rPr>
            </w:pPr>
          </w:p>
        </w:tc>
        <w:tc>
          <w:tcPr>
            <w:tcW w:w="2268" w:type="dxa"/>
            <w:vAlign w:val="center"/>
          </w:tcPr>
          <w:p w14:paraId="7542315C">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rPr>
            </w:pPr>
            <w:r>
              <w:rPr>
                <w:rFonts w:hint="eastAsia" w:ascii="宋体" w:hAnsi="宋体" w:cs="宋体"/>
                <w:color w:val="auto"/>
                <w:sz w:val="21"/>
                <w:szCs w:val="21"/>
              </w:rPr>
              <w:t>患者过敏审查</w:t>
            </w:r>
          </w:p>
        </w:tc>
        <w:tc>
          <w:tcPr>
            <w:tcW w:w="10666" w:type="dxa"/>
            <w:vAlign w:val="center"/>
          </w:tcPr>
          <w:p w14:paraId="21EC9D0F">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根据患者的过敏史情况，审查处方药品，如有过敏的药品或同类药品，需弹框提醒。</w:t>
            </w:r>
          </w:p>
        </w:tc>
      </w:tr>
      <w:tr w14:paraId="6CFF3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242" w:type="dxa"/>
            <w:vMerge w:val="continue"/>
            <w:vAlign w:val="center"/>
          </w:tcPr>
          <w:p w14:paraId="611ADE66">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rPr>
            </w:pPr>
          </w:p>
        </w:tc>
        <w:tc>
          <w:tcPr>
            <w:tcW w:w="2268" w:type="dxa"/>
            <w:vAlign w:val="center"/>
          </w:tcPr>
          <w:p w14:paraId="0EA0D62E">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rPr>
            </w:pPr>
            <w:r>
              <w:rPr>
                <w:rFonts w:hint="eastAsia" w:ascii="宋体" w:hAnsi="宋体" w:cs="宋体"/>
                <w:color w:val="auto"/>
                <w:sz w:val="21"/>
                <w:szCs w:val="21"/>
              </w:rPr>
              <w:t>肠外营养审查</w:t>
            </w:r>
          </w:p>
        </w:tc>
        <w:tc>
          <w:tcPr>
            <w:tcW w:w="10666" w:type="dxa"/>
            <w:vAlign w:val="center"/>
          </w:tcPr>
          <w:p w14:paraId="611E6BA2">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系统支持肠外营养多成分配伍，如非套餐内的配伍，则提醒存在配伍禁忌。</w:t>
            </w:r>
          </w:p>
          <w:p w14:paraId="4DB7F9F1">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系统支持计算肠外营养制剂中的电解质浓度、葡萄糖浓度、氨基酸浓度是否适宜，不适宜提醒。</w:t>
            </w:r>
          </w:p>
          <w:p w14:paraId="513033E2">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系统支持根据患者的个体化情况计算热氮比、糖脂比是否适宜。</w:t>
            </w:r>
          </w:p>
        </w:tc>
      </w:tr>
      <w:tr w14:paraId="571F9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242" w:type="dxa"/>
            <w:vMerge w:val="continue"/>
            <w:vAlign w:val="center"/>
          </w:tcPr>
          <w:p w14:paraId="5B7195B3">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rPr>
            </w:pPr>
          </w:p>
        </w:tc>
        <w:tc>
          <w:tcPr>
            <w:tcW w:w="12934" w:type="dxa"/>
            <w:gridSpan w:val="2"/>
            <w:vAlign w:val="center"/>
          </w:tcPr>
          <w:p w14:paraId="0D5701DD">
            <w:pPr>
              <w:keepNext w:val="0"/>
              <w:keepLines w:val="0"/>
              <w:pageBreakBefore w:val="0"/>
              <w:numPr>
                <w:ilvl w:val="1"/>
                <w:numId w:val="0"/>
              </w:numPr>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bookmarkStart w:id="123" w:name="_Toc192772585"/>
            <w:r>
              <w:rPr>
                <w:rFonts w:hint="eastAsia" w:ascii="宋体" w:hAnsi="宋体" w:cs="宋体"/>
                <w:color w:val="auto"/>
                <w:sz w:val="21"/>
                <w:szCs w:val="21"/>
              </w:rPr>
              <w:t>合理用药报表</w:t>
            </w:r>
            <w:bookmarkEnd w:id="123"/>
          </w:p>
        </w:tc>
      </w:tr>
      <w:tr w14:paraId="1E769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242" w:type="dxa"/>
            <w:vMerge w:val="continue"/>
            <w:vAlign w:val="center"/>
          </w:tcPr>
          <w:p w14:paraId="723E983A">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rPr>
            </w:pPr>
          </w:p>
        </w:tc>
        <w:tc>
          <w:tcPr>
            <w:tcW w:w="2268" w:type="dxa"/>
            <w:vAlign w:val="center"/>
          </w:tcPr>
          <w:p w14:paraId="7C742BF8">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rPr>
            </w:pPr>
            <w:r>
              <w:rPr>
                <w:rFonts w:hint="eastAsia" w:ascii="宋体" w:hAnsi="宋体" w:cs="宋体"/>
                <w:color w:val="auto"/>
                <w:sz w:val="21"/>
                <w:szCs w:val="21"/>
              </w:rPr>
              <w:t>问题处方统计</w:t>
            </w:r>
          </w:p>
        </w:tc>
        <w:tc>
          <w:tcPr>
            <w:tcW w:w="10666" w:type="dxa"/>
            <w:vAlign w:val="center"/>
          </w:tcPr>
          <w:p w14:paraId="6F7139FD">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系统支持以下指标统计：</w:t>
            </w:r>
          </w:p>
          <w:p w14:paraId="5DA5AA8C">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1)</w:t>
            </w:r>
            <w:r>
              <w:rPr>
                <w:rFonts w:hint="eastAsia" w:ascii="宋体" w:hAnsi="宋体" w:cs="宋体"/>
                <w:bCs/>
                <w:color w:val="auto"/>
                <w:sz w:val="21"/>
                <w:szCs w:val="21"/>
              </w:rPr>
              <w:tab/>
            </w:r>
            <w:r>
              <w:rPr>
                <w:rFonts w:hint="eastAsia" w:ascii="宋体" w:hAnsi="宋体" w:cs="宋体"/>
                <w:bCs/>
                <w:color w:val="auto"/>
                <w:sz w:val="21"/>
                <w:szCs w:val="21"/>
              </w:rPr>
              <w:t>总处方数：进入合理用药系统的处方数量；</w:t>
            </w:r>
          </w:p>
          <w:p w14:paraId="28C99A8C">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2)</w:t>
            </w:r>
            <w:r>
              <w:rPr>
                <w:rFonts w:hint="eastAsia" w:ascii="宋体" w:hAnsi="宋体" w:cs="宋体"/>
                <w:bCs/>
                <w:color w:val="auto"/>
                <w:sz w:val="21"/>
                <w:szCs w:val="21"/>
              </w:rPr>
              <w:tab/>
            </w:r>
            <w:r>
              <w:rPr>
                <w:rFonts w:hint="eastAsia" w:ascii="宋体" w:hAnsi="宋体" w:cs="宋体"/>
                <w:bCs/>
                <w:color w:val="auto"/>
                <w:sz w:val="21"/>
                <w:szCs w:val="21"/>
              </w:rPr>
              <w:t>严重问题数：处方违反规则触发严重问题的次数；</w:t>
            </w:r>
          </w:p>
          <w:p w14:paraId="137849E0">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3)</w:t>
            </w:r>
            <w:r>
              <w:rPr>
                <w:rFonts w:hint="eastAsia" w:ascii="宋体" w:hAnsi="宋体" w:cs="宋体"/>
                <w:bCs/>
                <w:color w:val="auto"/>
                <w:sz w:val="21"/>
                <w:szCs w:val="21"/>
              </w:rPr>
              <w:tab/>
            </w:r>
            <w:r>
              <w:rPr>
                <w:rFonts w:hint="eastAsia" w:ascii="宋体" w:hAnsi="宋体" w:cs="宋体"/>
                <w:bCs/>
                <w:color w:val="auto"/>
                <w:sz w:val="21"/>
                <w:szCs w:val="21"/>
              </w:rPr>
              <w:t>不推荐问题数：处方违反规则触发不推荐问题的次数；</w:t>
            </w:r>
          </w:p>
          <w:p w14:paraId="3D982F50">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4)</w:t>
            </w:r>
            <w:r>
              <w:rPr>
                <w:rFonts w:hint="eastAsia" w:ascii="宋体" w:hAnsi="宋体" w:cs="宋体"/>
                <w:bCs/>
                <w:color w:val="auto"/>
                <w:sz w:val="21"/>
                <w:szCs w:val="21"/>
              </w:rPr>
              <w:tab/>
            </w:r>
            <w:r>
              <w:rPr>
                <w:rFonts w:hint="eastAsia" w:ascii="宋体" w:hAnsi="宋体" w:cs="宋体"/>
                <w:bCs/>
                <w:color w:val="auto"/>
                <w:sz w:val="21"/>
                <w:szCs w:val="21"/>
              </w:rPr>
              <w:t>慎用问题数：处方违反规则触发慎用问题的次数；</w:t>
            </w:r>
          </w:p>
          <w:p w14:paraId="7E5F5436">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5)</w:t>
            </w:r>
            <w:r>
              <w:rPr>
                <w:rFonts w:hint="eastAsia" w:ascii="宋体" w:hAnsi="宋体" w:cs="宋体"/>
                <w:bCs/>
                <w:color w:val="auto"/>
                <w:sz w:val="21"/>
                <w:szCs w:val="21"/>
              </w:rPr>
              <w:tab/>
            </w:r>
            <w:r>
              <w:rPr>
                <w:rFonts w:hint="eastAsia" w:ascii="宋体" w:hAnsi="宋体" w:cs="宋体"/>
                <w:bCs/>
                <w:color w:val="auto"/>
                <w:sz w:val="21"/>
                <w:szCs w:val="21"/>
              </w:rPr>
              <w:t>提示问题数：处方违反规则触发提示问题的次数；</w:t>
            </w:r>
          </w:p>
          <w:p w14:paraId="52C589A7">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6)</w:t>
            </w:r>
            <w:r>
              <w:rPr>
                <w:rFonts w:hint="eastAsia" w:ascii="宋体" w:hAnsi="宋体" w:cs="宋体"/>
                <w:bCs/>
                <w:color w:val="auto"/>
                <w:sz w:val="21"/>
                <w:szCs w:val="21"/>
              </w:rPr>
              <w:tab/>
            </w:r>
            <w:r>
              <w:rPr>
                <w:rFonts w:hint="eastAsia" w:ascii="宋体" w:hAnsi="宋体" w:cs="宋体"/>
                <w:bCs/>
                <w:color w:val="auto"/>
                <w:sz w:val="21"/>
                <w:szCs w:val="21"/>
              </w:rPr>
              <w:t>严重处方数：触发严重问题的处方数量；</w:t>
            </w:r>
          </w:p>
          <w:p w14:paraId="519B12F1">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7)</w:t>
            </w:r>
            <w:r>
              <w:rPr>
                <w:rFonts w:hint="eastAsia" w:ascii="宋体" w:hAnsi="宋体" w:cs="宋体"/>
                <w:bCs/>
                <w:color w:val="auto"/>
                <w:sz w:val="21"/>
                <w:szCs w:val="21"/>
              </w:rPr>
              <w:tab/>
            </w:r>
            <w:r>
              <w:rPr>
                <w:rFonts w:hint="eastAsia" w:ascii="宋体" w:hAnsi="宋体" w:cs="宋体"/>
                <w:bCs/>
                <w:color w:val="auto"/>
                <w:sz w:val="21"/>
                <w:szCs w:val="21"/>
              </w:rPr>
              <w:t>不推荐处方数：触发不推荐问题的处方数量；</w:t>
            </w:r>
          </w:p>
          <w:p w14:paraId="6DA93A15">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8)</w:t>
            </w:r>
            <w:r>
              <w:rPr>
                <w:rFonts w:hint="eastAsia" w:ascii="宋体" w:hAnsi="宋体" w:cs="宋体"/>
                <w:bCs/>
                <w:color w:val="auto"/>
                <w:sz w:val="21"/>
                <w:szCs w:val="21"/>
              </w:rPr>
              <w:tab/>
            </w:r>
            <w:r>
              <w:rPr>
                <w:rFonts w:hint="eastAsia" w:ascii="宋体" w:hAnsi="宋体" w:cs="宋体"/>
                <w:bCs/>
                <w:color w:val="auto"/>
                <w:sz w:val="21"/>
                <w:szCs w:val="21"/>
              </w:rPr>
              <w:t>慎用处方数：触发慎用问题的处方数量；</w:t>
            </w:r>
          </w:p>
          <w:p w14:paraId="70E8AC83">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9)</w:t>
            </w:r>
            <w:r>
              <w:rPr>
                <w:rFonts w:hint="eastAsia" w:ascii="宋体" w:hAnsi="宋体" w:cs="宋体"/>
                <w:bCs/>
                <w:color w:val="auto"/>
                <w:sz w:val="21"/>
                <w:szCs w:val="21"/>
              </w:rPr>
              <w:tab/>
            </w:r>
            <w:r>
              <w:rPr>
                <w:rFonts w:hint="eastAsia" w:ascii="宋体" w:hAnsi="宋体" w:cs="宋体"/>
                <w:bCs/>
                <w:color w:val="auto"/>
                <w:sz w:val="21"/>
                <w:szCs w:val="21"/>
              </w:rPr>
              <w:t>提示处方数：触发提示问题的处方数量；</w:t>
            </w:r>
          </w:p>
          <w:p w14:paraId="600CF06D">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10)</w:t>
            </w:r>
            <w:r>
              <w:rPr>
                <w:rFonts w:hint="eastAsia" w:ascii="宋体" w:hAnsi="宋体" w:cs="宋体"/>
                <w:bCs/>
                <w:color w:val="auto"/>
                <w:sz w:val="21"/>
                <w:szCs w:val="21"/>
              </w:rPr>
              <w:tab/>
            </w:r>
            <w:r>
              <w:rPr>
                <w:rFonts w:hint="eastAsia" w:ascii="宋体" w:hAnsi="宋体" w:cs="宋体"/>
                <w:bCs/>
                <w:color w:val="auto"/>
                <w:sz w:val="21"/>
                <w:szCs w:val="21"/>
              </w:rPr>
              <w:t>严重问题处方比例：触发严重问题的处方数量占总处方数的比例；</w:t>
            </w:r>
          </w:p>
          <w:p w14:paraId="2BB699F0">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11)</w:t>
            </w:r>
            <w:r>
              <w:rPr>
                <w:rFonts w:hint="eastAsia" w:ascii="宋体" w:hAnsi="宋体" w:cs="宋体"/>
                <w:bCs/>
                <w:color w:val="auto"/>
                <w:sz w:val="21"/>
                <w:szCs w:val="21"/>
              </w:rPr>
              <w:tab/>
            </w:r>
            <w:r>
              <w:rPr>
                <w:rFonts w:hint="eastAsia" w:ascii="宋体" w:hAnsi="宋体" w:cs="宋体"/>
                <w:bCs/>
                <w:color w:val="auto"/>
                <w:sz w:val="21"/>
                <w:szCs w:val="21"/>
              </w:rPr>
              <w:t>不推荐问题处方比例：触发不推荐问题的处方数量占总处方数的比例；</w:t>
            </w:r>
          </w:p>
          <w:p w14:paraId="23580696">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12)</w:t>
            </w:r>
            <w:r>
              <w:rPr>
                <w:rFonts w:hint="eastAsia" w:ascii="宋体" w:hAnsi="宋体" w:cs="宋体"/>
                <w:bCs/>
                <w:color w:val="auto"/>
                <w:sz w:val="21"/>
                <w:szCs w:val="21"/>
              </w:rPr>
              <w:tab/>
            </w:r>
            <w:r>
              <w:rPr>
                <w:rFonts w:hint="eastAsia" w:ascii="宋体" w:hAnsi="宋体" w:cs="宋体"/>
                <w:bCs/>
                <w:color w:val="auto"/>
                <w:sz w:val="21"/>
                <w:szCs w:val="21"/>
              </w:rPr>
              <w:t>慎用问题处方比例：触发慎用问题的处方数量占总处方数的比例；</w:t>
            </w:r>
          </w:p>
          <w:p w14:paraId="0F07DADC">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13)</w:t>
            </w:r>
            <w:r>
              <w:rPr>
                <w:rFonts w:hint="eastAsia" w:ascii="宋体" w:hAnsi="宋体" w:cs="宋体"/>
                <w:bCs/>
                <w:color w:val="auto"/>
                <w:sz w:val="21"/>
                <w:szCs w:val="21"/>
              </w:rPr>
              <w:tab/>
            </w:r>
            <w:r>
              <w:rPr>
                <w:rFonts w:hint="eastAsia" w:ascii="宋体" w:hAnsi="宋体" w:cs="宋体"/>
                <w:bCs/>
                <w:color w:val="auto"/>
                <w:sz w:val="21"/>
                <w:szCs w:val="21"/>
              </w:rPr>
              <w:t>提示问题处方比例：触发提示问题的处方数量占总处方数的比例；</w:t>
            </w:r>
          </w:p>
          <w:p w14:paraId="256AEAAC">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系统支持以图表的形式展示上述指标。</w:t>
            </w:r>
          </w:p>
          <w:p w14:paraId="03E76732">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系统支持数据筛选，筛选条件包括日期、就诊类型、问题级别、问题标题、按科室、按医生。</w:t>
            </w:r>
          </w:p>
          <w:p w14:paraId="77D185B6">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系统支持报表的导出。</w:t>
            </w:r>
          </w:p>
        </w:tc>
      </w:tr>
      <w:tr w14:paraId="0B4FE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242" w:type="dxa"/>
            <w:vMerge w:val="continue"/>
            <w:vAlign w:val="center"/>
          </w:tcPr>
          <w:p w14:paraId="48A815BF">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rPr>
            </w:pPr>
          </w:p>
        </w:tc>
        <w:tc>
          <w:tcPr>
            <w:tcW w:w="2268" w:type="dxa"/>
            <w:vAlign w:val="center"/>
          </w:tcPr>
          <w:p w14:paraId="4E60D689">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rPr>
            </w:pPr>
            <w:bookmarkStart w:id="124" w:name="_Toc302143826"/>
            <w:bookmarkStart w:id="125" w:name="_Toc20074"/>
            <w:r>
              <w:rPr>
                <w:rFonts w:hint="eastAsia" w:ascii="宋体" w:hAnsi="宋体" w:cs="宋体"/>
                <w:color w:val="auto"/>
                <w:sz w:val="21"/>
                <w:szCs w:val="21"/>
              </w:rPr>
              <w:t>问题处方</w:t>
            </w:r>
            <w:bookmarkEnd w:id="124"/>
            <w:bookmarkEnd w:id="125"/>
            <w:r>
              <w:rPr>
                <w:rFonts w:hint="eastAsia" w:ascii="宋体" w:hAnsi="宋体" w:cs="宋体"/>
                <w:color w:val="auto"/>
                <w:sz w:val="21"/>
                <w:szCs w:val="21"/>
              </w:rPr>
              <w:t>查询</w:t>
            </w:r>
          </w:p>
        </w:tc>
        <w:tc>
          <w:tcPr>
            <w:tcW w:w="10666" w:type="dxa"/>
            <w:vAlign w:val="center"/>
          </w:tcPr>
          <w:p w14:paraId="66909965">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系统支持多种条件组合查询问题处方，包括按日期、按患者姓名、患者年龄、患者性别、就诊类型、处方号、就诊号、问题级别、问题标题、开方科室、医生姓名、药品名称、药品类别、医嘱类型、处方标签。</w:t>
            </w:r>
          </w:p>
          <w:p w14:paraId="298264B3">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系统支持查看问题处方详情，支持导出问题处方。</w:t>
            </w:r>
          </w:p>
        </w:tc>
      </w:tr>
      <w:tr w14:paraId="0D323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242" w:type="dxa"/>
            <w:vMerge w:val="continue"/>
            <w:vAlign w:val="center"/>
          </w:tcPr>
          <w:p w14:paraId="315A5570">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rPr>
            </w:pPr>
          </w:p>
        </w:tc>
        <w:tc>
          <w:tcPr>
            <w:tcW w:w="2268" w:type="dxa"/>
            <w:vAlign w:val="center"/>
          </w:tcPr>
          <w:p w14:paraId="47A355B8">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rPr>
            </w:pPr>
            <w:r>
              <w:rPr>
                <w:rFonts w:hint="eastAsia" w:ascii="宋体" w:hAnsi="宋体" w:cs="宋体"/>
                <w:color w:val="auto"/>
                <w:sz w:val="21"/>
                <w:szCs w:val="21"/>
              </w:rPr>
              <w:t>高频触发问题药品明细表</w:t>
            </w:r>
          </w:p>
        </w:tc>
        <w:tc>
          <w:tcPr>
            <w:tcW w:w="10666" w:type="dxa"/>
            <w:vAlign w:val="center"/>
          </w:tcPr>
          <w:p w14:paraId="248F2764">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系统支持统计每个药品触发问题的数量，并按数量大小进行药品排序。支持药品明细导出。</w:t>
            </w:r>
          </w:p>
          <w:p w14:paraId="04C43435">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系统支持查看高频触发问题的药品的相关处方。支持处方列表导出。</w:t>
            </w:r>
          </w:p>
        </w:tc>
      </w:tr>
      <w:tr w14:paraId="6C7B5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242" w:type="dxa"/>
            <w:vMerge w:val="continue"/>
            <w:vAlign w:val="center"/>
          </w:tcPr>
          <w:p w14:paraId="1AF27D30">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rPr>
            </w:pPr>
          </w:p>
        </w:tc>
        <w:tc>
          <w:tcPr>
            <w:tcW w:w="12934" w:type="dxa"/>
            <w:gridSpan w:val="2"/>
            <w:vAlign w:val="center"/>
          </w:tcPr>
          <w:p w14:paraId="0DE9C439">
            <w:pPr>
              <w:keepNext w:val="0"/>
              <w:keepLines w:val="0"/>
              <w:pageBreakBefore w:val="0"/>
              <w:numPr>
                <w:ilvl w:val="1"/>
                <w:numId w:val="0"/>
              </w:numPr>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bookmarkStart w:id="126" w:name="_Toc192772586"/>
            <w:r>
              <w:rPr>
                <w:rFonts w:hint="eastAsia" w:ascii="宋体" w:hAnsi="宋体" w:cs="宋体"/>
                <w:color w:val="auto"/>
                <w:sz w:val="21"/>
                <w:szCs w:val="21"/>
              </w:rPr>
              <w:t>合理用药规则维护</w:t>
            </w:r>
            <w:bookmarkEnd w:id="126"/>
          </w:p>
        </w:tc>
      </w:tr>
      <w:tr w14:paraId="63708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242" w:type="dxa"/>
            <w:vMerge w:val="continue"/>
            <w:vAlign w:val="center"/>
          </w:tcPr>
          <w:p w14:paraId="56D0B99C">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rPr>
            </w:pPr>
          </w:p>
        </w:tc>
        <w:tc>
          <w:tcPr>
            <w:tcW w:w="2268" w:type="dxa"/>
            <w:vAlign w:val="center"/>
          </w:tcPr>
          <w:p w14:paraId="2F3DE766">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rPr>
            </w:pPr>
            <w:r>
              <w:rPr>
                <w:rFonts w:hint="eastAsia" w:ascii="宋体" w:hAnsi="宋体" w:cs="宋体"/>
                <w:color w:val="auto"/>
                <w:sz w:val="21"/>
                <w:szCs w:val="21"/>
              </w:rPr>
              <w:t>药品规则编辑器</w:t>
            </w:r>
          </w:p>
        </w:tc>
        <w:tc>
          <w:tcPr>
            <w:tcW w:w="10666" w:type="dxa"/>
            <w:vAlign w:val="center"/>
          </w:tcPr>
          <w:p w14:paraId="234F4C5F">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药品规则编辑器支持维护三个级别的规则。在操作上，支持增、删、改、查、复制规则；在规则编制上，可设置所报问题的级别；可定义规则类型（说明书规则、公认的超说明书规则、院内超说明书规则）；可描述参考文献及提示内容；可同步调阅药品说明书；可为每条规则设置规则集，让规则更具灵活性。包括相互作用规则维护、重复用药规则维护、配伍禁忌规则维护、配伍浓度规则维护、特殊人群规则维护、病生理规则维护、给药途径规则维护、适应症规则维护、禁忌症规则维护、妊娠期规则维护、检验值规则维护、十八反十九畏规则维护、中草药煎煮规则维护、中医证候诊断规则维护、用法用量规则维护、不良反应规则维护、要点提示内容维护。</w:t>
            </w:r>
          </w:p>
          <w:p w14:paraId="212EF870">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系统支持新药在药库建立条目后，系统自动抓取并自动匹配审方规则。</w:t>
            </w:r>
          </w:p>
          <w:p w14:paraId="3E839A6C">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药师自定义规则可在真实患者环境中测试重现，并可对历史处方触发该规则进行单独核查。</w:t>
            </w:r>
          </w:p>
          <w:p w14:paraId="6D13810A">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系统支持规则适用范围选择：门诊、急诊、临时医嘱、长期医嘱、出院带药，可全部或选择部分。</w:t>
            </w:r>
          </w:p>
          <w:p w14:paraId="5521814A">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系统支持规则某些板块如适应症、重复用药、相互作用、累加剂量按通用名设置，溶媒、浓度、禁忌、剂量按厂家ID设置。</w:t>
            </w:r>
          </w:p>
        </w:tc>
      </w:tr>
      <w:tr w14:paraId="0357F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242" w:type="dxa"/>
            <w:vMerge w:val="continue"/>
            <w:vAlign w:val="center"/>
          </w:tcPr>
          <w:p w14:paraId="28E7C0A9">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rPr>
            </w:pPr>
          </w:p>
        </w:tc>
        <w:tc>
          <w:tcPr>
            <w:tcW w:w="2268" w:type="dxa"/>
            <w:vAlign w:val="center"/>
          </w:tcPr>
          <w:p w14:paraId="5E902281">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rPr>
            </w:pPr>
            <w:r>
              <w:rPr>
                <w:rFonts w:hint="eastAsia" w:ascii="宋体" w:hAnsi="宋体" w:cs="宋体"/>
                <w:color w:val="auto"/>
                <w:sz w:val="21"/>
                <w:szCs w:val="21"/>
              </w:rPr>
              <w:t>规则核对</w:t>
            </w:r>
          </w:p>
        </w:tc>
        <w:tc>
          <w:tcPr>
            <w:tcW w:w="10666" w:type="dxa"/>
            <w:vAlign w:val="center"/>
          </w:tcPr>
          <w:p w14:paraId="08F9071B">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系统支持对所有药品的规则进行核对。并可批量导出审核意见，作为分析规则的依据。</w:t>
            </w:r>
          </w:p>
          <w:p w14:paraId="0D8F238E">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支持规则筛选和规则核对的统计。</w:t>
            </w:r>
          </w:p>
        </w:tc>
      </w:tr>
      <w:tr w14:paraId="4914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242" w:type="dxa"/>
            <w:vMerge w:val="continue"/>
            <w:vAlign w:val="center"/>
          </w:tcPr>
          <w:p w14:paraId="24799DFE">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rPr>
            </w:pPr>
          </w:p>
        </w:tc>
        <w:tc>
          <w:tcPr>
            <w:tcW w:w="2268" w:type="dxa"/>
            <w:vAlign w:val="center"/>
          </w:tcPr>
          <w:p w14:paraId="7A1C7342">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rPr>
            </w:pPr>
            <w:r>
              <w:rPr>
                <w:rFonts w:hint="eastAsia" w:ascii="宋体" w:hAnsi="宋体" w:cs="宋体"/>
                <w:color w:val="auto"/>
                <w:sz w:val="21"/>
                <w:szCs w:val="21"/>
              </w:rPr>
              <w:t>问题级别设置</w:t>
            </w:r>
          </w:p>
        </w:tc>
        <w:tc>
          <w:tcPr>
            <w:tcW w:w="10666" w:type="dxa"/>
            <w:vAlign w:val="center"/>
          </w:tcPr>
          <w:p w14:paraId="35740C83">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系统支持设置每个维度所报问题的级别，包括提示、慎用、不推荐、禁用四个级别。支持针对门诊和住院分别设置问题级别。例如无适应症用药问题，在门诊报“慎用”级别，在住院报“禁用”级别。</w:t>
            </w:r>
          </w:p>
        </w:tc>
      </w:tr>
      <w:tr w14:paraId="21528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242" w:type="dxa"/>
            <w:vMerge w:val="continue"/>
            <w:vAlign w:val="center"/>
          </w:tcPr>
          <w:p w14:paraId="744F85AD">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rPr>
            </w:pPr>
          </w:p>
        </w:tc>
        <w:tc>
          <w:tcPr>
            <w:tcW w:w="2268" w:type="dxa"/>
            <w:vAlign w:val="center"/>
          </w:tcPr>
          <w:p w14:paraId="0C5B4D25">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rPr>
            </w:pPr>
            <w:r>
              <w:rPr>
                <w:rFonts w:hint="eastAsia" w:ascii="宋体" w:hAnsi="宋体" w:cs="宋体"/>
                <w:color w:val="auto"/>
                <w:sz w:val="21"/>
                <w:szCs w:val="21"/>
              </w:rPr>
              <w:t>报问题的范围设置</w:t>
            </w:r>
          </w:p>
        </w:tc>
        <w:tc>
          <w:tcPr>
            <w:tcW w:w="10666" w:type="dxa"/>
            <w:vAlign w:val="center"/>
          </w:tcPr>
          <w:p w14:paraId="05A8ED41">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系统支持设置每个审查维度报问题的范围，同一个维度，可只对部分科室报问题。支持设置药品范围，可只适用于部分药品，也可排除部分药品；支持设置科室范围，可只适用于部分科室，也可排除部分科室；支持医生范围，可只适用于部分医生，也可排除部分医生；可设置患者范围，可适用于部分患者，也可排除部分患者。</w:t>
            </w:r>
          </w:p>
        </w:tc>
      </w:tr>
      <w:tr w14:paraId="32AC0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242" w:type="dxa"/>
            <w:vMerge w:val="continue"/>
            <w:vAlign w:val="center"/>
          </w:tcPr>
          <w:p w14:paraId="33497E44">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rPr>
            </w:pPr>
          </w:p>
        </w:tc>
        <w:tc>
          <w:tcPr>
            <w:tcW w:w="2268" w:type="dxa"/>
            <w:vAlign w:val="center"/>
          </w:tcPr>
          <w:p w14:paraId="2C753195">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rPr>
            </w:pPr>
            <w:r>
              <w:rPr>
                <w:rFonts w:hint="eastAsia" w:ascii="宋体" w:hAnsi="宋体" w:cs="宋体"/>
                <w:color w:val="auto"/>
                <w:sz w:val="21"/>
                <w:szCs w:val="21"/>
              </w:rPr>
              <w:t>用药理由设置</w:t>
            </w:r>
          </w:p>
        </w:tc>
        <w:tc>
          <w:tcPr>
            <w:tcW w:w="10666" w:type="dxa"/>
            <w:vAlign w:val="center"/>
          </w:tcPr>
          <w:p w14:paraId="42C78A1A">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系统支持开启用药理由的功能，针对部分需严格管控的药品设置补充用药理由的环节。让医生开处方/医嘱时填写用药理由，方可通过审查。支持自定义用药理由表单。系统支持为药品（可维护特定的药品目录，用药理由规则只对该目录生效）配置用药理由表单。</w:t>
            </w:r>
          </w:p>
        </w:tc>
      </w:tr>
      <w:tr w14:paraId="2119D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242" w:type="dxa"/>
            <w:vMerge w:val="continue"/>
            <w:vAlign w:val="center"/>
          </w:tcPr>
          <w:p w14:paraId="28B570D8">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rPr>
            </w:pPr>
          </w:p>
        </w:tc>
        <w:tc>
          <w:tcPr>
            <w:tcW w:w="2268" w:type="dxa"/>
            <w:vAlign w:val="center"/>
          </w:tcPr>
          <w:p w14:paraId="3C6A8D3C">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rPr>
            </w:pPr>
            <w:r>
              <w:rPr>
                <w:rFonts w:hint="eastAsia" w:ascii="宋体" w:hAnsi="宋体" w:cs="宋体"/>
                <w:color w:val="auto"/>
                <w:sz w:val="21"/>
                <w:szCs w:val="21"/>
              </w:rPr>
              <w:t>补充适应症设置</w:t>
            </w:r>
          </w:p>
        </w:tc>
        <w:tc>
          <w:tcPr>
            <w:tcW w:w="10666" w:type="dxa"/>
            <w:vAlign w:val="center"/>
          </w:tcPr>
          <w:p w14:paraId="7FD8EC56">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系统根据说明书或指南内容，支持在现有适应症规则的基础上，让医生开处方/医嘱时补充更细致的适应症，医生只有勾选了补充适应症之后，方可通过审查。系统支持为药品（通用名+剂量级）设置补充适应症规则，该规则将对其匹配的院内药品（可能有多个厂家品种）生效。</w:t>
            </w:r>
          </w:p>
        </w:tc>
      </w:tr>
      <w:tr w14:paraId="7367E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242" w:type="dxa"/>
            <w:vMerge w:val="continue"/>
            <w:vAlign w:val="center"/>
          </w:tcPr>
          <w:p w14:paraId="06402DAE">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rPr>
            </w:pPr>
          </w:p>
        </w:tc>
        <w:tc>
          <w:tcPr>
            <w:tcW w:w="2268" w:type="dxa"/>
            <w:vAlign w:val="center"/>
          </w:tcPr>
          <w:p w14:paraId="0B5E77AE">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rPr>
            </w:pPr>
            <w:r>
              <w:rPr>
                <w:rFonts w:hint="eastAsia" w:ascii="宋体" w:hAnsi="宋体" w:cs="宋体"/>
                <w:color w:val="auto"/>
                <w:sz w:val="21"/>
                <w:szCs w:val="21"/>
              </w:rPr>
              <w:t>药品用量比例规则设置</w:t>
            </w:r>
          </w:p>
        </w:tc>
        <w:tc>
          <w:tcPr>
            <w:tcW w:w="10666" w:type="dxa"/>
            <w:vAlign w:val="center"/>
          </w:tcPr>
          <w:p w14:paraId="12D461C2">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系统根据说明书或指南内容，支持在药品用法用量规则的基础上，设置低于或高于某个比例的用量规则。该规则可对全部药品生效，也可控制只对西药、中成药、中药其中的一类生效。</w:t>
            </w:r>
          </w:p>
        </w:tc>
      </w:tr>
      <w:tr w14:paraId="60176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242" w:type="dxa"/>
            <w:vMerge w:val="continue"/>
            <w:vAlign w:val="center"/>
          </w:tcPr>
          <w:p w14:paraId="7F6CD6CF">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rPr>
            </w:pPr>
          </w:p>
        </w:tc>
        <w:tc>
          <w:tcPr>
            <w:tcW w:w="2268" w:type="dxa"/>
            <w:vAlign w:val="center"/>
          </w:tcPr>
          <w:p w14:paraId="6E61F1DF">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rPr>
            </w:pPr>
            <w:r>
              <w:rPr>
                <w:rFonts w:hint="eastAsia" w:ascii="宋体" w:hAnsi="宋体" w:cs="宋体"/>
                <w:color w:val="auto"/>
                <w:sz w:val="21"/>
                <w:szCs w:val="21"/>
              </w:rPr>
              <w:t>审查维度启停</w:t>
            </w:r>
          </w:p>
        </w:tc>
        <w:tc>
          <w:tcPr>
            <w:tcW w:w="10666" w:type="dxa"/>
            <w:vAlign w:val="center"/>
          </w:tcPr>
          <w:p w14:paraId="237258F5">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系统支持根据实际需要关闭或开启部分审查维度。部分维度支持按条件关闭维度。</w:t>
            </w:r>
          </w:p>
        </w:tc>
      </w:tr>
      <w:tr w14:paraId="55A75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242" w:type="dxa"/>
            <w:vMerge w:val="continue"/>
            <w:vAlign w:val="center"/>
          </w:tcPr>
          <w:p w14:paraId="11D27A12">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rPr>
            </w:pPr>
          </w:p>
        </w:tc>
        <w:tc>
          <w:tcPr>
            <w:tcW w:w="2268" w:type="dxa"/>
            <w:vAlign w:val="center"/>
          </w:tcPr>
          <w:p w14:paraId="7068EFFC">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rPr>
            </w:pPr>
            <w:r>
              <w:rPr>
                <w:rFonts w:hint="eastAsia" w:ascii="宋体" w:hAnsi="宋体" w:cs="宋体"/>
                <w:color w:val="auto"/>
                <w:sz w:val="21"/>
                <w:szCs w:val="21"/>
              </w:rPr>
              <w:t>审查规则屏蔽</w:t>
            </w:r>
          </w:p>
        </w:tc>
        <w:tc>
          <w:tcPr>
            <w:tcW w:w="10666" w:type="dxa"/>
            <w:vAlign w:val="center"/>
          </w:tcPr>
          <w:p w14:paraId="7EEC5C96">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系统支持对现有的审查规则进行屏蔽，被屏蔽的规则将不会生效。</w:t>
            </w:r>
          </w:p>
        </w:tc>
      </w:tr>
      <w:tr w14:paraId="499AF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242" w:type="dxa"/>
            <w:vMerge w:val="continue"/>
            <w:vAlign w:val="center"/>
          </w:tcPr>
          <w:p w14:paraId="789279FB">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rPr>
            </w:pPr>
          </w:p>
        </w:tc>
        <w:tc>
          <w:tcPr>
            <w:tcW w:w="2268" w:type="dxa"/>
            <w:vAlign w:val="center"/>
          </w:tcPr>
          <w:p w14:paraId="15596297">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rPr>
            </w:pPr>
            <w:r>
              <w:rPr>
                <w:rFonts w:hint="eastAsia" w:ascii="宋体" w:hAnsi="宋体" w:cs="宋体"/>
                <w:color w:val="auto"/>
                <w:sz w:val="21"/>
                <w:szCs w:val="21"/>
              </w:rPr>
              <w:t>自定义规则编辑器</w:t>
            </w:r>
          </w:p>
        </w:tc>
        <w:tc>
          <w:tcPr>
            <w:tcW w:w="10666" w:type="dxa"/>
            <w:vAlign w:val="center"/>
          </w:tcPr>
          <w:p w14:paraId="72EE7254">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系统支持设置自定义规则，包括设置规则的名称、分析类型（按药品分析或按处方分析）、所报问题的类型、所报问题的级别、参考文献、提示内容、条件组。该编辑器支持“与或组”的嵌套，可进行更为复杂的逻辑判断。该编辑器内置多种类型的条件参数，包括药品信息条件、患者信息条件、处方信息条件、检验检查信息条件、手术信息条件，满足各类条件组合的复杂规则设置。</w:t>
            </w:r>
          </w:p>
        </w:tc>
      </w:tr>
      <w:tr w14:paraId="4E93E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242" w:type="dxa"/>
            <w:vMerge w:val="continue"/>
            <w:vAlign w:val="center"/>
          </w:tcPr>
          <w:p w14:paraId="3936865F">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rPr>
            </w:pPr>
          </w:p>
        </w:tc>
        <w:tc>
          <w:tcPr>
            <w:tcW w:w="2268" w:type="dxa"/>
            <w:vAlign w:val="center"/>
          </w:tcPr>
          <w:p w14:paraId="45436AEF">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rPr>
            </w:pPr>
            <w:bookmarkStart w:id="127" w:name="_Toc7201"/>
            <w:bookmarkStart w:id="128" w:name="_Toc428205449"/>
            <w:r>
              <w:rPr>
                <w:rFonts w:hint="eastAsia" w:ascii="宋体" w:hAnsi="宋体" w:cs="宋体"/>
                <w:color w:val="auto"/>
                <w:sz w:val="21"/>
                <w:szCs w:val="21"/>
              </w:rPr>
              <w:t>科室审查设置</w:t>
            </w:r>
            <w:bookmarkEnd w:id="127"/>
            <w:bookmarkEnd w:id="128"/>
          </w:p>
        </w:tc>
        <w:tc>
          <w:tcPr>
            <w:tcW w:w="10666" w:type="dxa"/>
            <w:vAlign w:val="center"/>
          </w:tcPr>
          <w:p w14:paraId="56325ED6">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系统支持设置对全部或部分科室的处方/医嘱进行审查。</w:t>
            </w:r>
          </w:p>
        </w:tc>
      </w:tr>
      <w:tr w14:paraId="4ED75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242" w:type="dxa"/>
            <w:vMerge w:val="continue"/>
            <w:vAlign w:val="center"/>
          </w:tcPr>
          <w:p w14:paraId="5ABE5DE8">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rPr>
            </w:pPr>
          </w:p>
        </w:tc>
        <w:tc>
          <w:tcPr>
            <w:tcW w:w="2268" w:type="dxa"/>
            <w:vAlign w:val="center"/>
          </w:tcPr>
          <w:p w14:paraId="524BFD0A">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rPr>
            </w:pPr>
            <w:r>
              <w:rPr>
                <w:rFonts w:hint="eastAsia" w:ascii="宋体" w:hAnsi="宋体" w:cs="宋体"/>
                <w:color w:val="auto"/>
                <w:sz w:val="21"/>
                <w:szCs w:val="21"/>
              </w:rPr>
              <w:t>医保审查规则</w:t>
            </w:r>
          </w:p>
        </w:tc>
        <w:tc>
          <w:tcPr>
            <w:tcW w:w="10666" w:type="dxa"/>
            <w:vAlign w:val="center"/>
          </w:tcPr>
          <w:p w14:paraId="6D9AB266">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系统配备医保相关药品审查规则，根据最新的医保政策文件、药品说明书内容，对医保患者用医保药品的超说明书适应症、超说明书用法用量（给药途径、给药剂量、给药频次）、超人群用药、重复用药的，提醒“超说明书用药，需征求患者同意后自费。”</w:t>
            </w:r>
          </w:p>
        </w:tc>
      </w:tr>
      <w:tr w14:paraId="1DA80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242" w:type="dxa"/>
            <w:vMerge w:val="continue"/>
            <w:vAlign w:val="center"/>
          </w:tcPr>
          <w:p w14:paraId="02E6FB67">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rPr>
            </w:pPr>
          </w:p>
        </w:tc>
        <w:tc>
          <w:tcPr>
            <w:tcW w:w="2268" w:type="dxa"/>
            <w:vAlign w:val="center"/>
          </w:tcPr>
          <w:p w14:paraId="74AD4457">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rPr>
            </w:pPr>
            <w:r>
              <w:rPr>
                <w:rFonts w:hint="eastAsia" w:ascii="宋体" w:hAnsi="宋体" w:cs="宋体"/>
                <w:color w:val="auto"/>
                <w:sz w:val="21"/>
                <w:szCs w:val="21"/>
              </w:rPr>
              <w:t>规则其他说明</w:t>
            </w:r>
          </w:p>
        </w:tc>
        <w:tc>
          <w:tcPr>
            <w:tcW w:w="10666" w:type="dxa"/>
            <w:vAlign w:val="center"/>
          </w:tcPr>
          <w:p w14:paraId="1321C203">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审方规则库应定期更新，每年更新不少于10次。</w:t>
            </w:r>
          </w:p>
          <w:p w14:paraId="3153F015">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本院自定义规则能与系统自带规则区分。</w:t>
            </w:r>
          </w:p>
        </w:tc>
      </w:tr>
      <w:tr w14:paraId="2A307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242" w:type="dxa"/>
            <w:vMerge w:val="continue"/>
            <w:vAlign w:val="center"/>
          </w:tcPr>
          <w:p w14:paraId="4FADA1D1">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rPr>
            </w:pPr>
          </w:p>
        </w:tc>
        <w:tc>
          <w:tcPr>
            <w:tcW w:w="12934" w:type="dxa"/>
            <w:gridSpan w:val="2"/>
            <w:vAlign w:val="center"/>
          </w:tcPr>
          <w:p w14:paraId="55BB95A9">
            <w:pPr>
              <w:keepNext w:val="0"/>
              <w:keepLines w:val="0"/>
              <w:pageBreakBefore w:val="0"/>
              <w:numPr>
                <w:ilvl w:val="1"/>
                <w:numId w:val="0"/>
              </w:numPr>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bookmarkStart w:id="129" w:name="_Toc192772587"/>
            <w:r>
              <w:rPr>
                <w:rFonts w:hint="eastAsia" w:ascii="宋体" w:hAnsi="宋体" w:cs="宋体"/>
                <w:color w:val="auto"/>
                <w:sz w:val="21"/>
                <w:szCs w:val="21"/>
              </w:rPr>
              <w:t>合理用药业务配置</w:t>
            </w:r>
            <w:bookmarkEnd w:id="129"/>
          </w:p>
        </w:tc>
      </w:tr>
      <w:tr w14:paraId="29965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242" w:type="dxa"/>
            <w:vMerge w:val="continue"/>
            <w:vAlign w:val="center"/>
          </w:tcPr>
          <w:p w14:paraId="04E4C33B">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rPr>
            </w:pPr>
          </w:p>
        </w:tc>
        <w:tc>
          <w:tcPr>
            <w:tcW w:w="2268" w:type="dxa"/>
            <w:vAlign w:val="center"/>
          </w:tcPr>
          <w:p w14:paraId="4515A781">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rPr>
            </w:pPr>
            <w:r>
              <w:rPr>
                <w:rFonts w:hint="eastAsia" w:ascii="宋体" w:hAnsi="宋体" w:cs="宋体"/>
                <w:color w:val="auto"/>
                <w:sz w:val="21"/>
                <w:szCs w:val="21"/>
              </w:rPr>
              <w:t>药品维护</w:t>
            </w:r>
          </w:p>
        </w:tc>
        <w:tc>
          <w:tcPr>
            <w:tcW w:w="10666" w:type="dxa"/>
            <w:vAlign w:val="center"/>
          </w:tcPr>
          <w:p w14:paraId="5DA0CD03">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系统支持按照药理分类维护药品的类别，支持一键分类，支持编辑药品说明书（结构化）、编辑分类、删除、复制、筛选、搜索。</w:t>
            </w:r>
          </w:p>
          <w:p w14:paraId="6602F88F">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提供说明书应定期更新服务，每年不少于10次。</w:t>
            </w:r>
          </w:p>
        </w:tc>
      </w:tr>
      <w:tr w14:paraId="1E67F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242" w:type="dxa"/>
            <w:vMerge w:val="continue"/>
            <w:vAlign w:val="center"/>
          </w:tcPr>
          <w:p w14:paraId="6C516F51">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rPr>
            </w:pPr>
          </w:p>
        </w:tc>
        <w:tc>
          <w:tcPr>
            <w:tcW w:w="2268" w:type="dxa"/>
            <w:vAlign w:val="center"/>
          </w:tcPr>
          <w:p w14:paraId="5881B28B">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rPr>
            </w:pPr>
            <w:r>
              <w:rPr>
                <w:rFonts w:hint="eastAsia" w:ascii="宋体" w:hAnsi="宋体" w:cs="宋体"/>
                <w:color w:val="auto"/>
                <w:sz w:val="21"/>
                <w:szCs w:val="21"/>
              </w:rPr>
              <w:t>频次匹配</w:t>
            </w:r>
          </w:p>
        </w:tc>
        <w:tc>
          <w:tcPr>
            <w:tcW w:w="10666" w:type="dxa"/>
            <w:vAlign w:val="center"/>
          </w:tcPr>
          <w:p w14:paraId="2E236DEF">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系统支持将医院HIS的频次字典与合理用药系统的频次字典进行匹配。支持频次模板下载、导入、自动匹配、批量检查、状态筛选、搜索。</w:t>
            </w:r>
          </w:p>
        </w:tc>
      </w:tr>
      <w:tr w14:paraId="347AB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242" w:type="dxa"/>
            <w:vMerge w:val="continue"/>
            <w:vAlign w:val="center"/>
          </w:tcPr>
          <w:p w14:paraId="106C1B70">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rPr>
            </w:pPr>
          </w:p>
        </w:tc>
        <w:tc>
          <w:tcPr>
            <w:tcW w:w="2268" w:type="dxa"/>
            <w:vAlign w:val="center"/>
          </w:tcPr>
          <w:p w14:paraId="090E5797">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rPr>
            </w:pPr>
            <w:r>
              <w:rPr>
                <w:rFonts w:hint="eastAsia" w:ascii="宋体" w:hAnsi="宋体" w:cs="宋体"/>
                <w:color w:val="auto"/>
                <w:sz w:val="21"/>
                <w:szCs w:val="21"/>
              </w:rPr>
              <w:t>给药途径匹配</w:t>
            </w:r>
          </w:p>
        </w:tc>
        <w:tc>
          <w:tcPr>
            <w:tcW w:w="10666" w:type="dxa"/>
            <w:vAlign w:val="center"/>
          </w:tcPr>
          <w:p w14:paraId="019794B1">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系统支持将医院HIS的给药途径字典与合理用药系统的给药途径字典进行匹配。支持给药途径模板下载、导入、自动匹配、批量检查、状态筛选、搜索。</w:t>
            </w:r>
          </w:p>
        </w:tc>
      </w:tr>
      <w:tr w14:paraId="5CF34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242" w:type="dxa"/>
            <w:vMerge w:val="continue"/>
            <w:vAlign w:val="center"/>
          </w:tcPr>
          <w:p w14:paraId="6FC0E9E0">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rPr>
            </w:pPr>
          </w:p>
        </w:tc>
        <w:tc>
          <w:tcPr>
            <w:tcW w:w="2268" w:type="dxa"/>
            <w:vAlign w:val="center"/>
          </w:tcPr>
          <w:p w14:paraId="7E80BBBE">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rPr>
            </w:pPr>
            <w:r>
              <w:rPr>
                <w:rFonts w:hint="eastAsia" w:ascii="宋体" w:hAnsi="宋体" w:cs="宋体"/>
                <w:color w:val="auto"/>
                <w:sz w:val="21"/>
                <w:szCs w:val="21"/>
              </w:rPr>
              <w:t>ICD10匹配</w:t>
            </w:r>
          </w:p>
        </w:tc>
        <w:tc>
          <w:tcPr>
            <w:tcW w:w="10666" w:type="dxa"/>
            <w:vAlign w:val="center"/>
          </w:tcPr>
          <w:p w14:paraId="46B115E5">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系统支持将医院HIS的ICD10字典与合理用药系统的ICD10字典进行匹配。支持ICD10模板下载、导入、自动匹配、批量检查、状态筛选、搜索。</w:t>
            </w:r>
          </w:p>
        </w:tc>
      </w:tr>
      <w:tr w14:paraId="5E981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242" w:type="dxa"/>
            <w:vMerge w:val="continue"/>
            <w:vAlign w:val="center"/>
          </w:tcPr>
          <w:p w14:paraId="2813B000">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rPr>
            </w:pPr>
          </w:p>
        </w:tc>
        <w:tc>
          <w:tcPr>
            <w:tcW w:w="2268" w:type="dxa"/>
            <w:vAlign w:val="center"/>
          </w:tcPr>
          <w:p w14:paraId="6AF3A33F">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rPr>
            </w:pPr>
            <w:r>
              <w:rPr>
                <w:rFonts w:hint="eastAsia" w:ascii="宋体" w:hAnsi="宋体" w:cs="宋体"/>
                <w:color w:val="auto"/>
                <w:sz w:val="21"/>
                <w:szCs w:val="21"/>
              </w:rPr>
              <w:t>药品匹配</w:t>
            </w:r>
          </w:p>
        </w:tc>
        <w:tc>
          <w:tcPr>
            <w:tcW w:w="10666" w:type="dxa"/>
            <w:vAlign w:val="center"/>
          </w:tcPr>
          <w:p w14:paraId="1F4BE722">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系统支持将医院的药品与合理用药系统的药品进行匹配。支持下载药品模板、导入药品、自动匹配、筛选药品、搜索药品、导出药品、取消匹配。</w:t>
            </w:r>
          </w:p>
        </w:tc>
      </w:tr>
      <w:tr w14:paraId="1CA5C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242" w:type="dxa"/>
            <w:vMerge w:val="continue"/>
            <w:vAlign w:val="center"/>
          </w:tcPr>
          <w:p w14:paraId="4DCDB149">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rPr>
            </w:pPr>
          </w:p>
        </w:tc>
        <w:tc>
          <w:tcPr>
            <w:tcW w:w="2268" w:type="dxa"/>
            <w:vAlign w:val="center"/>
          </w:tcPr>
          <w:p w14:paraId="28771FE4">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rPr>
            </w:pPr>
            <w:r>
              <w:rPr>
                <w:rFonts w:hint="eastAsia" w:ascii="宋体" w:hAnsi="宋体" w:cs="宋体"/>
                <w:color w:val="auto"/>
                <w:sz w:val="21"/>
                <w:szCs w:val="21"/>
              </w:rPr>
              <w:t>药品属性设置</w:t>
            </w:r>
          </w:p>
        </w:tc>
        <w:tc>
          <w:tcPr>
            <w:tcW w:w="10666" w:type="dxa"/>
            <w:vAlign w:val="center"/>
          </w:tcPr>
          <w:p w14:paraId="173D454A">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系统支持在药品（通用名）设置临床属性，临床属性将对该通用名下所有剂量的药品生效。属性包括：是否辅助药品、大输液、血液制品、需皮试、抗肿瘤药物、缓释控制剂、糖皮质激素、溶媒、院内制剂、终止妊娠药。</w:t>
            </w:r>
          </w:p>
          <w:p w14:paraId="6FF22C6C">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系统支持在药品（商品名）设置药政属性（包括高价药、中标药品、基础药物、临购药品、医保自费）、物流属性（包括药品条形码）、性状属性（包括商品外包装、正面、侧面、背面图片、性状描述文字）。</w:t>
            </w:r>
          </w:p>
        </w:tc>
      </w:tr>
      <w:tr w14:paraId="4F4F2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242" w:type="dxa"/>
            <w:vMerge w:val="continue"/>
            <w:vAlign w:val="center"/>
          </w:tcPr>
          <w:p w14:paraId="078BAEBC">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rPr>
            </w:pPr>
          </w:p>
        </w:tc>
        <w:tc>
          <w:tcPr>
            <w:tcW w:w="2268" w:type="dxa"/>
            <w:vAlign w:val="center"/>
          </w:tcPr>
          <w:p w14:paraId="55F6EC3D">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rPr>
            </w:pPr>
            <w:r>
              <w:rPr>
                <w:rFonts w:hint="eastAsia" w:ascii="宋体" w:hAnsi="宋体" w:cs="宋体"/>
                <w:color w:val="auto"/>
                <w:sz w:val="21"/>
                <w:szCs w:val="21"/>
              </w:rPr>
              <w:t>药品DDD设置</w:t>
            </w:r>
          </w:p>
        </w:tc>
        <w:tc>
          <w:tcPr>
            <w:tcW w:w="10666" w:type="dxa"/>
            <w:vAlign w:val="center"/>
          </w:tcPr>
          <w:p w14:paraId="59233AEA">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系统支持设置药品的DDD值，包括默认的DDD值和自定义的DDD值，支持修改、有效性设置、筛选、搜索。</w:t>
            </w:r>
          </w:p>
        </w:tc>
      </w:tr>
      <w:tr w14:paraId="03594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242" w:type="dxa"/>
            <w:vMerge w:val="continue"/>
            <w:vAlign w:val="center"/>
          </w:tcPr>
          <w:p w14:paraId="00599C2B">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rPr>
            </w:pPr>
          </w:p>
        </w:tc>
        <w:tc>
          <w:tcPr>
            <w:tcW w:w="2268" w:type="dxa"/>
            <w:vAlign w:val="center"/>
          </w:tcPr>
          <w:p w14:paraId="606312EB">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rPr>
            </w:pPr>
            <w:r>
              <w:rPr>
                <w:rFonts w:hint="eastAsia" w:ascii="宋体" w:hAnsi="宋体" w:cs="宋体"/>
                <w:color w:val="auto"/>
                <w:sz w:val="21"/>
                <w:szCs w:val="21"/>
              </w:rPr>
              <w:t>药品单位转换</w:t>
            </w:r>
          </w:p>
        </w:tc>
        <w:tc>
          <w:tcPr>
            <w:tcW w:w="10666" w:type="dxa"/>
            <w:vAlign w:val="center"/>
          </w:tcPr>
          <w:p w14:paraId="118934DB">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系统支持将医院的药品单位与合理用药系统的药品单位进行转换，支持转换系数设置，支持“一对多”关系设置。支持筛选、搜索、修改、删除。</w:t>
            </w:r>
          </w:p>
        </w:tc>
      </w:tr>
      <w:tr w14:paraId="486EB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242" w:type="dxa"/>
            <w:vMerge w:val="continue"/>
            <w:vAlign w:val="center"/>
          </w:tcPr>
          <w:p w14:paraId="65D8857B">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rPr>
            </w:pPr>
          </w:p>
        </w:tc>
        <w:tc>
          <w:tcPr>
            <w:tcW w:w="2268" w:type="dxa"/>
            <w:vAlign w:val="center"/>
          </w:tcPr>
          <w:p w14:paraId="21F32BAD">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rPr>
            </w:pPr>
            <w:bookmarkStart w:id="130" w:name="_Toc428205448"/>
            <w:bookmarkStart w:id="131" w:name="_Toc29690"/>
            <w:r>
              <w:rPr>
                <w:rFonts w:hint="eastAsia" w:ascii="宋体" w:hAnsi="宋体" w:cs="宋体"/>
                <w:color w:val="auto"/>
                <w:sz w:val="21"/>
                <w:szCs w:val="21"/>
              </w:rPr>
              <w:t>年龄段设置</w:t>
            </w:r>
            <w:bookmarkEnd w:id="130"/>
            <w:bookmarkEnd w:id="131"/>
          </w:p>
        </w:tc>
        <w:tc>
          <w:tcPr>
            <w:tcW w:w="10666" w:type="dxa"/>
            <w:vAlign w:val="center"/>
          </w:tcPr>
          <w:p w14:paraId="545F8791">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支持对不同人群的年龄值进行设置。支持修改、搜索。</w:t>
            </w:r>
          </w:p>
        </w:tc>
      </w:tr>
      <w:tr w14:paraId="674FB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242" w:type="dxa"/>
            <w:vMerge w:val="continue"/>
            <w:vAlign w:val="center"/>
          </w:tcPr>
          <w:p w14:paraId="55D63EB3">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rPr>
            </w:pPr>
          </w:p>
        </w:tc>
        <w:tc>
          <w:tcPr>
            <w:tcW w:w="2268" w:type="dxa"/>
            <w:vAlign w:val="center"/>
          </w:tcPr>
          <w:p w14:paraId="1E4A019C">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rPr>
            </w:pPr>
            <w:r>
              <w:rPr>
                <w:rFonts w:hint="eastAsia" w:ascii="宋体" w:hAnsi="宋体" w:cs="宋体"/>
                <w:color w:val="auto"/>
                <w:sz w:val="21"/>
                <w:szCs w:val="21"/>
              </w:rPr>
              <w:t>科室组设置</w:t>
            </w:r>
          </w:p>
        </w:tc>
        <w:tc>
          <w:tcPr>
            <w:tcW w:w="10666" w:type="dxa"/>
            <w:vAlign w:val="center"/>
          </w:tcPr>
          <w:p w14:paraId="7D87B00E">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系统支持设置科室组，支持科室组新增、编辑、删除、搜索、启停等操作。支持为科室组添加科室，包括添加、删除、搜索科室。</w:t>
            </w:r>
          </w:p>
        </w:tc>
      </w:tr>
      <w:tr w14:paraId="09341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242" w:type="dxa"/>
            <w:vMerge w:val="continue"/>
            <w:vAlign w:val="center"/>
          </w:tcPr>
          <w:p w14:paraId="5E971DC1">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rPr>
            </w:pPr>
          </w:p>
        </w:tc>
        <w:tc>
          <w:tcPr>
            <w:tcW w:w="2268" w:type="dxa"/>
            <w:vAlign w:val="center"/>
          </w:tcPr>
          <w:p w14:paraId="67572722">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rPr>
            </w:pPr>
            <w:r>
              <w:rPr>
                <w:rFonts w:hint="eastAsia" w:ascii="宋体" w:hAnsi="宋体" w:cs="宋体"/>
                <w:color w:val="auto"/>
                <w:sz w:val="21"/>
                <w:szCs w:val="21"/>
              </w:rPr>
              <w:t>医疗组设置</w:t>
            </w:r>
          </w:p>
        </w:tc>
        <w:tc>
          <w:tcPr>
            <w:tcW w:w="10666" w:type="dxa"/>
            <w:vAlign w:val="center"/>
          </w:tcPr>
          <w:p w14:paraId="7F3D638E">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系统支持设置医疗组，支持医疗组新增、编辑、删除、搜索、启停等操作。支持为医疗组添加医生，包括添加、删除、搜索医生。</w:t>
            </w:r>
          </w:p>
        </w:tc>
      </w:tr>
      <w:tr w14:paraId="4488D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242" w:type="dxa"/>
            <w:vMerge w:val="continue"/>
            <w:vAlign w:val="center"/>
          </w:tcPr>
          <w:p w14:paraId="02AA27FA">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rPr>
            </w:pPr>
          </w:p>
        </w:tc>
        <w:tc>
          <w:tcPr>
            <w:tcW w:w="2268" w:type="dxa"/>
            <w:vAlign w:val="center"/>
          </w:tcPr>
          <w:p w14:paraId="76C2BF16">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rPr>
            </w:pPr>
            <w:r>
              <w:rPr>
                <w:rFonts w:hint="eastAsia" w:ascii="宋体" w:hAnsi="宋体" w:cs="宋体"/>
                <w:color w:val="auto"/>
                <w:sz w:val="21"/>
                <w:szCs w:val="21"/>
              </w:rPr>
              <w:t>各类药物特定目录维护</w:t>
            </w:r>
          </w:p>
        </w:tc>
        <w:tc>
          <w:tcPr>
            <w:tcW w:w="10666" w:type="dxa"/>
            <w:vAlign w:val="center"/>
          </w:tcPr>
          <w:p w14:paraId="4FAEC9D4">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系统支持维护特定的药品目录，用以满足规则设定的需要。支持新增分类目录、编辑、删除、筛选、搜索。</w:t>
            </w:r>
          </w:p>
          <w:p w14:paraId="10FD8AC9">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支持为药品目录添加药品，可按通用名添加，也可按药品名添加，支持搜索、删除。</w:t>
            </w:r>
          </w:p>
        </w:tc>
      </w:tr>
      <w:tr w14:paraId="3F026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242" w:type="dxa"/>
            <w:vMerge w:val="continue"/>
            <w:vAlign w:val="center"/>
          </w:tcPr>
          <w:p w14:paraId="12D5A5FD">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bCs/>
                <w:color w:val="auto"/>
                <w:kern w:val="0"/>
                <w:sz w:val="21"/>
                <w:szCs w:val="21"/>
              </w:rPr>
            </w:pPr>
          </w:p>
        </w:tc>
        <w:tc>
          <w:tcPr>
            <w:tcW w:w="12934" w:type="dxa"/>
            <w:gridSpan w:val="2"/>
            <w:vAlign w:val="center"/>
          </w:tcPr>
          <w:p w14:paraId="0C8FF36C">
            <w:pPr>
              <w:keepNext w:val="0"/>
              <w:keepLines w:val="0"/>
              <w:pageBreakBefore w:val="0"/>
              <w:numPr>
                <w:ilvl w:val="1"/>
                <w:numId w:val="0"/>
              </w:numPr>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kern w:val="0"/>
                <w:sz w:val="21"/>
                <w:szCs w:val="21"/>
              </w:rPr>
              <w:t>药学知识库</w:t>
            </w:r>
          </w:p>
        </w:tc>
      </w:tr>
      <w:tr w14:paraId="3C9FC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242" w:type="dxa"/>
            <w:vMerge w:val="continue"/>
            <w:vAlign w:val="center"/>
          </w:tcPr>
          <w:p w14:paraId="75406F38">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bCs/>
                <w:color w:val="auto"/>
                <w:kern w:val="0"/>
                <w:sz w:val="21"/>
                <w:szCs w:val="21"/>
              </w:rPr>
            </w:pPr>
          </w:p>
        </w:tc>
        <w:tc>
          <w:tcPr>
            <w:tcW w:w="2268" w:type="dxa"/>
            <w:vAlign w:val="center"/>
          </w:tcPr>
          <w:p w14:paraId="2494FD39">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rPr>
            </w:pPr>
            <w:r>
              <w:rPr>
                <w:rFonts w:hint="eastAsia" w:ascii="宋体" w:hAnsi="宋体" w:cs="宋体"/>
                <w:color w:val="auto"/>
                <w:sz w:val="21"/>
                <w:szCs w:val="21"/>
              </w:rPr>
              <w:t>国家药品目录字典查询</w:t>
            </w:r>
          </w:p>
        </w:tc>
        <w:tc>
          <w:tcPr>
            <w:tcW w:w="10666" w:type="dxa"/>
            <w:vAlign w:val="center"/>
          </w:tcPr>
          <w:p w14:paraId="70239A64">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系统支持查看国家药品编码本位码信息（国产药品）的目录及详情，对于已匹配的药品，点击可查看到该药品的说明书。</w:t>
            </w:r>
          </w:p>
          <w:p w14:paraId="4ED967DF">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系统支持查看国家药品编码本位码信息（进口药品）的目录及详情，对于已匹配的药品，点击可查看到该药品的说明书。</w:t>
            </w:r>
          </w:p>
          <w:p w14:paraId="7200ABDD">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系统支持查询医保信息编码标准数据，支持按注册名称、批准文号、医保编码查询，支持甲乙类筛选。</w:t>
            </w:r>
          </w:p>
        </w:tc>
      </w:tr>
      <w:tr w14:paraId="583AD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242" w:type="dxa"/>
            <w:vMerge w:val="continue"/>
            <w:vAlign w:val="center"/>
          </w:tcPr>
          <w:p w14:paraId="6722B171">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bCs/>
                <w:color w:val="auto"/>
                <w:kern w:val="0"/>
                <w:sz w:val="21"/>
                <w:szCs w:val="21"/>
              </w:rPr>
            </w:pPr>
          </w:p>
        </w:tc>
        <w:tc>
          <w:tcPr>
            <w:tcW w:w="2268" w:type="dxa"/>
            <w:vAlign w:val="center"/>
          </w:tcPr>
          <w:p w14:paraId="77241F7D">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rPr>
            </w:pPr>
            <w:bookmarkStart w:id="132" w:name="_Toc129018475"/>
            <w:r>
              <w:rPr>
                <w:rFonts w:hint="eastAsia" w:ascii="宋体" w:hAnsi="宋体" w:cs="宋体"/>
                <w:color w:val="auto"/>
                <w:sz w:val="21"/>
                <w:szCs w:val="21"/>
              </w:rPr>
              <w:t>药品说明书查询</w:t>
            </w:r>
            <w:bookmarkEnd w:id="132"/>
          </w:p>
        </w:tc>
        <w:tc>
          <w:tcPr>
            <w:tcW w:w="10666" w:type="dxa"/>
            <w:vAlign w:val="center"/>
          </w:tcPr>
          <w:p w14:paraId="25F3E466">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系统支持根据关键词查询药品说明书，展示药品说明书详情及PDF版本。</w:t>
            </w:r>
          </w:p>
        </w:tc>
      </w:tr>
      <w:tr w14:paraId="5C302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1242" w:type="dxa"/>
            <w:vMerge w:val="continue"/>
            <w:vAlign w:val="center"/>
          </w:tcPr>
          <w:p w14:paraId="31040191">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bCs/>
                <w:color w:val="auto"/>
                <w:kern w:val="0"/>
                <w:sz w:val="21"/>
                <w:szCs w:val="21"/>
              </w:rPr>
            </w:pPr>
          </w:p>
        </w:tc>
        <w:tc>
          <w:tcPr>
            <w:tcW w:w="2268" w:type="dxa"/>
            <w:vAlign w:val="center"/>
          </w:tcPr>
          <w:p w14:paraId="02450A07">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rPr>
            </w:pPr>
            <w:bookmarkStart w:id="133" w:name="_Toc129018476"/>
            <w:r>
              <w:rPr>
                <w:rFonts w:hint="eastAsia" w:ascii="宋体" w:hAnsi="宋体" w:cs="宋体"/>
                <w:color w:val="auto"/>
                <w:sz w:val="21"/>
                <w:szCs w:val="21"/>
              </w:rPr>
              <w:t>ICD编码查询</w:t>
            </w:r>
            <w:bookmarkEnd w:id="133"/>
          </w:p>
        </w:tc>
        <w:tc>
          <w:tcPr>
            <w:tcW w:w="10666" w:type="dxa"/>
            <w:vAlign w:val="center"/>
          </w:tcPr>
          <w:p w14:paraId="31337E31">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系统提供国家卫健委发布的疾病分类代码和手术操作分类代码，支持通过疾病和手术关键字、编码进行检索。</w:t>
            </w:r>
          </w:p>
        </w:tc>
      </w:tr>
      <w:tr w14:paraId="4D057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1242" w:type="dxa"/>
            <w:vMerge w:val="continue"/>
            <w:vAlign w:val="center"/>
          </w:tcPr>
          <w:p w14:paraId="17D4AB78">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bCs/>
                <w:color w:val="auto"/>
                <w:kern w:val="0"/>
                <w:sz w:val="21"/>
                <w:szCs w:val="21"/>
              </w:rPr>
            </w:pPr>
          </w:p>
        </w:tc>
        <w:tc>
          <w:tcPr>
            <w:tcW w:w="2268" w:type="dxa"/>
            <w:vAlign w:val="center"/>
          </w:tcPr>
          <w:p w14:paraId="107743C1">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rPr>
            </w:pPr>
            <w:r>
              <w:rPr>
                <w:rFonts w:hint="eastAsia" w:ascii="宋体" w:hAnsi="宋体" w:cs="宋体"/>
                <w:color w:val="auto"/>
                <w:sz w:val="21"/>
                <w:szCs w:val="21"/>
              </w:rPr>
              <w:t>ATC编码查询</w:t>
            </w:r>
          </w:p>
        </w:tc>
        <w:tc>
          <w:tcPr>
            <w:tcW w:w="10666" w:type="dxa"/>
            <w:vAlign w:val="center"/>
          </w:tcPr>
          <w:p w14:paraId="0A3A340A">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系统提供ATC分类与编码查询，支持通过分类关键词进行检索。</w:t>
            </w:r>
          </w:p>
        </w:tc>
      </w:tr>
      <w:tr w14:paraId="048ED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1242" w:type="dxa"/>
            <w:vMerge w:val="continue"/>
            <w:vAlign w:val="center"/>
          </w:tcPr>
          <w:p w14:paraId="2A381F3E">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bCs/>
                <w:color w:val="auto"/>
                <w:kern w:val="0"/>
                <w:sz w:val="21"/>
                <w:szCs w:val="21"/>
              </w:rPr>
            </w:pPr>
          </w:p>
        </w:tc>
        <w:tc>
          <w:tcPr>
            <w:tcW w:w="2268" w:type="dxa"/>
            <w:vAlign w:val="center"/>
          </w:tcPr>
          <w:p w14:paraId="576E342C">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rPr>
            </w:pPr>
            <w:r>
              <w:rPr>
                <w:rFonts w:hint="eastAsia" w:ascii="宋体" w:hAnsi="宋体" w:cs="宋体"/>
                <w:color w:val="auto"/>
                <w:sz w:val="21"/>
                <w:szCs w:val="21"/>
              </w:rPr>
              <w:t>用药教育查询与远程居家药学管理</w:t>
            </w:r>
          </w:p>
        </w:tc>
        <w:tc>
          <w:tcPr>
            <w:tcW w:w="10666" w:type="dxa"/>
            <w:vAlign w:val="center"/>
          </w:tcPr>
          <w:p w14:paraId="2224ADAC">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系统提供由专业编辑从患者角度撰写的用药教育内容，简洁明了，通俗易懂，药师可直接打印使用。用药教育内容包括：用于治疗哪些疾病、如何服用、哪些疾病患者不能使用、需要注意哪些事项、是否有副作用、怎么处理、如何保存等问题。</w:t>
            </w:r>
          </w:p>
          <w:p w14:paraId="0AD8ADCE">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系统提供用药教育推送，能在患者取药后，将患者的用药教育内容（支持）推送至患者的手机端或微信端。</w:t>
            </w:r>
          </w:p>
          <w:p w14:paraId="0EB89658">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系统支持提供远程居家药学服务，对于审方过程中，医生强行双签用药的患者，系统支持药师可设置纳入远程居家药学服务对象。</w:t>
            </w:r>
          </w:p>
          <w:p w14:paraId="51A83D11">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color w:val="auto"/>
                <w:sz w:val="21"/>
                <w:szCs w:val="21"/>
              </w:rPr>
              <w:t>系统应提供居家管理路径，方便药师在线批量管理患者。居家管理路径既能定时、持续向患者推送健康教育资料、随访调研问卷，又能向患者收集患者监测指标，并支持药师对患者反馈的异常结果进行干预。</w:t>
            </w:r>
          </w:p>
          <w:p w14:paraId="792851FC">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color w:val="auto"/>
                <w:sz w:val="21"/>
                <w:szCs w:val="21"/>
              </w:rPr>
              <w:t>系统应内置图文并茂的健康教育资料，同时也支持药师自定义PDF/视频/音频/图片格式的健康教育资料。</w:t>
            </w:r>
          </w:p>
          <w:p w14:paraId="1E0DCB6F">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rPr>
            </w:pPr>
            <w:r>
              <w:rPr>
                <w:rFonts w:hint="eastAsia" w:ascii="宋体" w:hAnsi="宋体" w:cs="宋体"/>
                <w:color w:val="auto"/>
                <w:sz w:val="21"/>
                <w:szCs w:val="21"/>
              </w:rPr>
              <w:t>系统应支持患者在线上传血压、血糖、体温、心率、INR、血脂、尿酸、睡眠、运动、体重、疼痛、癫痫、家庭氧疗监测数据。</w:t>
            </w:r>
          </w:p>
          <w:p w14:paraId="3A1C2264">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rPr>
            </w:pPr>
            <w:r>
              <w:rPr>
                <w:rFonts w:hint="eastAsia" w:ascii="宋体" w:hAnsi="宋体" w:cs="宋体"/>
                <w:color w:val="auto"/>
                <w:sz w:val="21"/>
                <w:szCs w:val="21"/>
              </w:rPr>
              <w:t>系统应提供患者端程序，患者端不仅能配合药师完成居家路径管理，还能实现：</w:t>
            </w:r>
          </w:p>
          <w:p w14:paraId="1C87F168">
            <w:pPr>
              <w:pStyle w:val="85"/>
              <w:keepNext w:val="0"/>
              <w:keepLines w:val="0"/>
              <w:pageBreakBefore w:val="0"/>
              <w:kinsoku/>
              <w:wordWrap/>
              <w:overflowPunct/>
              <w:topLinePunct w:val="0"/>
              <w:autoSpaceDE/>
              <w:autoSpaceDN/>
              <w:bidi w:val="0"/>
              <w:adjustRightInd w:val="0"/>
              <w:snapToGrid w:val="0"/>
              <w:spacing w:line="360" w:lineRule="auto"/>
              <w:ind w:firstLine="0" w:firstLineChars="0"/>
              <w:jc w:val="left"/>
              <w:textAlignment w:val="auto"/>
              <w:rPr>
                <w:rFonts w:ascii="宋体" w:hAnsi="宋体" w:cs="宋体"/>
                <w:color w:val="auto"/>
                <w:sz w:val="21"/>
                <w:szCs w:val="21"/>
              </w:rPr>
            </w:pPr>
            <w:r>
              <w:rPr>
                <w:rFonts w:hint="eastAsia" w:ascii="宋体" w:hAnsi="宋体" w:cs="宋体"/>
                <w:color w:val="auto"/>
                <w:sz w:val="21"/>
                <w:szCs w:val="21"/>
              </w:rPr>
              <w:t>自动获取处方用药须知，包括药品不良反应、说明书、用药指导及健康教育资料。在线发起药箱整理申请，邀请药师前往患者家中整理药品。在线反馈药品不良反应。自主开展药品知识查询、错时给药查询和健康状态评估，评估项目包括烟草依赖性、焦虑、疼痛、便秘。</w:t>
            </w:r>
          </w:p>
          <w:p w14:paraId="137CE796">
            <w:pPr>
              <w:keepNext w:val="0"/>
              <w:keepLines w:val="0"/>
              <w:pageBreakBefore w:val="0"/>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p>
        </w:tc>
      </w:tr>
      <w:tr w14:paraId="29624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242" w:type="dxa"/>
            <w:vMerge w:val="continue"/>
            <w:vAlign w:val="center"/>
          </w:tcPr>
          <w:p w14:paraId="67A27182">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bCs/>
                <w:color w:val="auto"/>
                <w:kern w:val="0"/>
                <w:sz w:val="21"/>
                <w:szCs w:val="21"/>
              </w:rPr>
            </w:pPr>
          </w:p>
        </w:tc>
        <w:tc>
          <w:tcPr>
            <w:tcW w:w="2268" w:type="dxa"/>
            <w:vAlign w:val="center"/>
          </w:tcPr>
          <w:p w14:paraId="2CAAED44">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rPr>
            </w:pPr>
            <w:bookmarkStart w:id="134" w:name="_Toc129018485"/>
            <w:r>
              <w:rPr>
                <w:rFonts w:hint="eastAsia" w:ascii="宋体" w:hAnsi="宋体" w:cs="宋体"/>
                <w:color w:val="auto"/>
                <w:sz w:val="21"/>
                <w:szCs w:val="21"/>
              </w:rPr>
              <w:t>临床检验查询</w:t>
            </w:r>
            <w:bookmarkEnd w:id="134"/>
          </w:p>
        </w:tc>
        <w:tc>
          <w:tcPr>
            <w:tcW w:w="10666" w:type="dxa"/>
            <w:vAlign w:val="center"/>
          </w:tcPr>
          <w:p w14:paraId="4DA1307F">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系统支持通过导航快速查询，或可通过关键词进行搜索临床检验项目，可查看每个检验项目不同情况下的参考范围以及临床意义。</w:t>
            </w:r>
          </w:p>
        </w:tc>
      </w:tr>
      <w:tr w14:paraId="1A835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242" w:type="dxa"/>
            <w:vMerge w:val="continue"/>
            <w:vAlign w:val="center"/>
          </w:tcPr>
          <w:p w14:paraId="7D6BF9DC">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bCs/>
                <w:color w:val="auto"/>
                <w:kern w:val="0"/>
                <w:sz w:val="21"/>
                <w:szCs w:val="21"/>
              </w:rPr>
            </w:pPr>
          </w:p>
        </w:tc>
        <w:tc>
          <w:tcPr>
            <w:tcW w:w="2268" w:type="dxa"/>
            <w:vAlign w:val="center"/>
          </w:tcPr>
          <w:p w14:paraId="147CA0B8">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rPr>
            </w:pPr>
            <w:bookmarkStart w:id="135" w:name="_Toc129018478"/>
            <w:r>
              <w:rPr>
                <w:rFonts w:hint="eastAsia" w:ascii="宋体" w:hAnsi="宋体" w:cs="宋体"/>
                <w:color w:val="auto"/>
                <w:sz w:val="21"/>
                <w:szCs w:val="21"/>
              </w:rPr>
              <w:t>临床指南查询</w:t>
            </w:r>
            <w:bookmarkEnd w:id="135"/>
          </w:p>
        </w:tc>
        <w:tc>
          <w:tcPr>
            <w:tcW w:w="10666" w:type="dxa"/>
            <w:vAlign w:val="center"/>
          </w:tcPr>
          <w:p w14:paraId="191F8B56">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系统提供国家卫健委发布或委托中国医学科学院编写的临床指南，可按照学科进行快速查询，可查看具体的指南详情。</w:t>
            </w:r>
          </w:p>
        </w:tc>
      </w:tr>
      <w:tr w14:paraId="02773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1242" w:type="dxa"/>
            <w:vMerge w:val="continue"/>
            <w:vAlign w:val="center"/>
          </w:tcPr>
          <w:p w14:paraId="7DB54D0D">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bCs/>
                <w:color w:val="auto"/>
                <w:kern w:val="0"/>
                <w:sz w:val="21"/>
                <w:szCs w:val="21"/>
              </w:rPr>
            </w:pPr>
          </w:p>
        </w:tc>
        <w:tc>
          <w:tcPr>
            <w:tcW w:w="2268" w:type="dxa"/>
            <w:vAlign w:val="center"/>
          </w:tcPr>
          <w:p w14:paraId="25C83EB6">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rPr>
            </w:pPr>
            <w:bookmarkStart w:id="136" w:name="_Toc129018480"/>
            <w:r>
              <w:rPr>
                <w:rFonts w:hint="eastAsia" w:ascii="宋体" w:hAnsi="宋体" w:cs="宋体"/>
                <w:color w:val="auto"/>
                <w:sz w:val="21"/>
                <w:szCs w:val="21"/>
              </w:rPr>
              <w:t>国家处方集查询</w:t>
            </w:r>
            <w:bookmarkEnd w:id="136"/>
          </w:p>
        </w:tc>
        <w:tc>
          <w:tcPr>
            <w:tcW w:w="10666" w:type="dxa"/>
            <w:vAlign w:val="center"/>
          </w:tcPr>
          <w:p w14:paraId="07264204">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系统支持查看国家处方集，可以通过章节进行快速查询内容。支持处方集导出。</w:t>
            </w:r>
          </w:p>
        </w:tc>
      </w:tr>
      <w:tr w14:paraId="4BCB2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242" w:type="dxa"/>
            <w:vMerge w:val="continue"/>
            <w:vAlign w:val="center"/>
          </w:tcPr>
          <w:p w14:paraId="75CF31F7">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bCs/>
                <w:color w:val="auto"/>
                <w:kern w:val="0"/>
                <w:sz w:val="21"/>
                <w:szCs w:val="21"/>
              </w:rPr>
            </w:pPr>
          </w:p>
        </w:tc>
        <w:tc>
          <w:tcPr>
            <w:tcW w:w="2268" w:type="dxa"/>
            <w:vAlign w:val="center"/>
          </w:tcPr>
          <w:p w14:paraId="056D4E20">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rPr>
            </w:pPr>
            <w:bookmarkStart w:id="137" w:name="_Toc129018479"/>
            <w:r>
              <w:rPr>
                <w:rFonts w:hint="eastAsia" w:ascii="宋体" w:hAnsi="宋体" w:cs="宋体"/>
                <w:color w:val="auto"/>
                <w:sz w:val="21"/>
                <w:szCs w:val="21"/>
              </w:rPr>
              <w:t>临床路径查询</w:t>
            </w:r>
            <w:bookmarkEnd w:id="137"/>
          </w:p>
        </w:tc>
        <w:tc>
          <w:tcPr>
            <w:tcW w:w="10666" w:type="dxa"/>
            <w:vAlign w:val="center"/>
          </w:tcPr>
          <w:p w14:paraId="7AC9F1EA">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系统提供国家卫健委发布或委托中国医学科学院编写的临床路径，可按照学科进行快速查询，可查看具体的路径详情。</w:t>
            </w:r>
          </w:p>
        </w:tc>
      </w:tr>
      <w:tr w14:paraId="09A81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242" w:type="dxa"/>
            <w:vMerge w:val="continue"/>
            <w:vAlign w:val="center"/>
          </w:tcPr>
          <w:p w14:paraId="1279FC7E">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bCs/>
                <w:color w:val="auto"/>
                <w:kern w:val="0"/>
                <w:sz w:val="21"/>
                <w:szCs w:val="21"/>
              </w:rPr>
            </w:pPr>
          </w:p>
        </w:tc>
        <w:tc>
          <w:tcPr>
            <w:tcW w:w="2268" w:type="dxa"/>
            <w:vAlign w:val="center"/>
          </w:tcPr>
          <w:p w14:paraId="4AD189AB">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rPr>
            </w:pPr>
            <w:bookmarkStart w:id="138" w:name="_Toc129018481"/>
            <w:r>
              <w:rPr>
                <w:rFonts w:hint="eastAsia" w:ascii="宋体" w:hAnsi="宋体" w:cs="宋体"/>
                <w:color w:val="auto"/>
                <w:sz w:val="21"/>
                <w:szCs w:val="21"/>
              </w:rPr>
              <w:t>FDA妊娠期药物安全级别查询</w:t>
            </w:r>
            <w:bookmarkEnd w:id="138"/>
          </w:p>
        </w:tc>
        <w:tc>
          <w:tcPr>
            <w:tcW w:w="10666" w:type="dxa"/>
            <w:vAlign w:val="center"/>
          </w:tcPr>
          <w:p w14:paraId="7832790F">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系统支持导航展示FDA妊娠期用药安全级别，可按关键字查询单个药品的妊娠期用药危害等级，也可查询某个危害等级的所有药品详情。</w:t>
            </w:r>
          </w:p>
        </w:tc>
      </w:tr>
      <w:tr w14:paraId="5C0FE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2" w:hRule="atLeast"/>
          <w:jc w:val="center"/>
        </w:trPr>
        <w:tc>
          <w:tcPr>
            <w:tcW w:w="1242" w:type="dxa"/>
            <w:vMerge w:val="continue"/>
            <w:vAlign w:val="center"/>
          </w:tcPr>
          <w:p w14:paraId="02D558B1">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bCs/>
                <w:color w:val="auto"/>
                <w:kern w:val="0"/>
                <w:sz w:val="21"/>
                <w:szCs w:val="21"/>
              </w:rPr>
            </w:pPr>
          </w:p>
        </w:tc>
        <w:tc>
          <w:tcPr>
            <w:tcW w:w="2268" w:type="dxa"/>
            <w:vAlign w:val="center"/>
          </w:tcPr>
          <w:p w14:paraId="33C0C0C4">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rPr>
            </w:pPr>
            <w:bookmarkStart w:id="139" w:name="_Toc129018482"/>
            <w:r>
              <w:rPr>
                <w:rFonts w:hint="eastAsia" w:ascii="宋体" w:hAnsi="宋体" w:cs="宋体"/>
                <w:color w:val="auto"/>
                <w:sz w:val="21"/>
                <w:szCs w:val="21"/>
              </w:rPr>
              <w:t>老年人合理用药审查量表查询</w:t>
            </w:r>
            <w:bookmarkEnd w:id="139"/>
          </w:p>
        </w:tc>
        <w:tc>
          <w:tcPr>
            <w:tcW w:w="10666" w:type="dxa"/>
            <w:vAlign w:val="center"/>
          </w:tcPr>
          <w:p w14:paraId="1528DD4B">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系统国内外权威机构发布的老年人用药审查量表，包括STOPP、START、Beers、中国老年人潜在不适当用药判断标准、中国老年人疾病状态下潜在不适合用药判断标准。</w:t>
            </w:r>
          </w:p>
        </w:tc>
      </w:tr>
      <w:tr w14:paraId="713BC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1242" w:type="dxa"/>
            <w:vMerge w:val="continue"/>
            <w:vAlign w:val="center"/>
          </w:tcPr>
          <w:p w14:paraId="6C1BDD86">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bCs/>
                <w:color w:val="auto"/>
                <w:kern w:val="0"/>
                <w:sz w:val="21"/>
                <w:szCs w:val="21"/>
              </w:rPr>
            </w:pPr>
          </w:p>
        </w:tc>
        <w:tc>
          <w:tcPr>
            <w:tcW w:w="2268" w:type="dxa"/>
            <w:vAlign w:val="center"/>
          </w:tcPr>
          <w:p w14:paraId="525942DF">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rPr>
            </w:pPr>
            <w:bookmarkStart w:id="140" w:name="_Toc129018484"/>
            <w:r>
              <w:rPr>
                <w:rFonts w:hint="eastAsia" w:ascii="宋体" w:hAnsi="宋体" w:cs="宋体"/>
                <w:color w:val="auto"/>
                <w:sz w:val="21"/>
                <w:szCs w:val="21"/>
              </w:rPr>
              <w:t>禁慎用药查询</w:t>
            </w:r>
            <w:bookmarkEnd w:id="140"/>
          </w:p>
        </w:tc>
        <w:tc>
          <w:tcPr>
            <w:tcW w:w="10666" w:type="dxa"/>
            <w:vAlign w:val="center"/>
          </w:tcPr>
          <w:p w14:paraId="7AE69103">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系统支持查询抗菌药物对特殊病理人群的禁用、慎用方法，支持按照抗菌药物类型查询，支持只查本院药品。</w:t>
            </w:r>
          </w:p>
        </w:tc>
      </w:tr>
      <w:tr w14:paraId="57ECA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242" w:type="dxa"/>
            <w:vMerge w:val="continue"/>
            <w:vAlign w:val="center"/>
          </w:tcPr>
          <w:p w14:paraId="5F3CFE64">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bCs/>
                <w:color w:val="auto"/>
                <w:kern w:val="0"/>
                <w:sz w:val="21"/>
                <w:szCs w:val="21"/>
              </w:rPr>
            </w:pPr>
          </w:p>
        </w:tc>
        <w:tc>
          <w:tcPr>
            <w:tcW w:w="2268" w:type="dxa"/>
            <w:vAlign w:val="center"/>
          </w:tcPr>
          <w:p w14:paraId="5C815D33">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rPr>
            </w:pPr>
            <w:bookmarkStart w:id="141" w:name="_Toc129018477"/>
            <w:r>
              <w:rPr>
                <w:rFonts w:hint="eastAsia" w:ascii="宋体" w:hAnsi="宋体" w:cs="宋体"/>
                <w:color w:val="auto"/>
                <w:sz w:val="21"/>
                <w:szCs w:val="21"/>
              </w:rPr>
              <w:t>药物相互作用查询</w:t>
            </w:r>
            <w:bookmarkEnd w:id="141"/>
          </w:p>
        </w:tc>
        <w:tc>
          <w:tcPr>
            <w:tcW w:w="10666" w:type="dxa"/>
            <w:vAlign w:val="center"/>
          </w:tcPr>
          <w:p w14:paraId="2B979312">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系统支持通过关键字来搜索药品，选择药品后，可以针对所选择的药品之间进行相互作用及配伍分析，对于分析的结果进行展示。</w:t>
            </w:r>
          </w:p>
        </w:tc>
      </w:tr>
      <w:tr w14:paraId="2B11E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1242" w:type="dxa"/>
            <w:vMerge w:val="continue"/>
            <w:vAlign w:val="center"/>
          </w:tcPr>
          <w:p w14:paraId="3B5005F0">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bCs/>
                <w:color w:val="auto"/>
                <w:kern w:val="0"/>
                <w:sz w:val="21"/>
                <w:szCs w:val="21"/>
              </w:rPr>
            </w:pPr>
          </w:p>
        </w:tc>
        <w:tc>
          <w:tcPr>
            <w:tcW w:w="2268" w:type="dxa"/>
            <w:vAlign w:val="center"/>
          </w:tcPr>
          <w:p w14:paraId="48F33FAD">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rPr>
            </w:pPr>
            <w:bookmarkStart w:id="142" w:name="_Toc192772601"/>
            <w:r>
              <w:rPr>
                <w:rFonts w:hint="eastAsia" w:ascii="宋体" w:hAnsi="宋体" w:cs="宋体"/>
                <w:color w:val="auto"/>
                <w:sz w:val="21"/>
                <w:szCs w:val="21"/>
              </w:rPr>
              <w:t>注射剂配伍查询</w:t>
            </w:r>
            <w:bookmarkEnd w:id="142"/>
          </w:p>
        </w:tc>
        <w:tc>
          <w:tcPr>
            <w:tcW w:w="10666" w:type="dxa"/>
            <w:vAlign w:val="center"/>
          </w:tcPr>
          <w:p w14:paraId="3ADFC22C">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系统支持通过关键字来搜索药品，选择药品后，可以针对所选择的药品之间进行配伍分析，对于分析的结果进行展示。</w:t>
            </w:r>
          </w:p>
        </w:tc>
      </w:tr>
      <w:tr w14:paraId="47D72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1242" w:type="dxa"/>
            <w:vMerge w:val="continue"/>
            <w:vAlign w:val="center"/>
          </w:tcPr>
          <w:p w14:paraId="19662B99">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bCs/>
                <w:color w:val="auto"/>
                <w:kern w:val="0"/>
                <w:sz w:val="21"/>
                <w:szCs w:val="21"/>
              </w:rPr>
            </w:pPr>
          </w:p>
        </w:tc>
        <w:tc>
          <w:tcPr>
            <w:tcW w:w="2268" w:type="dxa"/>
            <w:vAlign w:val="center"/>
          </w:tcPr>
          <w:p w14:paraId="75270238">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rPr>
            </w:pPr>
            <w:bookmarkStart w:id="143" w:name="_Toc129018486"/>
            <w:r>
              <w:rPr>
                <w:rFonts w:hint="eastAsia" w:ascii="宋体" w:hAnsi="宋体" w:cs="宋体"/>
                <w:color w:val="auto"/>
                <w:sz w:val="21"/>
                <w:szCs w:val="21"/>
              </w:rPr>
              <w:t>常用医学公式查询</w:t>
            </w:r>
            <w:bookmarkEnd w:id="143"/>
          </w:p>
        </w:tc>
        <w:tc>
          <w:tcPr>
            <w:tcW w:w="10666" w:type="dxa"/>
            <w:vAlign w:val="center"/>
          </w:tcPr>
          <w:p w14:paraId="03B2F7E7">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系统提供多种常用医学公式模版供药师进行查看和使用，包括：配药量公式、循环系统、儿科学、实验室检验、神经系统、呼吸系统、泌尿系统、营养、体液及电解质、临床常用单位换算、妇产科学、营养性疾病、实验标准化与质量控制、药理学。用户可在公式中输入数值，系统将会自动计算，并输出结果及参考说明。</w:t>
            </w:r>
          </w:p>
        </w:tc>
      </w:tr>
      <w:tr w14:paraId="6113A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1242" w:type="dxa"/>
            <w:vMerge w:val="continue"/>
            <w:vAlign w:val="center"/>
          </w:tcPr>
          <w:p w14:paraId="50340070">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bCs/>
                <w:color w:val="auto"/>
                <w:kern w:val="0"/>
                <w:sz w:val="21"/>
                <w:szCs w:val="21"/>
              </w:rPr>
            </w:pPr>
          </w:p>
        </w:tc>
        <w:tc>
          <w:tcPr>
            <w:tcW w:w="2268" w:type="dxa"/>
            <w:vAlign w:val="center"/>
          </w:tcPr>
          <w:p w14:paraId="72601772">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rPr>
            </w:pPr>
            <w:bookmarkStart w:id="144" w:name="_Toc129018483"/>
            <w:r>
              <w:rPr>
                <w:rFonts w:hint="eastAsia" w:ascii="宋体" w:hAnsi="宋体" w:cs="宋体"/>
                <w:color w:val="auto"/>
                <w:sz w:val="21"/>
                <w:szCs w:val="21"/>
              </w:rPr>
              <w:t>适应症药物查询</w:t>
            </w:r>
            <w:bookmarkEnd w:id="144"/>
          </w:p>
        </w:tc>
        <w:tc>
          <w:tcPr>
            <w:tcW w:w="10666" w:type="dxa"/>
            <w:vAlign w:val="center"/>
          </w:tcPr>
          <w:p w14:paraId="6C9607F3">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系统支持通过关键字来搜索适应症，通过疾病展示相关联的药品信息，并能查看相关药品的说明书以及药品基本信息。</w:t>
            </w:r>
          </w:p>
        </w:tc>
      </w:tr>
      <w:tr w14:paraId="575C9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1242" w:type="dxa"/>
            <w:vMerge w:val="continue"/>
            <w:vAlign w:val="center"/>
          </w:tcPr>
          <w:p w14:paraId="77828108">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bCs/>
                <w:color w:val="auto"/>
                <w:kern w:val="0"/>
                <w:sz w:val="21"/>
                <w:szCs w:val="21"/>
              </w:rPr>
            </w:pPr>
          </w:p>
        </w:tc>
        <w:tc>
          <w:tcPr>
            <w:tcW w:w="2268" w:type="dxa"/>
            <w:vAlign w:val="center"/>
          </w:tcPr>
          <w:p w14:paraId="7605FA1E">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rPr>
            </w:pPr>
            <w:bookmarkStart w:id="145" w:name="_Toc129018487"/>
            <w:r>
              <w:rPr>
                <w:rFonts w:hint="eastAsia" w:ascii="宋体" w:hAnsi="宋体" w:cs="宋体"/>
                <w:color w:val="auto"/>
                <w:sz w:val="21"/>
                <w:szCs w:val="21"/>
              </w:rPr>
              <w:t>药物警戒快讯查询</w:t>
            </w:r>
            <w:bookmarkEnd w:id="145"/>
          </w:p>
        </w:tc>
        <w:tc>
          <w:tcPr>
            <w:tcW w:w="10666" w:type="dxa"/>
            <w:vAlign w:val="center"/>
          </w:tcPr>
          <w:p w14:paraId="22D943CF">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系统提供国家药品监督管理局发布的药品安全警示内容，可按照年份进行快速查询，查看到每期药物警戒快讯详情。</w:t>
            </w:r>
          </w:p>
        </w:tc>
      </w:tr>
      <w:tr w14:paraId="17DB4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1242" w:type="dxa"/>
            <w:vMerge w:val="continue"/>
            <w:vAlign w:val="center"/>
          </w:tcPr>
          <w:p w14:paraId="6F5F0180">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bCs/>
                <w:color w:val="auto"/>
                <w:kern w:val="0"/>
                <w:sz w:val="21"/>
                <w:szCs w:val="21"/>
              </w:rPr>
            </w:pPr>
          </w:p>
        </w:tc>
        <w:tc>
          <w:tcPr>
            <w:tcW w:w="2268" w:type="dxa"/>
            <w:vAlign w:val="center"/>
          </w:tcPr>
          <w:p w14:paraId="273ED10C">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rPr>
            </w:pPr>
            <w:bookmarkStart w:id="146" w:name="_Toc129018488"/>
            <w:r>
              <w:rPr>
                <w:rFonts w:hint="eastAsia" w:ascii="宋体" w:hAnsi="宋体" w:cs="宋体"/>
                <w:color w:val="auto"/>
                <w:sz w:val="21"/>
                <w:szCs w:val="21"/>
              </w:rPr>
              <w:t>不良反应信息通报查询</w:t>
            </w:r>
            <w:bookmarkEnd w:id="146"/>
          </w:p>
        </w:tc>
        <w:tc>
          <w:tcPr>
            <w:tcW w:w="10666" w:type="dxa"/>
            <w:vAlign w:val="center"/>
          </w:tcPr>
          <w:p w14:paraId="3A7952F1">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系统提供国家药品监督管理局发布的不良反应信息通报内容，可按照年份进行快速查询，并查看每期不良反应信息通报的详情。</w:t>
            </w:r>
          </w:p>
        </w:tc>
      </w:tr>
      <w:tr w14:paraId="6F263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1242" w:type="dxa"/>
            <w:vMerge w:val="continue"/>
            <w:vAlign w:val="center"/>
          </w:tcPr>
          <w:p w14:paraId="76F39C62">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bCs/>
                <w:color w:val="auto"/>
                <w:kern w:val="0"/>
                <w:sz w:val="21"/>
                <w:szCs w:val="21"/>
              </w:rPr>
            </w:pPr>
          </w:p>
        </w:tc>
        <w:tc>
          <w:tcPr>
            <w:tcW w:w="2268" w:type="dxa"/>
            <w:vAlign w:val="center"/>
          </w:tcPr>
          <w:p w14:paraId="196F9489">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rPr>
            </w:pPr>
            <w:bookmarkStart w:id="147" w:name="_Toc192772606"/>
            <w:r>
              <w:rPr>
                <w:rFonts w:hint="eastAsia" w:ascii="宋体" w:hAnsi="宋体" w:cs="宋体"/>
                <w:color w:val="auto"/>
                <w:sz w:val="21"/>
                <w:szCs w:val="21"/>
              </w:rPr>
              <w:t>医药法规查询</w:t>
            </w:r>
            <w:bookmarkEnd w:id="147"/>
          </w:p>
        </w:tc>
        <w:tc>
          <w:tcPr>
            <w:tcW w:w="10666" w:type="dxa"/>
            <w:vAlign w:val="center"/>
          </w:tcPr>
          <w:p w14:paraId="4AAE5167">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系统提供国家药品监督管理局、国家卫健委、国家中医药管理局、国家医保局发布的相关医药法规，支持按照发布部门和效力级别进行快速查询，并可查看每个法规的详情。</w:t>
            </w:r>
          </w:p>
        </w:tc>
      </w:tr>
      <w:tr w14:paraId="6C1BA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1242" w:type="dxa"/>
            <w:vMerge w:val="continue"/>
            <w:vAlign w:val="center"/>
          </w:tcPr>
          <w:p w14:paraId="617C8E6E">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bCs/>
                <w:color w:val="auto"/>
                <w:kern w:val="0"/>
                <w:sz w:val="21"/>
                <w:szCs w:val="21"/>
              </w:rPr>
            </w:pPr>
          </w:p>
        </w:tc>
        <w:tc>
          <w:tcPr>
            <w:tcW w:w="2268" w:type="dxa"/>
            <w:vAlign w:val="center"/>
          </w:tcPr>
          <w:p w14:paraId="130C8063">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rPr>
            </w:pPr>
            <w:bookmarkStart w:id="148" w:name="_Toc129018489"/>
            <w:r>
              <w:rPr>
                <w:rFonts w:hint="eastAsia" w:ascii="宋体" w:hAnsi="宋体" w:cs="宋体"/>
                <w:color w:val="auto"/>
                <w:sz w:val="21"/>
                <w:szCs w:val="21"/>
              </w:rPr>
              <w:t>中药方剂查询</w:t>
            </w:r>
            <w:bookmarkEnd w:id="148"/>
          </w:p>
        </w:tc>
        <w:tc>
          <w:tcPr>
            <w:tcW w:w="10666" w:type="dxa"/>
            <w:vAlign w:val="center"/>
          </w:tcPr>
          <w:p w14:paraId="527D55E0">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系统提供中药方剂查询，支持根据关键词查询各种中药方剂，通过内容导航展示方剂详情。</w:t>
            </w:r>
          </w:p>
        </w:tc>
      </w:tr>
      <w:tr w14:paraId="5275C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1242" w:type="dxa"/>
            <w:vMerge w:val="continue"/>
            <w:vAlign w:val="center"/>
          </w:tcPr>
          <w:p w14:paraId="30D18E19">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bCs/>
                <w:color w:val="auto"/>
                <w:kern w:val="0"/>
                <w:sz w:val="21"/>
                <w:szCs w:val="21"/>
              </w:rPr>
            </w:pPr>
          </w:p>
        </w:tc>
        <w:tc>
          <w:tcPr>
            <w:tcW w:w="2268" w:type="dxa"/>
            <w:vAlign w:val="center"/>
          </w:tcPr>
          <w:p w14:paraId="7FD2C618">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rPr>
            </w:pPr>
            <w:bookmarkStart w:id="149" w:name="_Toc129018490"/>
            <w:r>
              <w:rPr>
                <w:rFonts w:hint="eastAsia" w:ascii="宋体" w:hAnsi="宋体" w:cs="宋体"/>
                <w:color w:val="auto"/>
                <w:sz w:val="21"/>
                <w:szCs w:val="21"/>
              </w:rPr>
              <w:t>中医诊疗方案查询</w:t>
            </w:r>
            <w:bookmarkEnd w:id="149"/>
          </w:p>
        </w:tc>
        <w:tc>
          <w:tcPr>
            <w:tcW w:w="10666" w:type="dxa"/>
            <w:vAlign w:val="center"/>
          </w:tcPr>
          <w:p w14:paraId="0FFC566A">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系统提供国家卫健委发布或委托中国医学科学院编写的中医诊疗方案。支持按学科查询，可查看诊疗方案的PDF版本。</w:t>
            </w:r>
          </w:p>
        </w:tc>
      </w:tr>
      <w:tr w14:paraId="010DC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1242" w:type="dxa"/>
            <w:vMerge w:val="continue"/>
            <w:vAlign w:val="center"/>
          </w:tcPr>
          <w:p w14:paraId="56239686">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bCs/>
                <w:color w:val="auto"/>
                <w:kern w:val="0"/>
                <w:sz w:val="21"/>
                <w:szCs w:val="21"/>
              </w:rPr>
            </w:pPr>
          </w:p>
        </w:tc>
        <w:tc>
          <w:tcPr>
            <w:tcW w:w="2268" w:type="dxa"/>
            <w:vAlign w:val="center"/>
          </w:tcPr>
          <w:p w14:paraId="166DEE8D">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rPr>
            </w:pPr>
            <w:bookmarkStart w:id="150" w:name="_Toc129018491"/>
            <w:r>
              <w:rPr>
                <w:rFonts w:hint="eastAsia" w:ascii="宋体" w:hAnsi="宋体" w:cs="宋体"/>
                <w:color w:val="auto"/>
                <w:sz w:val="21"/>
                <w:szCs w:val="21"/>
              </w:rPr>
              <w:t>中药临床诊疗术语查询</w:t>
            </w:r>
            <w:bookmarkEnd w:id="150"/>
          </w:p>
        </w:tc>
        <w:tc>
          <w:tcPr>
            <w:tcW w:w="10666" w:type="dxa"/>
            <w:vAlign w:val="center"/>
          </w:tcPr>
          <w:p w14:paraId="27C833A4">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系统支持通过导航快速查询中药临床诊疗术语，并查看术语详情。</w:t>
            </w:r>
          </w:p>
        </w:tc>
      </w:tr>
      <w:tr w14:paraId="23486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1242" w:type="dxa"/>
            <w:vMerge w:val="continue"/>
            <w:vAlign w:val="center"/>
          </w:tcPr>
          <w:p w14:paraId="541B0901">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bCs/>
                <w:color w:val="auto"/>
                <w:kern w:val="0"/>
                <w:sz w:val="21"/>
                <w:szCs w:val="21"/>
              </w:rPr>
            </w:pPr>
          </w:p>
        </w:tc>
        <w:tc>
          <w:tcPr>
            <w:tcW w:w="2268" w:type="dxa"/>
            <w:vAlign w:val="center"/>
          </w:tcPr>
          <w:p w14:paraId="7C935329">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rPr>
            </w:pPr>
            <w:bookmarkStart w:id="151" w:name="_Toc129018492"/>
            <w:r>
              <w:rPr>
                <w:rFonts w:hint="eastAsia" w:ascii="宋体" w:hAnsi="宋体" w:cs="宋体"/>
                <w:color w:val="auto"/>
                <w:sz w:val="21"/>
                <w:szCs w:val="21"/>
              </w:rPr>
              <w:t>中医病症分类与代码查询</w:t>
            </w:r>
            <w:bookmarkEnd w:id="151"/>
          </w:p>
        </w:tc>
        <w:tc>
          <w:tcPr>
            <w:tcW w:w="10666" w:type="dxa"/>
            <w:vAlign w:val="center"/>
          </w:tcPr>
          <w:p w14:paraId="14AA6FF3">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系统提供国家卫健委发布的中医病症分类代码，支持通过疾病名关键词进行检索。</w:t>
            </w:r>
          </w:p>
        </w:tc>
      </w:tr>
      <w:tr w14:paraId="50D19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1242" w:type="dxa"/>
            <w:vMerge w:val="continue"/>
            <w:vAlign w:val="center"/>
          </w:tcPr>
          <w:p w14:paraId="7A283629">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bCs/>
                <w:color w:val="auto"/>
                <w:kern w:val="0"/>
                <w:sz w:val="21"/>
                <w:szCs w:val="21"/>
              </w:rPr>
            </w:pPr>
          </w:p>
        </w:tc>
        <w:tc>
          <w:tcPr>
            <w:tcW w:w="2268" w:type="dxa"/>
            <w:vAlign w:val="center"/>
          </w:tcPr>
          <w:p w14:paraId="52EFB456">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rPr>
            </w:pPr>
            <w:bookmarkStart w:id="152" w:name="_Toc192772611"/>
            <w:r>
              <w:rPr>
                <w:rFonts w:hint="eastAsia" w:ascii="宋体" w:hAnsi="宋体" w:cs="宋体"/>
                <w:color w:val="auto"/>
                <w:sz w:val="21"/>
                <w:szCs w:val="21"/>
              </w:rPr>
              <w:t>知识库内容维护</w:t>
            </w:r>
            <w:bookmarkEnd w:id="152"/>
          </w:p>
        </w:tc>
        <w:tc>
          <w:tcPr>
            <w:tcW w:w="10666" w:type="dxa"/>
            <w:vAlign w:val="center"/>
          </w:tcPr>
          <w:p w14:paraId="7F9E71EE">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包括结构化说明书维护、药品说明书PDF管理、文献管理。</w:t>
            </w:r>
          </w:p>
          <w:p w14:paraId="4A575E12">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rPr>
            </w:pPr>
            <w:r>
              <w:rPr>
                <w:rFonts w:hint="eastAsia" w:ascii="宋体" w:hAnsi="宋体" w:cs="宋体"/>
                <w:bCs/>
                <w:color w:val="auto"/>
                <w:sz w:val="21"/>
                <w:szCs w:val="21"/>
              </w:rPr>
              <w:t>药学知识库（包括说明书、指南、临床路径、法规文件）定期更新至最新版本，每年更新不少于10次。</w:t>
            </w:r>
          </w:p>
        </w:tc>
      </w:tr>
    </w:tbl>
    <w:p w14:paraId="437D7133">
      <w:pPr>
        <w:rPr>
          <w:rFonts w:ascii="宋体" w:hAnsi="宋体" w:cs="宋体"/>
          <w:color w:val="auto"/>
        </w:rPr>
      </w:pPr>
    </w:p>
    <w:tbl>
      <w:tblPr>
        <w:tblStyle w:val="46"/>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6"/>
        <w:gridCol w:w="1567"/>
        <w:gridCol w:w="7148"/>
      </w:tblGrid>
      <w:tr w14:paraId="10120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blHeader/>
        </w:trPr>
        <w:tc>
          <w:tcPr>
            <w:tcW w:w="1242" w:type="dxa"/>
            <w:vAlign w:val="center"/>
          </w:tcPr>
          <w:p w14:paraId="093185BD">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b/>
                <w:bCs/>
                <w:color w:val="000000"/>
                <w:kern w:val="0"/>
                <w:sz w:val="21"/>
                <w:szCs w:val="21"/>
              </w:rPr>
            </w:pPr>
            <w:r>
              <w:rPr>
                <w:rFonts w:hint="eastAsia" w:ascii="宋体" w:hAnsi="宋体" w:cs="宋体"/>
                <w:b/>
                <w:bCs/>
                <w:color w:val="000000"/>
                <w:kern w:val="0"/>
                <w:sz w:val="21"/>
                <w:szCs w:val="21"/>
              </w:rPr>
              <w:t>需求名称</w:t>
            </w:r>
          </w:p>
        </w:tc>
        <w:tc>
          <w:tcPr>
            <w:tcW w:w="2127" w:type="dxa"/>
            <w:vAlign w:val="center"/>
          </w:tcPr>
          <w:p w14:paraId="2D9FB46B">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b/>
                <w:bCs/>
                <w:color w:val="000000"/>
                <w:kern w:val="0"/>
                <w:sz w:val="21"/>
                <w:szCs w:val="21"/>
              </w:rPr>
            </w:pPr>
            <w:r>
              <w:rPr>
                <w:rFonts w:hint="eastAsia" w:ascii="宋体" w:hAnsi="宋体" w:cs="宋体"/>
                <w:b/>
                <w:bCs/>
                <w:color w:val="000000"/>
                <w:kern w:val="0"/>
                <w:sz w:val="21"/>
                <w:szCs w:val="21"/>
              </w:rPr>
              <w:t>序号</w:t>
            </w:r>
          </w:p>
        </w:tc>
        <w:tc>
          <w:tcPr>
            <w:tcW w:w="10807" w:type="dxa"/>
            <w:vAlign w:val="center"/>
          </w:tcPr>
          <w:p w14:paraId="2300F08F">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b/>
                <w:bCs/>
                <w:color w:val="000000"/>
                <w:kern w:val="0"/>
                <w:sz w:val="21"/>
                <w:szCs w:val="21"/>
              </w:rPr>
            </w:pPr>
            <w:r>
              <w:rPr>
                <w:rFonts w:hint="eastAsia" w:ascii="宋体" w:hAnsi="宋体" w:cs="宋体"/>
                <w:b/>
                <w:bCs/>
                <w:color w:val="000000"/>
                <w:kern w:val="0"/>
                <w:sz w:val="21"/>
                <w:szCs w:val="21"/>
              </w:rPr>
              <w:t>需求描述</w:t>
            </w:r>
          </w:p>
        </w:tc>
      </w:tr>
      <w:tr w14:paraId="5D499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1242" w:type="dxa"/>
            <w:vMerge w:val="restart"/>
            <w:vAlign w:val="center"/>
          </w:tcPr>
          <w:p w14:paraId="28E88967">
            <w:pPr>
              <w:keepNext w:val="0"/>
              <w:keepLines w:val="0"/>
              <w:pageBreakBefore w:val="0"/>
              <w:kinsoku/>
              <w:wordWrap/>
              <w:overflowPunct/>
              <w:topLinePunct w:val="0"/>
              <w:autoSpaceDE/>
              <w:autoSpaceDN/>
              <w:bidi w:val="0"/>
              <w:adjustRightInd w:val="0"/>
              <w:snapToGrid w:val="0"/>
              <w:spacing w:line="360" w:lineRule="auto"/>
              <w:ind w:left="0" w:firstLine="0"/>
              <w:jc w:val="left"/>
              <w:textAlignment w:val="auto"/>
              <w:rPr>
                <w:rFonts w:ascii="宋体" w:hAnsi="宋体" w:cs="宋体"/>
                <w:sz w:val="21"/>
                <w:szCs w:val="21"/>
              </w:rPr>
            </w:pPr>
            <w:r>
              <w:rPr>
                <w:rFonts w:hint="eastAsia" w:ascii="宋体" w:hAnsi="宋体" w:cs="宋体"/>
                <w:sz w:val="21"/>
                <w:szCs w:val="21"/>
              </w:rPr>
              <w:t>处方点评系统</w:t>
            </w:r>
          </w:p>
        </w:tc>
        <w:tc>
          <w:tcPr>
            <w:tcW w:w="12934" w:type="dxa"/>
            <w:gridSpan w:val="2"/>
            <w:vAlign w:val="center"/>
          </w:tcPr>
          <w:p w14:paraId="2E8A6414">
            <w:pPr>
              <w:keepNext w:val="0"/>
              <w:keepLines w:val="0"/>
              <w:pageBreakBefore w:val="0"/>
              <w:numPr>
                <w:ilvl w:val="1"/>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000000"/>
                <w:kern w:val="0"/>
                <w:sz w:val="21"/>
                <w:szCs w:val="21"/>
              </w:rPr>
            </w:pPr>
            <w:bookmarkStart w:id="153" w:name="_Toc192772621"/>
            <w:r>
              <w:rPr>
                <w:rFonts w:hint="eastAsia" w:ascii="宋体" w:hAnsi="宋体" w:cs="宋体"/>
                <w:sz w:val="21"/>
                <w:szCs w:val="21"/>
              </w:rPr>
              <w:t>处方点评（常规）</w:t>
            </w:r>
            <w:bookmarkEnd w:id="153"/>
          </w:p>
        </w:tc>
      </w:tr>
      <w:tr w14:paraId="317A9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1242" w:type="dxa"/>
            <w:vMerge w:val="continue"/>
            <w:vAlign w:val="center"/>
          </w:tcPr>
          <w:p w14:paraId="2F0D5E50">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000000"/>
                <w:kern w:val="0"/>
                <w:sz w:val="21"/>
                <w:szCs w:val="21"/>
              </w:rPr>
            </w:pPr>
          </w:p>
        </w:tc>
        <w:tc>
          <w:tcPr>
            <w:tcW w:w="2127" w:type="dxa"/>
            <w:vAlign w:val="center"/>
          </w:tcPr>
          <w:p w14:paraId="2D2901D3">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sz w:val="21"/>
                <w:szCs w:val="21"/>
              </w:rPr>
            </w:pPr>
            <w:r>
              <w:rPr>
                <w:rFonts w:hint="eastAsia" w:ascii="宋体" w:hAnsi="宋体" w:cs="宋体"/>
                <w:sz w:val="21"/>
                <w:szCs w:val="21"/>
              </w:rPr>
              <w:t>点评计划管理</w:t>
            </w:r>
          </w:p>
        </w:tc>
        <w:tc>
          <w:tcPr>
            <w:tcW w:w="10807" w:type="dxa"/>
            <w:vAlign w:val="center"/>
          </w:tcPr>
          <w:p w14:paraId="1AF3F782">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sz w:val="21"/>
                <w:szCs w:val="21"/>
              </w:rPr>
            </w:pPr>
            <w:r>
              <w:rPr>
                <w:rFonts w:hint="eastAsia" w:ascii="宋体" w:hAnsi="宋体" w:cs="宋体"/>
                <w:bCs/>
                <w:sz w:val="21"/>
                <w:szCs w:val="21"/>
              </w:rPr>
              <w:t>系统支持建立点评计划，对点评过程进行跟踪管理。药师通过点评计划的列表可进行新增计划、查看计划、修改计划名称、查看共计报表、删除计划、搜索计划、导出。点评计划分为门诊点评、住院点评、门诊专项点评、住院专项点评。</w:t>
            </w:r>
          </w:p>
          <w:p w14:paraId="46F72AD5">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sz w:val="21"/>
                <w:szCs w:val="21"/>
              </w:rPr>
            </w:pPr>
            <w:r>
              <w:rPr>
                <w:rFonts w:hint="eastAsia" w:ascii="宋体" w:hAnsi="宋体" w:cs="宋体"/>
                <w:bCs/>
                <w:sz w:val="21"/>
                <w:szCs w:val="21"/>
              </w:rPr>
              <w:t>系统支持导出点评计划的所有处方，导出时支持设定需要导出的信息字段。</w:t>
            </w:r>
          </w:p>
          <w:p w14:paraId="089B9924">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sz w:val="21"/>
                <w:szCs w:val="21"/>
              </w:rPr>
            </w:pPr>
            <w:r>
              <w:rPr>
                <w:rFonts w:hint="eastAsia" w:ascii="宋体" w:hAnsi="宋体" w:cs="宋体"/>
                <w:bCs/>
                <w:sz w:val="21"/>
                <w:szCs w:val="21"/>
              </w:rPr>
              <w:t>支持与互联网医院、云药房系统做对接，可对互联网医院、云药房处方进行抽取和点评。</w:t>
            </w:r>
          </w:p>
        </w:tc>
      </w:tr>
      <w:tr w14:paraId="3E654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2" w:hRule="atLeast"/>
        </w:trPr>
        <w:tc>
          <w:tcPr>
            <w:tcW w:w="1242" w:type="dxa"/>
            <w:vMerge w:val="continue"/>
            <w:vAlign w:val="center"/>
          </w:tcPr>
          <w:p w14:paraId="523CCA93">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000000"/>
                <w:kern w:val="0"/>
                <w:sz w:val="21"/>
                <w:szCs w:val="21"/>
              </w:rPr>
            </w:pPr>
          </w:p>
        </w:tc>
        <w:tc>
          <w:tcPr>
            <w:tcW w:w="2127" w:type="dxa"/>
            <w:vAlign w:val="center"/>
          </w:tcPr>
          <w:p w14:paraId="415B81A7">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sz w:val="21"/>
                <w:szCs w:val="21"/>
              </w:rPr>
            </w:pPr>
            <w:r>
              <w:rPr>
                <w:rFonts w:hint="eastAsia" w:ascii="宋体" w:hAnsi="宋体" w:cs="宋体"/>
                <w:sz w:val="21"/>
                <w:szCs w:val="21"/>
              </w:rPr>
              <w:t>点评模板选取与管理</w:t>
            </w:r>
          </w:p>
        </w:tc>
        <w:tc>
          <w:tcPr>
            <w:tcW w:w="10807" w:type="dxa"/>
            <w:vAlign w:val="center"/>
          </w:tcPr>
          <w:p w14:paraId="0FD876C7">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sz w:val="21"/>
                <w:szCs w:val="21"/>
              </w:rPr>
            </w:pPr>
            <w:r>
              <w:rPr>
                <w:rFonts w:hint="eastAsia" w:ascii="宋体" w:hAnsi="宋体" w:cs="宋体"/>
                <w:bCs/>
                <w:sz w:val="21"/>
                <w:szCs w:val="21"/>
              </w:rPr>
              <w:t>建立点评计划时，系统支持选择点评流程模板，整个点评流程将按模板设定好的路径进行。</w:t>
            </w:r>
          </w:p>
          <w:p w14:paraId="49010A62">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sz w:val="21"/>
                <w:szCs w:val="21"/>
              </w:rPr>
            </w:pPr>
            <w:r>
              <w:rPr>
                <w:rFonts w:hint="eastAsia" w:ascii="宋体" w:hAnsi="宋体" w:cs="宋体"/>
                <w:bCs/>
                <w:sz w:val="21"/>
                <w:szCs w:val="21"/>
              </w:rPr>
              <w:t>点评模板可根据医院管理流程要求在后台预先配置，方便医院调整点评流程环节，支持多级点评、多级审核。</w:t>
            </w:r>
          </w:p>
          <w:p w14:paraId="4B76D24A">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sz w:val="21"/>
                <w:szCs w:val="21"/>
              </w:rPr>
            </w:pPr>
            <w:r>
              <w:rPr>
                <w:rFonts w:hint="eastAsia" w:ascii="宋体" w:hAnsi="宋体" w:cs="宋体"/>
                <w:bCs/>
                <w:sz w:val="21"/>
                <w:szCs w:val="21"/>
              </w:rPr>
              <w:t>系统支持设定药学部主任参与点评结果审核，在审核之后方可将结果发给医生。</w:t>
            </w:r>
          </w:p>
          <w:p w14:paraId="3B02EFCB">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sz w:val="21"/>
                <w:szCs w:val="21"/>
              </w:rPr>
            </w:pPr>
            <w:r>
              <w:rPr>
                <w:rFonts w:hint="eastAsia" w:ascii="宋体" w:hAnsi="宋体" w:cs="宋体"/>
                <w:bCs/>
                <w:sz w:val="21"/>
                <w:szCs w:val="21"/>
              </w:rPr>
              <w:t>系统支持设定医生科室主任参与点评申诉意见审核，在审核之后方可将申诉意见发给药师。</w:t>
            </w:r>
          </w:p>
        </w:tc>
      </w:tr>
      <w:tr w14:paraId="08E52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1242" w:type="dxa"/>
            <w:vMerge w:val="continue"/>
            <w:vAlign w:val="center"/>
          </w:tcPr>
          <w:p w14:paraId="321DBCFF">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000000"/>
                <w:kern w:val="0"/>
                <w:sz w:val="21"/>
                <w:szCs w:val="21"/>
              </w:rPr>
            </w:pPr>
          </w:p>
        </w:tc>
        <w:tc>
          <w:tcPr>
            <w:tcW w:w="2127" w:type="dxa"/>
            <w:vAlign w:val="center"/>
          </w:tcPr>
          <w:p w14:paraId="0A33E419">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sz w:val="21"/>
                <w:szCs w:val="21"/>
              </w:rPr>
            </w:pPr>
            <w:r>
              <w:rPr>
                <w:rFonts w:hint="eastAsia" w:ascii="宋体" w:hAnsi="宋体" w:cs="宋体"/>
                <w:sz w:val="21"/>
                <w:szCs w:val="21"/>
              </w:rPr>
              <w:t>处方/医嘱抽取</w:t>
            </w:r>
          </w:p>
        </w:tc>
        <w:tc>
          <w:tcPr>
            <w:tcW w:w="10807" w:type="dxa"/>
            <w:vAlign w:val="center"/>
          </w:tcPr>
          <w:p w14:paraId="4955AB23">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sz w:val="21"/>
                <w:szCs w:val="21"/>
              </w:rPr>
            </w:pPr>
            <w:r>
              <w:rPr>
                <w:rFonts w:hint="eastAsia" w:ascii="宋体" w:hAnsi="宋体" w:cs="宋体"/>
                <w:bCs/>
                <w:sz w:val="21"/>
                <w:szCs w:val="21"/>
              </w:rPr>
              <w:t>系统支持根据设定的条件抽取处方/医嘱，可用条件包括：</w:t>
            </w:r>
          </w:p>
          <w:p w14:paraId="5D36147A">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sz w:val="21"/>
                <w:szCs w:val="21"/>
              </w:rPr>
            </w:pPr>
            <w:r>
              <w:rPr>
                <w:rFonts w:hint="eastAsia" w:ascii="宋体" w:hAnsi="宋体" w:cs="宋体"/>
                <w:bCs/>
                <w:sz w:val="21"/>
                <w:szCs w:val="21"/>
              </w:rPr>
              <w:t>范围：抽样方式、日期范围、抽样类型、就诊类型、其中包含药品类型处方张数、合理用药分析问题类型、合理用药分析问题级别、被点评组、抽查状态、排除项。</w:t>
            </w:r>
          </w:p>
          <w:p w14:paraId="0179D517">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sz w:val="21"/>
                <w:szCs w:val="21"/>
              </w:rPr>
            </w:pPr>
            <w:r>
              <w:rPr>
                <w:rFonts w:hint="eastAsia" w:ascii="宋体" w:hAnsi="宋体" w:cs="宋体"/>
                <w:bCs/>
                <w:sz w:val="21"/>
                <w:szCs w:val="21"/>
              </w:rPr>
              <w:t>患者信息：患者姓名、性别、年龄、病历卡号、患者唯一号。</w:t>
            </w:r>
          </w:p>
          <w:p w14:paraId="36AF63C5">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sz w:val="21"/>
                <w:szCs w:val="21"/>
              </w:rPr>
            </w:pPr>
            <w:r>
              <w:rPr>
                <w:rFonts w:hint="eastAsia" w:ascii="宋体" w:hAnsi="宋体" w:cs="宋体"/>
                <w:bCs/>
                <w:sz w:val="21"/>
                <w:szCs w:val="21"/>
              </w:rPr>
              <w:t>就诊信息：病区名称、审核药师、处方类型、发药药师、诊断类型、门诊号、处方号、医生姓名、处方医生所属科室、医生职称。</w:t>
            </w:r>
          </w:p>
          <w:p w14:paraId="43059587">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sz w:val="21"/>
                <w:szCs w:val="21"/>
              </w:rPr>
            </w:pPr>
            <w:r>
              <w:rPr>
                <w:rFonts w:hint="eastAsia" w:ascii="宋体" w:hAnsi="宋体" w:cs="宋体"/>
                <w:bCs/>
                <w:sz w:val="21"/>
                <w:szCs w:val="21"/>
              </w:rPr>
              <w:t>药品信息：药品类型、开方科室、药品剂型、药品品种数、给药途径、用药天数、发药药房、结算类型、用药金额、药品编码、合理用药分析结果（是否合理）。</w:t>
            </w:r>
          </w:p>
          <w:p w14:paraId="37720BF0">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sz w:val="21"/>
                <w:szCs w:val="21"/>
              </w:rPr>
            </w:pPr>
            <w:r>
              <w:rPr>
                <w:rFonts w:hint="eastAsia" w:ascii="宋体" w:hAnsi="宋体" w:cs="宋体"/>
                <w:bCs/>
                <w:sz w:val="21"/>
                <w:szCs w:val="21"/>
              </w:rPr>
              <w:t>系统支持导入患者信息进行定向抽取。</w:t>
            </w:r>
          </w:p>
          <w:p w14:paraId="1BC503E2">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sz w:val="21"/>
                <w:szCs w:val="21"/>
              </w:rPr>
            </w:pPr>
            <w:r>
              <w:rPr>
                <w:rFonts w:hint="eastAsia" w:ascii="宋体" w:hAnsi="宋体" w:cs="宋体"/>
                <w:bCs/>
                <w:sz w:val="21"/>
                <w:szCs w:val="21"/>
              </w:rPr>
              <w:t>系统支持导入药品信息进行定向抽取。</w:t>
            </w:r>
          </w:p>
          <w:p w14:paraId="6C4F9040">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sz w:val="21"/>
                <w:szCs w:val="21"/>
              </w:rPr>
            </w:pPr>
            <w:r>
              <w:rPr>
                <w:rFonts w:hint="eastAsia" w:ascii="宋体" w:hAnsi="宋体" w:cs="宋体"/>
                <w:bCs/>
                <w:sz w:val="21"/>
                <w:szCs w:val="21"/>
              </w:rPr>
              <w:t>系统支持将当前选好的条件存为“抽取条件模板”。下一次抽取时可按条件模板进行抽取。</w:t>
            </w:r>
          </w:p>
          <w:p w14:paraId="7EC8DD64">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sz w:val="21"/>
                <w:szCs w:val="21"/>
              </w:rPr>
            </w:pPr>
            <w:r>
              <w:rPr>
                <w:rFonts w:hint="eastAsia" w:ascii="宋体" w:hAnsi="宋体" w:cs="宋体"/>
                <w:bCs/>
                <w:sz w:val="21"/>
                <w:szCs w:val="21"/>
              </w:rPr>
              <w:t>系统支持对抽取结果进行剔除、重抽、导出。</w:t>
            </w:r>
          </w:p>
        </w:tc>
      </w:tr>
      <w:tr w14:paraId="41608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1242" w:type="dxa"/>
            <w:vMerge w:val="continue"/>
            <w:vAlign w:val="center"/>
          </w:tcPr>
          <w:p w14:paraId="433D7A83">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000000"/>
                <w:kern w:val="0"/>
                <w:sz w:val="21"/>
                <w:szCs w:val="21"/>
              </w:rPr>
            </w:pPr>
          </w:p>
        </w:tc>
        <w:tc>
          <w:tcPr>
            <w:tcW w:w="2127" w:type="dxa"/>
            <w:vAlign w:val="center"/>
          </w:tcPr>
          <w:p w14:paraId="0DB6DAE0">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sz w:val="21"/>
                <w:szCs w:val="21"/>
              </w:rPr>
            </w:pPr>
            <w:r>
              <w:rPr>
                <w:rFonts w:hint="eastAsia" w:ascii="宋体" w:hAnsi="宋体" w:cs="宋体"/>
                <w:sz w:val="21"/>
                <w:szCs w:val="21"/>
              </w:rPr>
              <w:t>处方/医嘱分配</w:t>
            </w:r>
          </w:p>
        </w:tc>
        <w:tc>
          <w:tcPr>
            <w:tcW w:w="10807" w:type="dxa"/>
            <w:vAlign w:val="center"/>
          </w:tcPr>
          <w:p w14:paraId="12FE47E9">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sz w:val="21"/>
                <w:szCs w:val="21"/>
              </w:rPr>
            </w:pPr>
            <w:r>
              <w:rPr>
                <w:rFonts w:hint="eastAsia" w:ascii="宋体" w:hAnsi="宋体" w:cs="宋体"/>
                <w:bCs/>
                <w:sz w:val="21"/>
                <w:szCs w:val="21"/>
              </w:rPr>
              <w:t>系统支持按选中的点评组分配处方/医嘱。</w:t>
            </w:r>
          </w:p>
          <w:p w14:paraId="5A33D10C">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sz w:val="21"/>
                <w:szCs w:val="21"/>
              </w:rPr>
            </w:pPr>
            <w:r>
              <w:rPr>
                <w:rFonts w:hint="eastAsia" w:ascii="宋体" w:hAnsi="宋体" w:cs="宋体"/>
                <w:bCs/>
                <w:sz w:val="21"/>
                <w:szCs w:val="21"/>
              </w:rPr>
              <w:t>系统支持按比例分配模式：可按比例均分、按张数均分，可手动调节，可清空后重新分配。支持均分后锁定部分人员的处方数，清空未锁定人员的处方数，重新调整。</w:t>
            </w:r>
          </w:p>
          <w:p w14:paraId="7E7E51E6">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sz w:val="21"/>
                <w:szCs w:val="21"/>
              </w:rPr>
            </w:pPr>
            <w:r>
              <w:rPr>
                <w:rFonts w:hint="eastAsia" w:ascii="宋体" w:hAnsi="宋体" w:cs="宋体"/>
                <w:bCs/>
                <w:sz w:val="21"/>
                <w:szCs w:val="21"/>
              </w:rPr>
              <w:t>系统支持按药师名单分配模式：可手动选择处方分配给指定的人，可批量选中处方分配给指定的人；支持搜索药师工号、搜索处方。</w:t>
            </w:r>
          </w:p>
        </w:tc>
      </w:tr>
      <w:tr w14:paraId="102B5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1242" w:type="dxa"/>
            <w:vMerge w:val="continue"/>
            <w:vAlign w:val="center"/>
          </w:tcPr>
          <w:p w14:paraId="260DB075">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000000"/>
                <w:kern w:val="0"/>
                <w:sz w:val="21"/>
                <w:szCs w:val="21"/>
              </w:rPr>
            </w:pPr>
          </w:p>
        </w:tc>
        <w:tc>
          <w:tcPr>
            <w:tcW w:w="2127" w:type="dxa"/>
            <w:vAlign w:val="center"/>
          </w:tcPr>
          <w:p w14:paraId="1014930C">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sz w:val="21"/>
                <w:szCs w:val="21"/>
              </w:rPr>
            </w:pPr>
            <w:r>
              <w:rPr>
                <w:rFonts w:hint="eastAsia" w:ascii="宋体" w:hAnsi="宋体" w:cs="宋体"/>
                <w:sz w:val="21"/>
                <w:szCs w:val="21"/>
              </w:rPr>
              <w:t>处方/医嘱预处理</w:t>
            </w:r>
          </w:p>
        </w:tc>
        <w:tc>
          <w:tcPr>
            <w:tcW w:w="10807" w:type="dxa"/>
            <w:vAlign w:val="center"/>
          </w:tcPr>
          <w:p w14:paraId="48C544C0">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sz w:val="21"/>
                <w:szCs w:val="21"/>
              </w:rPr>
            </w:pPr>
            <w:r>
              <w:rPr>
                <w:rFonts w:hint="eastAsia" w:ascii="宋体" w:hAnsi="宋体" w:cs="宋体"/>
                <w:bCs/>
                <w:sz w:val="21"/>
                <w:szCs w:val="21"/>
              </w:rPr>
              <w:t>处方/医嘱抽取之后，系统将按照《医院处方点评管理规范（试行）》，对处方/医嘱进行预点评，并将分析结果提供给点评药师参考。预点评的结果按文件要求，分为“三大类28小项”：</w:t>
            </w:r>
          </w:p>
          <w:p w14:paraId="3946897F">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sz w:val="21"/>
                <w:szCs w:val="21"/>
              </w:rPr>
            </w:pPr>
            <w:r>
              <w:rPr>
                <w:rFonts w:hint="eastAsia" w:ascii="宋体" w:hAnsi="宋体" w:cs="宋体"/>
                <w:bCs/>
                <w:sz w:val="21"/>
                <w:szCs w:val="21"/>
              </w:rPr>
              <w:t>第一类：不规范处方（15小项）</w:t>
            </w:r>
          </w:p>
          <w:p w14:paraId="63AC28E7">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sz w:val="21"/>
                <w:szCs w:val="21"/>
              </w:rPr>
            </w:pPr>
            <w:r>
              <w:rPr>
                <w:rFonts w:hint="eastAsia" w:ascii="宋体" w:hAnsi="宋体" w:cs="宋体"/>
                <w:bCs/>
                <w:sz w:val="21"/>
                <w:szCs w:val="21"/>
              </w:rPr>
              <w:t>第二类：用药不适宜处方（9小项）</w:t>
            </w:r>
          </w:p>
          <w:p w14:paraId="32350593">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sz w:val="21"/>
                <w:szCs w:val="21"/>
              </w:rPr>
            </w:pPr>
            <w:r>
              <w:rPr>
                <w:rFonts w:hint="eastAsia" w:ascii="宋体" w:hAnsi="宋体" w:cs="宋体"/>
                <w:bCs/>
                <w:sz w:val="21"/>
                <w:szCs w:val="21"/>
              </w:rPr>
              <w:t>第三类：超常规处方（4小项）</w:t>
            </w:r>
          </w:p>
          <w:p w14:paraId="6C21D60A">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sz w:val="21"/>
                <w:szCs w:val="21"/>
              </w:rPr>
            </w:pPr>
            <w:r>
              <w:rPr>
                <w:rFonts w:hint="eastAsia" w:ascii="宋体" w:hAnsi="宋体" w:cs="宋体"/>
                <w:bCs/>
                <w:sz w:val="21"/>
                <w:szCs w:val="21"/>
              </w:rPr>
              <w:t>系统默认提供《医院处方点评管理规范（试行）》里要求的28小项问题点，同时支持增、改新的问题点。</w:t>
            </w:r>
          </w:p>
        </w:tc>
      </w:tr>
      <w:tr w14:paraId="3C813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1242" w:type="dxa"/>
            <w:vMerge w:val="continue"/>
            <w:vAlign w:val="center"/>
          </w:tcPr>
          <w:p w14:paraId="4900ECB5">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000000"/>
                <w:kern w:val="0"/>
                <w:sz w:val="21"/>
                <w:szCs w:val="21"/>
              </w:rPr>
            </w:pPr>
          </w:p>
        </w:tc>
        <w:tc>
          <w:tcPr>
            <w:tcW w:w="2127" w:type="dxa"/>
            <w:vAlign w:val="center"/>
          </w:tcPr>
          <w:p w14:paraId="0D7D0A3A">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sz w:val="21"/>
                <w:szCs w:val="21"/>
              </w:rPr>
            </w:pPr>
            <w:r>
              <w:rPr>
                <w:rFonts w:hint="eastAsia" w:ascii="宋体" w:hAnsi="宋体" w:cs="宋体"/>
                <w:sz w:val="21"/>
                <w:szCs w:val="21"/>
              </w:rPr>
              <w:t>对分配的处方/医嘱进行点评、审核</w:t>
            </w:r>
          </w:p>
        </w:tc>
        <w:tc>
          <w:tcPr>
            <w:tcW w:w="10807" w:type="dxa"/>
            <w:vAlign w:val="center"/>
          </w:tcPr>
          <w:p w14:paraId="76AB2D82">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sz w:val="21"/>
                <w:szCs w:val="21"/>
              </w:rPr>
            </w:pPr>
            <w:r>
              <w:rPr>
                <w:rFonts w:hint="eastAsia" w:ascii="宋体" w:hAnsi="宋体" w:cs="宋体"/>
                <w:bCs/>
                <w:sz w:val="21"/>
                <w:szCs w:val="21"/>
              </w:rPr>
              <w:t>点评组药师在点评界面可查看分配给自己的点评任务，并逐一点评，或批量点评，批量点评界面须有处方基本信息（包括处方号、患者性别、年龄、诊断、具体用药、药品用法用量、处方药品量、系统点评结果）。可根据系统预处理结果，全部或是有选择性的进行点评，并对系统分析的结果进行人工确认，同时可输入点评意见，形成最终结果。</w:t>
            </w:r>
          </w:p>
          <w:p w14:paraId="2F8A84BD">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sz w:val="21"/>
                <w:szCs w:val="21"/>
              </w:rPr>
            </w:pPr>
            <w:r>
              <w:rPr>
                <w:rFonts w:hint="eastAsia" w:ascii="宋体" w:hAnsi="宋体" w:cs="宋体"/>
                <w:bCs/>
                <w:sz w:val="21"/>
                <w:szCs w:val="21"/>
              </w:rPr>
              <w:t>点评人只能查看自己相关任务的病人信息，无权查看其他人处方信息。系统需支持多级点评推送功能，初点评药师、复点药师、点评专家，均可看到点评信息，每一级的药师可将计划点评为不合理的处方流转到上一级指定的药师，最终的点评意见可发送至医务处药事管理专员，最后由医务处推送至临床医生，临床医生中仅显示最终点评意见且不显示各级点评人信息。</w:t>
            </w:r>
          </w:p>
          <w:p w14:paraId="5982D7A3">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sz w:val="21"/>
                <w:szCs w:val="21"/>
              </w:rPr>
            </w:pPr>
            <w:r>
              <w:rPr>
                <w:rFonts w:hint="eastAsia" w:ascii="宋体" w:hAnsi="宋体" w:cs="宋体"/>
                <w:bCs/>
                <w:sz w:val="21"/>
                <w:szCs w:val="21"/>
              </w:rPr>
              <w:t>在点评任务列表可进行处方/医嘱筛选、导出。</w:t>
            </w:r>
          </w:p>
        </w:tc>
      </w:tr>
      <w:tr w14:paraId="009B4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1242" w:type="dxa"/>
            <w:vMerge w:val="continue"/>
            <w:vAlign w:val="center"/>
          </w:tcPr>
          <w:p w14:paraId="7A96CF0A">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000000"/>
                <w:kern w:val="0"/>
                <w:sz w:val="21"/>
                <w:szCs w:val="21"/>
              </w:rPr>
            </w:pPr>
          </w:p>
        </w:tc>
        <w:tc>
          <w:tcPr>
            <w:tcW w:w="2127" w:type="dxa"/>
            <w:vAlign w:val="center"/>
          </w:tcPr>
          <w:p w14:paraId="74430150">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sz w:val="21"/>
                <w:szCs w:val="21"/>
              </w:rPr>
            </w:pPr>
            <w:r>
              <w:rPr>
                <w:rFonts w:hint="eastAsia" w:ascii="宋体" w:hAnsi="宋体" w:cs="宋体"/>
                <w:sz w:val="21"/>
                <w:szCs w:val="21"/>
              </w:rPr>
              <w:t>点评组人员配置</w:t>
            </w:r>
          </w:p>
        </w:tc>
        <w:tc>
          <w:tcPr>
            <w:tcW w:w="10807" w:type="dxa"/>
            <w:vAlign w:val="center"/>
          </w:tcPr>
          <w:p w14:paraId="7AB17944">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sz w:val="21"/>
                <w:szCs w:val="21"/>
              </w:rPr>
            </w:pPr>
            <w:r>
              <w:rPr>
                <w:rFonts w:hint="eastAsia" w:ascii="宋体" w:hAnsi="宋体" w:cs="宋体"/>
                <w:bCs/>
                <w:sz w:val="21"/>
                <w:szCs w:val="21"/>
              </w:rPr>
              <w:t>系统可设置点评组人员，在点评任务分配时可调用点评组，按既定名单进行分配。</w:t>
            </w:r>
          </w:p>
        </w:tc>
      </w:tr>
      <w:tr w14:paraId="7BA4A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1242" w:type="dxa"/>
            <w:vMerge w:val="continue"/>
            <w:vAlign w:val="center"/>
          </w:tcPr>
          <w:p w14:paraId="2052EAD7">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000000"/>
                <w:kern w:val="0"/>
                <w:sz w:val="21"/>
                <w:szCs w:val="21"/>
              </w:rPr>
            </w:pPr>
          </w:p>
        </w:tc>
        <w:tc>
          <w:tcPr>
            <w:tcW w:w="2127" w:type="dxa"/>
            <w:vAlign w:val="center"/>
          </w:tcPr>
          <w:p w14:paraId="286BD13B">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sz w:val="21"/>
                <w:szCs w:val="21"/>
              </w:rPr>
            </w:pPr>
            <w:r>
              <w:rPr>
                <w:rFonts w:hint="eastAsia" w:ascii="宋体" w:hAnsi="宋体" w:cs="宋体"/>
                <w:sz w:val="21"/>
                <w:szCs w:val="21"/>
              </w:rPr>
              <w:t>门诊点评工作表生成</w:t>
            </w:r>
          </w:p>
        </w:tc>
        <w:tc>
          <w:tcPr>
            <w:tcW w:w="10807" w:type="dxa"/>
            <w:vAlign w:val="center"/>
          </w:tcPr>
          <w:p w14:paraId="7B42019C">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sz w:val="21"/>
                <w:szCs w:val="21"/>
              </w:rPr>
            </w:pPr>
            <w:r>
              <w:rPr>
                <w:rFonts w:hint="eastAsia" w:ascii="宋体" w:hAnsi="宋体" w:cs="宋体"/>
                <w:sz w:val="21"/>
                <w:szCs w:val="21"/>
              </w:rPr>
              <w:t>系统支持根据点评结果，为每个门诊点评计划自动生成独立的点评工作表和点评统计表，并支持导出。包括：</w:t>
            </w:r>
          </w:p>
          <w:p w14:paraId="263F4FC9">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sz w:val="21"/>
                <w:szCs w:val="21"/>
              </w:rPr>
            </w:pPr>
            <w:r>
              <w:rPr>
                <w:rFonts w:hint="eastAsia" w:ascii="宋体" w:hAnsi="宋体" w:cs="宋体"/>
                <w:sz w:val="21"/>
                <w:szCs w:val="21"/>
              </w:rPr>
              <w:t>1)</w:t>
            </w:r>
            <w:r>
              <w:rPr>
                <w:rFonts w:hint="eastAsia" w:ascii="宋体" w:hAnsi="宋体" w:cs="宋体"/>
                <w:sz w:val="21"/>
                <w:szCs w:val="21"/>
              </w:rPr>
              <w:tab/>
            </w:r>
            <w:r>
              <w:rPr>
                <w:rFonts w:hint="eastAsia" w:ascii="宋体" w:hAnsi="宋体" w:cs="宋体"/>
                <w:sz w:val="21"/>
                <w:szCs w:val="21"/>
              </w:rPr>
              <w:t>处方点评工作表</w:t>
            </w:r>
          </w:p>
          <w:p w14:paraId="6743DA9D">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sz w:val="21"/>
                <w:szCs w:val="21"/>
              </w:rPr>
            </w:pPr>
            <w:r>
              <w:rPr>
                <w:rFonts w:hint="eastAsia" w:ascii="宋体" w:hAnsi="宋体" w:cs="宋体"/>
                <w:sz w:val="21"/>
                <w:szCs w:val="21"/>
              </w:rPr>
              <w:t>2)</w:t>
            </w:r>
            <w:r>
              <w:rPr>
                <w:rFonts w:hint="eastAsia" w:ascii="宋体" w:hAnsi="宋体" w:cs="宋体"/>
                <w:sz w:val="21"/>
                <w:szCs w:val="21"/>
              </w:rPr>
              <w:tab/>
            </w:r>
            <w:r>
              <w:rPr>
                <w:rFonts w:hint="eastAsia" w:ascii="宋体" w:hAnsi="宋体" w:cs="宋体"/>
                <w:sz w:val="21"/>
                <w:szCs w:val="21"/>
              </w:rPr>
              <w:t>处方点评工作明细表</w:t>
            </w:r>
          </w:p>
          <w:p w14:paraId="4EAC03C4">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sz w:val="21"/>
                <w:szCs w:val="21"/>
              </w:rPr>
            </w:pPr>
            <w:r>
              <w:rPr>
                <w:rFonts w:hint="eastAsia" w:ascii="宋体" w:hAnsi="宋体" w:cs="宋体"/>
                <w:sz w:val="21"/>
                <w:szCs w:val="21"/>
              </w:rPr>
              <w:t>3)</w:t>
            </w:r>
            <w:r>
              <w:rPr>
                <w:rFonts w:hint="eastAsia" w:ascii="宋体" w:hAnsi="宋体" w:cs="宋体"/>
                <w:sz w:val="21"/>
                <w:szCs w:val="21"/>
              </w:rPr>
              <w:tab/>
            </w:r>
            <w:r>
              <w:rPr>
                <w:rFonts w:hint="eastAsia" w:ascii="宋体" w:hAnsi="宋体" w:cs="宋体"/>
                <w:sz w:val="21"/>
                <w:szCs w:val="21"/>
              </w:rPr>
              <w:t>不合理处方统计表（按医生）</w:t>
            </w:r>
          </w:p>
          <w:p w14:paraId="19F5206F">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sz w:val="21"/>
                <w:szCs w:val="21"/>
              </w:rPr>
            </w:pPr>
            <w:r>
              <w:rPr>
                <w:rFonts w:hint="eastAsia" w:ascii="宋体" w:hAnsi="宋体" w:cs="宋体"/>
                <w:sz w:val="21"/>
                <w:szCs w:val="21"/>
              </w:rPr>
              <w:t>4)</w:t>
            </w:r>
            <w:r>
              <w:rPr>
                <w:rFonts w:hint="eastAsia" w:ascii="宋体" w:hAnsi="宋体" w:cs="宋体"/>
                <w:sz w:val="21"/>
                <w:szCs w:val="21"/>
              </w:rPr>
              <w:tab/>
            </w:r>
            <w:r>
              <w:rPr>
                <w:rFonts w:hint="eastAsia" w:ascii="宋体" w:hAnsi="宋体" w:cs="宋体"/>
                <w:sz w:val="21"/>
                <w:szCs w:val="21"/>
              </w:rPr>
              <w:t>不合理处方统计表（按问题）</w:t>
            </w:r>
          </w:p>
          <w:p w14:paraId="6D64E041">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000000"/>
                <w:kern w:val="0"/>
                <w:sz w:val="21"/>
                <w:szCs w:val="21"/>
              </w:rPr>
            </w:pPr>
            <w:r>
              <w:rPr>
                <w:rFonts w:hint="eastAsia" w:ascii="宋体" w:hAnsi="宋体" w:cs="宋体"/>
                <w:sz w:val="21"/>
                <w:szCs w:val="21"/>
              </w:rPr>
              <w:t>5) 每个点评项目需有各科室汇总统计功能（包括各科室的点评数、合理数、不合理数、合格率）</w:t>
            </w:r>
          </w:p>
        </w:tc>
      </w:tr>
      <w:tr w14:paraId="3EC86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2" w:hRule="atLeast"/>
        </w:trPr>
        <w:tc>
          <w:tcPr>
            <w:tcW w:w="1242" w:type="dxa"/>
            <w:vMerge w:val="continue"/>
            <w:vAlign w:val="center"/>
          </w:tcPr>
          <w:p w14:paraId="4A3F0FFB">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000000"/>
                <w:kern w:val="0"/>
                <w:sz w:val="21"/>
                <w:szCs w:val="21"/>
              </w:rPr>
            </w:pPr>
          </w:p>
        </w:tc>
        <w:tc>
          <w:tcPr>
            <w:tcW w:w="2127" w:type="dxa"/>
            <w:vAlign w:val="center"/>
          </w:tcPr>
          <w:p w14:paraId="6EF842BA">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sz w:val="21"/>
                <w:szCs w:val="21"/>
              </w:rPr>
            </w:pPr>
            <w:r>
              <w:rPr>
                <w:rFonts w:hint="eastAsia" w:ascii="宋体" w:hAnsi="宋体" w:cs="宋体"/>
                <w:sz w:val="21"/>
                <w:szCs w:val="21"/>
              </w:rPr>
              <w:t>住院点评工作表生成</w:t>
            </w:r>
          </w:p>
        </w:tc>
        <w:tc>
          <w:tcPr>
            <w:tcW w:w="10807" w:type="dxa"/>
            <w:vAlign w:val="center"/>
          </w:tcPr>
          <w:p w14:paraId="50BE3A85">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sz w:val="21"/>
                <w:szCs w:val="21"/>
              </w:rPr>
            </w:pPr>
            <w:r>
              <w:rPr>
                <w:rFonts w:hint="eastAsia" w:ascii="宋体" w:hAnsi="宋体" w:cs="宋体"/>
                <w:sz w:val="21"/>
                <w:szCs w:val="21"/>
              </w:rPr>
              <w:t>系统支持根据点评结果，为每个住院点评计划自动生成独立的点评工作表和点评统计表，并支持导出。包括：</w:t>
            </w:r>
          </w:p>
          <w:p w14:paraId="23CF7BDE">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sz w:val="21"/>
                <w:szCs w:val="21"/>
              </w:rPr>
            </w:pPr>
            <w:r>
              <w:rPr>
                <w:rFonts w:hint="eastAsia" w:ascii="宋体" w:hAnsi="宋体" w:cs="宋体"/>
                <w:sz w:val="21"/>
                <w:szCs w:val="21"/>
              </w:rPr>
              <w:t>1)</w:t>
            </w:r>
            <w:r>
              <w:rPr>
                <w:rFonts w:hint="eastAsia" w:ascii="宋体" w:hAnsi="宋体" w:cs="宋体"/>
                <w:sz w:val="21"/>
                <w:szCs w:val="21"/>
              </w:rPr>
              <w:tab/>
            </w:r>
            <w:r>
              <w:rPr>
                <w:rFonts w:hint="eastAsia" w:ascii="宋体" w:hAnsi="宋体" w:cs="宋体"/>
                <w:sz w:val="21"/>
                <w:szCs w:val="21"/>
              </w:rPr>
              <w:t>住院医嘱点评统计表（按病历）</w:t>
            </w:r>
          </w:p>
          <w:p w14:paraId="2703D179">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sz w:val="21"/>
                <w:szCs w:val="21"/>
              </w:rPr>
            </w:pPr>
            <w:r>
              <w:rPr>
                <w:rFonts w:hint="eastAsia" w:ascii="宋体" w:hAnsi="宋体" w:cs="宋体"/>
                <w:sz w:val="21"/>
                <w:szCs w:val="21"/>
              </w:rPr>
              <w:t>2)</w:t>
            </w:r>
            <w:r>
              <w:rPr>
                <w:rFonts w:hint="eastAsia" w:ascii="宋体" w:hAnsi="宋体" w:cs="宋体"/>
                <w:sz w:val="21"/>
                <w:szCs w:val="21"/>
              </w:rPr>
              <w:tab/>
            </w:r>
            <w:r>
              <w:rPr>
                <w:rFonts w:hint="eastAsia" w:ascii="宋体" w:hAnsi="宋体" w:cs="宋体"/>
                <w:sz w:val="21"/>
                <w:szCs w:val="21"/>
              </w:rPr>
              <w:t>住院医嘱点评统计表（按医生）</w:t>
            </w:r>
          </w:p>
          <w:p w14:paraId="49257F57">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sz w:val="21"/>
                <w:szCs w:val="21"/>
              </w:rPr>
            </w:pPr>
            <w:r>
              <w:rPr>
                <w:rFonts w:hint="eastAsia" w:ascii="宋体" w:hAnsi="宋体" w:cs="宋体"/>
                <w:sz w:val="21"/>
                <w:szCs w:val="21"/>
              </w:rPr>
              <w:t>3)</w:t>
            </w:r>
            <w:r>
              <w:rPr>
                <w:rFonts w:hint="eastAsia" w:ascii="宋体" w:hAnsi="宋体" w:cs="宋体"/>
                <w:sz w:val="21"/>
                <w:szCs w:val="21"/>
              </w:rPr>
              <w:tab/>
            </w:r>
            <w:r>
              <w:rPr>
                <w:rFonts w:hint="eastAsia" w:ascii="宋体" w:hAnsi="宋体" w:cs="宋体"/>
                <w:sz w:val="21"/>
                <w:szCs w:val="21"/>
              </w:rPr>
              <w:t>住院医嘱点评统计明细表（按病历）</w:t>
            </w:r>
          </w:p>
          <w:p w14:paraId="05A16918">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000000"/>
                <w:kern w:val="0"/>
                <w:sz w:val="21"/>
                <w:szCs w:val="21"/>
              </w:rPr>
            </w:pPr>
            <w:r>
              <w:rPr>
                <w:rFonts w:hint="eastAsia" w:ascii="宋体" w:hAnsi="宋体" w:cs="宋体"/>
                <w:sz w:val="21"/>
                <w:szCs w:val="21"/>
              </w:rPr>
              <w:t>4)</w:t>
            </w:r>
            <w:r>
              <w:rPr>
                <w:rFonts w:hint="eastAsia" w:ascii="宋体" w:hAnsi="宋体" w:cs="宋体"/>
                <w:sz w:val="21"/>
                <w:szCs w:val="21"/>
              </w:rPr>
              <w:tab/>
            </w:r>
            <w:r>
              <w:rPr>
                <w:rFonts w:hint="eastAsia" w:ascii="宋体" w:hAnsi="宋体" w:cs="宋体"/>
                <w:sz w:val="21"/>
                <w:szCs w:val="21"/>
              </w:rPr>
              <w:t>住院医嘱点评工作表（一病历一份）</w:t>
            </w:r>
          </w:p>
        </w:tc>
      </w:tr>
      <w:tr w14:paraId="1760C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1242" w:type="dxa"/>
            <w:vMerge w:val="continue"/>
            <w:vAlign w:val="center"/>
          </w:tcPr>
          <w:p w14:paraId="62ADEDC1">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000000"/>
                <w:kern w:val="0"/>
                <w:sz w:val="21"/>
                <w:szCs w:val="21"/>
              </w:rPr>
            </w:pPr>
          </w:p>
        </w:tc>
        <w:tc>
          <w:tcPr>
            <w:tcW w:w="2127" w:type="dxa"/>
            <w:vAlign w:val="center"/>
          </w:tcPr>
          <w:p w14:paraId="6E463BC6">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sz w:val="21"/>
                <w:szCs w:val="21"/>
              </w:rPr>
            </w:pPr>
            <w:r>
              <w:rPr>
                <w:rFonts w:hint="eastAsia" w:ascii="宋体" w:hAnsi="宋体" w:cs="宋体"/>
                <w:sz w:val="21"/>
                <w:szCs w:val="21"/>
              </w:rPr>
              <w:t>点评申诉</w:t>
            </w:r>
          </w:p>
        </w:tc>
        <w:tc>
          <w:tcPr>
            <w:tcW w:w="10807" w:type="dxa"/>
            <w:vAlign w:val="center"/>
          </w:tcPr>
          <w:p w14:paraId="2C774BC2">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sz w:val="21"/>
                <w:szCs w:val="21"/>
              </w:rPr>
            </w:pPr>
            <w:r>
              <w:rPr>
                <w:rFonts w:hint="eastAsia" w:ascii="宋体" w:hAnsi="宋体" w:cs="宋体"/>
                <w:bCs/>
                <w:sz w:val="21"/>
                <w:szCs w:val="21"/>
              </w:rPr>
              <w:t>系统提供处方点评申诉流程。医生可在医生端对点评不合理的处方/医嘱发起申诉，临床医生的反馈必须有接受点评意见与不接受点评意见两种选择，不接受点评意见，临床医生的反馈必须经科室主任审批后推送至医务处及药学部点评人账号。点评药师组长组织专家对申诉内容进行评审，进行申诉审结处理。</w:t>
            </w:r>
          </w:p>
        </w:tc>
      </w:tr>
      <w:tr w14:paraId="1B7B0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242" w:type="dxa"/>
            <w:vMerge w:val="continue"/>
            <w:vAlign w:val="center"/>
          </w:tcPr>
          <w:p w14:paraId="3009C1AB">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000000"/>
                <w:kern w:val="0"/>
                <w:sz w:val="21"/>
                <w:szCs w:val="21"/>
              </w:rPr>
            </w:pPr>
          </w:p>
        </w:tc>
        <w:tc>
          <w:tcPr>
            <w:tcW w:w="2127" w:type="dxa"/>
            <w:vAlign w:val="center"/>
          </w:tcPr>
          <w:p w14:paraId="640E40AC">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sz w:val="21"/>
                <w:szCs w:val="21"/>
              </w:rPr>
            </w:pPr>
            <w:r>
              <w:rPr>
                <w:rFonts w:hint="eastAsia" w:ascii="宋体" w:hAnsi="宋体" w:cs="宋体"/>
                <w:sz w:val="21"/>
                <w:szCs w:val="21"/>
              </w:rPr>
              <w:t>点评消息推送记录</w:t>
            </w:r>
          </w:p>
        </w:tc>
        <w:tc>
          <w:tcPr>
            <w:tcW w:w="10807" w:type="dxa"/>
            <w:vAlign w:val="center"/>
          </w:tcPr>
          <w:p w14:paraId="0679D3BD">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sz w:val="21"/>
                <w:szCs w:val="21"/>
              </w:rPr>
            </w:pPr>
            <w:r>
              <w:rPr>
                <w:rFonts w:hint="eastAsia" w:ascii="宋体" w:hAnsi="宋体" w:cs="宋体"/>
                <w:bCs/>
                <w:sz w:val="21"/>
                <w:szCs w:val="21"/>
              </w:rPr>
              <w:t>系统支持查看所有点评消息的推送记录，可按门诊/住院、发送时间、发送状态、消息组号进行数据筛选。</w:t>
            </w:r>
          </w:p>
        </w:tc>
      </w:tr>
      <w:tr w14:paraId="13BE2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1242" w:type="dxa"/>
            <w:vMerge w:val="continue"/>
            <w:vAlign w:val="center"/>
          </w:tcPr>
          <w:p w14:paraId="585EEBF7">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sz w:val="21"/>
                <w:szCs w:val="21"/>
              </w:rPr>
            </w:pPr>
          </w:p>
        </w:tc>
        <w:tc>
          <w:tcPr>
            <w:tcW w:w="12934" w:type="dxa"/>
            <w:gridSpan w:val="2"/>
            <w:vAlign w:val="center"/>
          </w:tcPr>
          <w:p w14:paraId="3985EF1A">
            <w:pPr>
              <w:keepNext w:val="0"/>
              <w:keepLines w:val="0"/>
              <w:pageBreakBefore w:val="0"/>
              <w:numPr>
                <w:ilvl w:val="1"/>
                <w:numId w:val="0"/>
              </w:numPr>
              <w:kinsoku/>
              <w:wordWrap/>
              <w:overflowPunct/>
              <w:topLinePunct w:val="0"/>
              <w:autoSpaceDE/>
              <w:autoSpaceDN/>
              <w:bidi w:val="0"/>
              <w:adjustRightInd w:val="0"/>
              <w:snapToGrid w:val="0"/>
              <w:spacing w:line="360" w:lineRule="auto"/>
              <w:jc w:val="left"/>
              <w:textAlignment w:val="auto"/>
              <w:rPr>
                <w:rFonts w:ascii="宋体" w:hAnsi="宋体" w:cs="宋体"/>
                <w:kern w:val="0"/>
                <w:sz w:val="21"/>
                <w:szCs w:val="21"/>
              </w:rPr>
            </w:pPr>
            <w:bookmarkStart w:id="154" w:name="_Toc192772622"/>
            <w:r>
              <w:rPr>
                <w:rFonts w:hint="eastAsia" w:ascii="宋体" w:hAnsi="宋体" w:cs="宋体"/>
                <w:sz w:val="21"/>
                <w:szCs w:val="21"/>
              </w:rPr>
              <w:t>专项点评</w:t>
            </w:r>
            <w:bookmarkEnd w:id="154"/>
          </w:p>
        </w:tc>
      </w:tr>
      <w:tr w14:paraId="1F292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1242" w:type="dxa"/>
            <w:vMerge w:val="continue"/>
            <w:vAlign w:val="center"/>
          </w:tcPr>
          <w:p w14:paraId="3C6FF74C">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kern w:val="0"/>
                <w:sz w:val="21"/>
                <w:szCs w:val="21"/>
              </w:rPr>
            </w:pPr>
          </w:p>
        </w:tc>
        <w:tc>
          <w:tcPr>
            <w:tcW w:w="2127" w:type="dxa"/>
            <w:vAlign w:val="center"/>
          </w:tcPr>
          <w:p w14:paraId="466C41F9">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sz w:val="21"/>
                <w:szCs w:val="21"/>
              </w:rPr>
            </w:pPr>
            <w:r>
              <w:rPr>
                <w:rFonts w:hint="eastAsia" w:ascii="宋体" w:hAnsi="宋体" w:cs="宋体"/>
                <w:sz w:val="21"/>
                <w:szCs w:val="21"/>
              </w:rPr>
              <w:t>门急诊处方专项点评</w:t>
            </w:r>
          </w:p>
        </w:tc>
        <w:tc>
          <w:tcPr>
            <w:tcW w:w="10807" w:type="dxa"/>
            <w:vAlign w:val="center"/>
          </w:tcPr>
          <w:p w14:paraId="5CE1EC09">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sz w:val="21"/>
                <w:szCs w:val="21"/>
              </w:rPr>
            </w:pPr>
            <w:r>
              <w:rPr>
                <w:rFonts w:hint="eastAsia" w:ascii="宋体" w:hAnsi="宋体" w:cs="宋体"/>
                <w:bCs/>
                <w:sz w:val="21"/>
                <w:szCs w:val="21"/>
              </w:rPr>
              <w:t>支持对门急诊处方进行专项点评，医院处方点评小组选择一种处方抽样方法（简单随机抽样、等距抽样、按科室、按医生）抽取足够数量的专项处方作为点评样本，然后进行点评。</w:t>
            </w:r>
          </w:p>
        </w:tc>
      </w:tr>
      <w:tr w14:paraId="47696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242" w:type="dxa"/>
            <w:vMerge w:val="continue"/>
            <w:vAlign w:val="center"/>
          </w:tcPr>
          <w:p w14:paraId="50DFAA33">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kern w:val="0"/>
                <w:sz w:val="21"/>
                <w:szCs w:val="21"/>
              </w:rPr>
            </w:pPr>
          </w:p>
        </w:tc>
        <w:tc>
          <w:tcPr>
            <w:tcW w:w="2127" w:type="dxa"/>
            <w:vAlign w:val="center"/>
          </w:tcPr>
          <w:p w14:paraId="011E877A">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sz w:val="21"/>
                <w:szCs w:val="21"/>
              </w:rPr>
            </w:pPr>
            <w:r>
              <w:rPr>
                <w:rFonts w:hint="eastAsia" w:ascii="宋体" w:hAnsi="宋体" w:cs="宋体"/>
                <w:sz w:val="21"/>
                <w:szCs w:val="21"/>
              </w:rPr>
              <w:t>住院病人医嘱点评</w:t>
            </w:r>
          </w:p>
        </w:tc>
        <w:tc>
          <w:tcPr>
            <w:tcW w:w="10807" w:type="dxa"/>
            <w:vAlign w:val="center"/>
          </w:tcPr>
          <w:p w14:paraId="586F167D">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sz w:val="21"/>
                <w:szCs w:val="21"/>
              </w:rPr>
            </w:pPr>
            <w:r>
              <w:rPr>
                <w:rFonts w:hint="eastAsia" w:ascii="宋体" w:hAnsi="宋体" w:cs="宋体"/>
                <w:bCs/>
                <w:sz w:val="21"/>
                <w:szCs w:val="21"/>
              </w:rPr>
              <w:t>支持对住院病人医嘱进行专项点评，医院处方点评小组选择一种处方抽样方法（简单随机抽样、等距抽样、按科室、按医生）抽取足够数量的专项处方作为点评样本，然后进行点评。</w:t>
            </w:r>
          </w:p>
        </w:tc>
      </w:tr>
      <w:tr w14:paraId="6BACA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2" w:hRule="atLeast"/>
        </w:trPr>
        <w:tc>
          <w:tcPr>
            <w:tcW w:w="1242" w:type="dxa"/>
            <w:vMerge w:val="continue"/>
            <w:vAlign w:val="center"/>
          </w:tcPr>
          <w:p w14:paraId="26B13F72">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kern w:val="0"/>
                <w:sz w:val="21"/>
                <w:szCs w:val="21"/>
              </w:rPr>
            </w:pPr>
          </w:p>
        </w:tc>
        <w:tc>
          <w:tcPr>
            <w:tcW w:w="2127" w:type="dxa"/>
            <w:vAlign w:val="center"/>
          </w:tcPr>
          <w:p w14:paraId="3D763269">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sz w:val="21"/>
                <w:szCs w:val="21"/>
              </w:rPr>
            </w:pPr>
            <w:r>
              <w:rPr>
                <w:rFonts w:hint="eastAsia" w:ascii="宋体" w:hAnsi="宋体" w:cs="宋体"/>
                <w:sz w:val="21"/>
                <w:szCs w:val="21"/>
              </w:rPr>
              <w:t>抗菌药物专项点评</w:t>
            </w:r>
          </w:p>
        </w:tc>
        <w:tc>
          <w:tcPr>
            <w:tcW w:w="10807" w:type="dxa"/>
            <w:vAlign w:val="center"/>
          </w:tcPr>
          <w:p w14:paraId="7C764E5B">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sz w:val="21"/>
                <w:szCs w:val="21"/>
              </w:rPr>
            </w:pPr>
            <w:r>
              <w:rPr>
                <w:rFonts w:hint="eastAsia" w:ascii="宋体" w:hAnsi="宋体" w:cs="宋体"/>
                <w:bCs/>
                <w:sz w:val="21"/>
                <w:szCs w:val="21"/>
              </w:rPr>
              <w:t>根据《全国抗菌药物临床应用专项整治活动方案》中要求落实抗菌药物处方点评制度。医疗机构组织感染、药学等相关专业技术人员对抗菌药物处方、医嘱实施专项点评。充分运用信息化手段，每个月组织对25%的具有抗菌药物处方权医师所开具的处方、医嘱进行点评，每名医师不少于50份处方、医嘱。</w:t>
            </w:r>
          </w:p>
        </w:tc>
      </w:tr>
      <w:tr w14:paraId="1D4F8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2" w:hRule="atLeast"/>
        </w:trPr>
        <w:tc>
          <w:tcPr>
            <w:tcW w:w="1242" w:type="dxa"/>
            <w:vMerge w:val="continue"/>
            <w:vAlign w:val="center"/>
          </w:tcPr>
          <w:p w14:paraId="3483440B">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kern w:val="0"/>
                <w:sz w:val="21"/>
                <w:szCs w:val="21"/>
              </w:rPr>
            </w:pPr>
          </w:p>
        </w:tc>
        <w:tc>
          <w:tcPr>
            <w:tcW w:w="2127" w:type="dxa"/>
            <w:vAlign w:val="center"/>
          </w:tcPr>
          <w:p w14:paraId="1AAE8028">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sz w:val="21"/>
                <w:szCs w:val="21"/>
              </w:rPr>
            </w:pPr>
            <w:r>
              <w:rPr>
                <w:rFonts w:hint="eastAsia" w:ascii="宋体" w:hAnsi="宋体" w:cs="宋体"/>
                <w:sz w:val="21"/>
                <w:szCs w:val="21"/>
              </w:rPr>
              <w:t>围手术期抗菌药物专项点评</w:t>
            </w:r>
          </w:p>
        </w:tc>
        <w:tc>
          <w:tcPr>
            <w:tcW w:w="10807" w:type="dxa"/>
            <w:vAlign w:val="center"/>
          </w:tcPr>
          <w:p w14:paraId="6A8B6248">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sz w:val="21"/>
                <w:szCs w:val="21"/>
              </w:rPr>
            </w:pPr>
            <w:r>
              <w:rPr>
                <w:rFonts w:hint="eastAsia" w:ascii="宋体" w:hAnsi="宋体" w:cs="宋体"/>
                <w:bCs/>
                <w:sz w:val="21"/>
                <w:szCs w:val="21"/>
              </w:rPr>
              <w:t>医院可对围手术期抗菌预防使用抗菌药物的处方/医嘱进行抽查与点评。医院可组织药学等相关专业技术人员对医嘱进行专项点评。医院医嘱点评小组选择一种抽样方法抽取足够数量的出院病例作为点评样本，结合电子病历和病人的实际情况对本次诊疗过程中药物治疗情况进行综合点评，并记录用药不合理的问题，可发送消息给相应医生。点评工作可生成工作表。</w:t>
            </w:r>
          </w:p>
        </w:tc>
      </w:tr>
      <w:tr w14:paraId="7BDA0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1242" w:type="dxa"/>
            <w:vMerge w:val="continue"/>
            <w:vAlign w:val="center"/>
          </w:tcPr>
          <w:p w14:paraId="7170C8DB">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sz w:val="21"/>
                <w:szCs w:val="21"/>
              </w:rPr>
            </w:pPr>
          </w:p>
        </w:tc>
        <w:tc>
          <w:tcPr>
            <w:tcW w:w="12934" w:type="dxa"/>
            <w:gridSpan w:val="2"/>
            <w:vAlign w:val="center"/>
          </w:tcPr>
          <w:p w14:paraId="3134B7F9">
            <w:pPr>
              <w:keepNext w:val="0"/>
              <w:keepLines w:val="0"/>
              <w:pageBreakBefore w:val="0"/>
              <w:numPr>
                <w:ilvl w:val="1"/>
                <w:numId w:val="0"/>
              </w:numPr>
              <w:kinsoku/>
              <w:wordWrap/>
              <w:overflowPunct/>
              <w:topLinePunct w:val="0"/>
              <w:autoSpaceDE/>
              <w:autoSpaceDN/>
              <w:bidi w:val="0"/>
              <w:adjustRightInd w:val="0"/>
              <w:snapToGrid w:val="0"/>
              <w:spacing w:line="360" w:lineRule="auto"/>
              <w:jc w:val="left"/>
              <w:textAlignment w:val="auto"/>
              <w:rPr>
                <w:rFonts w:ascii="宋体" w:hAnsi="宋体" w:cs="宋体"/>
                <w:kern w:val="0"/>
                <w:sz w:val="21"/>
                <w:szCs w:val="21"/>
              </w:rPr>
            </w:pPr>
            <w:bookmarkStart w:id="155" w:name="_Toc192772623"/>
            <w:r>
              <w:rPr>
                <w:rFonts w:hint="eastAsia" w:ascii="宋体" w:hAnsi="宋体" w:cs="宋体"/>
                <w:sz w:val="21"/>
                <w:szCs w:val="21"/>
              </w:rPr>
              <w:t>点评报表</w:t>
            </w:r>
            <w:bookmarkEnd w:id="155"/>
          </w:p>
        </w:tc>
      </w:tr>
      <w:tr w14:paraId="6A3CA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2" w:hRule="atLeast"/>
        </w:trPr>
        <w:tc>
          <w:tcPr>
            <w:tcW w:w="1242" w:type="dxa"/>
            <w:vMerge w:val="continue"/>
            <w:vAlign w:val="center"/>
          </w:tcPr>
          <w:p w14:paraId="0E17DCA2">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kern w:val="0"/>
                <w:sz w:val="21"/>
                <w:szCs w:val="21"/>
              </w:rPr>
            </w:pPr>
          </w:p>
        </w:tc>
        <w:tc>
          <w:tcPr>
            <w:tcW w:w="2127" w:type="dxa"/>
            <w:vAlign w:val="center"/>
          </w:tcPr>
          <w:p w14:paraId="21307970">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sz w:val="21"/>
                <w:szCs w:val="21"/>
              </w:rPr>
            </w:pPr>
            <w:r>
              <w:rPr>
                <w:rFonts w:hint="eastAsia" w:ascii="宋体" w:hAnsi="宋体" w:cs="宋体"/>
                <w:sz w:val="21"/>
                <w:szCs w:val="21"/>
              </w:rPr>
              <w:t>统计查询</w:t>
            </w:r>
          </w:p>
        </w:tc>
        <w:tc>
          <w:tcPr>
            <w:tcW w:w="10807" w:type="dxa"/>
            <w:vAlign w:val="center"/>
          </w:tcPr>
          <w:p w14:paraId="0866F29D">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sz w:val="21"/>
                <w:szCs w:val="21"/>
              </w:rPr>
            </w:pPr>
            <w:r>
              <w:rPr>
                <w:rFonts w:hint="eastAsia" w:ascii="宋体" w:hAnsi="宋体" w:cs="宋体"/>
                <w:sz w:val="21"/>
                <w:szCs w:val="21"/>
              </w:rPr>
              <w:t>系统支持对阶段性的点评情况进行统计，可了解处方/医嘱的抽查情况，包括从科室、医生、问题点、药品、药师的角度分析点评情况，具体如下：</w:t>
            </w:r>
          </w:p>
          <w:p w14:paraId="0262A0F7">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sz w:val="21"/>
                <w:szCs w:val="21"/>
              </w:rPr>
            </w:pPr>
            <w:r>
              <w:rPr>
                <w:rFonts w:hint="eastAsia" w:ascii="宋体" w:hAnsi="宋体" w:cs="宋体"/>
                <w:sz w:val="21"/>
                <w:szCs w:val="21"/>
              </w:rPr>
              <w:t>1)</w:t>
            </w:r>
            <w:r>
              <w:rPr>
                <w:rFonts w:hint="eastAsia" w:ascii="宋体" w:hAnsi="宋体" w:cs="宋体"/>
                <w:sz w:val="21"/>
                <w:szCs w:val="21"/>
              </w:rPr>
              <w:tab/>
            </w:r>
            <w:r>
              <w:rPr>
                <w:rFonts w:hint="eastAsia" w:ascii="宋体" w:hAnsi="宋体" w:cs="宋体"/>
                <w:sz w:val="21"/>
                <w:szCs w:val="21"/>
              </w:rPr>
              <w:t>按科室统计分析：包括科室名称、科室总处方数、抽样处方数、处方抽样率、点评记录总数、点评记录数（不合理）、点评记录数（合理）、点评记录不合理率。</w:t>
            </w:r>
          </w:p>
          <w:p w14:paraId="56886D5B">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sz w:val="21"/>
                <w:szCs w:val="21"/>
              </w:rPr>
            </w:pPr>
            <w:r>
              <w:rPr>
                <w:rFonts w:hint="eastAsia" w:ascii="宋体" w:hAnsi="宋体" w:cs="宋体"/>
                <w:sz w:val="21"/>
                <w:szCs w:val="21"/>
              </w:rPr>
              <w:t>2)</w:t>
            </w:r>
            <w:r>
              <w:rPr>
                <w:rFonts w:hint="eastAsia" w:ascii="宋体" w:hAnsi="宋体" w:cs="宋体"/>
                <w:sz w:val="21"/>
                <w:szCs w:val="21"/>
              </w:rPr>
              <w:tab/>
            </w:r>
            <w:r>
              <w:rPr>
                <w:rFonts w:hint="eastAsia" w:ascii="宋体" w:hAnsi="宋体" w:cs="宋体"/>
                <w:sz w:val="21"/>
                <w:szCs w:val="21"/>
              </w:rPr>
              <w:t>按医生统计分析：包括医生所属科室、医生姓名、医生总处方数、抽样处方数、处方抽样率、点评记录总数、点评记录数（不合理）、点评记录数（合理）、点评记录不合理率。</w:t>
            </w:r>
          </w:p>
          <w:p w14:paraId="3F37EBD1">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sz w:val="21"/>
                <w:szCs w:val="21"/>
              </w:rPr>
            </w:pPr>
            <w:r>
              <w:rPr>
                <w:rFonts w:hint="eastAsia" w:ascii="宋体" w:hAnsi="宋体" w:cs="宋体"/>
                <w:sz w:val="21"/>
                <w:szCs w:val="21"/>
              </w:rPr>
              <w:t>3)</w:t>
            </w:r>
            <w:r>
              <w:rPr>
                <w:rFonts w:hint="eastAsia" w:ascii="宋体" w:hAnsi="宋体" w:cs="宋体"/>
                <w:sz w:val="21"/>
                <w:szCs w:val="21"/>
              </w:rPr>
              <w:tab/>
            </w:r>
            <w:r>
              <w:rPr>
                <w:rFonts w:hint="eastAsia" w:ascii="宋体" w:hAnsi="宋体" w:cs="宋体"/>
                <w:sz w:val="21"/>
                <w:szCs w:val="21"/>
              </w:rPr>
              <w:t>按问题点统计分析：包括问题点分类、问题点代码、问题点标题、医院处方总数、触发问题的处方数、问题处方占比、点评记录总数、触发问题的记录点评数、点评记录触发问题率。</w:t>
            </w:r>
          </w:p>
          <w:p w14:paraId="30425910">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sz w:val="21"/>
                <w:szCs w:val="21"/>
              </w:rPr>
            </w:pPr>
            <w:r>
              <w:rPr>
                <w:rFonts w:hint="eastAsia" w:ascii="宋体" w:hAnsi="宋体" w:cs="宋体"/>
                <w:sz w:val="21"/>
                <w:szCs w:val="21"/>
              </w:rPr>
              <w:t>4)</w:t>
            </w:r>
            <w:r>
              <w:rPr>
                <w:rFonts w:hint="eastAsia" w:ascii="宋体" w:hAnsi="宋体" w:cs="宋体"/>
                <w:sz w:val="21"/>
                <w:szCs w:val="21"/>
              </w:rPr>
              <w:tab/>
            </w:r>
            <w:r>
              <w:rPr>
                <w:rFonts w:hint="eastAsia" w:ascii="宋体" w:hAnsi="宋体" w:cs="宋体"/>
                <w:sz w:val="21"/>
                <w:szCs w:val="21"/>
              </w:rPr>
              <w:t>要药品统计分析：包括药品名称、总处方数、抽样处方数、处方抽样率、点评记录总数、点评记录数（不合理）、点评记录数（合理）、点评记录不合理率。</w:t>
            </w:r>
          </w:p>
          <w:p w14:paraId="4B2DFED5">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kern w:val="0"/>
                <w:sz w:val="21"/>
                <w:szCs w:val="21"/>
              </w:rPr>
            </w:pPr>
            <w:r>
              <w:rPr>
                <w:rFonts w:hint="eastAsia" w:ascii="宋体" w:hAnsi="宋体" w:cs="宋体"/>
                <w:sz w:val="21"/>
                <w:szCs w:val="21"/>
              </w:rPr>
              <w:t>5)</w:t>
            </w:r>
            <w:r>
              <w:rPr>
                <w:rFonts w:hint="eastAsia" w:ascii="宋体" w:hAnsi="宋体" w:cs="宋体"/>
                <w:sz w:val="21"/>
                <w:szCs w:val="21"/>
              </w:rPr>
              <w:tab/>
            </w:r>
            <w:r>
              <w:rPr>
                <w:rFonts w:hint="eastAsia" w:ascii="宋体" w:hAnsi="宋体" w:cs="宋体"/>
                <w:sz w:val="21"/>
                <w:szCs w:val="21"/>
              </w:rPr>
              <w:t>按药师统计分析：包括药师姓名、分配点评任务数、未点评任务数、已点评任务数、点评任务完成率、已点评任务数（不合理）、已点评任务数（合理）、点评任务不合理率。</w:t>
            </w:r>
          </w:p>
        </w:tc>
      </w:tr>
      <w:tr w14:paraId="05980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2" w:hRule="atLeast"/>
        </w:trPr>
        <w:tc>
          <w:tcPr>
            <w:tcW w:w="1242" w:type="dxa"/>
            <w:vAlign w:val="center"/>
          </w:tcPr>
          <w:p w14:paraId="7ADCCAD3">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kern w:val="0"/>
                <w:sz w:val="21"/>
                <w:szCs w:val="21"/>
              </w:rPr>
            </w:pPr>
          </w:p>
        </w:tc>
        <w:tc>
          <w:tcPr>
            <w:tcW w:w="2127" w:type="dxa"/>
            <w:vAlign w:val="center"/>
          </w:tcPr>
          <w:p w14:paraId="61678B13">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sz w:val="21"/>
                <w:szCs w:val="21"/>
              </w:rPr>
            </w:pPr>
            <w:r>
              <w:rPr>
                <w:rFonts w:hint="eastAsia" w:ascii="宋体" w:hAnsi="宋体" w:cs="宋体"/>
                <w:sz w:val="21"/>
                <w:szCs w:val="21"/>
              </w:rPr>
              <w:t>点评功能其他需求</w:t>
            </w:r>
          </w:p>
        </w:tc>
        <w:tc>
          <w:tcPr>
            <w:tcW w:w="10807" w:type="dxa"/>
            <w:vAlign w:val="center"/>
          </w:tcPr>
          <w:p w14:paraId="08B8924C">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sz w:val="21"/>
                <w:szCs w:val="21"/>
              </w:rPr>
            </w:pPr>
            <w:r>
              <w:rPr>
                <w:rFonts w:hint="eastAsia" w:ascii="宋体" w:hAnsi="宋体" w:cs="宋体"/>
                <w:sz w:val="21"/>
                <w:szCs w:val="21"/>
              </w:rPr>
              <w:t>系统应支持并满足电子病历六级及以上，和智慧服务三级及以上的评审需求。</w:t>
            </w:r>
          </w:p>
        </w:tc>
      </w:tr>
    </w:tbl>
    <w:p w14:paraId="475A7F1D">
      <w:pPr>
        <w:spacing w:line="360" w:lineRule="auto"/>
        <w:rPr>
          <w:rFonts w:ascii="宋体" w:hAnsi="宋体" w:cs="宋体"/>
        </w:rPr>
      </w:pPr>
      <w:r>
        <w:rPr>
          <w:rFonts w:hint="eastAsia" w:ascii="宋体" w:hAnsi="宋体" w:cs="宋体"/>
        </w:rPr>
        <w:t>静配系统</w:t>
      </w:r>
    </w:p>
    <w:tbl>
      <w:tblPr>
        <w:tblStyle w:val="46"/>
        <w:tblW w:w="97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9"/>
        <w:gridCol w:w="8460"/>
      </w:tblGrid>
      <w:tr w14:paraId="28882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2" w:hRule="atLeast"/>
          <w:jc w:val="center"/>
        </w:trPr>
        <w:tc>
          <w:tcPr>
            <w:tcW w:w="1319" w:type="dxa"/>
            <w:vAlign w:val="center"/>
          </w:tcPr>
          <w:p w14:paraId="4A21D328">
            <w:pPr>
              <w:keepNext w:val="0"/>
              <w:keepLines w:val="0"/>
              <w:pageBreakBefore w:val="0"/>
              <w:widowControl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kern w:val="0"/>
                <w:szCs w:val="21"/>
              </w:rPr>
            </w:pPr>
            <w:r>
              <w:rPr>
                <w:rFonts w:hint="eastAsia" w:ascii="宋体" w:hAnsi="宋体" w:cs="宋体"/>
                <w:kern w:val="0"/>
                <w:szCs w:val="21"/>
              </w:rPr>
              <w:t>静配系统</w:t>
            </w:r>
          </w:p>
        </w:tc>
        <w:tc>
          <w:tcPr>
            <w:tcW w:w="8460" w:type="dxa"/>
            <w:vAlign w:val="center"/>
          </w:tcPr>
          <w:p w14:paraId="404B70DC">
            <w:pPr>
              <w:keepNext w:val="0"/>
              <w:keepLines w:val="0"/>
              <w:pageBreakBefore w:val="0"/>
              <w:widowControl w:val="0"/>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szCs w:val="21"/>
              </w:rPr>
            </w:pPr>
            <w:r>
              <w:rPr>
                <w:rFonts w:hint="eastAsia" w:ascii="宋体" w:hAnsi="宋体" w:cs="宋体"/>
                <w:bCs/>
                <w:szCs w:val="21"/>
              </w:rPr>
              <w:t>HIS 提供接口</w:t>
            </w:r>
          </w:p>
          <w:p w14:paraId="652EA97F">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szCs w:val="21"/>
              </w:rPr>
            </w:pPr>
            <w:r>
              <w:rPr>
                <w:rFonts w:hint="eastAsia" w:ascii="宋体" w:hAnsi="宋体" w:cs="宋体"/>
                <w:bCs/>
                <w:szCs w:val="21"/>
              </w:rPr>
              <w:t>静脉用药医嘱接口：向静配系统推送静脉用药医嘱，包括药品名称、剂量、用法、用药时间，支持按科室、患者类型筛选，确保医嘱准确传递。增加推送抗菌药物皮试结果，由HIS提供视图，PIVAS调用。</w:t>
            </w:r>
          </w:p>
          <w:p w14:paraId="40D34449">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szCs w:val="21"/>
              </w:rPr>
            </w:pPr>
            <w:r>
              <w:rPr>
                <w:rFonts w:hint="eastAsia" w:ascii="宋体" w:hAnsi="宋体" w:cs="宋体"/>
                <w:bCs/>
                <w:szCs w:val="21"/>
              </w:rPr>
              <w:t>患者基本信息接口：提供患者年龄、性别、过敏史等基本信息，辅助静配系统进行药物配伍禁忌审核与用药安全评估。</w:t>
            </w:r>
          </w:p>
          <w:p w14:paraId="6BC47237">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szCs w:val="21"/>
              </w:rPr>
            </w:pPr>
            <w:r>
              <w:rPr>
                <w:rFonts w:hint="eastAsia" w:ascii="宋体" w:hAnsi="宋体" w:cs="宋体"/>
                <w:bCs/>
                <w:szCs w:val="21"/>
              </w:rPr>
              <w:t>科室信息与配送需求接口：提供各科室信息及药品配送时间、地点，静配系统根据需求安排药品配置与配送计划，HIS 系统实时跟踪配送状态。</w:t>
            </w:r>
          </w:p>
          <w:p w14:paraId="50508FB2">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szCs w:val="21"/>
              </w:rPr>
            </w:pPr>
            <w:r>
              <w:rPr>
                <w:rFonts w:hint="eastAsia" w:ascii="宋体" w:hAnsi="宋体" w:cs="宋体"/>
                <w:bCs/>
                <w:szCs w:val="21"/>
              </w:rPr>
              <w:t>药品库存与价格接口：共享药品库存数量、有效期、单价，静配系统可据此进行药品库存管理与成本核算。</w:t>
            </w:r>
          </w:p>
          <w:p w14:paraId="04CF1796">
            <w:pPr>
              <w:keepNext w:val="0"/>
              <w:keepLines w:val="0"/>
              <w:pageBreakBefore w:val="0"/>
              <w:widowControl w:val="0"/>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szCs w:val="21"/>
              </w:rPr>
            </w:pPr>
            <w:r>
              <w:rPr>
                <w:rFonts w:hint="eastAsia" w:ascii="宋体" w:hAnsi="宋体" w:cs="宋体"/>
                <w:bCs/>
                <w:szCs w:val="21"/>
              </w:rPr>
              <w:t>静配系统提供接口</w:t>
            </w:r>
          </w:p>
          <w:p w14:paraId="38844835">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szCs w:val="21"/>
              </w:rPr>
            </w:pPr>
            <w:r>
              <w:rPr>
                <w:rFonts w:hint="eastAsia" w:ascii="宋体" w:hAnsi="宋体" w:cs="宋体"/>
                <w:bCs/>
                <w:szCs w:val="21"/>
              </w:rPr>
              <w:t>静配批次信息接口：将药品配置批次信息，如批次号、配置时间、配置人员同步至 HIS 系统，便于追溯药品配置过程，保障用药安全。</w:t>
            </w:r>
          </w:p>
          <w:p w14:paraId="1F98F9DC">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szCs w:val="21"/>
              </w:rPr>
            </w:pPr>
            <w:r>
              <w:rPr>
                <w:rFonts w:hint="eastAsia" w:ascii="宋体" w:hAnsi="宋体" w:cs="宋体"/>
                <w:bCs/>
                <w:szCs w:val="21"/>
              </w:rPr>
              <w:t>药品消耗与库存接口：实时反馈药品消耗数量、剩余库存，HIS 系统根据消耗情况及时补充药品库存，确保临床用药需求。</w:t>
            </w:r>
          </w:p>
          <w:p w14:paraId="584B6A76">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szCs w:val="21"/>
              </w:rPr>
            </w:pPr>
            <w:r>
              <w:rPr>
                <w:rFonts w:hint="eastAsia" w:ascii="宋体" w:hAnsi="宋体" w:cs="宋体"/>
                <w:bCs/>
                <w:szCs w:val="21"/>
              </w:rPr>
              <w:t>配置过程监控接口：将药品配置过程中的关键环节信息，如药品核对、配置操作、质量检查同步至 HIS 系统，实现配置过程透明化管理。</w:t>
            </w:r>
          </w:p>
          <w:p w14:paraId="30A08573">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szCs w:val="21"/>
              </w:rPr>
            </w:pPr>
            <w:r>
              <w:rPr>
                <w:rFonts w:hint="eastAsia" w:ascii="宋体" w:hAnsi="宋体" w:cs="宋体"/>
                <w:bCs/>
                <w:szCs w:val="21"/>
              </w:rPr>
              <w:t>成品输液配送接口：推送成品输液的配送信息，如配送时间、送达科室、签收人员，HIS 系统更新患者用药状态，确保药品及时准确送达患者。</w:t>
            </w:r>
          </w:p>
          <w:p w14:paraId="08FDBD13">
            <w:pPr>
              <w:keepNext w:val="0"/>
              <w:keepLines w:val="0"/>
              <w:pageBreakBefore w:val="0"/>
              <w:widowControl w:val="0"/>
              <w:numPr>
                <w:ilvl w:val="0"/>
                <w:numId w:val="67"/>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szCs w:val="21"/>
              </w:rPr>
            </w:pPr>
            <w:r>
              <w:rPr>
                <w:rFonts w:hint="eastAsia" w:ascii="宋体" w:hAnsi="宋体" w:cs="宋体"/>
                <w:bCs/>
                <w:szCs w:val="21"/>
              </w:rPr>
              <w:t>增加审方交互业务：通过系统直接退回不合理医嘱至HIS医生工作站及护理工作站，以信息化技术保留退回、展示，以及医生重签名过程。</w:t>
            </w:r>
          </w:p>
          <w:p w14:paraId="06FDB7BD">
            <w:pPr>
              <w:keepNext w:val="0"/>
              <w:keepLines w:val="0"/>
              <w:pageBreakBefore w:val="0"/>
              <w:widowControl w:val="0"/>
              <w:numPr>
                <w:ilvl w:val="0"/>
                <w:numId w:val="67"/>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szCs w:val="21"/>
              </w:rPr>
            </w:pPr>
            <w:r>
              <w:rPr>
                <w:rFonts w:hint="eastAsia" w:ascii="宋体" w:hAnsi="宋体" w:cs="宋体"/>
                <w:bCs/>
                <w:szCs w:val="21"/>
              </w:rPr>
              <w:t>增加移动端登入静配系统功能，部分功能如：审方，可通过移动端实现远程审方操作。</w:t>
            </w:r>
          </w:p>
          <w:p w14:paraId="702B6350">
            <w:pPr>
              <w:keepNext w:val="0"/>
              <w:keepLines w:val="0"/>
              <w:pageBreakBefore w:val="0"/>
              <w:widowControl w:val="0"/>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szCs w:val="21"/>
              </w:rPr>
            </w:pPr>
            <w:r>
              <w:rPr>
                <w:rFonts w:hint="eastAsia" w:ascii="宋体" w:hAnsi="宋体" w:cs="宋体"/>
                <w:bCs/>
                <w:szCs w:val="21"/>
              </w:rPr>
              <w:t>审方交互接口：</w:t>
            </w:r>
          </w:p>
          <w:p w14:paraId="31E62FDC">
            <w:pPr>
              <w:keepNext w:val="0"/>
              <w:keepLines w:val="0"/>
              <w:pageBreakBefore w:val="0"/>
              <w:widowControl w:val="0"/>
              <w:numPr>
                <w:ilvl w:val="0"/>
                <w:numId w:val="68"/>
              </w:numPr>
              <w:kinsoku/>
              <w:wordWrap/>
              <w:overflowPunct/>
              <w:topLinePunct w:val="0"/>
              <w:autoSpaceDE/>
              <w:autoSpaceDN/>
              <w:bidi w:val="0"/>
              <w:adjustRightInd w:val="0"/>
              <w:snapToGrid w:val="0"/>
              <w:spacing w:line="360" w:lineRule="auto"/>
              <w:jc w:val="left"/>
              <w:textAlignment w:val="auto"/>
              <w:rPr>
                <w:rFonts w:ascii="宋体" w:hAnsi="宋体" w:cs="宋体"/>
                <w:b/>
              </w:rPr>
            </w:pPr>
            <w:r>
              <w:rPr>
                <w:rFonts w:hint="eastAsia" w:ascii="宋体" w:hAnsi="宋体" w:cs="宋体"/>
                <w:b/>
              </w:rPr>
              <w:t>建立医嘱退回交互中间表：</w:t>
            </w:r>
          </w:p>
          <w:p w14:paraId="3FDD1F47">
            <w:pPr>
              <w:keepNext w:val="0"/>
              <w:keepLines w:val="0"/>
              <w:pageBreakBefore w:val="0"/>
              <w:widowControl w:val="0"/>
              <w:numPr>
                <w:ilvl w:val="0"/>
                <w:numId w:val="69"/>
              </w:numPr>
              <w:kinsoku/>
              <w:wordWrap/>
              <w:overflowPunct/>
              <w:topLinePunct w:val="0"/>
              <w:autoSpaceDE/>
              <w:autoSpaceDN/>
              <w:bidi w:val="0"/>
              <w:adjustRightInd w:val="0"/>
              <w:snapToGrid w:val="0"/>
              <w:spacing w:line="360" w:lineRule="auto"/>
              <w:jc w:val="left"/>
              <w:textAlignment w:val="auto"/>
              <w:rPr>
                <w:rFonts w:ascii="宋体" w:hAnsi="宋体" w:cs="宋体"/>
              </w:rPr>
            </w:pPr>
            <w:r>
              <w:rPr>
                <w:rFonts w:hint="eastAsia" w:ascii="宋体" w:hAnsi="宋体" w:cs="宋体"/>
              </w:rPr>
              <w:t>HIS系统增加医嘱审查中间表，记录PIVAS退回的不合理医嘱信息</w:t>
            </w:r>
          </w:p>
          <w:tbl>
            <w:tblPr>
              <w:tblStyle w:val="46"/>
              <w:tblpPr w:leftFromText="180" w:rightFromText="180" w:vertAnchor="text" w:horzAnchor="page" w:tblpX="624" w:tblpY="404"/>
              <w:tblOverlap w:val="never"/>
              <w:tblW w:w="7778" w:type="dxa"/>
              <w:tblInd w:w="0" w:type="dxa"/>
              <w:tblBorders>
                <w:top w:val="single" w:color="78C0D4" w:sz="4" w:space="0"/>
                <w:left w:val="single" w:color="78C0D4" w:sz="4" w:space="0"/>
                <w:bottom w:val="single" w:color="78C0D4" w:sz="4" w:space="0"/>
                <w:right w:val="single" w:color="78C0D4" w:sz="4" w:space="0"/>
                <w:insideH w:val="single" w:color="78C0D4" w:sz="4" w:space="0"/>
                <w:insideV w:val="single" w:color="78C0D4" w:sz="4" w:space="0"/>
              </w:tblBorders>
              <w:tblLayout w:type="autofit"/>
              <w:tblCellMar>
                <w:top w:w="0" w:type="dxa"/>
                <w:left w:w="108" w:type="dxa"/>
                <w:bottom w:w="0" w:type="dxa"/>
                <w:right w:w="108" w:type="dxa"/>
              </w:tblCellMar>
            </w:tblPr>
            <w:tblGrid>
              <w:gridCol w:w="689"/>
              <w:gridCol w:w="2546"/>
              <w:gridCol w:w="1402"/>
              <w:gridCol w:w="3141"/>
            </w:tblGrid>
            <w:tr w14:paraId="4273FC5E">
              <w:tblPrEx>
                <w:tblBorders>
                  <w:top w:val="single" w:color="78C0D4" w:sz="4" w:space="0"/>
                  <w:left w:val="single" w:color="78C0D4" w:sz="4" w:space="0"/>
                  <w:bottom w:val="single" w:color="78C0D4" w:sz="4" w:space="0"/>
                  <w:right w:val="single" w:color="78C0D4" w:sz="4" w:space="0"/>
                  <w:insideH w:val="single" w:color="78C0D4" w:sz="4" w:space="0"/>
                  <w:insideV w:val="single" w:color="78C0D4" w:sz="4" w:space="0"/>
                </w:tblBorders>
                <w:tblCellMar>
                  <w:top w:w="0" w:type="dxa"/>
                  <w:left w:w="108" w:type="dxa"/>
                  <w:bottom w:w="0" w:type="dxa"/>
                  <w:right w:w="108" w:type="dxa"/>
                </w:tblCellMar>
              </w:tblPrEx>
              <w:trPr>
                <w:trHeight w:val="401" w:hRule="atLeast"/>
              </w:trPr>
              <w:tc>
                <w:tcPr>
                  <w:tcW w:w="689" w:type="dxa"/>
                  <w:shd w:val="clear" w:color="auto" w:fill="4BACC6"/>
                </w:tcPr>
                <w:p w14:paraId="4A439C4F">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b/>
                      <w:bCs/>
                      <w:color w:val="FFFFFF"/>
                      <w:szCs w:val="21"/>
                    </w:rPr>
                  </w:pPr>
                  <w:r>
                    <w:rPr>
                      <w:rFonts w:hint="eastAsia" w:ascii="宋体" w:hAnsi="宋体" w:cs="宋体"/>
                      <w:b/>
                      <w:bCs/>
                      <w:color w:val="FFFFFF"/>
                      <w:szCs w:val="21"/>
                    </w:rPr>
                    <w:t>序号</w:t>
                  </w:r>
                </w:p>
              </w:tc>
              <w:tc>
                <w:tcPr>
                  <w:tcW w:w="2546" w:type="dxa"/>
                  <w:shd w:val="clear" w:color="auto" w:fill="4BACC6"/>
                </w:tcPr>
                <w:p w14:paraId="74744E2A">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b/>
                      <w:bCs/>
                      <w:color w:val="FFFFFF"/>
                      <w:szCs w:val="21"/>
                    </w:rPr>
                  </w:pPr>
                  <w:r>
                    <w:rPr>
                      <w:rFonts w:hint="eastAsia" w:ascii="宋体" w:hAnsi="宋体" w:cs="宋体"/>
                      <w:b/>
                      <w:bCs/>
                      <w:color w:val="FFFFFF"/>
                      <w:szCs w:val="21"/>
                    </w:rPr>
                    <w:t>字段名称</w:t>
                  </w:r>
                </w:p>
              </w:tc>
              <w:tc>
                <w:tcPr>
                  <w:tcW w:w="1402" w:type="dxa"/>
                  <w:shd w:val="clear" w:color="auto" w:fill="4BACC6"/>
                </w:tcPr>
                <w:p w14:paraId="0BA99AF7">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b/>
                      <w:bCs/>
                      <w:color w:val="FFFFFF"/>
                      <w:szCs w:val="21"/>
                    </w:rPr>
                  </w:pPr>
                  <w:r>
                    <w:rPr>
                      <w:rFonts w:hint="eastAsia" w:ascii="宋体" w:hAnsi="宋体" w:cs="宋体"/>
                      <w:b/>
                      <w:bCs/>
                      <w:color w:val="FFFFFF"/>
                      <w:szCs w:val="21"/>
                    </w:rPr>
                    <w:t>中文名称</w:t>
                  </w:r>
                </w:p>
              </w:tc>
              <w:tc>
                <w:tcPr>
                  <w:tcW w:w="3141" w:type="dxa"/>
                  <w:shd w:val="clear" w:color="auto" w:fill="4BACC6"/>
                </w:tcPr>
                <w:p w14:paraId="426D9010">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b/>
                      <w:bCs/>
                      <w:color w:val="FFFFFF"/>
                      <w:szCs w:val="21"/>
                    </w:rPr>
                  </w:pPr>
                  <w:r>
                    <w:rPr>
                      <w:rFonts w:hint="eastAsia" w:ascii="宋体" w:hAnsi="宋体" w:cs="宋体"/>
                      <w:b/>
                      <w:bCs/>
                      <w:color w:val="FFFFFF"/>
                      <w:szCs w:val="21"/>
                    </w:rPr>
                    <w:t>备注</w:t>
                  </w:r>
                </w:p>
              </w:tc>
            </w:tr>
            <w:tr w14:paraId="450672DD">
              <w:tblPrEx>
                <w:tblBorders>
                  <w:top w:val="single" w:color="78C0D4" w:sz="4" w:space="0"/>
                  <w:left w:val="single" w:color="78C0D4" w:sz="4" w:space="0"/>
                  <w:bottom w:val="single" w:color="78C0D4" w:sz="4" w:space="0"/>
                  <w:right w:val="single" w:color="78C0D4" w:sz="4" w:space="0"/>
                  <w:insideH w:val="single" w:color="78C0D4" w:sz="4" w:space="0"/>
                  <w:insideV w:val="single" w:color="78C0D4" w:sz="4" w:space="0"/>
                </w:tblBorders>
                <w:tblCellMar>
                  <w:top w:w="0" w:type="dxa"/>
                  <w:left w:w="108" w:type="dxa"/>
                  <w:bottom w:w="0" w:type="dxa"/>
                  <w:right w:w="108" w:type="dxa"/>
                </w:tblCellMar>
              </w:tblPrEx>
              <w:trPr>
                <w:trHeight w:val="401" w:hRule="atLeast"/>
              </w:trPr>
              <w:tc>
                <w:tcPr>
                  <w:tcW w:w="689" w:type="dxa"/>
                </w:tcPr>
                <w:p w14:paraId="4177CB4B">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bCs/>
                      <w:szCs w:val="21"/>
                    </w:rPr>
                  </w:pPr>
                  <w:r>
                    <w:rPr>
                      <w:rFonts w:hint="eastAsia" w:ascii="宋体" w:hAnsi="宋体" w:cs="宋体"/>
                      <w:bCs/>
                      <w:szCs w:val="21"/>
                    </w:rPr>
                    <w:t>1</w:t>
                  </w:r>
                </w:p>
              </w:tc>
              <w:tc>
                <w:tcPr>
                  <w:tcW w:w="2546" w:type="dxa"/>
                </w:tcPr>
                <w:p w14:paraId="1D009CC8">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bCs/>
                      <w:szCs w:val="21"/>
                    </w:rPr>
                  </w:pPr>
                  <w:r>
                    <w:rPr>
                      <w:rFonts w:hint="eastAsia" w:ascii="宋体" w:hAnsi="宋体" w:cs="宋体"/>
                      <w:bCs/>
                      <w:szCs w:val="21"/>
                    </w:rPr>
                    <w:t>Patient_id</w:t>
                  </w:r>
                </w:p>
              </w:tc>
              <w:tc>
                <w:tcPr>
                  <w:tcW w:w="1402" w:type="dxa"/>
                </w:tcPr>
                <w:p w14:paraId="0AD9B5CE">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bCs/>
                      <w:szCs w:val="21"/>
                    </w:rPr>
                  </w:pPr>
                  <w:r>
                    <w:rPr>
                      <w:rFonts w:hint="eastAsia" w:ascii="宋体" w:hAnsi="宋体" w:cs="宋体"/>
                    </w:rPr>
                    <w:t>病人ID</w:t>
                  </w:r>
                </w:p>
              </w:tc>
              <w:tc>
                <w:tcPr>
                  <w:tcW w:w="3141" w:type="dxa"/>
                </w:tcPr>
                <w:p w14:paraId="6E4096D8">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bCs/>
                      <w:szCs w:val="21"/>
                    </w:rPr>
                  </w:pPr>
                  <w:r>
                    <w:rPr>
                      <w:rFonts w:hint="eastAsia" w:ascii="宋体" w:hAnsi="宋体" w:cs="宋体"/>
                      <w:bCs/>
                      <w:szCs w:val="21"/>
                    </w:rPr>
                    <w:t>HIS病人编码。</w:t>
                  </w:r>
                </w:p>
              </w:tc>
            </w:tr>
            <w:tr w14:paraId="4C995F74">
              <w:tblPrEx>
                <w:tblBorders>
                  <w:top w:val="single" w:color="78C0D4" w:sz="4" w:space="0"/>
                  <w:left w:val="single" w:color="78C0D4" w:sz="4" w:space="0"/>
                  <w:bottom w:val="single" w:color="78C0D4" w:sz="4" w:space="0"/>
                  <w:right w:val="single" w:color="78C0D4" w:sz="4" w:space="0"/>
                  <w:insideH w:val="single" w:color="78C0D4" w:sz="4" w:space="0"/>
                  <w:insideV w:val="single" w:color="78C0D4" w:sz="4" w:space="0"/>
                </w:tblBorders>
                <w:tblCellMar>
                  <w:top w:w="0" w:type="dxa"/>
                  <w:left w:w="108" w:type="dxa"/>
                  <w:bottom w:w="0" w:type="dxa"/>
                  <w:right w:w="108" w:type="dxa"/>
                </w:tblCellMar>
              </w:tblPrEx>
              <w:trPr>
                <w:trHeight w:val="401" w:hRule="atLeast"/>
              </w:trPr>
              <w:tc>
                <w:tcPr>
                  <w:tcW w:w="689" w:type="dxa"/>
                </w:tcPr>
                <w:p w14:paraId="1F5F8E08">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bCs/>
                      <w:szCs w:val="21"/>
                    </w:rPr>
                  </w:pPr>
                  <w:r>
                    <w:rPr>
                      <w:rFonts w:hint="eastAsia" w:ascii="宋体" w:hAnsi="宋体" w:cs="宋体"/>
                      <w:bCs/>
                      <w:szCs w:val="21"/>
                    </w:rPr>
                    <w:t>2</w:t>
                  </w:r>
                </w:p>
              </w:tc>
              <w:tc>
                <w:tcPr>
                  <w:tcW w:w="2546" w:type="dxa"/>
                </w:tcPr>
                <w:p w14:paraId="487196C7">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bCs/>
                      <w:szCs w:val="21"/>
                    </w:rPr>
                  </w:pPr>
                  <w:r>
                    <w:rPr>
                      <w:rFonts w:hint="eastAsia" w:ascii="宋体" w:hAnsi="宋体" w:cs="宋体"/>
                      <w:bCs/>
                      <w:szCs w:val="21"/>
                    </w:rPr>
                    <w:t>Visit_id</w:t>
                  </w:r>
                </w:p>
              </w:tc>
              <w:tc>
                <w:tcPr>
                  <w:tcW w:w="1402" w:type="dxa"/>
                </w:tcPr>
                <w:p w14:paraId="43FB14B1">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bCs/>
                      <w:szCs w:val="21"/>
                    </w:rPr>
                  </w:pPr>
                  <w:r>
                    <w:rPr>
                      <w:rFonts w:hint="eastAsia" w:ascii="宋体" w:hAnsi="宋体" w:cs="宋体"/>
                    </w:rPr>
                    <w:t>住院次数</w:t>
                  </w:r>
                </w:p>
              </w:tc>
              <w:tc>
                <w:tcPr>
                  <w:tcW w:w="3141" w:type="dxa"/>
                </w:tcPr>
                <w:p w14:paraId="464912ED">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bCs/>
                      <w:szCs w:val="21"/>
                    </w:rPr>
                  </w:pPr>
                  <w:r>
                    <w:rPr>
                      <w:rFonts w:hint="eastAsia" w:ascii="宋体" w:hAnsi="宋体" w:cs="宋体"/>
                      <w:bCs/>
                      <w:szCs w:val="21"/>
                    </w:rPr>
                    <w:t>病人本次住院标识</w:t>
                  </w:r>
                </w:p>
              </w:tc>
            </w:tr>
            <w:tr w14:paraId="36C6443A">
              <w:tblPrEx>
                <w:tblBorders>
                  <w:top w:val="single" w:color="78C0D4" w:sz="4" w:space="0"/>
                  <w:left w:val="single" w:color="78C0D4" w:sz="4" w:space="0"/>
                  <w:bottom w:val="single" w:color="78C0D4" w:sz="4" w:space="0"/>
                  <w:right w:val="single" w:color="78C0D4" w:sz="4" w:space="0"/>
                  <w:insideH w:val="single" w:color="78C0D4" w:sz="4" w:space="0"/>
                  <w:insideV w:val="single" w:color="78C0D4" w:sz="4" w:space="0"/>
                </w:tblBorders>
                <w:tblCellMar>
                  <w:top w:w="0" w:type="dxa"/>
                  <w:left w:w="108" w:type="dxa"/>
                  <w:bottom w:w="0" w:type="dxa"/>
                  <w:right w:w="108" w:type="dxa"/>
                </w:tblCellMar>
              </w:tblPrEx>
              <w:trPr>
                <w:trHeight w:val="401" w:hRule="atLeast"/>
              </w:trPr>
              <w:tc>
                <w:tcPr>
                  <w:tcW w:w="689" w:type="dxa"/>
                </w:tcPr>
                <w:p w14:paraId="0C50F351">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bCs/>
                      <w:szCs w:val="21"/>
                    </w:rPr>
                  </w:pPr>
                  <w:r>
                    <w:rPr>
                      <w:rFonts w:hint="eastAsia" w:ascii="宋体" w:hAnsi="宋体" w:cs="宋体"/>
                      <w:bCs/>
                      <w:szCs w:val="21"/>
                    </w:rPr>
                    <w:t>3</w:t>
                  </w:r>
                </w:p>
              </w:tc>
              <w:tc>
                <w:tcPr>
                  <w:tcW w:w="2546" w:type="dxa"/>
                </w:tcPr>
                <w:p w14:paraId="357E52D8">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bCs/>
                      <w:szCs w:val="21"/>
                    </w:rPr>
                  </w:pPr>
                  <w:r>
                    <w:rPr>
                      <w:rFonts w:hint="eastAsia" w:ascii="宋体" w:hAnsi="宋体" w:cs="宋体"/>
                      <w:bCs/>
                      <w:szCs w:val="21"/>
                    </w:rPr>
                    <w:t>Order_no</w:t>
                  </w:r>
                </w:p>
              </w:tc>
              <w:tc>
                <w:tcPr>
                  <w:tcW w:w="1402" w:type="dxa"/>
                </w:tcPr>
                <w:p w14:paraId="7406A90B">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bCs/>
                      <w:szCs w:val="21"/>
                    </w:rPr>
                  </w:pPr>
                  <w:r>
                    <w:rPr>
                      <w:rFonts w:hint="eastAsia" w:ascii="宋体" w:hAnsi="宋体" w:cs="宋体"/>
                    </w:rPr>
                    <w:t>医嘱组号</w:t>
                  </w:r>
                </w:p>
              </w:tc>
              <w:tc>
                <w:tcPr>
                  <w:tcW w:w="3141" w:type="dxa"/>
                </w:tcPr>
                <w:p w14:paraId="603AAAE5">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bCs/>
                      <w:szCs w:val="21"/>
                    </w:rPr>
                  </w:pPr>
                  <w:r>
                    <w:rPr>
                      <w:rFonts w:hint="eastAsia" w:ascii="宋体" w:hAnsi="宋体" w:cs="宋体"/>
                      <w:bCs/>
                      <w:szCs w:val="21"/>
                    </w:rPr>
                    <w:t>医嘱组合号</w:t>
                  </w:r>
                </w:p>
              </w:tc>
            </w:tr>
            <w:tr w14:paraId="5DF7750C">
              <w:tblPrEx>
                <w:tblBorders>
                  <w:top w:val="single" w:color="78C0D4" w:sz="4" w:space="0"/>
                  <w:left w:val="single" w:color="78C0D4" w:sz="4" w:space="0"/>
                  <w:bottom w:val="single" w:color="78C0D4" w:sz="4" w:space="0"/>
                  <w:right w:val="single" w:color="78C0D4" w:sz="4" w:space="0"/>
                  <w:insideH w:val="single" w:color="78C0D4" w:sz="4" w:space="0"/>
                  <w:insideV w:val="single" w:color="78C0D4" w:sz="4" w:space="0"/>
                </w:tblBorders>
                <w:tblCellMar>
                  <w:top w:w="0" w:type="dxa"/>
                  <w:left w:w="108" w:type="dxa"/>
                  <w:bottom w:w="0" w:type="dxa"/>
                  <w:right w:w="108" w:type="dxa"/>
                </w:tblCellMar>
              </w:tblPrEx>
              <w:trPr>
                <w:trHeight w:val="401" w:hRule="atLeast"/>
              </w:trPr>
              <w:tc>
                <w:tcPr>
                  <w:tcW w:w="689" w:type="dxa"/>
                </w:tcPr>
                <w:p w14:paraId="71D40171">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bCs/>
                      <w:szCs w:val="21"/>
                    </w:rPr>
                  </w:pPr>
                  <w:r>
                    <w:rPr>
                      <w:rFonts w:hint="eastAsia" w:ascii="宋体" w:hAnsi="宋体" w:cs="宋体"/>
                      <w:bCs/>
                      <w:szCs w:val="21"/>
                    </w:rPr>
                    <w:t>4</w:t>
                  </w:r>
                </w:p>
              </w:tc>
              <w:tc>
                <w:tcPr>
                  <w:tcW w:w="2546" w:type="dxa"/>
                </w:tcPr>
                <w:p w14:paraId="7DA55967">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bCs/>
                      <w:szCs w:val="21"/>
                    </w:rPr>
                  </w:pPr>
                  <w:r>
                    <w:rPr>
                      <w:rFonts w:hint="eastAsia" w:ascii="宋体" w:hAnsi="宋体" w:cs="宋体"/>
                      <w:bCs/>
                      <w:szCs w:val="21"/>
                    </w:rPr>
                    <w:t>Back_reason</w:t>
                  </w:r>
                </w:p>
              </w:tc>
              <w:tc>
                <w:tcPr>
                  <w:tcW w:w="1402" w:type="dxa"/>
                </w:tcPr>
                <w:p w14:paraId="0F4B12F8">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bCs/>
                      <w:szCs w:val="21"/>
                    </w:rPr>
                  </w:pPr>
                  <w:r>
                    <w:rPr>
                      <w:rFonts w:hint="eastAsia" w:ascii="宋体" w:hAnsi="宋体" w:cs="宋体"/>
                    </w:rPr>
                    <w:t>退回原因</w:t>
                  </w:r>
                </w:p>
              </w:tc>
              <w:tc>
                <w:tcPr>
                  <w:tcW w:w="3141" w:type="dxa"/>
                </w:tcPr>
                <w:p w14:paraId="55446F95">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bCs/>
                      <w:szCs w:val="21"/>
                    </w:rPr>
                  </w:pPr>
                  <w:r>
                    <w:rPr>
                      <w:rFonts w:hint="eastAsia" w:ascii="宋体" w:hAnsi="宋体" w:cs="宋体"/>
                      <w:bCs/>
                      <w:szCs w:val="21"/>
                    </w:rPr>
                    <w:t>医嘱退回原因</w:t>
                  </w:r>
                </w:p>
              </w:tc>
            </w:tr>
            <w:tr w14:paraId="032D6FCB">
              <w:tblPrEx>
                <w:tblBorders>
                  <w:top w:val="single" w:color="78C0D4" w:sz="4" w:space="0"/>
                  <w:left w:val="single" w:color="78C0D4" w:sz="4" w:space="0"/>
                  <w:bottom w:val="single" w:color="78C0D4" w:sz="4" w:space="0"/>
                  <w:right w:val="single" w:color="78C0D4" w:sz="4" w:space="0"/>
                  <w:insideH w:val="single" w:color="78C0D4" w:sz="4" w:space="0"/>
                  <w:insideV w:val="single" w:color="78C0D4" w:sz="4" w:space="0"/>
                </w:tblBorders>
                <w:tblCellMar>
                  <w:top w:w="0" w:type="dxa"/>
                  <w:left w:w="108" w:type="dxa"/>
                  <w:bottom w:w="0" w:type="dxa"/>
                  <w:right w:w="108" w:type="dxa"/>
                </w:tblCellMar>
              </w:tblPrEx>
              <w:trPr>
                <w:trHeight w:val="401" w:hRule="atLeast"/>
              </w:trPr>
              <w:tc>
                <w:tcPr>
                  <w:tcW w:w="689" w:type="dxa"/>
                </w:tcPr>
                <w:p w14:paraId="483078D3">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bCs/>
                      <w:szCs w:val="21"/>
                    </w:rPr>
                  </w:pPr>
                  <w:r>
                    <w:rPr>
                      <w:rFonts w:hint="eastAsia" w:ascii="宋体" w:hAnsi="宋体" w:cs="宋体"/>
                      <w:bCs/>
                      <w:szCs w:val="21"/>
                    </w:rPr>
                    <w:t>5</w:t>
                  </w:r>
                </w:p>
              </w:tc>
              <w:tc>
                <w:tcPr>
                  <w:tcW w:w="2546" w:type="dxa"/>
                </w:tcPr>
                <w:p w14:paraId="1CD2A3EB">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bCs/>
                      <w:szCs w:val="21"/>
                    </w:rPr>
                  </w:pPr>
                  <w:r>
                    <w:rPr>
                      <w:rFonts w:hint="eastAsia" w:ascii="宋体" w:hAnsi="宋体" w:cs="宋体"/>
                      <w:bCs/>
                      <w:szCs w:val="21"/>
                    </w:rPr>
                    <w:t>Back_pharmacist</w:t>
                  </w:r>
                </w:p>
              </w:tc>
              <w:tc>
                <w:tcPr>
                  <w:tcW w:w="1402" w:type="dxa"/>
                </w:tcPr>
                <w:p w14:paraId="38646DA1">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bCs/>
                      <w:szCs w:val="21"/>
                    </w:rPr>
                  </w:pPr>
                  <w:r>
                    <w:rPr>
                      <w:rFonts w:hint="eastAsia" w:ascii="宋体" w:hAnsi="宋体" w:cs="宋体"/>
                    </w:rPr>
                    <w:t>审查药师</w:t>
                  </w:r>
                </w:p>
              </w:tc>
              <w:tc>
                <w:tcPr>
                  <w:tcW w:w="3141" w:type="dxa"/>
                </w:tcPr>
                <w:p w14:paraId="3C6BEDED">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bCs/>
                      <w:szCs w:val="21"/>
                    </w:rPr>
                  </w:pPr>
                  <w:r>
                    <w:rPr>
                      <w:rFonts w:hint="eastAsia" w:ascii="宋体" w:hAnsi="宋体" w:cs="宋体"/>
                      <w:bCs/>
                      <w:szCs w:val="21"/>
                    </w:rPr>
                    <w:t>审方药师代码</w:t>
                  </w:r>
                </w:p>
              </w:tc>
            </w:tr>
            <w:tr w14:paraId="1D220519">
              <w:tblPrEx>
                <w:tblBorders>
                  <w:top w:val="single" w:color="78C0D4" w:sz="4" w:space="0"/>
                  <w:left w:val="single" w:color="78C0D4" w:sz="4" w:space="0"/>
                  <w:bottom w:val="single" w:color="78C0D4" w:sz="4" w:space="0"/>
                  <w:right w:val="single" w:color="78C0D4" w:sz="4" w:space="0"/>
                  <w:insideH w:val="single" w:color="78C0D4" w:sz="4" w:space="0"/>
                  <w:insideV w:val="single" w:color="78C0D4" w:sz="4" w:space="0"/>
                </w:tblBorders>
                <w:tblCellMar>
                  <w:top w:w="0" w:type="dxa"/>
                  <w:left w:w="108" w:type="dxa"/>
                  <w:bottom w:w="0" w:type="dxa"/>
                  <w:right w:w="108" w:type="dxa"/>
                </w:tblCellMar>
              </w:tblPrEx>
              <w:trPr>
                <w:trHeight w:val="401" w:hRule="atLeast"/>
              </w:trPr>
              <w:tc>
                <w:tcPr>
                  <w:tcW w:w="689" w:type="dxa"/>
                </w:tcPr>
                <w:p w14:paraId="0EBD4501">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bCs/>
                      <w:szCs w:val="21"/>
                    </w:rPr>
                  </w:pPr>
                  <w:r>
                    <w:rPr>
                      <w:rFonts w:hint="eastAsia" w:ascii="宋体" w:hAnsi="宋体" w:cs="宋体"/>
                      <w:bCs/>
                      <w:szCs w:val="21"/>
                    </w:rPr>
                    <w:t>6</w:t>
                  </w:r>
                </w:p>
              </w:tc>
              <w:tc>
                <w:tcPr>
                  <w:tcW w:w="2546" w:type="dxa"/>
                </w:tcPr>
                <w:p w14:paraId="58F8EEC2">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bCs/>
                      <w:szCs w:val="21"/>
                    </w:rPr>
                  </w:pPr>
                  <w:r>
                    <w:rPr>
                      <w:rFonts w:hint="eastAsia" w:ascii="宋体" w:hAnsi="宋体" w:cs="宋体"/>
                      <w:bCs/>
                      <w:szCs w:val="21"/>
                    </w:rPr>
                    <w:t>Back_time</w:t>
                  </w:r>
                </w:p>
              </w:tc>
              <w:tc>
                <w:tcPr>
                  <w:tcW w:w="1402" w:type="dxa"/>
                </w:tcPr>
                <w:p w14:paraId="4B5AC7FD">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bCs/>
                      <w:szCs w:val="21"/>
                    </w:rPr>
                  </w:pPr>
                  <w:r>
                    <w:rPr>
                      <w:rFonts w:hint="eastAsia" w:ascii="宋体" w:hAnsi="宋体" w:cs="宋体"/>
                    </w:rPr>
                    <w:t>审查时间</w:t>
                  </w:r>
                </w:p>
              </w:tc>
              <w:tc>
                <w:tcPr>
                  <w:tcW w:w="3141" w:type="dxa"/>
                </w:tcPr>
                <w:p w14:paraId="2181FFD9">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bCs/>
                      <w:szCs w:val="21"/>
                    </w:rPr>
                  </w:pPr>
                  <w:r>
                    <w:rPr>
                      <w:rFonts w:hint="eastAsia" w:ascii="宋体" w:hAnsi="宋体" w:cs="宋体"/>
                      <w:bCs/>
                      <w:szCs w:val="21"/>
                    </w:rPr>
                    <w:t>审方退回时间</w:t>
                  </w:r>
                </w:p>
              </w:tc>
            </w:tr>
            <w:tr w14:paraId="21458C0F">
              <w:tblPrEx>
                <w:tblBorders>
                  <w:top w:val="single" w:color="78C0D4" w:sz="4" w:space="0"/>
                  <w:left w:val="single" w:color="78C0D4" w:sz="4" w:space="0"/>
                  <w:bottom w:val="single" w:color="78C0D4" w:sz="4" w:space="0"/>
                  <w:right w:val="single" w:color="78C0D4" w:sz="4" w:space="0"/>
                  <w:insideH w:val="single" w:color="78C0D4" w:sz="4" w:space="0"/>
                  <w:insideV w:val="single" w:color="78C0D4" w:sz="4" w:space="0"/>
                </w:tblBorders>
                <w:tblCellMar>
                  <w:top w:w="0" w:type="dxa"/>
                  <w:left w:w="108" w:type="dxa"/>
                  <w:bottom w:w="0" w:type="dxa"/>
                  <w:right w:w="108" w:type="dxa"/>
                </w:tblCellMar>
              </w:tblPrEx>
              <w:trPr>
                <w:trHeight w:val="793" w:hRule="atLeast"/>
              </w:trPr>
              <w:tc>
                <w:tcPr>
                  <w:tcW w:w="689" w:type="dxa"/>
                </w:tcPr>
                <w:p w14:paraId="3BC832E3">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bCs/>
                      <w:szCs w:val="21"/>
                    </w:rPr>
                  </w:pPr>
                  <w:r>
                    <w:rPr>
                      <w:rFonts w:hint="eastAsia" w:ascii="宋体" w:hAnsi="宋体" w:cs="宋体"/>
                      <w:bCs/>
                      <w:szCs w:val="21"/>
                    </w:rPr>
                    <w:t>7</w:t>
                  </w:r>
                </w:p>
              </w:tc>
              <w:tc>
                <w:tcPr>
                  <w:tcW w:w="2546" w:type="dxa"/>
                </w:tcPr>
                <w:p w14:paraId="3E67BFC8">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bCs/>
                      <w:szCs w:val="21"/>
                    </w:rPr>
                  </w:pPr>
                  <w:r>
                    <w:rPr>
                      <w:rFonts w:hint="eastAsia" w:ascii="宋体" w:hAnsi="宋体" w:cs="宋体"/>
                      <w:bCs/>
                      <w:szCs w:val="21"/>
                    </w:rPr>
                    <w:t>Exec_reason</w:t>
                  </w:r>
                </w:p>
              </w:tc>
              <w:tc>
                <w:tcPr>
                  <w:tcW w:w="1402" w:type="dxa"/>
                </w:tcPr>
                <w:p w14:paraId="1ADAC3A4">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rPr>
                  </w:pPr>
                  <w:r>
                    <w:rPr>
                      <w:rFonts w:hint="eastAsia" w:ascii="宋体" w:hAnsi="宋体" w:cs="宋体"/>
                    </w:rPr>
                    <w:t>医师意见</w:t>
                  </w:r>
                </w:p>
              </w:tc>
              <w:tc>
                <w:tcPr>
                  <w:tcW w:w="3141" w:type="dxa"/>
                </w:tcPr>
                <w:p w14:paraId="63CBAEE1">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bCs/>
                      <w:szCs w:val="21"/>
                    </w:rPr>
                  </w:pPr>
                  <w:r>
                    <w:rPr>
                      <w:rFonts w:hint="eastAsia" w:ascii="宋体" w:hAnsi="宋体" w:cs="宋体"/>
                      <w:bCs/>
                      <w:szCs w:val="21"/>
                    </w:rPr>
                    <w:t>药师审查退回医嘱后，若因病人病情需要、或审方药师退回原因不成立等因素，需坚持用药的，医生可填写相应意见后，要求静配中心强制处理。</w:t>
                  </w:r>
                </w:p>
              </w:tc>
            </w:tr>
            <w:tr w14:paraId="0DB3BF81">
              <w:tblPrEx>
                <w:tblBorders>
                  <w:top w:val="single" w:color="78C0D4" w:sz="4" w:space="0"/>
                  <w:left w:val="single" w:color="78C0D4" w:sz="4" w:space="0"/>
                  <w:bottom w:val="single" w:color="78C0D4" w:sz="4" w:space="0"/>
                  <w:right w:val="single" w:color="78C0D4" w:sz="4" w:space="0"/>
                  <w:insideH w:val="single" w:color="78C0D4" w:sz="4" w:space="0"/>
                  <w:insideV w:val="single" w:color="78C0D4" w:sz="4" w:space="0"/>
                </w:tblBorders>
                <w:tblCellMar>
                  <w:top w:w="0" w:type="dxa"/>
                  <w:left w:w="108" w:type="dxa"/>
                  <w:bottom w:w="0" w:type="dxa"/>
                  <w:right w:w="108" w:type="dxa"/>
                </w:tblCellMar>
              </w:tblPrEx>
              <w:trPr>
                <w:trHeight w:val="401" w:hRule="atLeast"/>
              </w:trPr>
              <w:tc>
                <w:tcPr>
                  <w:tcW w:w="689" w:type="dxa"/>
                </w:tcPr>
                <w:p w14:paraId="352EAAF0">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bCs/>
                      <w:szCs w:val="21"/>
                    </w:rPr>
                  </w:pPr>
                  <w:r>
                    <w:rPr>
                      <w:rFonts w:hint="eastAsia" w:ascii="宋体" w:hAnsi="宋体" w:cs="宋体"/>
                      <w:bCs/>
                      <w:szCs w:val="21"/>
                    </w:rPr>
                    <w:t>8</w:t>
                  </w:r>
                </w:p>
              </w:tc>
              <w:tc>
                <w:tcPr>
                  <w:tcW w:w="2546" w:type="dxa"/>
                </w:tcPr>
                <w:p w14:paraId="694A64F5">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bCs/>
                      <w:szCs w:val="21"/>
                    </w:rPr>
                  </w:pPr>
                  <w:r>
                    <w:rPr>
                      <w:rFonts w:hint="eastAsia" w:ascii="宋体" w:hAnsi="宋体" w:cs="宋体"/>
                      <w:bCs/>
                      <w:szCs w:val="21"/>
                    </w:rPr>
                    <w:t>Exec_doctor</w:t>
                  </w:r>
                </w:p>
              </w:tc>
              <w:tc>
                <w:tcPr>
                  <w:tcW w:w="1402" w:type="dxa"/>
                </w:tcPr>
                <w:p w14:paraId="06B9AF79">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bCs/>
                      <w:szCs w:val="21"/>
                    </w:rPr>
                  </w:pPr>
                  <w:r>
                    <w:rPr>
                      <w:rFonts w:hint="eastAsia" w:ascii="宋体" w:hAnsi="宋体" w:cs="宋体"/>
                    </w:rPr>
                    <w:t>医师代码</w:t>
                  </w:r>
                </w:p>
              </w:tc>
              <w:tc>
                <w:tcPr>
                  <w:tcW w:w="3141" w:type="dxa"/>
                </w:tcPr>
                <w:p w14:paraId="6311161E">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bCs/>
                      <w:szCs w:val="21"/>
                    </w:rPr>
                  </w:pPr>
                  <w:r>
                    <w:rPr>
                      <w:rFonts w:hint="eastAsia" w:ascii="宋体" w:hAnsi="宋体" w:cs="宋体"/>
                      <w:bCs/>
                      <w:szCs w:val="21"/>
                    </w:rPr>
                    <w:t>医生代码</w:t>
                  </w:r>
                </w:p>
              </w:tc>
            </w:tr>
            <w:tr w14:paraId="27C6E882">
              <w:tblPrEx>
                <w:tblBorders>
                  <w:top w:val="single" w:color="78C0D4" w:sz="4" w:space="0"/>
                  <w:left w:val="single" w:color="78C0D4" w:sz="4" w:space="0"/>
                  <w:bottom w:val="single" w:color="78C0D4" w:sz="4" w:space="0"/>
                  <w:right w:val="single" w:color="78C0D4" w:sz="4" w:space="0"/>
                  <w:insideH w:val="single" w:color="78C0D4" w:sz="4" w:space="0"/>
                  <w:insideV w:val="single" w:color="78C0D4" w:sz="4" w:space="0"/>
                </w:tblBorders>
                <w:tblCellMar>
                  <w:top w:w="0" w:type="dxa"/>
                  <w:left w:w="108" w:type="dxa"/>
                  <w:bottom w:w="0" w:type="dxa"/>
                  <w:right w:w="108" w:type="dxa"/>
                </w:tblCellMar>
              </w:tblPrEx>
              <w:trPr>
                <w:trHeight w:val="401" w:hRule="atLeast"/>
              </w:trPr>
              <w:tc>
                <w:tcPr>
                  <w:tcW w:w="689" w:type="dxa"/>
                </w:tcPr>
                <w:p w14:paraId="3EEDD4BD">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bCs/>
                      <w:szCs w:val="21"/>
                    </w:rPr>
                  </w:pPr>
                  <w:r>
                    <w:rPr>
                      <w:rFonts w:hint="eastAsia" w:ascii="宋体" w:hAnsi="宋体" w:cs="宋体"/>
                      <w:bCs/>
                      <w:szCs w:val="21"/>
                    </w:rPr>
                    <w:t>9</w:t>
                  </w:r>
                </w:p>
              </w:tc>
              <w:tc>
                <w:tcPr>
                  <w:tcW w:w="2546" w:type="dxa"/>
                </w:tcPr>
                <w:p w14:paraId="020C10CA">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bCs/>
                      <w:szCs w:val="21"/>
                    </w:rPr>
                  </w:pPr>
                  <w:r>
                    <w:rPr>
                      <w:rFonts w:hint="eastAsia" w:ascii="宋体" w:hAnsi="宋体" w:cs="宋体"/>
                      <w:bCs/>
                      <w:szCs w:val="21"/>
                    </w:rPr>
                    <w:t>Exec_time</w:t>
                  </w:r>
                </w:p>
              </w:tc>
              <w:tc>
                <w:tcPr>
                  <w:tcW w:w="1402" w:type="dxa"/>
                </w:tcPr>
                <w:p w14:paraId="13F9B078">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bCs/>
                      <w:szCs w:val="21"/>
                    </w:rPr>
                  </w:pPr>
                  <w:r>
                    <w:rPr>
                      <w:rFonts w:hint="eastAsia" w:ascii="宋体" w:hAnsi="宋体" w:cs="宋体"/>
                    </w:rPr>
                    <w:t>处理时间</w:t>
                  </w:r>
                </w:p>
              </w:tc>
              <w:tc>
                <w:tcPr>
                  <w:tcW w:w="3141" w:type="dxa"/>
                </w:tcPr>
                <w:p w14:paraId="7666CAEB">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bCs/>
                      <w:szCs w:val="21"/>
                    </w:rPr>
                  </w:pPr>
                  <w:r>
                    <w:rPr>
                      <w:rFonts w:hint="eastAsia" w:ascii="宋体" w:hAnsi="宋体" w:cs="宋体"/>
                      <w:bCs/>
                      <w:szCs w:val="21"/>
                    </w:rPr>
                    <w:t>医生处理医嘱时间</w:t>
                  </w:r>
                </w:p>
              </w:tc>
            </w:tr>
            <w:tr w14:paraId="73B02FE0">
              <w:tblPrEx>
                <w:tblBorders>
                  <w:top w:val="single" w:color="78C0D4" w:sz="4" w:space="0"/>
                  <w:left w:val="single" w:color="78C0D4" w:sz="4" w:space="0"/>
                  <w:bottom w:val="single" w:color="78C0D4" w:sz="4" w:space="0"/>
                  <w:right w:val="single" w:color="78C0D4" w:sz="4" w:space="0"/>
                  <w:insideH w:val="single" w:color="78C0D4" w:sz="4" w:space="0"/>
                  <w:insideV w:val="single" w:color="78C0D4" w:sz="4" w:space="0"/>
                </w:tblBorders>
                <w:tblCellMar>
                  <w:top w:w="0" w:type="dxa"/>
                  <w:left w:w="108" w:type="dxa"/>
                  <w:bottom w:w="0" w:type="dxa"/>
                  <w:right w:w="108" w:type="dxa"/>
                </w:tblCellMar>
              </w:tblPrEx>
              <w:trPr>
                <w:trHeight w:val="1194" w:hRule="atLeast"/>
              </w:trPr>
              <w:tc>
                <w:tcPr>
                  <w:tcW w:w="689" w:type="dxa"/>
                </w:tcPr>
                <w:p w14:paraId="41478A1D">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bCs/>
                      <w:szCs w:val="21"/>
                    </w:rPr>
                  </w:pPr>
                  <w:r>
                    <w:rPr>
                      <w:rFonts w:hint="eastAsia" w:ascii="宋体" w:hAnsi="宋体" w:cs="宋体"/>
                      <w:bCs/>
                      <w:szCs w:val="21"/>
                    </w:rPr>
                    <w:t>10</w:t>
                  </w:r>
                </w:p>
              </w:tc>
              <w:tc>
                <w:tcPr>
                  <w:tcW w:w="2546" w:type="dxa"/>
                </w:tcPr>
                <w:p w14:paraId="2230E079">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bCs/>
                      <w:szCs w:val="21"/>
                    </w:rPr>
                  </w:pPr>
                  <w:r>
                    <w:rPr>
                      <w:rFonts w:hint="eastAsia" w:ascii="宋体" w:hAnsi="宋体" w:cs="宋体"/>
                      <w:bCs/>
                      <w:szCs w:val="21"/>
                    </w:rPr>
                    <w:t>Check_state</w:t>
                  </w:r>
                </w:p>
              </w:tc>
              <w:tc>
                <w:tcPr>
                  <w:tcW w:w="1402" w:type="dxa"/>
                </w:tcPr>
                <w:p w14:paraId="1ACC98CD">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rPr>
                  </w:pPr>
                  <w:r>
                    <w:rPr>
                      <w:rFonts w:hint="eastAsia" w:ascii="宋体" w:hAnsi="宋体" w:cs="宋体"/>
                    </w:rPr>
                    <w:t>审查状态</w:t>
                  </w:r>
                </w:p>
              </w:tc>
              <w:tc>
                <w:tcPr>
                  <w:tcW w:w="3141" w:type="dxa"/>
                </w:tcPr>
                <w:p w14:paraId="19CDEF8E">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rPr>
                  </w:pPr>
                  <w:r>
                    <w:rPr>
                      <w:rFonts w:hint="eastAsia" w:ascii="宋体" w:hAnsi="宋体" w:cs="宋体"/>
                    </w:rPr>
                    <w:t>0－药师退回（默认为0）</w:t>
                  </w:r>
                </w:p>
                <w:p w14:paraId="36F431FA">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rPr>
                  </w:pPr>
                  <w:r>
                    <w:rPr>
                      <w:rFonts w:hint="eastAsia" w:ascii="宋体" w:hAnsi="宋体" w:cs="宋体"/>
                    </w:rPr>
                    <w:t>2－医生要求强制配置</w:t>
                  </w:r>
                </w:p>
                <w:p w14:paraId="4E08E27F">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bCs/>
                      <w:szCs w:val="21"/>
                    </w:rPr>
                  </w:pPr>
                  <w:r>
                    <w:rPr>
                      <w:rFonts w:hint="eastAsia" w:ascii="宋体" w:hAnsi="宋体" w:cs="宋体"/>
                    </w:rPr>
                    <w:t>3－停止用药</w:t>
                  </w:r>
                </w:p>
              </w:tc>
            </w:tr>
          </w:tbl>
          <w:p w14:paraId="78564F73">
            <w:pPr>
              <w:keepNext w:val="0"/>
              <w:keepLines w:val="0"/>
              <w:pageBreakBefore w:val="0"/>
              <w:widowControl w:val="0"/>
              <w:numPr>
                <w:ilvl w:val="0"/>
                <w:numId w:val="69"/>
              </w:numPr>
              <w:kinsoku/>
              <w:wordWrap/>
              <w:overflowPunct/>
              <w:topLinePunct w:val="0"/>
              <w:autoSpaceDE/>
              <w:autoSpaceDN/>
              <w:bidi w:val="0"/>
              <w:adjustRightInd w:val="0"/>
              <w:snapToGrid w:val="0"/>
              <w:spacing w:line="360" w:lineRule="auto"/>
              <w:jc w:val="left"/>
              <w:textAlignment w:val="auto"/>
              <w:rPr>
                <w:rFonts w:ascii="宋体" w:hAnsi="宋体" w:cs="宋体"/>
              </w:rPr>
            </w:pPr>
            <w:r>
              <w:rPr>
                <w:rFonts w:hint="eastAsia" w:ascii="宋体" w:hAnsi="宋体" w:cs="宋体"/>
              </w:rPr>
              <w:t>HIS为了保持表结构命名规则一致性，表名与字段名由HIS命名</w:t>
            </w:r>
          </w:p>
          <w:p w14:paraId="0A89C5A2">
            <w:pPr>
              <w:keepNext w:val="0"/>
              <w:keepLines w:val="0"/>
              <w:pageBreakBefore w:val="0"/>
              <w:widowControl w:val="0"/>
              <w:numPr>
                <w:ilvl w:val="0"/>
                <w:numId w:val="68"/>
              </w:numPr>
              <w:kinsoku/>
              <w:wordWrap/>
              <w:overflowPunct/>
              <w:topLinePunct w:val="0"/>
              <w:autoSpaceDE/>
              <w:autoSpaceDN/>
              <w:bidi w:val="0"/>
              <w:adjustRightInd w:val="0"/>
              <w:snapToGrid w:val="0"/>
              <w:spacing w:line="360" w:lineRule="auto"/>
              <w:jc w:val="left"/>
              <w:textAlignment w:val="auto"/>
              <w:rPr>
                <w:rFonts w:ascii="宋体" w:hAnsi="宋体" w:cs="宋体"/>
                <w:b/>
              </w:rPr>
            </w:pPr>
            <w:r>
              <w:rPr>
                <w:rFonts w:hint="eastAsia" w:ascii="宋体" w:hAnsi="宋体" w:cs="宋体"/>
                <w:b/>
              </w:rPr>
              <w:t>提供退回医嘱接口：</w:t>
            </w:r>
          </w:p>
          <w:p w14:paraId="7CB085D2">
            <w:pPr>
              <w:keepNext w:val="0"/>
              <w:keepLines w:val="0"/>
              <w:pageBreakBefore w:val="0"/>
              <w:widowControl w:val="0"/>
              <w:numPr>
                <w:ilvl w:val="0"/>
                <w:numId w:val="70"/>
              </w:numPr>
              <w:kinsoku/>
              <w:wordWrap/>
              <w:overflowPunct/>
              <w:topLinePunct w:val="0"/>
              <w:autoSpaceDE/>
              <w:autoSpaceDN/>
              <w:bidi w:val="0"/>
              <w:adjustRightInd w:val="0"/>
              <w:snapToGrid w:val="0"/>
              <w:spacing w:line="360" w:lineRule="auto"/>
              <w:jc w:val="left"/>
              <w:textAlignment w:val="auto"/>
              <w:rPr>
                <w:rFonts w:ascii="宋体" w:hAnsi="宋体" w:cs="宋体"/>
              </w:rPr>
            </w:pPr>
            <w:r>
              <w:rPr>
                <w:rFonts w:hint="eastAsia" w:ascii="宋体" w:hAnsi="宋体" w:cs="宋体"/>
              </w:rPr>
              <w:t>由HIS提供退回医嘱接口，即PIVAS系统将不合理医嘱，回写至中间表的接口。</w:t>
            </w:r>
          </w:p>
          <w:p w14:paraId="7849DA72">
            <w:pPr>
              <w:keepNext w:val="0"/>
              <w:keepLines w:val="0"/>
              <w:pageBreakBefore w:val="0"/>
              <w:widowControl w:val="0"/>
              <w:numPr>
                <w:ilvl w:val="0"/>
                <w:numId w:val="70"/>
              </w:numPr>
              <w:kinsoku/>
              <w:wordWrap/>
              <w:overflowPunct/>
              <w:topLinePunct w:val="0"/>
              <w:autoSpaceDE/>
              <w:autoSpaceDN/>
              <w:bidi w:val="0"/>
              <w:adjustRightInd w:val="0"/>
              <w:snapToGrid w:val="0"/>
              <w:spacing w:line="360" w:lineRule="auto"/>
              <w:jc w:val="left"/>
              <w:textAlignment w:val="auto"/>
              <w:rPr>
                <w:rFonts w:ascii="宋体" w:hAnsi="宋体" w:cs="宋体"/>
              </w:rPr>
            </w:pPr>
            <w:r>
              <w:rPr>
                <w:rFonts w:hint="eastAsia" w:ascii="宋体" w:hAnsi="宋体" w:cs="宋体"/>
              </w:rPr>
              <w:t>接口方式及接口名称，由HIS确定，退回接口的入参，应包括上述表中序号为1至7的参数，出参为处理结果标志与描述两个字段。</w:t>
            </w:r>
          </w:p>
          <w:p w14:paraId="70143672">
            <w:pPr>
              <w:keepNext w:val="0"/>
              <w:keepLines w:val="0"/>
              <w:pageBreakBefore w:val="0"/>
              <w:widowControl w:val="0"/>
              <w:numPr>
                <w:ilvl w:val="0"/>
                <w:numId w:val="68"/>
              </w:numPr>
              <w:kinsoku/>
              <w:wordWrap/>
              <w:overflowPunct/>
              <w:topLinePunct w:val="0"/>
              <w:autoSpaceDE/>
              <w:autoSpaceDN/>
              <w:bidi w:val="0"/>
              <w:adjustRightInd w:val="0"/>
              <w:snapToGrid w:val="0"/>
              <w:spacing w:line="360" w:lineRule="auto"/>
              <w:jc w:val="left"/>
              <w:textAlignment w:val="auto"/>
              <w:rPr>
                <w:rFonts w:ascii="宋体" w:hAnsi="宋体" w:cs="宋体"/>
                <w:b/>
              </w:rPr>
            </w:pPr>
            <w:r>
              <w:rPr>
                <w:rFonts w:hint="eastAsia" w:ascii="宋体" w:hAnsi="宋体" w:cs="宋体"/>
                <w:b/>
              </w:rPr>
              <w:t>退回医嘱自动提醒与展示：</w:t>
            </w:r>
          </w:p>
          <w:p w14:paraId="0463865E">
            <w:pPr>
              <w:keepNext w:val="0"/>
              <w:keepLines w:val="0"/>
              <w:pageBreakBefore w:val="0"/>
              <w:widowControl w:val="0"/>
              <w:numPr>
                <w:ilvl w:val="0"/>
                <w:numId w:val="71"/>
              </w:numPr>
              <w:kinsoku/>
              <w:wordWrap/>
              <w:overflowPunct/>
              <w:topLinePunct w:val="0"/>
              <w:autoSpaceDE/>
              <w:autoSpaceDN/>
              <w:bidi w:val="0"/>
              <w:adjustRightInd w:val="0"/>
              <w:snapToGrid w:val="0"/>
              <w:spacing w:line="360" w:lineRule="auto"/>
              <w:jc w:val="left"/>
              <w:textAlignment w:val="auto"/>
              <w:rPr>
                <w:rFonts w:ascii="宋体" w:hAnsi="宋体" w:cs="宋体"/>
              </w:rPr>
            </w:pPr>
            <w:r>
              <w:rPr>
                <w:rFonts w:hint="eastAsia" w:ascii="宋体" w:hAnsi="宋体" w:cs="宋体"/>
              </w:rPr>
              <w:t>由HIS检测中间表中，是否有新退回的，且未处理的医嘱；</w:t>
            </w:r>
          </w:p>
          <w:p w14:paraId="6361ABFE">
            <w:pPr>
              <w:keepNext w:val="0"/>
              <w:keepLines w:val="0"/>
              <w:pageBreakBefore w:val="0"/>
              <w:widowControl w:val="0"/>
              <w:numPr>
                <w:ilvl w:val="0"/>
                <w:numId w:val="71"/>
              </w:numPr>
              <w:kinsoku/>
              <w:wordWrap/>
              <w:overflowPunct/>
              <w:topLinePunct w:val="0"/>
              <w:autoSpaceDE/>
              <w:autoSpaceDN/>
              <w:bidi w:val="0"/>
              <w:adjustRightInd w:val="0"/>
              <w:snapToGrid w:val="0"/>
              <w:spacing w:line="360" w:lineRule="auto"/>
              <w:jc w:val="left"/>
              <w:textAlignment w:val="auto"/>
              <w:rPr>
                <w:rFonts w:ascii="宋体" w:hAnsi="宋体" w:cs="宋体"/>
              </w:rPr>
            </w:pPr>
            <w:r>
              <w:rPr>
                <w:rFonts w:hint="eastAsia" w:ascii="宋体" w:hAnsi="宋体" w:cs="宋体"/>
              </w:rPr>
              <w:t>若有新退回医嘱，则通过自动消息提醒的方式，提醒至医生站和护理站，同时在病人卡片上作明显提醒。</w:t>
            </w:r>
          </w:p>
          <w:p w14:paraId="239E9B10">
            <w:pPr>
              <w:keepNext w:val="0"/>
              <w:keepLines w:val="0"/>
              <w:pageBreakBefore w:val="0"/>
              <w:widowControl w:val="0"/>
              <w:numPr>
                <w:ilvl w:val="0"/>
                <w:numId w:val="68"/>
              </w:numPr>
              <w:kinsoku/>
              <w:wordWrap/>
              <w:overflowPunct/>
              <w:topLinePunct w:val="0"/>
              <w:autoSpaceDE/>
              <w:autoSpaceDN/>
              <w:bidi w:val="0"/>
              <w:adjustRightInd w:val="0"/>
              <w:snapToGrid w:val="0"/>
              <w:spacing w:line="360" w:lineRule="auto"/>
              <w:jc w:val="left"/>
              <w:textAlignment w:val="auto"/>
              <w:rPr>
                <w:rFonts w:ascii="宋体" w:hAnsi="宋体" w:cs="宋体"/>
                <w:b/>
              </w:rPr>
            </w:pPr>
            <w:r>
              <w:rPr>
                <w:rFonts w:hint="eastAsia" w:ascii="宋体" w:hAnsi="宋体" w:cs="宋体"/>
                <w:b/>
              </w:rPr>
              <w:t>医生处理：</w:t>
            </w:r>
          </w:p>
          <w:p w14:paraId="3BC030A4">
            <w:pPr>
              <w:keepNext w:val="0"/>
              <w:keepLines w:val="0"/>
              <w:pageBreakBefore w:val="0"/>
              <w:widowControl w:val="0"/>
              <w:numPr>
                <w:ilvl w:val="0"/>
                <w:numId w:val="71"/>
              </w:numPr>
              <w:kinsoku/>
              <w:wordWrap/>
              <w:overflowPunct/>
              <w:topLinePunct w:val="0"/>
              <w:autoSpaceDE/>
              <w:autoSpaceDN/>
              <w:bidi w:val="0"/>
              <w:adjustRightInd w:val="0"/>
              <w:snapToGrid w:val="0"/>
              <w:spacing w:line="360" w:lineRule="auto"/>
              <w:jc w:val="left"/>
              <w:textAlignment w:val="auto"/>
              <w:rPr>
                <w:rFonts w:ascii="宋体" w:hAnsi="宋体" w:cs="宋体"/>
              </w:rPr>
            </w:pPr>
            <w:r>
              <w:rPr>
                <w:rFonts w:hint="eastAsia" w:ascii="宋体" w:hAnsi="宋体" w:cs="宋体"/>
              </w:rPr>
              <w:t>对于退回的医嘱，若停用，则正常停止医嘱，且把中间表医嘱状态，修改为“3”；</w:t>
            </w:r>
          </w:p>
          <w:p w14:paraId="7DF2828B">
            <w:pPr>
              <w:keepNext w:val="0"/>
              <w:keepLines w:val="0"/>
              <w:pageBreakBefore w:val="0"/>
              <w:widowControl w:val="0"/>
              <w:numPr>
                <w:ilvl w:val="0"/>
                <w:numId w:val="71"/>
              </w:numPr>
              <w:kinsoku/>
              <w:wordWrap/>
              <w:overflowPunct/>
              <w:topLinePunct w:val="0"/>
              <w:autoSpaceDE/>
              <w:autoSpaceDN/>
              <w:bidi w:val="0"/>
              <w:adjustRightInd w:val="0"/>
              <w:snapToGrid w:val="0"/>
              <w:spacing w:line="360" w:lineRule="auto"/>
              <w:jc w:val="left"/>
              <w:textAlignment w:val="auto"/>
              <w:rPr>
                <w:rFonts w:ascii="宋体" w:hAnsi="宋体" w:cs="宋体"/>
              </w:rPr>
            </w:pPr>
            <w:r>
              <w:rPr>
                <w:rFonts w:hint="eastAsia" w:ascii="宋体" w:hAnsi="宋体" w:cs="宋体"/>
              </w:rPr>
              <w:t>对于必须要强制使用的医嘱，则允许医生“强制重签名”，即最终把医嘱状态，修改为“2”；</w:t>
            </w:r>
          </w:p>
          <w:p w14:paraId="14DFD678">
            <w:pPr>
              <w:keepNext w:val="0"/>
              <w:keepLines w:val="0"/>
              <w:pageBreakBefore w:val="0"/>
              <w:widowControl w:val="0"/>
              <w:numPr>
                <w:ilvl w:val="0"/>
                <w:numId w:val="71"/>
              </w:numPr>
              <w:kinsoku/>
              <w:wordWrap/>
              <w:overflowPunct/>
              <w:topLinePunct w:val="0"/>
              <w:autoSpaceDE/>
              <w:autoSpaceDN/>
              <w:bidi w:val="0"/>
              <w:adjustRightInd w:val="0"/>
              <w:snapToGrid w:val="0"/>
              <w:spacing w:line="360" w:lineRule="auto"/>
              <w:jc w:val="left"/>
              <w:textAlignment w:val="auto"/>
              <w:rPr>
                <w:rFonts w:ascii="宋体" w:hAnsi="宋体" w:cs="宋体"/>
              </w:rPr>
            </w:pPr>
            <w:r>
              <w:rPr>
                <w:rFonts w:hint="eastAsia" w:ascii="宋体" w:hAnsi="宋体" w:cs="宋体"/>
              </w:rPr>
              <w:t>注：医生在强制重签名时，必须要录入“意见”，同时在中间表中记录医生工号及操作时间。</w:t>
            </w:r>
          </w:p>
          <w:p w14:paraId="5409C01F">
            <w:pPr>
              <w:keepNext w:val="0"/>
              <w:keepLines w:val="0"/>
              <w:pageBreakBefore w:val="0"/>
              <w:widowControl w:val="0"/>
              <w:numPr>
                <w:ilvl w:val="0"/>
                <w:numId w:val="68"/>
              </w:numPr>
              <w:kinsoku/>
              <w:wordWrap/>
              <w:overflowPunct/>
              <w:topLinePunct w:val="0"/>
              <w:autoSpaceDE/>
              <w:autoSpaceDN/>
              <w:bidi w:val="0"/>
              <w:adjustRightInd w:val="0"/>
              <w:snapToGrid w:val="0"/>
              <w:spacing w:line="360" w:lineRule="auto"/>
              <w:jc w:val="left"/>
              <w:textAlignment w:val="auto"/>
              <w:rPr>
                <w:rFonts w:ascii="宋体" w:hAnsi="宋体" w:cs="宋体"/>
                <w:b/>
              </w:rPr>
            </w:pPr>
            <w:r>
              <w:rPr>
                <w:rFonts w:hint="eastAsia" w:ascii="宋体" w:hAnsi="宋体" w:cs="宋体"/>
                <w:b/>
              </w:rPr>
              <w:t>中间表状态查询接口：</w:t>
            </w:r>
          </w:p>
          <w:p w14:paraId="10412B78">
            <w:pPr>
              <w:keepNext w:val="0"/>
              <w:keepLines w:val="0"/>
              <w:pageBreakBefore w:val="0"/>
              <w:widowControl w:val="0"/>
              <w:numPr>
                <w:ilvl w:val="0"/>
                <w:numId w:val="72"/>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bCs/>
                <w:szCs w:val="21"/>
              </w:rPr>
            </w:pPr>
            <w:r>
              <w:rPr>
                <w:rFonts w:hint="eastAsia" w:ascii="宋体" w:hAnsi="宋体" w:cs="宋体"/>
              </w:rPr>
              <w:t>HIS提供中间表的查询权限或视图，或提供单组医嘱的中间表状态查询接口，PIVAS系统通过接口，可获取到相关状态，并进行相应业务流程处理。</w:t>
            </w:r>
          </w:p>
          <w:p w14:paraId="53C3FD19">
            <w:pPr>
              <w:keepNext w:val="0"/>
              <w:keepLines w:val="0"/>
              <w:pageBreakBefore w:val="0"/>
              <w:widowControl w:val="0"/>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szCs w:val="21"/>
              </w:rPr>
            </w:pPr>
          </w:p>
        </w:tc>
      </w:tr>
    </w:tbl>
    <w:p w14:paraId="42FE4A09">
      <w:pPr>
        <w:rPr>
          <w:rFonts w:ascii="宋体" w:hAnsi="宋体" w:cs="宋体"/>
        </w:rPr>
      </w:pPr>
    </w:p>
    <w:tbl>
      <w:tblPr>
        <w:tblStyle w:val="46"/>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1538"/>
        <w:gridCol w:w="7262"/>
      </w:tblGrid>
      <w:tr w14:paraId="70CD5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blHeader/>
        </w:trPr>
        <w:tc>
          <w:tcPr>
            <w:tcW w:w="851" w:type="dxa"/>
            <w:vAlign w:val="center"/>
          </w:tcPr>
          <w:p w14:paraId="1394F999">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b/>
                <w:bCs/>
                <w:color w:val="auto"/>
                <w:kern w:val="0"/>
                <w:szCs w:val="21"/>
              </w:rPr>
            </w:pPr>
            <w:r>
              <w:rPr>
                <w:rFonts w:hint="eastAsia" w:ascii="宋体" w:hAnsi="宋体" w:cs="宋体"/>
                <w:b/>
                <w:bCs/>
                <w:color w:val="auto"/>
                <w:kern w:val="0"/>
                <w:szCs w:val="21"/>
              </w:rPr>
              <w:t>需求名称</w:t>
            </w:r>
          </w:p>
        </w:tc>
        <w:tc>
          <w:tcPr>
            <w:tcW w:w="1538" w:type="dxa"/>
            <w:vAlign w:val="center"/>
          </w:tcPr>
          <w:p w14:paraId="7680F8B1">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b/>
                <w:bCs/>
                <w:color w:val="auto"/>
                <w:kern w:val="0"/>
                <w:szCs w:val="21"/>
              </w:rPr>
            </w:pPr>
            <w:r>
              <w:rPr>
                <w:rFonts w:hint="eastAsia" w:ascii="宋体" w:hAnsi="宋体" w:cs="宋体"/>
                <w:b/>
                <w:bCs/>
                <w:color w:val="auto"/>
                <w:kern w:val="0"/>
                <w:szCs w:val="21"/>
              </w:rPr>
              <w:t>序号</w:t>
            </w:r>
          </w:p>
        </w:tc>
        <w:tc>
          <w:tcPr>
            <w:tcW w:w="7262" w:type="dxa"/>
            <w:vAlign w:val="center"/>
          </w:tcPr>
          <w:p w14:paraId="50700117">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b/>
                <w:bCs/>
                <w:color w:val="auto"/>
                <w:kern w:val="0"/>
                <w:szCs w:val="21"/>
              </w:rPr>
            </w:pPr>
            <w:r>
              <w:rPr>
                <w:rFonts w:hint="eastAsia" w:ascii="宋体" w:hAnsi="宋体" w:cs="宋体"/>
                <w:b/>
                <w:bCs/>
                <w:color w:val="auto"/>
                <w:kern w:val="0"/>
                <w:szCs w:val="21"/>
              </w:rPr>
              <w:t>需求描述</w:t>
            </w:r>
          </w:p>
        </w:tc>
      </w:tr>
      <w:tr w14:paraId="66474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51" w:type="dxa"/>
            <w:vMerge w:val="restart"/>
            <w:vAlign w:val="center"/>
          </w:tcPr>
          <w:p w14:paraId="3751FC38">
            <w:pPr>
              <w:keepNext w:val="0"/>
              <w:keepLines w:val="0"/>
              <w:pageBreakBefore w:val="0"/>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szCs w:val="21"/>
              </w:rPr>
            </w:pPr>
            <w:r>
              <w:rPr>
                <w:rFonts w:hint="eastAsia" w:ascii="宋体" w:hAnsi="宋体" w:cs="宋体"/>
                <w:color w:val="auto"/>
                <w:szCs w:val="21"/>
              </w:rPr>
              <w:t>智能审方系统</w:t>
            </w:r>
          </w:p>
        </w:tc>
        <w:tc>
          <w:tcPr>
            <w:tcW w:w="8800" w:type="dxa"/>
            <w:gridSpan w:val="2"/>
            <w:vAlign w:val="center"/>
          </w:tcPr>
          <w:p w14:paraId="051A54C3">
            <w:pPr>
              <w:keepNext w:val="0"/>
              <w:keepLines w:val="0"/>
              <w:pageBreakBefore w:val="0"/>
              <w:numPr>
                <w:ilvl w:val="1"/>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rPr>
            </w:pPr>
            <w:r>
              <w:rPr>
                <w:rFonts w:hint="eastAsia" w:ascii="宋体" w:hAnsi="宋体" w:cs="宋体"/>
                <w:color w:val="auto"/>
                <w:kern w:val="0"/>
                <w:szCs w:val="21"/>
              </w:rPr>
              <w:t>门诊审方</w:t>
            </w:r>
          </w:p>
        </w:tc>
      </w:tr>
      <w:tr w14:paraId="77259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51" w:type="dxa"/>
            <w:vMerge w:val="continue"/>
            <w:vAlign w:val="center"/>
          </w:tcPr>
          <w:p w14:paraId="62BCC425">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rPr>
            </w:pPr>
          </w:p>
        </w:tc>
        <w:tc>
          <w:tcPr>
            <w:tcW w:w="1538" w:type="dxa"/>
            <w:vAlign w:val="center"/>
          </w:tcPr>
          <w:p w14:paraId="7D3AA5F9">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门诊医生提交处方</w:t>
            </w:r>
          </w:p>
        </w:tc>
        <w:tc>
          <w:tcPr>
            <w:tcW w:w="7262" w:type="dxa"/>
            <w:vAlign w:val="center"/>
          </w:tcPr>
          <w:p w14:paraId="12A50ADD">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rPr>
            </w:pPr>
            <w:r>
              <w:rPr>
                <w:rFonts w:hint="eastAsia" w:ascii="宋体" w:hAnsi="宋体" w:cs="宋体"/>
                <w:bCs/>
                <w:color w:val="auto"/>
                <w:szCs w:val="21"/>
              </w:rPr>
              <w:t>医生提交处方后，合理用药引擎会对处方进行审查，发现问题后提示给医生，如果医生不修改处方，可填写用药理由之后继续提交，处方将进入人工审方阶段。除院内HIS系统开具的处方外，还应支持与互联网医院、云药房系统做无缝接口，审核互联网医院、云药房处方。</w:t>
            </w:r>
          </w:p>
        </w:tc>
      </w:tr>
      <w:tr w14:paraId="1FFA2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851" w:type="dxa"/>
            <w:vMerge w:val="continue"/>
            <w:vAlign w:val="center"/>
          </w:tcPr>
          <w:p w14:paraId="5B304C28">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rPr>
            </w:pPr>
          </w:p>
        </w:tc>
        <w:tc>
          <w:tcPr>
            <w:tcW w:w="1538" w:type="dxa"/>
            <w:vAlign w:val="center"/>
          </w:tcPr>
          <w:p w14:paraId="442D8B34">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查看待审处方列表</w:t>
            </w:r>
          </w:p>
        </w:tc>
        <w:tc>
          <w:tcPr>
            <w:tcW w:w="7262" w:type="dxa"/>
            <w:vAlign w:val="center"/>
          </w:tcPr>
          <w:p w14:paraId="5763B862">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rPr>
            </w:pPr>
            <w:r>
              <w:rPr>
                <w:rFonts w:hint="eastAsia" w:ascii="宋体" w:hAnsi="宋体" w:cs="宋体"/>
                <w:bCs/>
                <w:color w:val="auto"/>
                <w:szCs w:val="21"/>
              </w:rPr>
              <w:t>系统支持查看待审处方列表。对待审处方进行数量提醒（红点形式），为每张处方标注处方属性（是否急诊），药师可根据需要收藏处方。系统支持处方刷新功能，包括自动刷新（可定时刷新）和手动刷新。</w:t>
            </w:r>
          </w:p>
        </w:tc>
      </w:tr>
      <w:tr w14:paraId="5DE9A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851" w:type="dxa"/>
            <w:vMerge w:val="continue"/>
            <w:vAlign w:val="center"/>
          </w:tcPr>
          <w:p w14:paraId="30F2DB68">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rPr>
            </w:pPr>
          </w:p>
        </w:tc>
        <w:tc>
          <w:tcPr>
            <w:tcW w:w="1538" w:type="dxa"/>
            <w:vAlign w:val="center"/>
          </w:tcPr>
          <w:p w14:paraId="4F05573F">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处方优先审核</w:t>
            </w:r>
          </w:p>
        </w:tc>
        <w:tc>
          <w:tcPr>
            <w:tcW w:w="7262" w:type="dxa"/>
            <w:vAlign w:val="center"/>
          </w:tcPr>
          <w:p w14:paraId="71D3D899">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rPr>
            </w:pPr>
            <w:r>
              <w:rPr>
                <w:rFonts w:hint="eastAsia" w:ascii="宋体" w:hAnsi="宋体" w:cs="宋体"/>
                <w:bCs/>
                <w:color w:val="auto"/>
                <w:szCs w:val="21"/>
              </w:rPr>
              <w:t>系统支持对打回再提交的处方及急诊处方进行优先审核。</w:t>
            </w:r>
          </w:p>
        </w:tc>
      </w:tr>
      <w:tr w14:paraId="37E73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51" w:type="dxa"/>
            <w:vMerge w:val="continue"/>
            <w:vAlign w:val="center"/>
          </w:tcPr>
          <w:p w14:paraId="42CB37C9">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rPr>
            </w:pPr>
          </w:p>
        </w:tc>
        <w:tc>
          <w:tcPr>
            <w:tcW w:w="1538" w:type="dxa"/>
            <w:vAlign w:val="center"/>
          </w:tcPr>
          <w:p w14:paraId="6FFACFC5">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查看患者信息</w:t>
            </w:r>
          </w:p>
        </w:tc>
        <w:tc>
          <w:tcPr>
            <w:tcW w:w="7262" w:type="dxa"/>
            <w:vAlign w:val="center"/>
          </w:tcPr>
          <w:p w14:paraId="2F2D7EE0">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rPr>
            </w:pPr>
            <w:r>
              <w:rPr>
                <w:rFonts w:hint="eastAsia" w:ascii="宋体" w:hAnsi="宋体" w:cs="宋体"/>
                <w:bCs/>
                <w:color w:val="auto"/>
                <w:szCs w:val="21"/>
              </w:rPr>
              <w:t>系统支持查看门诊患者信息。包括姓名、性别、年龄、开处方科室、医生姓名、身高、体重、体表面积、过敏史、诊断、联系电话、开处方时间、就诊号、门诊号、主诉、现病史、诊疗意见。</w:t>
            </w:r>
          </w:p>
        </w:tc>
      </w:tr>
      <w:tr w14:paraId="421B6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2" w:hRule="atLeast"/>
        </w:trPr>
        <w:tc>
          <w:tcPr>
            <w:tcW w:w="851" w:type="dxa"/>
            <w:vMerge w:val="continue"/>
            <w:vAlign w:val="center"/>
          </w:tcPr>
          <w:p w14:paraId="181FF4F9">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rPr>
            </w:pPr>
          </w:p>
        </w:tc>
        <w:tc>
          <w:tcPr>
            <w:tcW w:w="1538" w:type="dxa"/>
            <w:vAlign w:val="center"/>
          </w:tcPr>
          <w:p w14:paraId="71B0BB1B">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查看患者检验报告</w:t>
            </w:r>
          </w:p>
        </w:tc>
        <w:tc>
          <w:tcPr>
            <w:tcW w:w="7262" w:type="dxa"/>
            <w:vAlign w:val="center"/>
          </w:tcPr>
          <w:p w14:paraId="7D1A709A">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rPr>
            </w:pPr>
            <w:r>
              <w:rPr>
                <w:rFonts w:hint="eastAsia" w:ascii="宋体" w:hAnsi="宋体" w:cs="宋体"/>
                <w:bCs/>
                <w:color w:val="auto"/>
                <w:szCs w:val="21"/>
              </w:rPr>
              <w:t>系统支持查看患者检验报告。可按检验项查看，也可按时间排序查看。检验报告数据包括申请单号、标本、申请日期、报告日期、检验项目、检验值、检验单位、参考范围，对于与处方用药相关的检验异常应该在药品中有警示。</w:t>
            </w:r>
          </w:p>
        </w:tc>
      </w:tr>
      <w:tr w14:paraId="3725C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trPr>
        <w:tc>
          <w:tcPr>
            <w:tcW w:w="851" w:type="dxa"/>
            <w:vMerge w:val="continue"/>
            <w:vAlign w:val="center"/>
          </w:tcPr>
          <w:p w14:paraId="7FD64848">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rPr>
            </w:pPr>
          </w:p>
        </w:tc>
        <w:tc>
          <w:tcPr>
            <w:tcW w:w="1538" w:type="dxa"/>
            <w:vAlign w:val="center"/>
          </w:tcPr>
          <w:p w14:paraId="1C1655D3">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查看患者相关处方</w:t>
            </w:r>
          </w:p>
        </w:tc>
        <w:tc>
          <w:tcPr>
            <w:tcW w:w="7262" w:type="dxa"/>
            <w:vAlign w:val="center"/>
          </w:tcPr>
          <w:p w14:paraId="71C14F0F">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rPr>
            </w:pPr>
            <w:r>
              <w:rPr>
                <w:rFonts w:hint="eastAsia" w:ascii="宋体" w:hAnsi="宋体" w:cs="宋体"/>
                <w:bCs/>
                <w:color w:val="auto"/>
                <w:szCs w:val="21"/>
              </w:rPr>
              <w:t>系统支持查看该患者的相关处方。须有跨科室、跨处方、跨日期、跨门急诊及住院处方审核。</w:t>
            </w:r>
          </w:p>
        </w:tc>
      </w:tr>
      <w:tr w14:paraId="4B1E1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851" w:type="dxa"/>
            <w:vMerge w:val="continue"/>
            <w:vAlign w:val="center"/>
          </w:tcPr>
          <w:p w14:paraId="6939A9D6">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rPr>
            </w:pPr>
          </w:p>
        </w:tc>
        <w:tc>
          <w:tcPr>
            <w:tcW w:w="1538" w:type="dxa"/>
            <w:vAlign w:val="center"/>
          </w:tcPr>
          <w:p w14:paraId="045B3A64">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查看患者电子病历</w:t>
            </w:r>
          </w:p>
        </w:tc>
        <w:tc>
          <w:tcPr>
            <w:tcW w:w="7262" w:type="dxa"/>
            <w:vAlign w:val="center"/>
          </w:tcPr>
          <w:p w14:paraId="367CD1C5">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rPr>
            </w:pPr>
            <w:r>
              <w:rPr>
                <w:rFonts w:hint="eastAsia" w:ascii="宋体" w:hAnsi="宋体" w:cs="宋体"/>
                <w:bCs/>
                <w:color w:val="auto"/>
                <w:szCs w:val="21"/>
              </w:rPr>
              <w:t>系统支持跳转查看患者的电子病历（需电子病历提供接口）。</w:t>
            </w:r>
          </w:p>
        </w:tc>
      </w:tr>
      <w:tr w14:paraId="59FAB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trPr>
        <w:tc>
          <w:tcPr>
            <w:tcW w:w="851" w:type="dxa"/>
            <w:vMerge w:val="continue"/>
            <w:vAlign w:val="center"/>
          </w:tcPr>
          <w:p w14:paraId="67957178">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rPr>
            </w:pPr>
          </w:p>
        </w:tc>
        <w:tc>
          <w:tcPr>
            <w:tcW w:w="1538" w:type="dxa"/>
            <w:vAlign w:val="center"/>
          </w:tcPr>
          <w:p w14:paraId="6BE25373">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查看患者检查报告</w:t>
            </w:r>
          </w:p>
        </w:tc>
        <w:tc>
          <w:tcPr>
            <w:tcW w:w="7262" w:type="dxa"/>
            <w:vAlign w:val="center"/>
          </w:tcPr>
          <w:p w14:paraId="46A52E1D">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rPr>
            </w:pPr>
            <w:r>
              <w:rPr>
                <w:rFonts w:hint="eastAsia" w:ascii="宋体" w:hAnsi="宋体" w:cs="宋体"/>
                <w:bCs/>
                <w:color w:val="auto"/>
                <w:szCs w:val="21"/>
              </w:rPr>
              <w:t>系统支持查看患者检查报告。可查看报告名称、出具报告的医生、申请日期、报告日期、报告详情。对于与处方用药相关的检查异常应该在药品中有警示。</w:t>
            </w:r>
          </w:p>
        </w:tc>
      </w:tr>
      <w:tr w14:paraId="1BA4D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51" w:type="dxa"/>
            <w:vMerge w:val="continue"/>
            <w:vAlign w:val="center"/>
          </w:tcPr>
          <w:p w14:paraId="19E8A795">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rPr>
            </w:pPr>
          </w:p>
        </w:tc>
        <w:tc>
          <w:tcPr>
            <w:tcW w:w="1538" w:type="dxa"/>
            <w:vAlign w:val="center"/>
          </w:tcPr>
          <w:p w14:paraId="61C05DBA">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查看待审处方详情</w:t>
            </w:r>
          </w:p>
        </w:tc>
        <w:tc>
          <w:tcPr>
            <w:tcW w:w="7262" w:type="dxa"/>
            <w:vAlign w:val="center"/>
          </w:tcPr>
          <w:p w14:paraId="58F307A3">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rPr>
            </w:pPr>
            <w:r>
              <w:rPr>
                <w:rFonts w:hint="eastAsia" w:ascii="宋体" w:hAnsi="宋体" w:cs="宋体"/>
                <w:bCs/>
                <w:color w:val="auto"/>
                <w:szCs w:val="21"/>
              </w:rPr>
              <w:t>系统支持查看处方详情。包括处方号、药品名称、通用名、规格、剂型、剂量、用法、频次、天数、总量、单价、备注、用药理由。药品显示组号及相关属性图标。药师可查看医生为药品填写的补充适应症。点击药品可查看药品说明书。可切换成处方笺形式查看处方。</w:t>
            </w:r>
          </w:p>
        </w:tc>
      </w:tr>
      <w:tr w14:paraId="1A40A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851" w:type="dxa"/>
            <w:vMerge w:val="continue"/>
            <w:vAlign w:val="center"/>
          </w:tcPr>
          <w:p w14:paraId="14DFBC1F">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rPr>
            </w:pPr>
          </w:p>
        </w:tc>
        <w:tc>
          <w:tcPr>
            <w:tcW w:w="1538" w:type="dxa"/>
            <w:vAlign w:val="center"/>
          </w:tcPr>
          <w:p w14:paraId="47B0FCF9">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查看处方问题</w:t>
            </w:r>
          </w:p>
        </w:tc>
        <w:tc>
          <w:tcPr>
            <w:tcW w:w="7262" w:type="dxa"/>
            <w:vAlign w:val="center"/>
          </w:tcPr>
          <w:p w14:paraId="17BFCC95">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rPr>
            </w:pPr>
            <w:r>
              <w:rPr>
                <w:rFonts w:hint="eastAsia" w:ascii="宋体" w:hAnsi="宋体" w:cs="宋体"/>
                <w:bCs/>
                <w:color w:val="auto"/>
                <w:szCs w:val="21"/>
              </w:rPr>
              <w:t>系统支持查看审方系统审查出的问题，分禁用、不推荐、慎用、提示四类进行查看。</w:t>
            </w:r>
          </w:p>
        </w:tc>
      </w:tr>
      <w:tr w14:paraId="5EF30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51" w:type="dxa"/>
            <w:vMerge w:val="continue"/>
            <w:vAlign w:val="center"/>
          </w:tcPr>
          <w:p w14:paraId="1D035F12">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rPr>
            </w:pPr>
          </w:p>
        </w:tc>
        <w:tc>
          <w:tcPr>
            <w:tcW w:w="1538" w:type="dxa"/>
            <w:vAlign w:val="center"/>
          </w:tcPr>
          <w:p w14:paraId="55A176EF">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查看处方干预记录</w:t>
            </w:r>
          </w:p>
        </w:tc>
        <w:tc>
          <w:tcPr>
            <w:tcW w:w="7262" w:type="dxa"/>
            <w:vAlign w:val="center"/>
          </w:tcPr>
          <w:p w14:paraId="15F3843A">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rPr>
            </w:pPr>
            <w:r>
              <w:rPr>
                <w:rFonts w:hint="eastAsia" w:ascii="宋体" w:hAnsi="宋体" w:cs="宋体"/>
                <w:bCs/>
                <w:color w:val="auto"/>
                <w:szCs w:val="21"/>
              </w:rPr>
              <w:t>系统支持查看处方的干预记录。</w:t>
            </w:r>
          </w:p>
        </w:tc>
      </w:tr>
      <w:tr w14:paraId="0C453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851" w:type="dxa"/>
            <w:vMerge w:val="continue"/>
            <w:vAlign w:val="center"/>
          </w:tcPr>
          <w:p w14:paraId="264D6FE1">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rPr>
            </w:pPr>
          </w:p>
        </w:tc>
        <w:tc>
          <w:tcPr>
            <w:tcW w:w="1538" w:type="dxa"/>
            <w:vAlign w:val="center"/>
          </w:tcPr>
          <w:p w14:paraId="1842B601">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查看处方审核往来信息</w:t>
            </w:r>
          </w:p>
        </w:tc>
        <w:tc>
          <w:tcPr>
            <w:tcW w:w="7262" w:type="dxa"/>
            <w:vAlign w:val="center"/>
          </w:tcPr>
          <w:p w14:paraId="3336BEDF">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rPr>
            </w:pPr>
            <w:r>
              <w:rPr>
                <w:rFonts w:hint="eastAsia" w:ascii="宋体" w:hAnsi="宋体" w:cs="宋体"/>
                <w:bCs/>
                <w:color w:val="auto"/>
                <w:szCs w:val="21"/>
              </w:rPr>
              <w:t>系统支持查看处方审核的往来信息。系统支持审方时药师与医生交互信息导出。</w:t>
            </w:r>
          </w:p>
          <w:p w14:paraId="67F230EC">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rPr>
            </w:pPr>
            <w:r>
              <w:rPr>
                <w:rFonts w:hint="eastAsia" w:ascii="宋体" w:hAnsi="宋体" w:cs="宋体"/>
                <w:color w:val="auto"/>
                <w:szCs w:val="21"/>
              </w:rPr>
              <w:t>系统支持药师和医生的在线沟通可提供截图、发送图片、消息撤回、消息已读提示功能。</w:t>
            </w:r>
          </w:p>
        </w:tc>
      </w:tr>
      <w:tr w14:paraId="46B64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851" w:type="dxa"/>
            <w:vMerge w:val="continue"/>
            <w:vAlign w:val="center"/>
          </w:tcPr>
          <w:p w14:paraId="47D423D8">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rPr>
            </w:pPr>
          </w:p>
        </w:tc>
        <w:tc>
          <w:tcPr>
            <w:tcW w:w="1538" w:type="dxa"/>
            <w:vAlign w:val="center"/>
          </w:tcPr>
          <w:p w14:paraId="31C770EB">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处方审核操作</w:t>
            </w:r>
          </w:p>
        </w:tc>
        <w:tc>
          <w:tcPr>
            <w:tcW w:w="7262" w:type="dxa"/>
            <w:vAlign w:val="center"/>
          </w:tcPr>
          <w:p w14:paraId="639608C2">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rPr>
            </w:pPr>
            <w:r>
              <w:rPr>
                <w:rFonts w:hint="eastAsia" w:ascii="宋体" w:hAnsi="宋体" w:cs="宋体"/>
                <w:bCs/>
                <w:color w:val="auto"/>
                <w:szCs w:val="21"/>
              </w:rPr>
              <w:t>系统支持审方操作，包括通过、打回双签、仅双签、不通过四个功能。</w:t>
            </w:r>
          </w:p>
        </w:tc>
      </w:tr>
      <w:tr w14:paraId="74079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851" w:type="dxa"/>
            <w:vMerge w:val="continue"/>
            <w:vAlign w:val="center"/>
          </w:tcPr>
          <w:p w14:paraId="4670EE01">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rPr>
            </w:pPr>
          </w:p>
        </w:tc>
        <w:tc>
          <w:tcPr>
            <w:tcW w:w="1538" w:type="dxa"/>
            <w:vAlign w:val="center"/>
          </w:tcPr>
          <w:p w14:paraId="081752FC">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审核意见预置</w:t>
            </w:r>
          </w:p>
        </w:tc>
        <w:tc>
          <w:tcPr>
            <w:tcW w:w="7262" w:type="dxa"/>
            <w:vAlign w:val="center"/>
          </w:tcPr>
          <w:p w14:paraId="0D9A3272">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rPr>
            </w:pPr>
            <w:r>
              <w:rPr>
                <w:rFonts w:hint="eastAsia" w:ascii="宋体" w:hAnsi="宋体" w:cs="宋体"/>
                <w:bCs/>
                <w:color w:val="auto"/>
                <w:szCs w:val="21"/>
              </w:rPr>
              <w:t>系统支持药师描述审核意见后再进行审核操作。可进行总体意见的描述，也可针对每个问题进行描述。系统内置固定的意见模板可供药师选用，药师可设定私有意见模板，也可将当前意见存为模板，以备后续使用。</w:t>
            </w:r>
          </w:p>
        </w:tc>
      </w:tr>
      <w:tr w14:paraId="10ACE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851" w:type="dxa"/>
            <w:vMerge w:val="continue"/>
            <w:vAlign w:val="center"/>
          </w:tcPr>
          <w:p w14:paraId="7A349AC4">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rPr>
            </w:pPr>
          </w:p>
        </w:tc>
        <w:tc>
          <w:tcPr>
            <w:tcW w:w="1538" w:type="dxa"/>
            <w:vAlign w:val="center"/>
          </w:tcPr>
          <w:p w14:paraId="3A4E192F">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处方双签</w:t>
            </w:r>
          </w:p>
        </w:tc>
        <w:tc>
          <w:tcPr>
            <w:tcW w:w="7262" w:type="dxa"/>
            <w:vAlign w:val="center"/>
          </w:tcPr>
          <w:p w14:paraId="707A734F">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rPr>
            </w:pPr>
            <w:r>
              <w:rPr>
                <w:rFonts w:hint="eastAsia" w:ascii="宋体" w:hAnsi="宋体" w:cs="宋体"/>
                <w:bCs/>
                <w:color w:val="auto"/>
                <w:szCs w:val="21"/>
              </w:rPr>
              <w:t>系统支持医生双签功能，药师打回处方之后，允许医生双签的，医生可选择双签通过，无需再次审核。药师不允许医生双签的，医生必须返回修改再审核。</w:t>
            </w:r>
          </w:p>
        </w:tc>
      </w:tr>
      <w:tr w14:paraId="03896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851" w:type="dxa"/>
            <w:vMerge w:val="continue"/>
            <w:vAlign w:val="center"/>
          </w:tcPr>
          <w:p w14:paraId="5E7FC0AF">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rPr>
            </w:pPr>
          </w:p>
        </w:tc>
        <w:tc>
          <w:tcPr>
            <w:tcW w:w="1538" w:type="dxa"/>
            <w:vAlign w:val="center"/>
          </w:tcPr>
          <w:p w14:paraId="0A6D121E">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审方结果反馈</w:t>
            </w:r>
          </w:p>
        </w:tc>
        <w:tc>
          <w:tcPr>
            <w:tcW w:w="7262" w:type="dxa"/>
            <w:vAlign w:val="center"/>
          </w:tcPr>
          <w:p w14:paraId="0A66E5A6">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rPr>
            </w:pPr>
            <w:r>
              <w:rPr>
                <w:rFonts w:hint="eastAsia" w:ascii="宋体" w:hAnsi="宋体" w:cs="宋体"/>
                <w:bCs/>
                <w:color w:val="auto"/>
                <w:szCs w:val="21"/>
              </w:rPr>
              <w:t>药师审核之后，系统将结果返回HIS，医生可查看审核结果，并在处方界面上填写用药理由后重新提交审核。。审方药师审核的最终结果，窗口发药药师端可弹框提醒，包含处方存在的问题及审核结果（允许发药、双签用药、审方药师不在线）。窗口药师可知晓处方存在的问题并可进行二次干预。</w:t>
            </w:r>
          </w:p>
        </w:tc>
      </w:tr>
      <w:tr w14:paraId="00F57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851" w:type="dxa"/>
            <w:vMerge w:val="continue"/>
            <w:vAlign w:val="center"/>
          </w:tcPr>
          <w:p w14:paraId="7F9E87F0">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rPr>
            </w:pPr>
          </w:p>
        </w:tc>
        <w:tc>
          <w:tcPr>
            <w:tcW w:w="1538" w:type="dxa"/>
            <w:vAlign w:val="center"/>
          </w:tcPr>
          <w:p w14:paraId="003C2C83">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门诊审方倒计时</w:t>
            </w:r>
          </w:p>
        </w:tc>
        <w:tc>
          <w:tcPr>
            <w:tcW w:w="7262" w:type="dxa"/>
            <w:vAlign w:val="center"/>
          </w:tcPr>
          <w:p w14:paraId="062942FD">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rPr>
            </w:pPr>
            <w:r>
              <w:rPr>
                <w:rFonts w:hint="eastAsia" w:ascii="宋体" w:hAnsi="宋体" w:cs="宋体"/>
                <w:bCs/>
                <w:color w:val="auto"/>
                <w:szCs w:val="21"/>
              </w:rPr>
              <w:t>系统支持显示审方超时通过倒计时。</w:t>
            </w:r>
          </w:p>
        </w:tc>
      </w:tr>
      <w:tr w14:paraId="2958E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851" w:type="dxa"/>
            <w:vMerge w:val="continue"/>
            <w:vAlign w:val="center"/>
          </w:tcPr>
          <w:p w14:paraId="056B555D">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rPr>
            </w:pPr>
          </w:p>
        </w:tc>
        <w:tc>
          <w:tcPr>
            <w:tcW w:w="1538" w:type="dxa"/>
            <w:vAlign w:val="center"/>
          </w:tcPr>
          <w:p w14:paraId="0ED9F26F">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处方锁定</w:t>
            </w:r>
          </w:p>
        </w:tc>
        <w:tc>
          <w:tcPr>
            <w:tcW w:w="7262" w:type="dxa"/>
            <w:vAlign w:val="center"/>
          </w:tcPr>
          <w:p w14:paraId="5B35FCE1">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rPr>
            </w:pPr>
            <w:r>
              <w:rPr>
                <w:rFonts w:hint="eastAsia" w:ascii="宋体" w:hAnsi="宋体" w:cs="宋体"/>
                <w:bCs/>
                <w:color w:val="auto"/>
                <w:szCs w:val="21"/>
              </w:rPr>
              <w:t>系统支持锁定/解锁单张待审处方，也支持一键锁定/解锁全部待审处方。</w:t>
            </w:r>
          </w:p>
        </w:tc>
      </w:tr>
      <w:tr w14:paraId="1F925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851" w:type="dxa"/>
            <w:vMerge w:val="continue"/>
            <w:vAlign w:val="center"/>
          </w:tcPr>
          <w:p w14:paraId="62097B18">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rPr>
            </w:pPr>
          </w:p>
        </w:tc>
        <w:tc>
          <w:tcPr>
            <w:tcW w:w="1538" w:type="dxa"/>
            <w:vAlign w:val="center"/>
          </w:tcPr>
          <w:p w14:paraId="13FBE3AA">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处方提醒</w:t>
            </w:r>
          </w:p>
        </w:tc>
        <w:tc>
          <w:tcPr>
            <w:tcW w:w="7262" w:type="dxa"/>
            <w:vAlign w:val="center"/>
          </w:tcPr>
          <w:p w14:paraId="21BBF7AA">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rPr>
            </w:pPr>
            <w:r>
              <w:rPr>
                <w:rFonts w:hint="eastAsia" w:ascii="宋体" w:hAnsi="宋体" w:cs="宋体"/>
                <w:bCs/>
                <w:color w:val="auto"/>
                <w:szCs w:val="21"/>
              </w:rPr>
              <w:t>系统支持新处方提醒。当系统检测到有新的待审核处方时，系统会以气泡提示、声音提示的方式提醒药师有新的待审核处方。</w:t>
            </w:r>
          </w:p>
        </w:tc>
      </w:tr>
      <w:tr w14:paraId="7C5E2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851" w:type="dxa"/>
            <w:vMerge w:val="continue"/>
            <w:vAlign w:val="center"/>
          </w:tcPr>
          <w:p w14:paraId="1BCBF046">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rPr>
            </w:pPr>
          </w:p>
        </w:tc>
        <w:tc>
          <w:tcPr>
            <w:tcW w:w="1538" w:type="dxa"/>
            <w:vAlign w:val="center"/>
          </w:tcPr>
          <w:p w14:paraId="6A7BB122">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门诊审方上下班</w:t>
            </w:r>
          </w:p>
        </w:tc>
        <w:tc>
          <w:tcPr>
            <w:tcW w:w="7262" w:type="dxa"/>
            <w:vAlign w:val="center"/>
          </w:tcPr>
          <w:p w14:paraId="5C4F1D78">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rPr>
            </w:pPr>
            <w:r>
              <w:rPr>
                <w:rFonts w:hint="eastAsia" w:ascii="宋体" w:hAnsi="宋体" w:cs="宋体"/>
                <w:bCs/>
                <w:color w:val="auto"/>
                <w:szCs w:val="21"/>
              </w:rPr>
              <w:t>系统支持门诊审方上下班操作。如药师下班或暂无时间审方，可点击停止审方。处方将进入自动审核模式。</w:t>
            </w:r>
          </w:p>
        </w:tc>
      </w:tr>
      <w:tr w14:paraId="0B4E9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851" w:type="dxa"/>
            <w:vMerge w:val="continue"/>
            <w:vAlign w:val="center"/>
          </w:tcPr>
          <w:p w14:paraId="056D68FD">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rPr>
            </w:pPr>
          </w:p>
        </w:tc>
        <w:tc>
          <w:tcPr>
            <w:tcW w:w="1538" w:type="dxa"/>
            <w:vAlign w:val="center"/>
          </w:tcPr>
          <w:p w14:paraId="514EA628">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处方收藏</w:t>
            </w:r>
          </w:p>
        </w:tc>
        <w:tc>
          <w:tcPr>
            <w:tcW w:w="7262" w:type="dxa"/>
            <w:vAlign w:val="center"/>
          </w:tcPr>
          <w:p w14:paraId="153BD17D">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rPr>
            </w:pPr>
            <w:r>
              <w:rPr>
                <w:rFonts w:hint="eastAsia" w:ascii="宋体" w:hAnsi="宋体" w:cs="宋体"/>
                <w:bCs/>
                <w:color w:val="auto"/>
                <w:szCs w:val="21"/>
              </w:rPr>
              <w:t>系统支持收藏/取消收藏处方的操作。</w:t>
            </w:r>
          </w:p>
          <w:p w14:paraId="7A660DA7">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rPr>
            </w:pPr>
            <w:r>
              <w:rPr>
                <w:rFonts w:hint="eastAsia" w:ascii="宋体" w:hAnsi="宋体" w:cs="宋体"/>
                <w:bCs/>
                <w:color w:val="auto"/>
                <w:szCs w:val="21"/>
              </w:rPr>
              <w:t>收藏之后可查询所收藏的处方，查询条件包括：收藏日期、患者姓名、就诊号、门诊号、患者唯一号、处方号、医生姓名、就诊科室、药品名称、药师姓名、问题等级、处方处理状态。</w:t>
            </w:r>
          </w:p>
          <w:p w14:paraId="0750A68D">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rPr>
            </w:pPr>
            <w:r>
              <w:rPr>
                <w:rFonts w:hint="eastAsia" w:ascii="宋体" w:hAnsi="宋体" w:cs="宋体"/>
                <w:bCs/>
                <w:color w:val="auto"/>
                <w:szCs w:val="21"/>
              </w:rPr>
              <w:t>系统支持导出收藏的处方。</w:t>
            </w:r>
          </w:p>
        </w:tc>
      </w:tr>
      <w:tr w14:paraId="54EE1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851" w:type="dxa"/>
            <w:vMerge w:val="continue"/>
            <w:vAlign w:val="center"/>
          </w:tcPr>
          <w:p w14:paraId="0B46216E">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rPr>
            </w:pPr>
          </w:p>
        </w:tc>
        <w:tc>
          <w:tcPr>
            <w:tcW w:w="1538" w:type="dxa"/>
            <w:vAlign w:val="center"/>
          </w:tcPr>
          <w:p w14:paraId="63C37383">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历史处方查询</w:t>
            </w:r>
          </w:p>
        </w:tc>
        <w:tc>
          <w:tcPr>
            <w:tcW w:w="7262" w:type="dxa"/>
            <w:vAlign w:val="center"/>
          </w:tcPr>
          <w:p w14:paraId="15EC3FF2">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rPr>
            </w:pPr>
            <w:r>
              <w:rPr>
                <w:rFonts w:hint="eastAsia" w:ascii="宋体" w:hAnsi="宋体" w:cs="宋体"/>
                <w:bCs/>
                <w:color w:val="auto"/>
                <w:szCs w:val="21"/>
              </w:rPr>
              <w:t>系统支持查询历史处方，查询条件包括：收藏日期、患者姓名、就诊号、门诊号、患者唯一号、处方号、医生姓名、就诊科室、药品名称、药师姓名、问题等级、处方处理状态。</w:t>
            </w:r>
          </w:p>
          <w:p w14:paraId="100D0B93">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rPr>
            </w:pPr>
            <w:r>
              <w:rPr>
                <w:rFonts w:hint="eastAsia" w:ascii="宋体" w:hAnsi="宋体" w:cs="宋体"/>
                <w:bCs/>
                <w:color w:val="auto"/>
                <w:szCs w:val="21"/>
              </w:rPr>
              <w:t>系统支持查看历史处方详情，包括患者信息、相关处方、处方详情、处方审核过程（可切换各个审核节点查看审核详情）。</w:t>
            </w:r>
          </w:p>
          <w:p w14:paraId="3C40CC49">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rPr>
            </w:pPr>
            <w:r>
              <w:rPr>
                <w:rFonts w:hint="eastAsia" w:ascii="宋体" w:hAnsi="宋体" w:cs="宋体"/>
                <w:bCs/>
                <w:color w:val="auto"/>
                <w:szCs w:val="21"/>
              </w:rPr>
              <w:t>系统支持导出历史处方。</w:t>
            </w:r>
          </w:p>
          <w:p w14:paraId="0DA09533">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rPr>
            </w:pPr>
            <w:bookmarkStart w:id="156" w:name="_Hlk199930706"/>
            <w:r>
              <w:rPr>
                <w:rFonts w:hint="eastAsia" w:ascii="宋体" w:hAnsi="宋体" w:cs="宋体"/>
                <w:bCs/>
                <w:color w:val="auto"/>
                <w:szCs w:val="21"/>
              </w:rPr>
              <w:t>系统支持对历史处方进行处方质量评价。</w:t>
            </w:r>
            <w:bookmarkEnd w:id="156"/>
          </w:p>
        </w:tc>
      </w:tr>
      <w:tr w14:paraId="3853E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851" w:type="dxa"/>
            <w:vMerge w:val="continue"/>
            <w:vAlign w:val="center"/>
          </w:tcPr>
          <w:p w14:paraId="54396E26">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rPr>
            </w:pPr>
          </w:p>
        </w:tc>
        <w:tc>
          <w:tcPr>
            <w:tcW w:w="1538" w:type="dxa"/>
            <w:vAlign w:val="center"/>
          </w:tcPr>
          <w:p w14:paraId="17FD0F15">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其他需求</w:t>
            </w:r>
          </w:p>
        </w:tc>
        <w:tc>
          <w:tcPr>
            <w:tcW w:w="7262" w:type="dxa"/>
            <w:vAlign w:val="center"/>
          </w:tcPr>
          <w:p w14:paraId="3B57CA43">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rPr>
            </w:pPr>
            <w:r>
              <w:rPr>
                <w:rFonts w:hint="eastAsia" w:ascii="宋体" w:hAnsi="宋体" w:cs="宋体"/>
                <w:color w:val="auto"/>
              </w:rPr>
              <w:t>系统应支持并满足</w:t>
            </w:r>
            <w:r>
              <w:rPr>
                <w:rFonts w:hint="eastAsia" w:ascii="宋体" w:hAnsi="宋体" w:cs="宋体"/>
                <w:color w:val="auto"/>
                <w:sz w:val="24"/>
              </w:rPr>
              <w:t>电子病历六级及以上，和智慧服务三级及以上</w:t>
            </w:r>
            <w:r>
              <w:rPr>
                <w:rFonts w:hint="eastAsia" w:ascii="宋体" w:hAnsi="宋体" w:cs="宋体"/>
                <w:color w:val="auto"/>
              </w:rPr>
              <w:t>的评审需求。</w:t>
            </w:r>
          </w:p>
        </w:tc>
      </w:tr>
      <w:tr w14:paraId="54919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851" w:type="dxa"/>
            <w:vMerge w:val="continue"/>
            <w:vAlign w:val="center"/>
          </w:tcPr>
          <w:p w14:paraId="07995997">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rPr>
            </w:pPr>
          </w:p>
        </w:tc>
        <w:tc>
          <w:tcPr>
            <w:tcW w:w="8800" w:type="dxa"/>
            <w:gridSpan w:val="2"/>
            <w:vAlign w:val="center"/>
          </w:tcPr>
          <w:p w14:paraId="4003F1BF">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rPr>
            </w:pPr>
            <w:r>
              <w:rPr>
                <w:rFonts w:hint="eastAsia" w:ascii="宋体" w:hAnsi="宋体" w:cs="宋体"/>
                <w:bCs/>
                <w:color w:val="auto"/>
                <w:szCs w:val="21"/>
              </w:rPr>
              <w:t>住院审方</w:t>
            </w:r>
          </w:p>
        </w:tc>
      </w:tr>
      <w:tr w14:paraId="0F231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851" w:type="dxa"/>
            <w:vMerge w:val="continue"/>
            <w:vAlign w:val="center"/>
          </w:tcPr>
          <w:p w14:paraId="314BC7E3">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rPr>
            </w:pPr>
          </w:p>
        </w:tc>
        <w:tc>
          <w:tcPr>
            <w:tcW w:w="1538" w:type="dxa"/>
            <w:vAlign w:val="center"/>
          </w:tcPr>
          <w:p w14:paraId="205D4EEF">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住院医生提交医嘱</w:t>
            </w:r>
          </w:p>
        </w:tc>
        <w:tc>
          <w:tcPr>
            <w:tcW w:w="7262" w:type="dxa"/>
            <w:vAlign w:val="center"/>
          </w:tcPr>
          <w:p w14:paraId="115F3008">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rPr>
            </w:pPr>
            <w:r>
              <w:rPr>
                <w:rFonts w:hint="eastAsia" w:ascii="宋体" w:hAnsi="宋体" w:cs="宋体"/>
                <w:bCs/>
                <w:color w:val="auto"/>
                <w:szCs w:val="21"/>
              </w:rPr>
              <w:t>医生提交医嘱后，合理用药引擎会对医嘱进行审查，发现问题后提示给医生，如果医生不修改医嘱，可填写用药理由之后继续提交，医嘱将进入人工审方阶段。除院内HIS系统开具的医嘱外，还应支持与云药房系统做无缝接口，审核云药房住院医嘱。</w:t>
            </w:r>
          </w:p>
        </w:tc>
      </w:tr>
      <w:tr w14:paraId="44BE6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851" w:type="dxa"/>
            <w:vMerge w:val="continue"/>
            <w:vAlign w:val="center"/>
          </w:tcPr>
          <w:p w14:paraId="71BFD29A">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rPr>
            </w:pPr>
          </w:p>
        </w:tc>
        <w:tc>
          <w:tcPr>
            <w:tcW w:w="1538" w:type="dxa"/>
            <w:vAlign w:val="center"/>
          </w:tcPr>
          <w:p w14:paraId="0FE7F665">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查看待审医嘱列表</w:t>
            </w:r>
          </w:p>
        </w:tc>
        <w:tc>
          <w:tcPr>
            <w:tcW w:w="7262" w:type="dxa"/>
            <w:vAlign w:val="center"/>
          </w:tcPr>
          <w:p w14:paraId="750293F8">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rPr>
            </w:pPr>
            <w:r>
              <w:rPr>
                <w:rFonts w:hint="eastAsia" w:ascii="宋体" w:hAnsi="宋体" w:cs="宋体"/>
                <w:bCs/>
                <w:color w:val="auto"/>
                <w:szCs w:val="21"/>
              </w:rPr>
              <w:t>系统支持查看待审医嘱列表。对待审医嘱进行数量提醒（红点形式），药师可根据需要收藏医嘱。系统支持医嘱刷新功能，包括自动刷新（可定时刷新）和手动刷新。</w:t>
            </w:r>
          </w:p>
        </w:tc>
      </w:tr>
      <w:tr w14:paraId="31BE0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851" w:type="dxa"/>
            <w:vMerge w:val="continue"/>
            <w:vAlign w:val="center"/>
          </w:tcPr>
          <w:p w14:paraId="0FC5C32D">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rPr>
            </w:pPr>
          </w:p>
        </w:tc>
        <w:tc>
          <w:tcPr>
            <w:tcW w:w="1538" w:type="dxa"/>
            <w:vAlign w:val="center"/>
          </w:tcPr>
          <w:p w14:paraId="77DFBC74">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医嘱优先审核</w:t>
            </w:r>
          </w:p>
        </w:tc>
        <w:tc>
          <w:tcPr>
            <w:tcW w:w="7262" w:type="dxa"/>
            <w:vAlign w:val="center"/>
          </w:tcPr>
          <w:p w14:paraId="481E36B6">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rPr>
            </w:pPr>
            <w:r>
              <w:rPr>
                <w:rFonts w:hint="eastAsia" w:ascii="宋体" w:hAnsi="宋体" w:cs="宋体"/>
                <w:bCs/>
                <w:color w:val="auto"/>
                <w:szCs w:val="21"/>
              </w:rPr>
              <w:t>系统支持对打回再提交的医嘱进行优先审核。</w:t>
            </w:r>
          </w:p>
        </w:tc>
      </w:tr>
      <w:tr w14:paraId="48B6D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851" w:type="dxa"/>
            <w:vMerge w:val="continue"/>
            <w:vAlign w:val="center"/>
          </w:tcPr>
          <w:p w14:paraId="164CF4ED">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rPr>
            </w:pPr>
          </w:p>
        </w:tc>
        <w:tc>
          <w:tcPr>
            <w:tcW w:w="1538" w:type="dxa"/>
            <w:vAlign w:val="center"/>
          </w:tcPr>
          <w:p w14:paraId="116BAA83">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查看患者信息</w:t>
            </w:r>
          </w:p>
        </w:tc>
        <w:tc>
          <w:tcPr>
            <w:tcW w:w="7262" w:type="dxa"/>
            <w:vAlign w:val="center"/>
          </w:tcPr>
          <w:p w14:paraId="22E806E3">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rPr>
            </w:pPr>
            <w:r>
              <w:rPr>
                <w:rFonts w:hint="eastAsia" w:ascii="宋体" w:hAnsi="宋体" w:cs="宋体"/>
                <w:color w:val="auto"/>
              </w:rPr>
              <w:t>查看患者信息，</w:t>
            </w:r>
            <w:r>
              <w:rPr>
                <w:rFonts w:hint="eastAsia" w:ascii="宋体" w:hAnsi="宋体" w:cs="宋体"/>
                <w:bCs/>
                <w:color w:val="auto"/>
                <w:szCs w:val="21"/>
              </w:rPr>
              <w:t>包括姓名、性别、年龄、开处方科室、医生姓名、身高、体重、体表面积、过敏史、诊断（包括去重后的初步诊断、入院诊断、修正诊断、补充诊断、出院诊断）、开处方时间、就诊号、门诊号、主诉、现病史、诊疗意见</w:t>
            </w:r>
          </w:p>
        </w:tc>
      </w:tr>
      <w:tr w14:paraId="2AD04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851" w:type="dxa"/>
            <w:vMerge w:val="continue"/>
            <w:vAlign w:val="center"/>
          </w:tcPr>
          <w:p w14:paraId="6192EB9B">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rPr>
            </w:pPr>
          </w:p>
        </w:tc>
        <w:tc>
          <w:tcPr>
            <w:tcW w:w="1538" w:type="dxa"/>
            <w:vAlign w:val="center"/>
          </w:tcPr>
          <w:p w14:paraId="68C9AE62">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查看患者检验报告</w:t>
            </w:r>
          </w:p>
        </w:tc>
        <w:tc>
          <w:tcPr>
            <w:tcW w:w="7262" w:type="dxa"/>
            <w:vAlign w:val="center"/>
          </w:tcPr>
          <w:p w14:paraId="17EDD355">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rPr>
            </w:pPr>
            <w:r>
              <w:rPr>
                <w:rFonts w:hint="eastAsia" w:ascii="宋体" w:hAnsi="宋体" w:cs="宋体"/>
                <w:bCs/>
                <w:color w:val="auto"/>
                <w:szCs w:val="21"/>
              </w:rPr>
              <w:t>系统支持查看患者检验报告。可按检验项查看，也可按时间排序查看。检验报告数据包括申请单号、标本、申请日期、报告日期、检验项目、检验值、检验单位、参考范围。对于与处方用药相关的检验异常应该在药品中有警示。</w:t>
            </w:r>
          </w:p>
        </w:tc>
      </w:tr>
      <w:tr w14:paraId="7B958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51" w:type="dxa"/>
            <w:vMerge w:val="continue"/>
            <w:vAlign w:val="center"/>
          </w:tcPr>
          <w:p w14:paraId="4E95C5D6">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rPr>
            </w:pPr>
          </w:p>
        </w:tc>
        <w:tc>
          <w:tcPr>
            <w:tcW w:w="1538" w:type="dxa"/>
            <w:vAlign w:val="center"/>
          </w:tcPr>
          <w:p w14:paraId="2F4CB5F1">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查看患者相关医嘱</w:t>
            </w:r>
          </w:p>
        </w:tc>
        <w:tc>
          <w:tcPr>
            <w:tcW w:w="7262" w:type="dxa"/>
            <w:vAlign w:val="center"/>
          </w:tcPr>
          <w:p w14:paraId="63BB99AC">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rPr>
            </w:pPr>
            <w:r>
              <w:rPr>
                <w:rFonts w:hint="eastAsia" w:ascii="宋体" w:hAnsi="宋体" w:cs="宋体"/>
                <w:bCs/>
                <w:color w:val="auto"/>
                <w:szCs w:val="21"/>
              </w:rPr>
              <w:t>系统支持查看该患者的相关医嘱。</w:t>
            </w:r>
          </w:p>
        </w:tc>
      </w:tr>
      <w:tr w14:paraId="047BC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51" w:type="dxa"/>
            <w:vMerge w:val="continue"/>
            <w:vAlign w:val="center"/>
          </w:tcPr>
          <w:p w14:paraId="1616E3E9">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rPr>
            </w:pPr>
          </w:p>
        </w:tc>
        <w:tc>
          <w:tcPr>
            <w:tcW w:w="1538" w:type="dxa"/>
            <w:vAlign w:val="center"/>
          </w:tcPr>
          <w:p w14:paraId="63D53B24">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查看患者电子病历</w:t>
            </w:r>
          </w:p>
        </w:tc>
        <w:tc>
          <w:tcPr>
            <w:tcW w:w="7262" w:type="dxa"/>
            <w:vAlign w:val="center"/>
          </w:tcPr>
          <w:p w14:paraId="22EAD4E6">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rPr>
            </w:pPr>
            <w:r>
              <w:rPr>
                <w:rFonts w:hint="eastAsia" w:ascii="宋体" w:hAnsi="宋体" w:cs="宋体"/>
                <w:bCs/>
                <w:color w:val="auto"/>
                <w:szCs w:val="21"/>
              </w:rPr>
              <w:t>系统支持跳转查看患者的电子病历（需电子病历提供接口）。</w:t>
            </w:r>
          </w:p>
        </w:tc>
      </w:tr>
      <w:tr w14:paraId="12339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851" w:type="dxa"/>
            <w:vMerge w:val="continue"/>
            <w:vAlign w:val="center"/>
          </w:tcPr>
          <w:p w14:paraId="06965557">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rPr>
            </w:pPr>
          </w:p>
        </w:tc>
        <w:tc>
          <w:tcPr>
            <w:tcW w:w="1538" w:type="dxa"/>
            <w:vAlign w:val="center"/>
          </w:tcPr>
          <w:p w14:paraId="0065EAAE">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查看患者检查报告</w:t>
            </w:r>
          </w:p>
        </w:tc>
        <w:tc>
          <w:tcPr>
            <w:tcW w:w="7262" w:type="dxa"/>
            <w:vAlign w:val="center"/>
          </w:tcPr>
          <w:p w14:paraId="31E9D7CA">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rPr>
            </w:pPr>
            <w:r>
              <w:rPr>
                <w:rFonts w:hint="eastAsia" w:ascii="宋体" w:hAnsi="宋体" w:cs="宋体"/>
                <w:bCs/>
                <w:color w:val="auto"/>
                <w:szCs w:val="21"/>
              </w:rPr>
              <w:t>系统支持查看患者检查报告。可查看报告名称、出具报告的医生、申请日期、报告日期、报告详情。对于与处方用药相关的检查异常应该在药品中有警示。</w:t>
            </w:r>
          </w:p>
        </w:tc>
      </w:tr>
      <w:tr w14:paraId="387AD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851" w:type="dxa"/>
            <w:vMerge w:val="continue"/>
            <w:vAlign w:val="center"/>
          </w:tcPr>
          <w:p w14:paraId="5CF34881">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rPr>
            </w:pPr>
          </w:p>
        </w:tc>
        <w:tc>
          <w:tcPr>
            <w:tcW w:w="1538" w:type="dxa"/>
            <w:vAlign w:val="center"/>
          </w:tcPr>
          <w:p w14:paraId="2383E597">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查看患者手术信息</w:t>
            </w:r>
          </w:p>
        </w:tc>
        <w:tc>
          <w:tcPr>
            <w:tcW w:w="7262" w:type="dxa"/>
            <w:vAlign w:val="center"/>
          </w:tcPr>
          <w:p w14:paraId="3176004E">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rPr>
            </w:pPr>
            <w:r>
              <w:rPr>
                <w:rFonts w:hint="eastAsia" w:ascii="宋体" w:hAnsi="宋体" w:cs="宋体"/>
                <w:bCs/>
                <w:color w:val="auto"/>
                <w:szCs w:val="21"/>
              </w:rPr>
              <w:t>系统支持查看患者手术信息。可查看手术名称、手术时间、手术分类。</w:t>
            </w:r>
          </w:p>
        </w:tc>
      </w:tr>
      <w:tr w14:paraId="58F34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851" w:type="dxa"/>
            <w:vMerge w:val="continue"/>
            <w:vAlign w:val="center"/>
          </w:tcPr>
          <w:p w14:paraId="1112E4DC">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rPr>
            </w:pPr>
          </w:p>
        </w:tc>
        <w:tc>
          <w:tcPr>
            <w:tcW w:w="1538" w:type="dxa"/>
            <w:vAlign w:val="center"/>
          </w:tcPr>
          <w:p w14:paraId="58077785">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查看待审医嘱详情</w:t>
            </w:r>
          </w:p>
        </w:tc>
        <w:tc>
          <w:tcPr>
            <w:tcW w:w="7262" w:type="dxa"/>
            <w:vAlign w:val="center"/>
          </w:tcPr>
          <w:p w14:paraId="4DD4663E">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rPr>
            </w:pPr>
            <w:r>
              <w:rPr>
                <w:rFonts w:hint="eastAsia" w:ascii="宋体" w:hAnsi="宋体" w:cs="宋体"/>
                <w:bCs/>
                <w:color w:val="auto"/>
                <w:szCs w:val="21"/>
              </w:rPr>
              <w:t>系统支持查看医嘱详情。包括医嘱号、药品名称、通用名、规格、剂型、剂量、用法、频次、天数、总量、单价、备注、用药理由。药品显示组号及相关属性图标。药师可查看医生为药品填写的补充适应症。点击药品可查看药品说明书。可切换成处方笺形式查看医嘱。</w:t>
            </w:r>
          </w:p>
        </w:tc>
      </w:tr>
      <w:tr w14:paraId="69101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851" w:type="dxa"/>
            <w:vMerge w:val="continue"/>
            <w:vAlign w:val="center"/>
          </w:tcPr>
          <w:p w14:paraId="31A1F36D">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rPr>
            </w:pPr>
          </w:p>
        </w:tc>
        <w:tc>
          <w:tcPr>
            <w:tcW w:w="1538" w:type="dxa"/>
            <w:vAlign w:val="center"/>
          </w:tcPr>
          <w:p w14:paraId="664EA545">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查看医嘱问题</w:t>
            </w:r>
          </w:p>
        </w:tc>
        <w:tc>
          <w:tcPr>
            <w:tcW w:w="7262" w:type="dxa"/>
            <w:vAlign w:val="center"/>
          </w:tcPr>
          <w:p w14:paraId="6958ED71">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rPr>
            </w:pPr>
            <w:r>
              <w:rPr>
                <w:rFonts w:hint="eastAsia" w:ascii="宋体" w:hAnsi="宋体" w:cs="宋体"/>
                <w:bCs/>
                <w:color w:val="auto"/>
                <w:szCs w:val="21"/>
              </w:rPr>
              <w:t>系统支持查看审方系统审查出的问题，分禁用、不推荐、慎用、提示四类进行查看。</w:t>
            </w:r>
          </w:p>
        </w:tc>
      </w:tr>
      <w:tr w14:paraId="29DF7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51" w:type="dxa"/>
            <w:vMerge w:val="continue"/>
            <w:vAlign w:val="center"/>
          </w:tcPr>
          <w:p w14:paraId="57D74877">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rPr>
            </w:pPr>
          </w:p>
        </w:tc>
        <w:tc>
          <w:tcPr>
            <w:tcW w:w="1538" w:type="dxa"/>
            <w:vAlign w:val="center"/>
          </w:tcPr>
          <w:p w14:paraId="33E6B467">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查看医嘱干预记录</w:t>
            </w:r>
          </w:p>
        </w:tc>
        <w:tc>
          <w:tcPr>
            <w:tcW w:w="7262" w:type="dxa"/>
            <w:vAlign w:val="center"/>
          </w:tcPr>
          <w:p w14:paraId="0A772368">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rPr>
            </w:pPr>
            <w:r>
              <w:rPr>
                <w:rFonts w:hint="eastAsia" w:ascii="宋体" w:hAnsi="宋体" w:cs="宋体"/>
                <w:bCs/>
                <w:color w:val="auto"/>
                <w:szCs w:val="21"/>
              </w:rPr>
              <w:t>系统支持查看医嘱的干预记录。</w:t>
            </w:r>
          </w:p>
        </w:tc>
      </w:tr>
      <w:tr w14:paraId="33CC8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851" w:type="dxa"/>
            <w:vMerge w:val="continue"/>
            <w:vAlign w:val="center"/>
          </w:tcPr>
          <w:p w14:paraId="6DD0862F">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rPr>
            </w:pPr>
          </w:p>
        </w:tc>
        <w:tc>
          <w:tcPr>
            <w:tcW w:w="1538" w:type="dxa"/>
            <w:vAlign w:val="center"/>
          </w:tcPr>
          <w:p w14:paraId="481DCE3E">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查看医嘱审核往来信息</w:t>
            </w:r>
          </w:p>
        </w:tc>
        <w:tc>
          <w:tcPr>
            <w:tcW w:w="7262" w:type="dxa"/>
            <w:vAlign w:val="center"/>
          </w:tcPr>
          <w:p w14:paraId="4AA1DC98">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rPr>
            </w:pPr>
            <w:r>
              <w:rPr>
                <w:rFonts w:hint="eastAsia" w:ascii="宋体" w:hAnsi="宋体" w:cs="宋体"/>
                <w:bCs/>
                <w:color w:val="auto"/>
                <w:szCs w:val="21"/>
              </w:rPr>
              <w:t>系统支持查看医嘱审核来信息。可导出药师与医生的交互信息。</w:t>
            </w:r>
          </w:p>
          <w:p w14:paraId="36568F55">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rPr>
            </w:pPr>
            <w:r>
              <w:rPr>
                <w:rFonts w:hint="eastAsia" w:ascii="宋体" w:hAnsi="宋体" w:cs="宋体"/>
                <w:color w:val="auto"/>
                <w:szCs w:val="21"/>
              </w:rPr>
              <w:t>系统应支持药师和医生的在线沟通可截图、发送图片、消息撤回、消息已读提示功能。</w:t>
            </w:r>
          </w:p>
        </w:tc>
      </w:tr>
      <w:tr w14:paraId="2037D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851" w:type="dxa"/>
            <w:vMerge w:val="continue"/>
            <w:vAlign w:val="center"/>
          </w:tcPr>
          <w:p w14:paraId="6A7FE269">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rPr>
            </w:pPr>
          </w:p>
        </w:tc>
        <w:tc>
          <w:tcPr>
            <w:tcW w:w="1538" w:type="dxa"/>
            <w:vAlign w:val="center"/>
          </w:tcPr>
          <w:p w14:paraId="0FD3CDD9">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医嘱审核操作</w:t>
            </w:r>
          </w:p>
        </w:tc>
        <w:tc>
          <w:tcPr>
            <w:tcW w:w="7262" w:type="dxa"/>
            <w:vAlign w:val="center"/>
          </w:tcPr>
          <w:p w14:paraId="0B3DF8CE">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rPr>
            </w:pPr>
            <w:r>
              <w:rPr>
                <w:rFonts w:hint="eastAsia" w:ascii="宋体" w:hAnsi="宋体" w:cs="宋体"/>
                <w:bCs/>
                <w:color w:val="auto"/>
                <w:szCs w:val="21"/>
              </w:rPr>
              <w:t>系统支持审方操作，包括通过、打回双签、仅双签、不通过四个功能。</w:t>
            </w:r>
          </w:p>
        </w:tc>
      </w:tr>
      <w:tr w14:paraId="2FB6F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851" w:type="dxa"/>
            <w:vMerge w:val="continue"/>
            <w:vAlign w:val="center"/>
          </w:tcPr>
          <w:p w14:paraId="00F660D0">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rPr>
            </w:pPr>
          </w:p>
        </w:tc>
        <w:tc>
          <w:tcPr>
            <w:tcW w:w="1538" w:type="dxa"/>
            <w:vAlign w:val="center"/>
          </w:tcPr>
          <w:p w14:paraId="60B91F80">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审核意见预置</w:t>
            </w:r>
          </w:p>
        </w:tc>
        <w:tc>
          <w:tcPr>
            <w:tcW w:w="7262" w:type="dxa"/>
            <w:vAlign w:val="center"/>
          </w:tcPr>
          <w:p w14:paraId="5A8904AB">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rPr>
            </w:pPr>
            <w:r>
              <w:rPr>
                <w:rFonts w:hint="eastAsia" w:ascii="宋体" w:hAnsi="宋体" w:cs="宋体"/>
                <w:bCs/>
                <w:color w:val="auto"/>
                <w:szCs w:val="21"/>
              </w:rPr>
              <w:t>系统支持药师描述审核意见后再进行审核操作。可进行总体意见的描述，也可针对每个问题进行描述。系统内置固定的意见模板可供药师选用，药师可设定私有意见模板，也可将当前意见存为模板，以备后续使用。</w:t>
            </w:r>
          </w:p>
        </w:tc>
      </w:tr>
      <w:tr w14:paraId="3446A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851" w:type="dxa"/>
            <w:vMerge w:val="continue"/>
            <w:vAlign w:val="center"/>
          </w:tcPr>
          <w:p w14:paraId="6AD0B70A">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rPr>
            </w:pPr>
          </w:p>
        </w:tc>
        <w:tc>
          <w:tcPr>
            <w:tcW w:w="1538" w:type="dxa"/>
            <w:vAlign w:val="center"/>
          </w:tcPr>
          <w:p w14:paraId="70AB86FF">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医嘱双签</w:t>
            </w:r>
          </w:p>
        </w:tc>
        <w:tc>
          <w:tcPr>
            <w:tcW w:w="7262" w:type="dxa"/>
            <w:vAlign w:val="center"/>
          </w:tcPr>
          <w:p w14:paraId="7DD6F450">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rPr>
            </w:pPr>
            <w:r>
              <w:rPr>
                <w:rFonts w:hint="eastAsia" w:ascii="宋体" w:hAnsi="宋体" w:cs="宋体"/>
                <w:bCs/>
                <w:color w:val="auto"/>
                <w:szCs w:val="21"/>
              </w:rPr>
              <w:t>系统支持医生双签功能，药师打回医嘱之后，允许医生双签的，医生可选择双签通过，无需再次审核。不允许医生双签的，医生必须返回修改再审核。</w:t>
            </w:r>
          </w:p>
        </w:tc>
      </w:tr>
      <w:tr w14:paraId="73E2B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851" w:type="dxa"/>
            <w:vMerge w:val="continue"/>
            <w:vAlign w:val="center"/>
          </w:tcPr>
          <w:p w14:paraId="26220286">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rPr>
            </w:pPr>
          </w:p>
        </w:tc>
        <w:tc>
          <w:tcPr>
            <w:tcW w:w="1538" w:type="dxa"/>
            <w:vAlign w:val="center"/>
          </w:tcPr>
          <w:p w14:paraId="255768A4">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审方结果反馈</w:t>
            </w:r>
          </w:p>
        </w:tc>
        <w:tc>
          <w:tcPr>
            <w:tcW w:w="7262" w:type="dxa"/>
            <w:vAlign w:val="center"/>
          </w:tcPr>
          <w:p w14:paraId="4EEBA667">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rPr>
            </w:pPr>
            <w:r>
              <w:rPr>
                <w:rFonts w:hint="eastAsia" w:ascii="宋体" w:hAnsi="宋体" w:cs="宋体"/>
                <w:bCs/>
                <w:color w:val="auto"/>
                <w:szCs w:val="21"/>
              </w:rPr>
              <w:t>药师审核之后，系统将结果返回HIS，医生可查看审核结果，并在医嘱界面上填写用药理由后重新提交审核。审方药师审核的最终结果，发药药师端可查看，包含医嘱存在的问题及审核结果（允许发药、双签用药、审方药师不在线）。因住院医嘱多数批量打印发药，故需按患者ID医嘱号以列表形式展示审核结果，药师可链接医嘱问题详情，可知晓医嘱存在的问题并可进行二次干预。</w:t>
            </w:r>
          </w:p>
        </w:tc>
      </w:tr>
      <w:tr w14:paraId="19F3C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851" w:type="dxa"/>
            <w:vMerge w:val="continue"/>
            <w:vAlign w:val="center"/>
          </w:tcPr>
          <w:p w14:paraId="326D4C73">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rPr>
            </w:pPr>
          </w:p>
        </w:tc>
        <w:tc>
          <w:tcPr>
            <w:tcW w:w="1538" w:type="dxa"/>
            <w:vAlign w:val="center"/>
          </w:tcPr>
          <w:p w14:paraId="2FA30158">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医嘱审方倒计时</w:t>
            </w:r>
          </w:p>
        </w:tc>
        <w:tc>
          <w:tcPr>
            <w:tcW w:w="7262" w:type="dxa"/>
            <w:vAlign w:val="center"/>
          </w:tcPr>
          <w:p w14:paraId="645101A4">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rPr>
            </w:pPr>
            <w:r>
              <w:rPr>
                <w:rFonts w:hint="eastAsia" w:ascii="宋体" w:hAnsi="宋体" w:cs="宋体"/>
                <w:bCs/>
                <w:color w:val="auto"/>
                <w:szCs w:val="21"/>
              </w:rPr>
              <w:t>系统支持显示审方超时通过倒计时。</w:t>
            </w:r>
          </w:p>
        </w:tc>
      </w:tr>
      <w:tr w14:paraId="27717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851" w:type="dxa"/>
            <w:vMerge w:val="continue"/>
            <w:vAlign w:val="center"/>
          </w:tcPr>
          <w:p w14:paraId="731F34B0">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rPr>
            </w:pPr>
          </w:p>
        </w:tc>
        <w:tc>
          <w:tcPr>
            <w:tcW w:w="1538" w:type="dxa"/>
            <w:vAlign w:val="center"/>
          </w:tcPr>
          <w:p w14:paraId="5237A541">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医嘱锁定</w:t>
            </w:r>
          </w:p>
        </w:tc>
        <w:tc>
          <w:tcPr>
            <w:tcW w:w="7262" w:type="dxa"/>
            <w:vAlign w:val="center"/>
          </w:tcPr>
          <w:p w14:paraId="078D736A">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rPr>
            </w:pPr>
            <w:r>
              <w:rPr>
                <w:rFonts w:hint="eastAsia" w:ascii="宋体" w:hAnsi="宋体" w:cs="宋体"/>
                <w:bCs/>
                <w:color w:val="auto"/>
                <w:szCs w:val="21"/>
              </w:rPr>
              <w:t>系统支持锁定/解锁单张待审医嘱，也支持一键锁定/解锁全部待审医嘱。</w:t>
            </w:r>
          </w:p>
        </w:tc>
      </w:tr>
      <w:tr w14:paraId="78C9F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851" w:type="dxa"/>
            <w:vMerge w:val="continue"/>
            <w:vAlign w:val="center"/>
          </w:tcPr>
          <w:p w14:paraId="4B4F4175">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rPr>
            </w:pPr>
          </w:p>
        </w:tc>
        <w:tc>
          <w:tcPr>
            <w:tcW w:w="1538" w:type="dxa"/>
            <w:vAlign w:val="center"/>
          </w:tcPr>
          <w:p w14:paraId="0050292A">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医嘱提醒</w:t>
            </w:r>
          </w:p>
        </w:tc>
        <w:tc>
          <w:tcPr>
            <w:tcW w:w="7262" w:type="dxa"/>
            <w:vAlign w:val="center"/>
          </w:tcPr>
          <w:p w14:paraId="2FC4AA6A">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rPr>
            </w:pPr>
            <w:r>
              <w:rPr>
                <w:rFonts w:hint="eastAsia" w:ascii="宋体" w:hAnsi="宋体" w:cs="宋体"/>
                <w:bCs/>
                <w:color w:val="auto"/>
                <w:szCs w:val="21"/>
              </w:rPr>
              <w:t>系统支持新医嘱提醒。当系统检测到有新的待审核医嘱时，系统会以气泡提示、声音提示的方式提醒药师有新的待审核医嘱。</w:t>
            </w:r>
          </w:p>
        </w:tc>
      </w:tr>
      <w:tr w14:paraId="6CE22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851" w:type="dxa"/>
            <w:vMerge w:val="continue"/>
            <w:vAlign w:val="center"/>
          </w:tcPr>
          <w:p w14:paraId="7A7298E0">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rPr>
            </w:pPr>
          </w:p>
        </w:tc>
        <w:tc>
          <w:tcPr>
            <w:tcW w:w="1538" w:type="dxa"/>
            <w:vAlign w:val="center"/>
          </w:tcPr>
          <w:p w14:paraId="122224A2">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住院审方上下班</w:t>
            </w:r>
          </w:p>
        </w:tc>
        <w:tc>
          <w:tcPr>
            <w:tcW w:w="7262" w:type="dxa"/>
            <w:vAlign w:val="center"/>
          </w:tcPr>
          <w:p w14:paraId="15A1539E">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rPr>
            </w:pPr>
            <w:r>
              <w:rPr>
                <w:rFonts w:hint="eastAsia" w:ascii="宋体" w:hAnsi="宋体" w:cs="宋体"/>
                <w:bCs/>
                <w:color w:val="auto"/>
                <w:szCs w:val="21"/>
              </w:rPr>
              <w:t>系统支持住院审方上下班操作。如药师下班或暂无时间审方，可点击停止审方。处方将进入自动审核模式。</w:t>
            </w:r>
          </w:p>
        </w:tc>
      </w:tr>
      <w:tr w14:paraId="3F755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851" w:type="dxa"/>
            <w:vMerge w:val="continue"/>
            <w:vAlign w:val="center"/>
          </w:tcPr>
          <w:p w14:paraId="32799BD7">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rPr>
            </w:pPr>
          </w:p>
        </w:tc>
        <w:tc>
          <w:tcPr>
            <w:tcW w:w="1538" w:type="dxa"/>
            <w:vAlign w:val="center"/>
          </w:tcPr>
          <w:p w14:paraId="78A288E4">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szCs w:val="21"/>
              </w:rPr>
            </w:pPr>
            <w:r>
              <w:rPr>
                <w:rFonts w:hint="eastAsia" w:ascii="宋体" w:hAnsi="宋体" w:cs="宋体"/>
                <w:color w:val="auto"/>
                <w:szCs w:val="21"/>
              </w:rPr>
              <w:t>医嘱收藏</w:t>
            </w:r>
          </w:p>
        </w:tc>
        <w:tc>
          <w:tcPr>
            <w:tcW w:w="7262" w:type="dxa"/>
            <w:vAlign w:val="center"/>
          </w:tcPr>
          <w:p w14:paraId="40194DC4">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rPr>
            </w:pPr>
            <w:r>
              <w:rPr>
                <w:rFonts w:hint="eastAsia" w:ascii="宋体" w:hAnsi="宋体" w:cs="宋体"/>
                <w:bCs/>
                <w:color w:val="auto"/>
                <w:szCs w:val="21"/>
              </w:rPr>
              <w:t>系统支持收藏/取消收藏医嘱的操作。</w:t>
            </w:r>
          </w:p>
          <w:p w14:paraId="7F41DB59">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rPr>
            </w:pPr>
            <w:r>
              <w:rPr>
                <w:rFonts w:hint="eastAsia" w:ascii="宋体" w:hAnsi="宋体" w:cs="宋体"/>
                <w:bCs/>
                <w:color w:val="auto"/>
                <w:szCs w:val="21"/>
              </w:rPr>
              <w:t>收藏之后可查询所收藏的医嘱，查询条件包括：收藏日期、患者姓名、就诊号、患者唯一号、医嘱号、医生姓名、就诊科室、药品名称、药师姓名、问题等级、医嘱处理状态。</w:t>
            </w:r>
          </w:p>
          <w:p w14:paraId="428D0C0E">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rPr>
            </w:pPr>
            <w:r>
              <w:rPr>
                <w:rFonts w:hint="eastAsia" w:ascii="宋体" w:hAnsi="宋体" w:cs="宋体"/>
                <w:bCs/>
                <w:color w:val="auto"/>
                <w:szCs w:val="21"/>
              </w:rPr>
              <w:t>系统支持导出收藏的医嘱。</w:t>
            </w:r>
          </w:p>
        </w:tc>
      </w:tr>
      <w:tr w14:paraId="7AA72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851" w:type="dxa"/>
            <w:vMerge w:val="continue"/>
            <w:vAlign w:val="center"/>
          </w:tcPr>
          <w:p w14:paraId="62574EA7">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rPr>
            </w:pPr>
          </w:p>
        </w:tc>
        <w:tc>
          <w:tcPr>
            <w:tcW w:w="1538" w:type="dxa"/>
            <w:vAlign w:val="center"/>
          </w:tcPr>
          <w:p w14:paraId="431046D4">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szCs w:val="21"/>
              </w:rPr>
            </w:pPr>
            <w:r>
              <w:rPr>
                <w:rFonts w:hint="eastAsia" w:ascii="宋体" w:hAnsi="宋体" w:cs="宋体"/>
                <w:color w:val="auto"/>
                <w:szCs w:val="21"/>
              </w:rPr>
              <w:t>历史医嘱查询</w:t>
            </w:r>
          </w:p>
        </w:tc>
        <w:tc>
          <w:tcPr>
            <w:tcW w:w="7262" w:type="dxa"/>
            <w:vAlign w:val="center"/>
          </w:tcPr>
          <w:p w14:paraId="1D0D98F2">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rPr>
            </w:pPr>
            <w:r>
              <w:rPr>
                <w:rFonts w:hint="eastAsia" w:ascii="宋体" w:hAnsi="宋体" w:cs="宋体"/>
                <w:bCs/>
                <w:color w:val="auto"/>
                <w:szCs w:val="21"/>
              </w:rPr>
              <w:t>系统支持查询历史医嘱，查询条件包括：收藏日期、患者姓名、就诊号、患者唯一号、医嘱号、医生姓名、就诊科室、药品名称、药师姓名、问题等级、医嘱处理状态。</w:t>
            </w:r>
          </w:p>
          <w:p w14:paraId="3CAAB6AD">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rPr>
            </w:pPr>
            <w:r>
              <w:rPr>
                <w:rFonts w:hint="eastAsia" w:ascii="宋体" w:hAnsi="宋体" w:cs="宋体"/>
                <w:bCs/>
                <w:color w:val="auto"/>
                <w:szCs w:val="21"/>
              </w:rPr>
              <w:t>系统支持查看历史医嘱详情，包括患者信息、相关医嘱、医嘱详情、医嘱审核过程（可切换各个审核节点查看审核详情）。</w:t>
            </w:r>
          </w:p>
          <w:p w14:paraId="6EFC7569">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rPr>
            </w:pPr>
            <w:r>
              <w:rPr>
                <w:rFonts w:hint="eastAsia" w:ascii="宋体" w:hAnsi="宋体" w:cs="宋体"/>
                <w:bCs/>
                <w:color w:val="auto"/>
                <w:szCs w:val="21"/>
              </w:rPr>
              <w:t>系统支持导出历史医嘱。</w:t>
            </w:r>
          </w:p>
          <w:p w14:paraId="2063AEED">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rPr>
            </w:pPr>
            <w:r>
              <w:rPr>
                <w:rFonts w:hint="eastAsia" w:ascii="宋体" w:hAnsi="宋体" w:cs="宋体"/>
                <w:bCs/>
                <w:color w:val="auto"/>
                <w:szCs w:val="21"/>
              </w:rPr>
              <w:t>系统支持对历史医嘱进行医嘱质量评价。</w:t>
            </w:r>
          </w:p>
        </w:tc>
      </w:tr>
      <w:tr w14:paraId="531DB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851" w:type="dxa"/>
            <w:vMerge w:val="continue"/>
            <w:vAlign w:val="center"/>
          </w:tcPr>
          <w:p w14:paraId="47941118">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rPr>
            </w:pPr>
          </w:p>
        </w:tc>
        <w:tc>
          <w:tcPr>
            <w:tcW w:w="1538" w:type="dxa"/>
            <w:vAlign w:val="center"/>
          </w:tcPr>
          <w:p w14:paraId="3D1C9B08">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szCs w:val="21"/>
              </w:rPr>
            </w:pPr>
            <w:r>
              <w:rPr>
                <w:rFonts w:hint="eastAsia" w:ascii="宋体" w:hAnsi="宋体" w:cs="宋体"/>
                <w:color w:val="auto"/>
                <w:szCs w:val="21"/>
              </w:rPr>
              <w:t>审方其他功能需求</w:t>
            </w:r>
          </w:p>
        </w:tc>
        <w:tc>
          <w:tcPr>
            <w:tcW w:w="7262" w:type="dxa"/>
            <w:vAlign w:val="center"/>
          </w:tcPr>
          <w:p w14:paraId="2B2414F3">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rPr>
            </w:pPr>
            <w:r>
              <w:rPr>
                <w:rFonts w:hint="eastAsia" w:ascii="宋体" w:hAnsi="宋体" w:cs="宋体"/>
                <w:color w:val="auto"/>
                <w:szCs w:val="21"/>
              </w:rPr>
              <w:t>系统应支持并满足电子病历六级及以上，和智慧服务三级及以上的评审需求。</w:t>
            </w:r>
          </w:p>
        </w:tc>
      </w:tr>
      <w:tr w14:paraId="3246C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851" w:type="dxa"/>
            <w:vMerge w:val="continue"/>
            <w:vAlign w:val="center"/>
          </w:tcPr>
          <w:p w14:paraId="1B1DCBB4">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szCs w:val="21"/>
              </w:rPr>
            </w:pPr>
          </w:p>
        </w:tc>
        <w:tc>
          <w:tcPr>
            <w:tcW w:w="8800" w:type="dxa"/>
            <w:gridSpan w:val="2"/>
            <w:vAlign w:val="center"/>
          </w:tcPr>
          <w:p w14:paraId="4FB6573F">
            <w:pPr>
              <w:keepNext w:val="0"/>
              <w:keepLines w:val="0"/>
              <w:pageBreakBefore w:val="0"/>
              <w:numPr>
                <w:ilvl w:val="1"/>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rPr>
            </w:pPr>
            <w:bookmarkStart w:id="157" w:name="_Toc192772618"/>
            <w:r>
              <w:rPr>
                <w:rFonts w:hint="eastAsia" w:ascii="宋体" w:hAnsi="宋体" w:cs="宋体"/>
                <w:color w:val="auto"/>
                <w:szCs w:val="21"/>
              </w:rPr>
              <w:t>审方报表</w:t>
            </w:r>
            <w:bookmarkEnd w:id="157"/>
          </w:p>
        </w:tc>
      </w:tr>
      <w:tr w14:paraId="2E936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851" w:type="dxa"/>
            <w:vMerge w:val="continue"/>
            <w:vAlign w:val="center"/>
          </w:tcPr>
          <w:p w14:paraId="00468D64">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rPr>
            </w:pPr>
          </w:p>
        </w:tc>
        <w:tc>
          <w:tcPr>
            <w:tcW w:w="1538" w:type="dxa"/>
            <w:vAlign w:val="center"/>
          </w:tcPr>
          <w:p w14:paraId="358C017B">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szCs w:val="21"/>
              </w:rPr>
            </w:pPr>
            <w:r>
              <w:rPr>
                <w:rFonts w:hint="eastAsia" w:ascii="宋体" w:hAnsi="宋体" w:cs="宋体"/>
                <w:color w:val="auto"/>
                <w:szCs w:val="21"/>
              </w:rPr>
              <w:t>审方报表首页</w:t>
            </w:r>
          </w:p>
        </w:tc>
        <w:tc>
          <w:tcPr>
            <w:tcW w:w="7262" w:type="dxa"/>
            <w:vAlign w:val="center"/>
          </w:tcPr>
          <w:p w14:paraId="5976663F">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系统以图表的形式展示审方工作的核心指标，包括各个指标的同比和环比，包括：</w:t>
            </w:r>
          </w:p>
          <w:p w14:paraId="42BDCB70">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1)</w:t>
            </w:r>
            <w:r>
              <w:rPr>
                <w:rFonts w:hint="eastAsia" w:ascii="宋体" w:hAnsi="宋体" w:cs="宋体"/>
                <w:color w:val="auto"/>
              </w:rPr>
              <w:tab/>
            </w:r>
            <w:r>
              <w:rPr>
                <w:rFonts w:hint="eastAsia" w:ascii="宋体" w:hAnsi="宋体" w:cs="宋体"/>
                <w:color w:val="auto"/>
              </w:rPr>
              <w:t>处方审核总数，包括自动审核的处方数和人工审核处方数。</w:t>
            </w:r>
          </w:p>
          <w:p w14:paraId="703E1798">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2)</w:t>
            </w:r>
            <w:r>
              <w:rPr>
                <w:rFonts w:hint="eastAsia" w:ascii="宋体" w:hAnsi="宋体" w:cs="宋体"/>
                <w:color w:val="auto"/>
              </w:rPr>
              <w:tab/>
            </w:r>
            <w:r>
              <w:rPr>
                <w:rFonts w:hint="eastAsia" w:ascii="宋体" w:hAnsi="宋体" w:cs="宋体"/>
                <w:color w:val="auto"/>
              </w:rPr>
              <w:t>合理处方总数，包括自动通过的处方数和人工通过的处方数。</w:t>
            </w:r>
          </w:p>
          <w:p w14:paraId="644DC04D">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3)</w:t>
            </w:r>
            <w:r>
              <w:rPr>
                <w:rFonts w:hint="eastAsia" w:ascii="宋体" w:hAnsi="宋体" w:cs="宋体"/>
                <w:color w:val="auto"/>
              </w:rPr>
              <w:tab/>
            </w:r>
            <w:r>
              <w:rPr>
                <w:rFonts w:hint="eastAsia" w:ascii="宋体" w:hAnsi="宋体" w:cs="宋体"/>
                <w:color w:val="auto"/>
              </w:rPr>
              <w:t>打回出总数，包括自动打回处方数和人工打回处方数。</w:t>
            </w:r>
          </w:p>
          <w:p w14:paraId="6F1F4D3F">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4)</w:t>
            </w:r>
            <w:r>
              <w:rPr>
                <w:rFonts w:hint="eastAsia" w:ascii="宋体" w:hAnsi="宋体" w:cs="宋体"/>
                <w:color w:val="auto"/>
              </w:rPr>
              <w:tab/>
            </w:r>
            <w:r>
              <w:rPr>
                <w:rFonts w:hint="eastAsia" w:ascii="宋体" w:hAnsi="宋体" w:cs="宋体"/>
                <w:color w:val="auto"/>
              </w:rPr>
              <w:t>问题处方率：</w:t>
            </w:r>
          </w:p>
          <w:p w14:paraId="6FC5C082">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5)</w:t>
            </w:r>
            <w:r>
              <w:rPr>
                <w:rFonts w:hint="eastAsia" w:ascii="宋体" w:hAnsi="宋体" w:cs="宋体"/>
                <w:color w:val="auto"/>
              </w:rPr>
              <w:tab/>
            </w:r>
            <w:r>
              <w:rPr>
                <w:rFonts w:hint="eastAsia" w:ascii="宋体" w:hAnsi="宋体" w:cs="宋体"/>
                <w:color w:val="auto"/>
              </w:rPr>
              <w:t>合理处方率</w:t>
            </w:r>
          </w:p>
          <w:p w14:paraId="1AF3A9A0">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6)</w:t>
            </w:r>
            <w:r>
              <w:rPr>
                <w:rFonts w:hint="eastAsia" w:ascii="宋体" w:hAnsi="宋体" w:cs="宋体"/>
                <w:color w:val="auto"/>
              </w:rPr>
              <w:tab/>
            </w:r>
            <w:r>
              <w:rPr>
                <w:rFonts w:hint="eastAsia" w:ascii="宋体" w:hAnsi="宋体" w:cs="宋体"/>
                <w:color w:val="auto"/>
              </w:rPr>
              <w:t>打回处方率</w:t>
            </w:r>
          </w:p>
          <w:p w14:paraId="4B7F2A53">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7)</w:t>
            </w:r>
            <w:r>
              <w:rPr>
                <w:rFonts w:hint="eastAsia" w:ascii="宋体" w:hAnsi="宋体" w:cs="宋体"/>
                <w:color w:val="auto"/>
              </w:rPr>
              <w:tab/>
            </w:r>
            <w:r>
              <w:rPr>
                <w:rFonts w:hint="eastAsia" w:ascii="宋体" w:hAnsi="宋体" w:cs="宋体"/>
                <w:color w:val="auto"/>
              </w:rPr>
              <w:t>问题处方总数</w:t>
            </w:r>
          </w:p>
          <w:p w14:paraId="16A7FE0E">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8)</w:t>
            </w:r>
            <w:r>
              <w:rPr>
                <w:rFonts w:hint="eastAsia" w:ascii="宋体" w:hAnsi="宋体" w:cs="宋体"/>
                <w:color w:val="auto"/>
              </w:rPr>
              <w:tab/>
            </w:r>
            <w:r>
              <w:rPr>
                <w:rFonts w:hint="eastAsia" w:ascii="宋体" w:hAnsi="宋体" w:cs="宋体"/>
                <w:color w:val="auto"/>
              </w:rPr>
              <w:t>医生双签处方总数</w:t>
            </w:r>
          </w:p>
          <w:p w14:paraId="0C346989">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9)</w:t>
            </w:r>
            <w:r>
              <w:rPr>
                <w:rFonts w:hint="eastAsia" w:ascii="宋体" w:hAnsi="宋体" w:cs="宋体"/>
                <w:color w:val="auto"/>
              </w:rPr>
              <w:tab/>
            </w:r>
            <w:r>
              <w:rPr>
                <w:rFonts w:hint="eastAsia" w:ascii="宋体" w:hAnsi="宋体" w:cs="宋体"/>
                <w:color w:val="auto"/>
              </w:rPr>
              <w:t>医生双签处方率</w:t>
            </w:r>
          </w:p>
          <w:p w14:paraId="75C2A0DE">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10)</w:t>
            </w:r>
            <w:r>
              <w:rPr>
                <w:rFonts w:hint="eastAsia" w:ascii="宋体" w:hAnsi="宋体" w:cs="宋体"/>
                <w:color w:val="auto"/>
              </w:rPr>
              <w:tab/>
            </w:r>
            <w:r>
              <w:rPr>
                <w:rFonts w:hint="eastAsia" w:ascii="宋体" w:hAnsi="宋体" w:cs="宋体"/>
                <w:color w:val="auto"/>
              </w:rPr>
              <w:t>科室打回率TOP10</w:t>
            </w:r>
          </w:p>
          <w:p w14:paraId="38F17716">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11)</w:t>
            </w:r>
            <w:r>
              <w:rPr>
                <w:rFonts w:hint="eastAsia" w:ascii="宋体" w:hAnsi="宋体" w:cs="宋体"/>
                <w:color w:val="auto"/>
              </w:rPr>
              <w:tab/>
            </w:r>
            <w:r>
              <w:rPr>
                <w:rFonts w:hint="eastAsia" w:ascii="宋体" w:hAnsi="宋体" w:cs="宋体"/>
                <w:color w:val="auto"/>
              </w:rPr>
              <w:t>高频触发药品TOP10</w:t>
            </w:r>
          </w:p>
          <w:p w14:paraId="6F6F3E65">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12)</w:t>
            </w:r>
            <w:r>
              <w:rPr>
                <w:rFonts w:hint="eastAsia" w:ascii="宋体" w:hAnsi="宋体" w:cs="宋体"/>
                <w:color w:val="auto"/>
              </w:rPr>
              <w:tab/>
            </w:r>
            <w:r>
              <w:rPr>
                <w:rFonts w:hint="eastAsia" w:ascii="宋体" w:hAnsi="宋体" w:cs="宋体"/>
                <w:color w:val="auto"/>
              </w:rPr>
              <w:t>药师审方响应率排行</w:t>
            </w:r>
          </w:p>
          <w:p w14:paraId="69421FCA">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rPr>
            </w:pPr>
            <w:r>
              <w:rPr>
                <w:rFonts w:hint="eastAsia" w:ascii="宋体" w:hAnsi="宋体" w:cs="宋体"/>
                <w:color w:val="auto"/>
                <w:kern w:val="0"/>
                <w:szCs w:val="21"/>
              </w:rPr>
              <w:t>13)</w:t>
            </w:r>
            <w:r>
              <w:rPr>
                <w:rFonts w:hint="eastAsia" w:ascii="宋体" w:hAnsi="宋体" w:cs="宋体"/>
                <w:color w:val="auto"/>
                <w:kern w:val="0"/>
                <w:szCs w:val="21"/>
              </w:rPr>
              <w:tab/>
            </w:r>
            <w:r>
              <w:rPr>
                <w:rFonts w:hint="eastAsia" w:ascii="宋体" w:hAnsi="宋体" w:cs="宋体"/>
                <w:color w:val="auto"/>
                <w:kern w:val="0"/>
                <w:szCs w:val="21"/>
              </w:rPr>
              <w:t>每日处方审核统计情况</w:t>
            </w:r>
          </w:p>
        </w:tc>
      </w:tr>
      <w:tr w14:paraId="6C449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851" w:type="dxa"/>
            <w:vMerge w:val="continue"/>
            <w:vAlign w:val="center"/>
          </w:tcPr>
          <w:p w14:paraId="14534822">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szCs w:val="21"/>
              </w:rPr>
            </w:pPr>
          </w:p>
        </w:tc>
        <w:tc>
          <w:tcPr>
            <w:tcW w:w="1538" w:type="dxa"/>
            <w:vAlign w:val="center"/>
          </w:tcPr>
          <w:p w14:paraId="38ACE6F7">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szCs w:val="21"/>
              </w:rPr>
            </w:pPr>
            <w:r>
              <w:rPr>
                <w:rFonts w:hint="eastAsia" w:ascii="宋体" w:hAnsi="宋体" w:cs="宋体"/>
                <w:color w:val="auto"/>
                <w:szCs w:val="21"/>
              </w:rPr>
              <w:t>科室审方情况统计</w:t>
            </w:r>
          </w:p>
        </w:tc>
        <w:tc>
          <w:tcPr>
            <w:tcW w:w="7262" w:type="dxa"/>
            <w:vAlign w:val="center"/>
          </w:tcPr>
          <w:p w14:paraId="4FB9860E">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系统支持统计各科室的审方情况，包括：</w:t>
            </w:r>
          </w:p>
          <w:p w14:paraId="046F52E2">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1)</w:t>
            </w:r>
            <w:r>
              <w:rPr>
                <w:rFonts w:hint="eastAsia" w:ascii="宋体" w:hAnsi="宋体" w:cs="宋体"/>
                <w:color w:val="auto"/>
              </w:rPr>
              <w:tab/>
            </w:r>
            <w:r>
              <w:rPr>
                <w:rFonts w:hint="eastAsia" w:ascii="宋体" w:hAnsi="宋体" w:cs="宋体"/>
                <w:color w:val="auto"/>
              </w:rPr>
              <w:t>科室处方审核总数（张）</w:t>
            </w:r>
          </w:p>
          <w:p w14:paraId="5DF251BF">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2)</w:t>
            </w:r>
            <w:r>
              <w:rPr>
                <w:rFonts w:hint="eastAsia" w:ascii="宋体" w:hAnsi="宋体" w:cs="宋体"/>
                <w:color w:val="auto"/>
              </w:rPr>
              <w:tab/>
            </w:r>
            <w:r>
              <w:rPr>
                <w:rFonts w:hint="eastAsia" w:ascii="宋体" w:hAnsi="宋体" w:cs="宋体"/>
                <w:color w:val="auto"/>
              </w:rPr>
              <w:t>处方审核总次数</w:t>
            </w:r>
          </w:p>
          <w:p w14:paraId="4E27E136">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3)</w:t>
            </w:r>
            <w:r>
              <w:rPr>
                <w:rFonts w:hint="eastAsia" w:ascii="宋体" w:hAnsi="宋体" w:cs="宋体"/>
                <w:color w:val="auto"/>
              </w:rPr>
              <w:tab/>
            </w:r>
            <w:r>
              <w:rPr>
                <w:rFonts w:hint="eastAsia" w:ascii="宋体" w:hAnsi="宋体" w:cs="宋体"/>
                <w:color w:val="auto"/>
              </w:rPr>
              <w:t>上班时间审核处方总数（张）</w:t>
            </w:r>
          </w:p>
          <w:p w14:paraId="5276119E">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4)</w:t>
            </w:r>
            <w:r>
              <w:rPr>
                <w:rFonts w:hint="eastAsia" w:ascii="宋体" w:hAnsi="宋体" w:cs="宋体"/>
                <w:color w:val="auto"/>
              </w:rPr>
              <w:tab/>
            </w:r>
            <w:r>
              <w:rPr>
                <w:rFonts w:hint="eastAsia" w:ascii="宋体" w:hAnsi="宋体" w:cs="宋体"/>
                <w:color w:val="auto"/>
              </w:rPr>
              <w:t>上班时间审核处方总次数</w:t>
            </w:r>
          </w:p>
          <w:p w14:paraId="4D4F179F">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5)</w:t>
            </w:r>
            <w:r>
              <w:rPr>
                <w:rFonts w:hint="eastAsia" w:ascii="宋体" w:hAnsi="宋体" w:cs="宋体"/>
                <w:color w:val="auto"/>
              </w:rPr>
              <w:tab/>
            </w:r>
            <w:r>
              <w:rPr>
                <w:rFonts w:hint="eastAsia" w:ascii="宋体" w:hAnsi="宋体" w:cs="宋体"/>
                <w:color w:val="auto"/>
              </w:rPr>
              <w:t>系统自动审核（通过）处方数</w:t>
            </w:r>
          </w:p>
          <w:p w14:paraId="7D8E35D2">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6)</w:t>
            </w:r>
            <w:r>
              <w:rPr>
                <w:rFonts w:hint="eastAsia" w:ascii="宋体" w:hAnsi="宋体" w:cs="宋体"/>
                <w:color w:val="auto"/>
              </w:rPr>
              <w:tab/>
            </w:r>
            <w:r>
              <w:rPr>
                <w:rFonts w:hint="eastAsia" w:ascii="宋体" w:hAnsi="宋体" w:cs="宋体"/>
                <w:color w:val="auto"/>
              </w:rPr>
              <w:t>系统自动审核（打回）处方总数(张)</w:t>
            </w:r>
          </w:p>
          <w:p w14:paraId="0AF0A288">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7)</w:t>
            </w:r>
            <w:r>
              <w:rPr>
                <w:rFonts w:hint="eastAsia" w:ascii="宋体" w:hAnsi="宋体" w:cs="宋体"/>
                <w:color w:val="auto"/>
              </w:rPr>
              <w:tab/>
            </w:r>
            <w:r>
              <w:rPr>
                <w:rFonts w:hint="eastAsia" w:ascii="宋体" w:hAnsi="宋体" w:cs="宋体"/>
                <w:color w:val="auto"/>
              </w:rPr>
              <w:t>系统自动审核（打回）处方总次数</w:t>
            </w:r>
          </w:p>
          <w:p w14:paraId="7F3A010E">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8)</w:t>
            </w:r>
            <w:r>
              <w:rPr>
                <w:rFonts w:hint="eastAsia" w:ascii="宋体" w:hAnsi="宋体" w:cs="宋体"/>
                <w:color w:val="auto"/>
              </w:rPr>
              <w:tab/>
            </w:r>
            <w:r>
              <w:rPr>
                <w:rFonts w:hint="eastAsia" w:ascii="宋体" w:hAnsi="宋体" w:cs="宋体"/>
                <w:color w:val="auto"/>
              </w:rPr>
              <w:t>自动审核合理率（去重）</w:t>
            </w:r>
          </w:p>
          <w:p w14:paraId="11676653">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9)</w:t>
            </w:r>
            <w:r>
              <w:rPr>
                <w:rFonts w:hint="eastAsia" w:ascii="宋体" w:hAnsi="宋体" w:cs="宋体"/>
                <w:color w:val="auto"/>
              </w:rPr>
              <w:tab/>
            </w:r>
            <w:r>
              <w:rPr>
                <w:rFonts w:hint="eastAsia" w:ascii="宋体" w:hAnsi="宋体" w:cs="宋体"/>
                <w:color w:val="auto"/>
              </w:rPr>
              <w:t>自动审核合理率（不去重)</w:t>
            </w:r>
          </w:p>
          <w:p w14:paraId="54A16419">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系统支持按日期、处方类型、科室筛选数据，支持统计表导出。</w:t>
            </w:r>
          </w:p>
        </w:tc>
      </w:tr>
      <w:tr w14:paraId="2F957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851" w:type="dxa"/>
            <w:vMerge w:val="continue"/>
            <w:vAlign w:val="center"/>
          </w:tcPr>
          <w:p w14:paraId="158B243D">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szCs w:val="21"/>
              </w:rPr>
            </w:pPr>
          </w:p>
        </w:tc>
        <w:tc>
          <w:tcPr>
            <w:tcW w:w="1538" w:type="dxa"/>
            <w:vAlign w:val="center"/>
          </w:tcPr>
          <w:p w14:paraId="37206554">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szCs w:val="21"/>
              </w:rPr>
            </w:pPr>
            <w:r>
              <w:rPr>
                <w:rFonts w:hint="eastAsia" w:ascii="宋体" w:hAnsi="宋体" w:cs="宋体"/>
                <w:color w:val="auto"/>
                <w:szCs w:val="21"/>
              </w:rPr>
              <w:t>药师/临床科室审方</w:t>
            </w:r>
            <w:r>
              <w:rPr>
                <w:rFonts w:hint="eastAsia" w:ascii="宋体" w:hAnsi="宋体" w:cs="宋体"/>
                <w:color w:val="auto"/>
              </w:rPr>
              <w:t>情况</w:t>
            </w:r>
            <w:r>
              <w:rPr>
                <w:rFonts w:hint="eastAsia" w:ascii="宋体" w:hAnsi="宋体" w:cs="宋体"/>
                <w:color w:val="auto"/>
                <w:szCs w:val="21"/>
              </w:rPr>
              <w:t>统计</w:t>
            </w:r>
          </w:p>
        </w:tc>
        <w:tc>
          <w:tcPr>
            <w:tcW w:w="7262" w:type="dxa"/>
            <w:vAlign w:val="center"/>
          </w:tcPr>
          <w:p w14:paraId="3DF46020">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系统支持统计各药师、各临床科室的审方情况，包括：</w:t>
            </w:r>
          </w:p>
          <w:p w14:paraId="68C5A231">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1)</w:t>
            </w:r>
            <w:r>
              <w:rPr>
                <w:rFonts w:hint="eastAsia" w:ascii="宋体" w:hAnsi="宋体" w:cs="宋体"/>
                <w:color w:val="auto"/>
              </w:rPr>
              <w:tab/>
            </w:r>
            <w:r>
              <w:rPr>
                <w:rFonts w:hint="eastAsia" w:ascii="宋体" w:hAnsi="宋体" w:cs="宋体"/>
                <w:color w:val="auto"/>
              </w:rPr>
              <w:t>需要审核的处方数（张）</w:t>
            </w:r>
          </w:p>
          <w:p w14:paraId="31051196">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2)</w:t>
            </w:r>
            <w:r>
              <w:rPr>
                <w:rFonts w:hint="eastAsia" w:ascii="宋体" w:hAnsi="宋体" w:cs="宋体"/>
                <w:color w:val="auto"/>
              </w:rPr>
              <w:tab/>
            </w:r>
            <w:r>
              <w:rPr>
                <w:rFonts w:hint="eastAsia" w:ascii="宋体" w:hAnsi="宋体" w:cs="宋体"/>
                <w:color w:val="auto"/>
              </w:rPr>
              <w:t>实际审核处方数（张）</w:t>
            </w:r>
          </w:p>
          <w:p w14:paraId="78F85F9C">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3)</w:t>
            </w:r>
            <w:r>
              <w:rPr>
                <w:rFonts w:hint="eastAsia" w:ascii="宋体" w:hAnsi="宋体" w:cs="宋体"/>
                <w:color w:val="auto"/>
              </w:rPr>
              <w:tab/>
            </w:r>
            <w:r>
              <w:rPr>
                <w:rFonts w:hint="eastAsia" w:ascii="宋体" w:hAnsi="宋体" w:cs="宋体"/>
                <w:color w:val="auto"/>
              </w:rPr>
              <w:t>人工审核通过+人工锁定后审核通过的处方总数</w:t>
            </w:r>
          </w:p>
          <w:p w14:paraId="60D46ED9">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4)</w:t>
            </w:r>
            <w:r>
              <w:rPr>
                <w:rFonts w:hint="eastAsia" w:ascii="宋体" w:hAnsi="宋体" w:cs="宋体"/>
                <w:color w:val="auto"/>
              </w:rPr>
              <w:tab/>
            </w:r>
            <w:r>
              <w:rPr>
                <w:rFonts w:hint="eastAsia" w:ascii="宋体" w:hAnsi="宋体" w:cs="宋体"/>
                <w:color w:val="auto"/>
              </w:rPr>
              <w:t>实际审核处方数（超时通过）（张）</w:t>
            </w:r>
          </w:p>
          <w:p w14:paraId="3802D117">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5)</w:t>
            </w:r>
            <w:r>
              <w:rPr>
                <w:rFonts w:hint="eastAsia" w:ascii="宋体" w:hAnsi="宋体" w:cs="宋体"/>
                <w:color w:val="auto"/>
              </w:rPr>
              <w:tab/>
            </w:r>
            <w:r>
              <w:rPr>
                <w:rFonts w:hint="eastAsia" w:ascii="宋体" w:hAnsi="宋体" w:cs="宋体"/>
                <w:color w:val="auto"/>
              </w:rPr>
              <w:t>实际审核合理率（通过，去重）</w:t>
            </w:r>
          </w:p>
          <w:p w14:paraId="1E3F5543">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6)</w:t>
            </w:r>
            <w:r>
              <w:rPr>
                <w:rFonts w:hint="eastAsia" w:ascii="宋体" w:hAnsi="宋体" w:cs="宋体"/>
                <w:color w:val="auto"/>
              </w:rPr>
              <w:tab/>
            </w:r>
            <w:r>
              <w:rPr>
                <w:rFonts w:hint="eastAsia" w:ascii="宋体" w:hAnsi="宋体" w:cs="宋体"/>
                <w:color w:val="auto"/>
              </w:rPr>
              <w:t>实际审核合理率（通过和超时通过，去重）</w:t>
            </w:r>
          </w:p>
          <w:p w14:paraId="171E6D4B">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7)</w:t>
            </w:r>
            <w:r>
              <w:rPr>
                <w:rFonts w:hint="eastAsia" w:ascii="宋体" w:hAnsi="宋体" w:cs="宋体"/>
                <w:color w:val="auto"/>
              </w:rPr>
              <w:tab/>
            </w:r>
            <w:r>
              <w:rPr>
                <w:rFonts w:hint="eastAsia" w:ascii="宋体" w:hAnsi="宋体" w:cs="宋体"/>
                <w:color w:val="auto"/>
              </w:rPr>
              <w:t>人工审核合理率（去重）</w:t>
            </w:r>
          </w:p>
          <w:p w14:paraId="27943130">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8)</w:t>
            </w:r>
            <w:r>
              <w:rPr>
                <w:rFonts w:hint="eastAsia" w:ascii="宋体" w:hAnsi="宋体" w:cs="宋体"/>
                <w:color w:val="auto"/>
              </w:rPr>
              <w:tab/>
            </w:r>
            <w:r>
              <w:rPr>
                <w:rFonts w:hint="eastAsia" w:ascii="宋体" w:hAnsi="宋体" w:cs="宋体"/>
                <w:color w:val="auto"/>
              </w:rPr>
              <w:t>人工审核合理率（不去重）</w:t>
            </w:r>
          </w:p>
          <w:p w14:paraId="2F5FB009">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9)</w:t>
            </w:r>
            <w:r>
              <w:rPr>
                <w:rFonts w:hint="eastAsia" w:ascii="宋体" w:hAnsi="宋体" w:cs="宋体"/>
                <w:color w:val="auto"/>
              </w:rPr>
              <w:tab/>
            </w:r>
            <w:r>
              <w:rPr>
                <w:rFonts w:hint="eastAsia" w:ascii="宋体" w:hAnsi="宋体" w:cs="宋体"/>
                <w:color w:val="auto"/>
              </w:rPr>
              <w:t>人工审核打回处方数</w:t>
            </w:r>
          </w:p>
          <w:p w14:paraId="63A8AAC5">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10)</w:t>
            </w:r>
            <w:r>
              <w:rPr>
                <w:rFonts w:hint="eastAsia" w:ascii="宋体" w:hAnsi="宋体" w:cs="宋体"/>
                <w:color w:val="auto"/>
              </w:rPr>
              <w:tab/>
            </w:r>
            <w:r>
              <w:rPr>
                <w:rFonts w:hint="eastAsia" w:ascii="宋体" w:hAnsi="宋体" w:cs="宋体"/>
                <w:color w:val="auto"/>
              </w:rPr>
              <w:t>人工审核打回率</w:t>
            </w:r>
          </w:p>
          <w:p w14:paraId="070EC7B8">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11)</w:t>
            </w:r>
            <w:r>
              <w:rPr>
                <w:rFonts w:hint="eastAsia" w:ascii="宋体" w:hAnsi="宋体" w:cs="宋体"/>
                <w:color w:val="auto"/>
              </w:rPr>
              <w:tab/>
            </w:r>
            <w:r>
              <w:rPr>
                <w:rFonts w:hint="eastAsia" w:ascii="宋体" w:hAnsi="宋体" w:cs="宋体"/>
                <w:color w:val="auto"/>
              </w:rPr>
              <w:t>人工审核打回率（包含超时通过）</w:t>
            </w:r>
          </w:p>
          <w:p w14:paraId="406BE4A6">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12)</w:t>
            </w:r>
            <w:r>
              <w:rPr>
                <w:rFonts w:hint="eastAsia" w:ascii="宋体" w:hAnsi="宋体" w:cs="宋体"/>
                <w:color w:val="auto"/>
              </w:rPr>
              <w:tab/>
            </w:r>
            <w:r>
              <w:rPr>
                <w:rFonts w:hint="eastAsia" w:ascii="宋体" w:hAnsi="宋体" w:cs="宋体"/>
                <w:color w:val="auto"/>
              </w:rPr>
              <w:t>响应率（审核率）</w:t>
            </w:r>
          </w:p>
          <w:p w14:paraId="663A9C50">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13)</w:t>
            </w:r>
            <w:r>
              <w:rPr>
                <w:rFonts w:hint="eastAsia" w:ascii="宋体" w:hAnsi="宋体" w:cs="宋体"/>
                <w:color w:val="auto"/>
              </w:rPr>
              <w:tab/>
            </w:r>
            <w:r>
              <w:rPr>
                <w:rFonts w:hint="eastAsia" w:ascii="宋体" w:hAnsi="宋体" w:cs="宋体"/>
                <w:color w:val="auto"/>
              </w:rPr>
              <w:t>问题处方数</w:t>
            </w:r>
          </w:p>
          <w:p w14:paraId="7304594E">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系统支持按日期、处方类型、科室、药师姓名筛选数据，支持统计表导出。</w:t>
            </w:r>
          </w:p>
        </w:tc>
      </w:tr>
      <w:tr w14:paraId="788E6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851" w:type="dxa"/>
            <w:vMerge w:val="continue"/>
            <w:vAlign w:val="center"/>
          </w:tcPr>
          <w:p w14:paraId="31E92DC6">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szCs w:val="21"/>
              </w:rPr>
            </w:pPr>
          </w:p>
        </w:tc>
        <w:tc>
          <w:tcPr>
            <w:tcW w:w="1538" w:type="dxa"/>
            <w:vAlign w:val="center"/>
          </w:tcPr>
          <w:p w14:paraId="579C80CA">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药师与医生互动情况统计</w:t>
            </w:r>
          </w:p>
        </w:tc>
        <w:tc>
          <w:tcPr>
            <w:tcW w:w="7262" w:type="dxa"/>
            <w:vAlign w:val="center"/>
          </w:tcPr>
          <w:p w14:paraId="74BFC4E5">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rPr>
            </w:pPr>
            <w:r>
              <w:rPr>
                <w:rFonts w:hint="eastAsia" w:ascii="宋体" w:hAnsi="宋体" w:cs="宋体"/>
                <w:bCs/>
                <w:color w:val="auto"/>
                <w:szCs w:val="21"/>
              </w:rPr>
              <w:t>系统支持统计各药师与医生的互动情况，统计沟通次数，并可下钻查看沟通的处方详情。</w:t>
            </w:r>
          </w:p>
          <w:p w14:paraId="5A0AD014">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rPr>
            </w:pPr>
            <w:r>
              <w:rPr>
                <w:rFonts w:hint="eastAsia" w:ascii="宋体" w:hAnsi="宋体" w:cs="宋体"/>
                <w:bCs/>
                <w:color w:val="auto"/>
                <w:szCs w:val="21"/>
              </w:rPr>
              <w:t>系统支持按日期、处方类型、科室、药师姓名筛选数据，支持统计表导出。</w:t>
            </w:r>
          </w:p>
        </w:tc>
      </w:tr>
      <w:tr w14:paraId="42A5D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851" w:type="dxa"/>
            <w:vMerge w:val="continue"/>
            <w:vAlign w:val="center"/>
          </w:tcPr>
          <w:p w14:paraId="4C167D04">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szCs w:val="21"/>
              </w:rPr>
            </w:pPr>
          </w:p>
        </w:tc>
        <w:tc>
          <w:tcPr>
            <w:tcW w:w="1538" w:type="dxa"/>
            <w:vAlign w:val="center"/>
          </w:tcPr>
          <w:p w14:paraId="77E95224">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问题处方情况统计</w:t>
            </w:r>
          </w:p>
        </w:tc>
        <w:tc>
          <w:tcPr>
            <w:tcW w:w="7262" w:type="dxa"/>
            <w:vAlign w:val="center"/>
          </w:tcPr>
          <w:p w14:paraId="2AA5E40C">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rPr>
            </w:pPr>
            <w:r>
              <w:rPr>
                <w:rFonts w:hint="eastAsia" w:ascii="宋体" w:hAnsi="宋体" w:cs="宋体"/>
                <w:bCs/>
                <w:color w:val="auto"/>
                <w:szCs w:val="21"/>
              </w:rPr>
              <w:t>系统支持查看问题处方明细。</w:t>
            </w:r>
          </w:p>
          <w:p w14:paraId="285F0DDE">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rPr>
            </w:pPr>
            <w:r>
              <w:rPr>
                <w:rFonts w:hint="eastAsia" w:ascii="宋体" w:hAnsi="宋体" w:cs="宋体"/>
                <w:bCs/>
                <w:color w:val="auto"/>
                <w:szCs w:val="21"/>
              </w:rPr>
              <w:t>系统支持按日期、医生姓名、审核药师、处方类型、科室、问题标题、药品名称、诊断、审方状态、药房筛选数据，支持统计表导出。</w:t>
            </w:r>
          </w:p>
        </w:tc>
      </w:tr>
      <w:tr w14:paraId="4A797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851" w:type="dxa"/>
            <w:vMerge w:val="continue"/>
            <w:vAlign w:val="center"/>
          </w:tcPr>
          <w:p w14:paraId="03DE5461">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szCs w:val="21"/>
              </w:rPr>
            </w:pPr>
          </w:p>
        </w:tc>
        <w:tc>
          <w:tcPr>
            <w:tcW w:w="1538" w:type="dxa"/>
            <w:vAlign w:val="center"/>
          </w:tcPr>
          <w:p w14:paraId="6A416E8D">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审方汇总表</w:t>
            </w:r>
          </w:p>
        </w:tc>
        <w:tc>
          <w:tcPr>
            <w:tcW w:w="7262" w:type="dxa"/>
            <w:vAlign w:val="center"/>
          </w:tcPr>
          <w:p w14:paraId="04695F0F">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系统支持统计自定义时间范围内审方情况，支持按处方或按人次进行统计，包括以下指标：</w:t>
            </w:r>
          </w:p>
          <w:p w14:paraId="7EA09C06">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1)</w:t>
            </w:r>
            <w:r>
              <w:rPr>
                <w:rFonts w:hint="eastAsia" w:ascii="宋体" w:hAnsi="宋体" w:cs="宋体"/>
                <w:color w:val="auto"/>
              </w:rPr>
              <w:tab/>
            </w:r>
            <w:r>
              <w:rPr>
                <w:rFonts w:hint="eastAsia" w:ascii="宋体" w:hAnsi="宋体" w:cs="宋体"/>
                <w:color w:val="auto"/>
              </w:rPr>
              <w:t>处方审核总数(张)</w:t>
            </w:r>
          </w:p>
          <w:p w14:paraId="5142D208">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2)</w:t>
            </w:r>
            <w:r>
              <w:rPr>
                <w:rFonts w:hint="eastAsia" w:ascii="宋体" w:hAnsi="宋体" w:cs="宋体"/>
                <w:color w:val="auto"/>
              </w:rPr>
              <w:tab/>
            </w:r>
            <w:r>
              <w:rPr>
                <w:rFonts w:hint="eastAsia" w:ascii="宋体" w:hAnsi="宋体" w:cs="宋体"/>
                <w:color w:val="auto"/>
              </w:rPr>
              <w:t>合格处方数(张)</w:t>
            </w:r>
          </w:p>
          <w:p w14:paraId="3FF8F395">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3)</w:t>
            </w:r>
            <w:r>
              <w:rPr>
                <w:rFonts w:hint="eastAsia" w:ascii="宋体" w:hAnsi="宋体" w:cs="宋体"/>
                <w:color w:val="auto"/>
              </w:rPr>
              <w:tab/>
            </w:r>
            <w:r>
              <w:rPr>
                <w:rFonts w:hint="eastAsia" w:ascii="宋体" w:hAnsi="宋体" w:cs="宋体"/>
                <w:color w:val="auto"/>
              </w:rPr>
              <w:t>合格率（总）</w:t>
            </w:r>
          </w:p>
          <w:p w14:paraId="01222CA9">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4)</w:t>
            </w:r>
            <w:r>
              <w:rPr>
                <w:rFonts w:hint="eastAsia" w:ascii="宋体" w:hAnsi="宋体" w:cs="宋体"/>
                <w:color w:val="auto"/>
              </w:rPr>
              <w:tab/>
            </w:r>
            <w:r>
              <w:rPr>
                <w:rFonts w:hint="eastAsia" w:ascii="宋体" w:hAnsi="宋体" w:cs="宋体"/>
                <w:color w:val="auto"/>
              </w:rPr>
              <w:t>系统合格处方数(张)</w:t>
            </w:r>
          </w:p>
          <w:p w14:paraId="75F40090">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5)</w:t>
            </w:r>
            <w:r>
              <w:rPr>
                <w:rFonts w:hint="eastAsia" w:ascii="宋体" w:hAnsi="宋体" w:cs="宋体"/>
                <w:color w:val="auto"/>
              </w:rPr>
              <w:tab/>
            </w:r>
            <w:r>
              <w:rPr>
                <w:rFonts w:hint="eastAsia" w:ascii="宋体" w:hAnsi="宋体" w:cs="宋体"/>
                <w:color w:val="auto"/>
              </w:rPr>
              <w:t>系统合格率</w:t>
            </w:r>
          </w:p>
          <w:p w14:paraId="134747A0">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6)</w:t>
            </w:r>
            <w:r>
              <w:rPr>
                <w:rFonts w:hint="eastAsia" w:ascii="宋体" w:hAnsi="宋体" w:cs="宋体"/>
                <w:color w:val="auto"/>
              </w:rPr>
              <w:tab/>
            </w:r>
            <w:r>
              <w:rPr>
                <w:rFonts w:hint="eastAsia" w:ascii="宋体" w:hAnsi="宋体" w:cs="宋体"/>
                <w:color w:val="auto"/>
              </w:rPr>
              <w:t>触发人工审方数(张)</w:t>
            </w:r>
          </w:p>
          <w:p w14:paraId="687ED5CB">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7)</w:t>
            </w:r>
            <w:r>
              <w:rPr>
                <w:rFonts w:hint="eastAsia" w:ascii="宋体" w:hAnsi="宋体" w:cs="宋体"/>
                <w:color w:val="auto"/>
              </w:rPr>
              <w:tab/>
            </w:r>
            <w:r>
              <w:rPr>
                <w:rFonts w:hint="eastAsia" w:ascii="宋体" w:hAnsi="宋体" w:cs="宋体"/>
                <w:color w:val="auto"/>
              </w:rPr>
              <w:t>触发率</w:t>
            </w:r>
          </w:p>
          <w:p w14:paraId="0380C14C">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8)</w:t>
            </w:r>
            <w:r>
              <w:rPr>
                <w:rFonts w:hint="eastAsia" w:ascii="宋体" w:hAnsi="宋体" w:cs="宋体"/>
                <w:color w:val="auto"/>
              </w:rPr>
              <w:tab/>
            </w:r>
            <w:r>
              <w:rPr>
                <w:rFonts w:hint="eastAsia" w:ascii="宋体" w:hAnsi="宋体" w:cs="宋体"/>
                <w:color w:val="auto"/>
              </w:rPr>
              <w:t>干预处方数(张)</w:t>
            </w:r>
          </w:p>
          <w:p w14:paraId="3EEB5DEE">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9)</w:t>
            </w:r>
            <w:r>
              <w:rPr>
                <w:rFonts w:hint="eastAsia" w:ascii="宋体" w:hAnsi="宋体" w:cs="宋体"/>
                <w:color w:val="auto"/>
              </w:rPr>
              <w:tab/>
            </w:r>
            <w:r>
              <w:rPr>
                <w:rFonts w:hint="eastAsia" w:ascii="宋体" w:hAnsi="宋体" w:cs="宋体"/>
                <w:color w:val="auto"/>
              </w:rPr>
              <w:t>干预率</w:t>
            </w:r>
          </w:p>
          <w:p w14:paraId="52BFD18D">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10)</w:t>
            </w:r>
            <w:r>
              <w:rPr>
                <w:rFonts w:hint="eastAsia" w:ascii="宋体" w:hAnsi="宋体" w:cs="宋体"/>
                <w:color w:val="auto"/>
              </w:rPr>
              <w:tab/>
            </w:r>
            <w:r>
              <w:rPr>
                <w:rFonts w:hint="eastAsia" w:ascii="宋体" w:hAnsi="宋体" w:cs="宋体"/>
                <w:color w:val="auto"/>
              </w:rPr>
              <w:t>打回处方数(张)</w:t>
            </w:r>
          </w:p>
          <w:p w14:paraId="46DE6D42">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11)</w:t>
            </w:r>
            <w:r>
              <w:rPr>
                <w:rFonts w:hint="eastAsia" w:ascii="宋体" w:hAnsi="宋体" w:cs="宋体"/>
                <w:color w:val="auto"/>
              </w:rPr>
              <w:tab/>
            </w:r>
            <w:r>
              <w:rPr>
                <w:rFonts w:hint="eastAsia" w:ascii="宋体" w:hAnsi="宋体" w:cs="宋体"/>
                <w:color w:val="auto"/>
              </w:rPr>
              <w:t>打回率</w:t>
            </w:r>
          </w:p>
          <w:p w14:paraId="1F634040">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12)</w:t>
            </w:r>
            <w:r>
              <w:rPr>
                <w:rFonts w:hint="eastAsia" w:ascii="宋体" w:hAnsi="宋体" w:cs="宋体"/>
                <w:color w:val="auto"/>
              </w:rPr>
              <w:tab/>
            </w:r>
            <w:r>
              <w:rPr>
                <w:rFonts w:hint="eastAsia" w:ascii="宋体" w:hAnsi="宋体" w:cs="宋体"/>
                <w:color w:val="auto"/>
              </w:rPr>
              <w:t>双签处方数(张)</w:t>
            </w:r>
          </w:p>
          <w:p w14:paraId="55BFCA02">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13)</w:t>
            </w:r>
            <w:r>
              <w:rPr>
                <w:rFonts w:hint="eastAsia" w:ascii="宋体" w:hAnsi="宋体" w:cs="宋体"/>
                <w:color w:val="auto"/>
              </w:rPr>
              <w:tab/>
            </w:r>
            <w:r>
              <w:rPr>
                <w:rFonts w:hint="eastAsia" w:ascii="宋体" w:hAnsi="宋体" w:cs="宋体"/>
                <w:color w:val="auto"/>
              </w:rPr>
              <w:t>双签率（分母为打回处方数）</w:t>
            </w:r>
          </w:p>
          <w:p w14:paraId="28700522">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14)</w:t>
            </w:r>
            <w:r>
              <w:rPr>
                <w:rFonts w:hint="eastAsia" w:ascii="宋体" w:hAnsi="宋体" w:cs="宋体"/>
                <w:color w:val="auto"/>
              </w:rPr>
              <w:tab/>
            </w:r>
            <w:r>
              <w:rPr>
                <w:rFonts w:hint="eastAsia" w:ascii="宋体" w:hAnsi="宋体" w:cs="宋体"/>
                <w:color w:val="auto"/>
              </w:rPr>
              <w:t>认同率（分母为处方审核总数）</w:t>
            </w:r>
          </w:p>
          <w:p w14:paraId="1F4901C4">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rPr>
            </w:pPr>
            <w:r>
              <w:rPr>
                <w:rFonts w:hint="eastAsia" w:ascii="宋体" w:hAnsi="宋体" w:cs="宋体"/>
                <w:color w:val="auto"/>
              </w:rPr>
              <w:t>系统支持按日期、处方类型筛选数据，支持统计表导出。</w:t>
            </w:r>
          </w:p>
        </w:tc>
      </w:tr>
      <w:tr w14:paraId="1FB2D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851" w:type="dxa"/>
            <w:vMerge w:val="continue"/>
            <w:vAlign w:val="center"/>
          </w:tcPr>
          <w:p w14:paraId="1D0F13AF">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szCs w:val="21"/>
              </w:rPr>
            </w:pPr>
          </w:p>
        </w:tc>
        <w:tc>
          <w:tcPr>
            <w:tcW w:w="1538" w:type="dxa"/>
            <w:vAlign w:val="center"/>
          </w:tcPr>
          <w:p w14:paraId="1C3F7B07">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szCs w:val="21"/>
              </w:rPr>
            </w:pPr>
            <w:r>
              <w:rPr>
                <w:rFonts w:hint="eastAsia" w:ascii="宋体" w:hAnsi="宋体" w:cs="宋体"/>
                <w:color w:val="auto"/>
                <w:szCs w:val="21"/>
              </w:rPr>
              <w:t>处方明细表</w:t>
            </w:r>
          </w:p>
        </w:tc>
        <w:tc>
          <w:tcPr>
            <w:tcW w:w="7262" w:type="dxa"/>
            <w:vAlign w:val="center"/>
          </w:tcPr>
          <w:p w14:paraId="503D860F">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rPr>
            </w:pPr>
            <w:r>
              <w:rPr>
                <w:rFonts w:hint="eastAsia" w:ascii="宋体" w:hAnsi="宋体" w:cs="宋体"/>
                <w:bCs/>
                <w:color w:val="auto"/>
                <w:szCs w:val="21"/>
              </w:rPr>
              <w:t>系统支持统计全部处方明细，支持下钻查看处方详情。</w:t>
            </w:r>
          </w:p>
          <w:p w14:paraId="5FA3D5F0">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rPr>
            </w:pPr>
            <w:r>
              <w:rPr>
                <w:rFonts w:hint="eastAsia" w:ascii="宋体" w:hAnsi="宋体" w:cs="宋体"/>
                <w:bCs/>
                <w:color w:val="auto"/>
                <w:szCs w:val="21"/>
              </w:rPr>
              <w:t>系统支持按日期、处方审核状态、医生姓名、处方类型、处方科室、处方号、药品名称、问题等级、患者姓名筛选数据，支持表格导出。</w:t>
            </w:r>
          </w:p>
        </w:tc>
      </w:tr>
      <w:tr w14:paraId="5FDF9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851" w:type="dxa"/>
            <w:vMerge w:val="continue"/>
            <w:vAlign w:val="center"/>
          </w:tcPr>
          <w:p w14:paraId="7C80EE57">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szCs w:val="21"/>
              </w:rPr>
            </w:pPr>
          </w:p>
        </w:tc>
        <w:tc>
          <w:tcPr>
            <w:tcW w:w="8800" w:type="dxa"/>
            <w:gridSpan w:val="2"/>
            <w:vAlign w:val="center"/>
          </w:tcPr>
          <w:p w14:paraId="1BC24854">
            <w:pPr>
              <w:keepNext w:val="0"/>
              <w:keepLines w:val="0"/>
              <w:pageBreakBefore w:val="0"/>
              <w:numPr>
                <w:ilvl w:val="1"/>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rPr>
            </w:pPr>
            <w:bookmarkStart w:id="158" w:name="_Toc192772619"/>
            <w:r>
              <w:rPr>
                <w:rFonts w:hint="eastAsia" w:ascii="宋体" w:hAnsi="宋体" w:cs="宋体"/>
                <w:color w:val="auto"/>
                <w:szCs w:val="21"/>
              </w:rPr>
              <w:t>审方配置</w:t>
            </w:r>
            <w:bookmarkEnd w:id="158"/>
          </w:p>
        </w:tc>
      </w:tr>
      <w:tr w14:paraId="3362E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851" w:type="dxa"/>
            <w:vMerge w:val="continue"/>
            <w:vAlign w:val="center"/>
          </w:tcPr>
          <w:p w14:paraId="21885107">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szCs w:val="21"/>
              </w:rPr>
            </w:pPr>
          </w:p>
        </w:tc>
        <w:tc>
          <w:tcPr>
            <w:tcW w:w="1538" w:type="dxa"/>
            <w:vAlign w:val="center"/>
          </w:tcPr>
          <w:p w14:paraId="4206B65D">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szCs w:val="21"/>
              </w:rPr>
            </w:pPr>
            <w:r>
              <w:rPr>
                <w:rFonts w:hint="eastAsia" w:ascii="宋体" w:hAnsi="宋体" w:cs="宋体"/>
                <w:color w:val="auto"/>
                <w:szCs w:val="21"/>
              </w:rPr>
              <w:t>审方启停</w:t>
            </w:r>
          </w:p>
        </w:tc>
        <w:tc>
          <w:tcPr>
            <w:tcW w:w="7262" w:type="dxa"/>
            <w:vAlign w:val="center"/>
          </w:tcPr>
          <w:p w14:paraId="7F3CE3CC">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系统支持启停人工审方系统，可分别设置各个模块的启停。包括：</w:t>
            </w:r>
          </w:p>
          <w:p w14:paraId="3C90A77B">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1)</w:t>
            </w:r>
            <w:r>
              <w:rPr>
                <w:rFonts w:hint="eastAsia" w:ascii="宋体" w:hAnsi="宋体" w:cs="宋体"/>
                <w:color w:val="auto"/>
              </w:rPr>
              <w:tab/>
            </w:r>
            <w:r>
              <w:rPr>
                <w:rFonts w:hint="eastAsia" w:ascii="宋体" w:hAnsi="宋体" w:cs="宋体"/>
                <w:color w:val="auto"/>
              </w:rPr>
              <w:t>门诊审方的启停。关闭后，问题处方不进入人工审方系统。</w:t>
            </w:r>
          </w:p>
          <w:p w14:paraId="7EA54F9A">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2)</w:t>
            </w:r>
            <w:r>
              <w:rPr>
                <w:rFonts w:hint="eastAsia" w:ascii="宋体" w:hAnsi="宋体" w:cs="宋体"/>
                <w:color w:val="auto"/>
              </w:rPr>
              <w:tab/>
            </w:r>
            <w:r>
              <w:rPr>
                <w:rFonts w:hint="eastAsia" w:ascii="宋体" w:hAnsi="宋体" w:cs="宋体"/>
                <w:color w:val="auto"/>
              </w:rPr>
              <w:t>住院审方的启停。关闭后，问题医嘱不进入人工审方系统。</w:t>
            </w:r>
          </w:p>
          <w:p w14:paraId="7A6A3222">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3)</w:t>
            </w:r>
            <w:r>
              <w:rPr>
                <w:rFonts w:hint="eastAsia" w:ascii="宋体" w:hAnsi="宋体" w:cs="宋体"/>
                <w:color w:val="auto"/>
              </w:rPr>
              <w:tab/>
            </w:r>
            <w:r>
              <w:rPr>
                <w:rFonts w:hint="eastAsia" w:ascii="宋体" w:hAnsi="宋体" w:cs="宋体"/>
                <w:color w:val="auto"/>
              </w:rPr>
              <w:t>驻科审方的启停。关闭后，驻科药师将无法对医嘱进行审核。（需同步上线驻科审方模块）</w:t>
            </w:r>
          </w:p>
          <w:p w14:paraId="772F9D63">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4)</w:t>
            </w:r>
            <w:r>
              <w:rPr>
                <w:rFonts w:hint="eastAsia" w:ascii="宋体" w:hAnsi="宋体" w:cs="宋体"/>
                <w:color w:val="auto"/>
              </w:rPr>
              <w:tab/>
            </w:r>
            <w:r>
              <w:rPr>
                <w:rFonts w:hint="eastAsia" w:ascii="宋体" w:hAnsi="宋体" w:cs="宋体"/>
                <w:color w:val="auto"/>
              </w:rPr>
              <w:t>静配审方的启停。关闭后，问题医嘱不进入人工审方系统。</w:t>
            </w:r>
          </w:p>
          <w:p w14:paraId="285F0103">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5)</w:t>
            </w:r>
            <w:r>
              <w:rPr>
                <w:rFonts w:hint="eastAsia" w:ascii="宋体" w:hAnsi="宋体" w:cs="宋体"/>
                <w:color w:val="auto"/>
              </w:rPr>
              <w:tab/>
            </w:r>
            <w:r>
              <w:rPr>
                <w:rFonts w:hint="eastAsia" w:ascii="宋体" w:hAnsi="宋体" w:cs="宋体"/>
                <w:color w:val="auto"/>
              </w:rPr>
              <w:t>双通道审方的启停。关闭后，双通道审方按照正常审方流程处理。</w:t>
            </w:r>
          </w:p>
          <w:p w14:paraId="00ECA4C6">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rPr>
            </w:pPr>
            <w:r>
              <w:rPr>
                <w:rFonts w:hint="eastAsia" w:ascii="宋体" w:hAnsi="宋体" w:cs="宋体"/>
                <w:color w:val="auto"/>
              </w:rPr>
              <w:t>6)</w:t>
            </w:r>
            <w:r>
              <w:rPr>
                <w:rFonts w:hint="eastAsia" w:ascii="宋体" w:hAnsi="宋体" w:cs="宋体"/>
                <w:color w:val="auto"/>
              </w:rPr>
              <w:tab/>
            </w:r>
            <w:r>
              <w:rPr>
                <w:rFonts w:hint="eastAsia" w:ascii="宋体" w:hAnsi="宋体" w:cs="宋体"/>
                <w:color w:val="auto"/>
              </w:rPr>
              <w:t>外配审方的启停。关闭后，外配审方按照正常审方流程处理。</w:t>
            </w:r>
          </w:p>
        </w:tc>
      </w:tr>
      <w:tr w14:paraId="667D5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851" w:type="dxa"/>
            <w:vMerge w:val="continue"/>
            <w:vAlign w:val="center"/>
          </w:tcPr>
          <w:p w14:paraId="221C5783">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szCs w:val="21"/>
              </w:rPr>
            </w:pPr>
          </w:p>
        </w:tc>
        <w:tc>
          <w:tcPr>
            <w:tcW w:w="1538" w:type="dxa"/>
            <w:vAlign w:val="center"/>
          </w:tcPr>
          <w:p w14:paraId="74DBD05A">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szCs w:val="21"/>
              </w:rPr>
            </w:pPr>
            <w:r>
              <w:rPr>
                <w:rFonts w:hint="eastAsia" w:ascii="宋体" w:hAnsi="宋体" w:cs="宋体"/>
                <w:color w:val="auto"/>
                <w:szCs w:val="21"/>
              </w:rPr>
              <w:t>审方超时</w:t>
            </w:r>
            <w:r>
              <w:rPr>
                <w:rFonts w:hint="eastAsia" w:ascii="宋体" w:hAnsi="宋体" w:cs="宋体"/>
                <w:color w:val="auto"/>
              </w:rPr>
              <w:t>设置</w:t>
            </w:r>
          </w:p>
        </w:tc>
        <w:tc>
          <w:tcPr>
            <w:tcW w:w="7262" w:type="dxa"/>
            <w:vAlign w:val="center"/>
          </w:tcPr>
          <w:p w14:paraId="351E2F0E">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rPr>
            </w:pPr>
            <w:r>
              <w:rPr>
                <w:rFonts w:hint="eastAsia" w:ascii="宋体" w:hAnsi="宋体" w:cs="宋体"/>
                <w:bCs/>
                <w:color w:val="auto"/>
                <w:szCs w:val="21"/>
              </w:rPr>
              <w:t>系统支持设置各个模块的人工审方超时通过的时间，包括急诊审方、门诊审方、住院审方、驻科审方、静配审方、双通道审方、外配审方。</w:t>
            </w:r>
          </w:p>
        </w:tc>
      </w:tr>
      <w:tr w14:paraId="6C104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851" w:type="dxa"/>
            <w:vMerge w:val="continue"/>
            <w:vAlign w:val="center"/>
          </w:tcPr>
          <w:p w14:paraId="6DFA11AB">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szCs w:val="21"/>
              </w:rPr>
            </w:pPr>
          </w:p>
        </w:tc>
        <w:tc>
          <w:tcPr>
            <w:tcW w:w="1538" w:type="dxa"/>
            <w:vAlign w:val="center"/>
          </w:tcPr>
          <w:p w14:paraId="7176D9BA">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审方锁定设置</w:t>
            </w:r>
          </w:p>
        </w:tc>
        <w:tc>
          <w:tcPr>
            <w:tcW w:w="7262" w:type="dxa"/>
            <w:vAlign w:val="center"/>
          </w:tcPr>
          <w:p w14:paraId="492C4336">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rPr>
            </w:pPr>
            <w:r>
              <w:rPr>
                <w:rFonts w:hint="eastAsia" w:ascii="宋体" w:hAnsi="宋体" w:cs="宋体"/>
                <w:bCs/>
                <w:color w:val="auto"/>
                <w:szCs w:val="21"/>
              </w:rPr>
              <w:t>系统支持设置各个模块的人工审方锁定时间，包括急诊审方、门诊审方、住院审方、驻科审方、静配审方、双通道审方、外配审方。</w:t>
            </w:r>
          </w:p>
          <w:p w14:paraId="39EBCC7D">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rPr>
            </w:pPr>
            <w:r>
              <w:rPr>
                <w:rFonts w:hint="eastAsia" w:ascii="宋体" w:hAnsi="宋体" w:cs="宋体"/>
                <w:bCs/>
                <w:color w:val="auto"/>
                <w:szCs w:val="21"/>
              </w:rPr>
              <w:t>系统支持配置一键锁定的功能，一键锁定可从待审方列表的第n张开始锁定，可配置锁定处方的起始位置。</w:t>
            </w:r>
          </w:p>
        </w:tc>
      </w:tr>
      <w:tr w14:paraId="7ECD7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851" w:type="dxa"/>
            <w:vMerge w:val="continue"/>
            <w:vAlign w:val="center"/>
          </w:tcPr>
          <w:p w14:paraId="5960C61F">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szCs w:val="21"/>
              </w:rPr>
            </w:pPr>
          </w:p>
        </w:tc>
        <w:tc>
          <w:tcPr>
            <w:tcW w:w="1538" w:type="dxa"/>
            <w:vAlign w:val="center"/>
          </w:tcPr>
          <w:p w14:paraId="67AAB608">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住院审方医嘱类型设置</w:t>
            </w:r>
          </w:p>
        </w:tc>
        <w:tc>
          <w:tcPr>
            <w:tcW w:w="7262" w:type="dxa"/>
            <w:vAlign w:val="center"/>
          </w:tcPr>
          <w:p w14:paraId="0FB47411">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rPr>
            </w:pPr>
            <w:r>
              <w:rPr>
                <w:rFonts w:hint="eastAsia" w:ascii="宋体" w:hAnsi="宋体" w:cs="宋体"/>
                <w:bCs/>
                <w:color w:val="auto"/>
                <w:szCs w:val="21"/>
              </w:rPr>
              <w:t>系统支持设置住院审方的医嘱类型，包括长嘱、临嘱、出院带药医嘱。</w:t>
            </w:r>
          </w:p>
        </w:tc>
      </w:tr>
      <w:tr w14:paraId="46549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851" w:type="dxa"/>
            <w:vMerge w:val="continue"/>
            <w:vAlign w:val="center"/>
          </w:tcPr>
          <w:p w14:paraId="60217CE3">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szCs w:val="21"/>
              </w:rPr>
            </w:pPr>
          </w:p>
        </w:tc>
        <w:tc>
          <w:tcPr>
            <w:tcW w:w="1538" w:type="dxa"/>
            <w:vAlign w:val="center"/>
          </w:tcPr>
          <w:p w14:paraId="54C88083">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审方药品类型设置</w:t>
            </w:r>
          </w:p>
        </w:tc>
        <w:tc>
          <w:tcPr>
            <w:tcW w:w="7262" w:type="dxa"/>
            <w:vAlign w:val="center"/>
          </w:tcPr>
          <w:p w14:paraId="18D627ED">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rPr>
            </w:pPr>
            <w:r>
              <w:rPr>
                <w:rFonts w:hint="eastAsia" w:ascii="宋体" w:hAnsi="宋体" w:cs="宋体"/>
                <w:bCs/>
                <w:color w:val="auto"/>
                <w:szCs w:val="21"/>
              </w:rPr>
              <w:t>系统支持设置审方的药品类型，包括西药、中成药、中药。</w:t>
            </w:r>
          </w:p>
        </w:tc>
      </w:tr>
      <w:tr w14:paraId="4672F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851" w:type="dxa"/>
            <w:vMerge w:val="continue"/>
            <w:vAlign w:val="center"/>
          </w:tcPr>
          <w:p w14:paraId="6187138E">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szCs w:val="21"/>
              </w:rPr>
            </w:pPr>
          </w:p>
        </w:tc>
        <w:tc>
          <w:tcPr>
            <w:tcW w:w="1538" w:type="dxa"/>
            <w:vAlign w:val="center"/>
          </w:tcPr>
          <w:p w14:paraId="48C15ACF">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审方流程设置</w:t>
            </w:r>
          </w:p>
        </w:tc>
        <w:tc>
          <w:tcPr>
            <w:tcW w:w="7262" w:type="dxa"/>
            <w:vAlign w:val="center"/>
          </w:tcPr>
          <w:p w14:paraId="10F7A2CA">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rPr>
            </w:pPr>
            <w:r>
              <w:rPr>
                <w:rFonts w:hint="eastAsia" w:ascii="宋体" w:hAnsi="宋体" w:cs="宋体"/>
                <w:bCs/>
                <w:color w:val="auto"/>
                <w:szCs w:val="21"/>
              </w:rPr>
              <w:t>系统提供多个审方流程供用户选择，药师可根据处方/医嘱的问题级别配置不同的审方流程。</w:t>
            </w:r>
          </w:p>
        </w:tc>
      </w:tr>
      <w:tr w14:paraId="53439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851" w:type="dxa"/>
            <w:vMerge w:val="continue"/>
            <w:vAlign w:val="center"/>
          </w:tcPr>
          <w:p w14:paraId="5D8491C8">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szCs w:val="21"/>
              </w:rPr>
            </w:pPr>
          </w:p>
        </w:tc>
        <w:tc>
          <w:tcPr>
            <w:tcW w:w="1538" w:type="dxa"/>
            <w:vAlign w:val="center"/>
          </w:tcPr>
          <w:p w14:paraId="31D7D228">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双签模式设置</w:t>
            </w:r>
          </w:p>
        </w:tc>
        <w:tc>
          <w:tcPr>
            <w:tcW w:w="7262" w:type="dxa"/>
            <w:vAlign w:val="center"/>
          </w:tcPr>
          <w:p w14:paraId="625AD0FA">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系统支持设置不同的双签模式，包括</w:t>
            </w:r>
          </w:p>
          <w:p w14:paraId="3283700C">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1)</w:t>
            </w:r>
            <w:r>
              <w:rPr>
                <w:rFonts w:hint="eastAsia" w:ascii="宋体" w:hAnsi="宋体" w:cs="宋体"/>
                <w:color w:val="auto"/>
              </w:rPr>
              <w:tab/>
            </w:r>
            <w:r>
              <w:rPr>
                <w:rFonts w:hint="eastAsia" w:ascii="宋体" w:hAnsi="宋体" w:cs="宋体"/>
                <w:color w:val="auto"/>
              </w:rPr>
              <w:t>医生填写理由才可双签;</w:t>
            </w:r>
          </w:p>
          <w:p w14:paraId="5603316B">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rPr>
            </w:pPr>
            <w:r>
              <w:rPr>
                <w:rFonts w:hint="eastAsia" w:ascii="宋体" w:hAnsi="宋体" w:cs="宋体"/>
                <w:color w:val="auto"/>
              </w:rPr>
              <w:t>2)</w:t>
            </w:r>
            <w:r>
              <w:rPr>
                <w:rFonts w:hint="eastAsia" w:ascii="宋体" w:hAnsi="宋体" w:cs="宋体"/>
                <w:color w:val="auto"/>
              </w:rPr>
              <w:tab/>
            </w:r>
            <w:r>
              <w:rPr>
                <w:rFonts w:hint="eastAsia" w:ascii="宋体" w:hAnsi="宋体" w:cs="宋体"/>
                <w:color w:val="auto"/>
              </w:rPr>
              <w:t>医生无需填写理由，即可双签。</w:t>
            </w:r>
          </w:p>
        </w:tc>
      </w:tr>
      <w:tr w14:paraId="6D72D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851" w:type="dxa"/>
            <w:vMerge w:val="continue"/>
            <w:vAlign w:val="center"/>
          </w:tcPr>
          <w:p w14:paraId="63497103">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szCs w:val="21"/>
              </w:rPr>
            </w:pPr>
          </w:p>
        </w:tc>
        <w:tc>
          <w:tcPr>
            <w:tcW w:w="1538" w:type="dxa"/>
            <w:vAlign w:val="center"/>
          </w:tcPr>
          <w:p w14:paraId="0C8F4B80">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处方分配机制设置</w:t>
            </w:r>
          </w:p>
        </w:tc>
        <w:tc>
          <w:tcPr>
            <w:tcW w:w="7262" w:type="dxa"/>
            <w:vAlign w:val="center"/>
          </w:tcPr>
          <w:p w14:paraId="1A1CF9F4">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系统支持多人同时审方，可配置不同的分配机制，包括：</w:t>
            </w:r>
          </w:p>
          <w:p w14:paraId="3F80530F">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1)</w:t>
            </w:r>
            <w:r>
              <w:rPr>
                <w:rFonts w:hint="eastAsia" w:ascii="宋体" w:hAnsi="宋体" w:cs="宋体"/>
                <w:color w:val="auto"/>
              </w:rPr>
              <w:tab/>
            </w:r>
            <w:r>
              <w:rPr>
                <w:rFonts w:hint="eastAsia" w:ascii="宋体" w:hAnsi="宋体" w:cs="宋体"/>
                <w:color w:val="auto"/>
              </w:rPr>
              <w:t>随机分配：按药师ID随机分配。可能出现部分药师分配的处方多。</w:t>
            </w:r>
          </w:p>
        </w:tc>
      </w:tr>
      <w:tr w14:paraId="24ACC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851" w:type="dxa"/>
            <w:vMerge w:val="continue"/>
            <w:vAlign w:val="center"/>
          </w:tcPr>
          <w:p w14:paraId="5F85FF24">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szCs w:val="21"/>
              </w:rPr>
            </w:pPr>
          </w:p>
        </w:tc>
        <w:tc>
          <w:tcPr>
            <w:tcW w:w="1538" w:type="dxa"/>
            <w:vAlign w:val="center"/>
          </w:tcPr>
          <w:p w14:paraId="7FE9BCCD">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处方/医嘱待审优先级设置</w:t>
            </w:r>
          </w:p>
        </w:tc>
        <w:tc>
          <w:tcPr>
            <w:tcW w:w="7262" w:type="dxa"/>
            <w:vAlign w:val="center"/>
          </w:tcPr>
          <w:p w14:paraId="79AFEF1E">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系统支持设置处方优先级，包括：</w:t>
            </w:r>
          </w:p>
          <w:p w14:paraId="0F0CC5F4">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1)</w:t>
            </w:r>
            <w:r>
              <w:rPr>
                <w:rFonts w:hint="eastAsia" w:ascii="宋体" w:hAnsi="宋体" w:cs="宋体"/>
                <w:color w:val="auto"/>
              </w:rPr>
              <w:tab/>
            </w:r>
            <w:r>
              <w:rPr>
                <w:rFonts w:hint="eastAsia" w:ascii="宋体" w:hAnsi="宋体" w:cs="宋体"/>
                <w:color w:val="auto"/>
              </w:rPr>
              <w:t>急诊处方优先级设置；</w:t>
            </w:r>
          </w:p>
          <w:p w14:paraId="221A7638">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2)</w:t>
            </w:r>
            <w:r>
              <w:rPr>
                <w:rFonts w:hint="eastAsia" w:ascii="宋体" w:hAnsi="宋体" w:cs="宋体"/>
                <w:color w:val="auto"/>
              </w:rPr>
              <w:tab/>
            </w:r>
            <w:r>
              <w:rPr>
                <w:rFonts w:hint="eastAsia" w:ascii="宋体" w:hAnsi="宋体" w:cs="宋体"/>
                <w:color w:val="auto"/>
              </w:rPr>
              <w:t>普通门诊处方优先级设置；</w:t>
            </w:r>
          </w:p>
          <w:p w14:paraId="5B195773">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3)</w:t>
            </w:r>
            <w:r>
              <w:rPr>
                <w:rFonts w:hint="eastAsia" w:ascii="宋体" w:hAnsi="宋体" w:cs="宋体"/>
                <w:color w:val="auto"/>
              </w:rPr>
              <w:tab/>
            </w:r>
            <w:r>
              <w:rPr>
                <w:rFonts w:hint="eastAsia" w:ascii="宋体" w:hAnsi="宋体" w:cs="宋体"/>
                <w:color w:val="auto"/>
              </w:rPr>
              <w:t>打回重新提交处方优先级设置。</w:t>
            </w:r>
          </w:p>
        </w:tc>
      </w:tr>
      <w:tr w14:paraId="3014F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851" w:type="dxa"/>
            <w:vMerge w:val="continue"/>
            <w:vAlign w:val="center"/>
          </w:tcPr>
          <w:p w14:paraId="1633C4EE">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szCs w:val="21"/>
              </w:rPr>
            </w:pPr>
          </w:p>
        </w:tc>
        <w:tc>
          <w:tcPr>
            <w:tcW w:w="1538" w:type="dxa"/>
            <w:vAlign w:val="center"/>
          </w:tcPr>
          <w:p w14:paraId="5E713C44">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新处方/医嘱提醒方式设置</w:t>
            </w:r>
          </w:p>
        </w:tc>
        <w:tc>
          <w:tcPr>
            <w:tcW w:w="7262" w:type="dxa"/>
            <w:vAlign w:val="center"/>
          </w:tcPr>
          <w:p w14:paraId="0D471DB8">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系统支持设置提醒方式，包括：</w:t>
            </w:r>
          </w:p>
          <w:p w14:paraId="50E80932">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1)</w:t>
            </w:r>
            <w:r>
              <w:rPr>
                <w:rFonts w:hint="eastAsia" w:ascii="宋体" w:hAnsi="宋体" w:cs="宋体"/>
                <w:color w:val="auto"/>
              </w:rPr>
              <w:tab/>
            </w:r>
            <w:r>
              <w:rPr>
                <w:rFonts w:hint="eastAsia" w:ascii="宋体" w:hAnsi="宋体" w:cs="宋体"/>
                <w:color w:val="auto"/>
              </w:rPr>
              <w:t>声音提醒，系统默认提供三个声音供选择，药师可上传个性声音。</w:t>
            </w:r>
          </w:p>
          <w:p w14:paraId="6924BA41">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2)</w:t>
            </w:r>
            <w:r>
              <w:rPr>
                <w:rFonts w:hint="eastAsia" w:ascii="宋体" w:hAnsi="宋体" w:cs="宋体"/>
                <w:color w:val="auto"/>
              </w:rPr>
              <w:tab/>
            </w:r>
            <w:r>
              <w:rPr>
                <w:rFonts w:hint="eastAsia" w:ascii="宋体" w:hAnsi="宋体" w:cs="宋体"/>
                <w:color w:val="auto"/>
              </w:rPr>
              <w:t>桌面弹出提醒。</w:t>
            </w:r>
          </w:p>
        </w:tc>
      </w:tr>
      <w:tr w14:paraId="5E08C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851" w:type="dxa"/>
            <w:vMerge w:val="continue"/>
            <w:vAlign w:val="center"/>
          </w:tcPr>
          <w:p w14:paraId="639FAD3B">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szCs w:val="21"/>
              </w:rPr>
            </w:pPr>
          </w:p>
        </w:tc>
        <w:tc>
          <w:tcPr>
            <w:tcW w:w="1538" w:type="dxa"/>
            <w:vAlign w:val="center"/>
          </w:tcPr>
          <w:p w14:paraId="6EA91766">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医生端提示方式设置</w:t>
            </w:r>
          </w:p>
        </w:tc>
        <w:tc>
          <w:tcPr>
            <w:tcW w:w="7262" w:type="dxa"/>
            <w:vAlign w:val="center"/>
          </w:tcPr>
          <w:p w14:paraId="4D346A96">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系统支持灵活配置医生端的提醒方式，包括</w:t>
            </w:r>
          </w:p>
          <w:p w14:paraId="1B1618D0">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1)</w:t>
            </w:r>
            <w:r>
              <w:rPr>
                <w:rFonts w:hint="eastAsia" w:ascii="宋体" w:hAnsi="宋体" w:cs="宋体"/>
                <w:color w:val="auto"/>
              </w:rPr>
              <w:tab/>
            </w:r>
            <w:r>
              <w:rPr>
                <w:rFonts w:hint="eastAsia" w:ascii="宋体" w:hAnsi="宋体" w:cs="宋体"/>
                <w:color w:val="auto"/>
              </w:rPr>
              <w:t>针对不同问题级别可设置不同类型的提示方式，包括弹窗、气泡、静默。</w:t>
            </w:r>
          </w:p>
          <w:p w14:paraId="6B45C715">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2)</w:t>
            </w:r>
            <w:r>
              <w:rPr>
                <w:rFonts w:hint="eastAsia" w:ascii="宋体" w:hAnsi="宋体" w:cs="宋体"/>
                <w:color w:val="auto"/>
              </w:rPr>
              <w:tab/>
            </w:r>
            <w:r>
              <w:rPr>
                <w:rFonts w:hint="eastAsia" w:ascii="宋体" w:hAnsi="宋体" w:cs="宋体"/>
                <w:color w:val="auto"/>
              </w:rPr>
              <w:t>可设置不展示部分问题级别的数据，例如提示级别的不展示。</w:t>
            </w:r>
          </w:p>
          <w:p w14:paraId="06494EFA">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3)</w:t>
            </w:r>
            <w:r>
              <w:rPr>
                <w:rFonts w:hint="eastAsia" w:ascii="宋体" w:hAnsi="宋体" w:cs="宋体"/>
                <w:color w:val="auto"/>
              </w:rPr>
              <w:tab/>
            </w:r>
            <w:r>
              <w:rPr>
                <w:rFonts w:hint="eastAsia" w:ascii="宋体" w:hAnsi="宋体" w:cs="宋体"/>
                <w:color w:val="auto"/>
              </w:rPr>
              <w:t>提示弹窗的位置设置，可弹出在屏幕中间、屏幕左侧、屏幕右侧。</w:t>
            </w:r>
          </w:p>
          <w:p w14:paraId="4985E888">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4)</w:t>
            </w:r>
            <w:r>
              <w:rPr>
                <w:rFonts w:hint="eastAsia" w:ascii="宋体" w:hAnsi="宋体" w:cs="宋体"/>
                <w:color w:val="auto"/>
              </w:rPr>
              <w:tab/>
            </w:r>
            <w:r>
              <w:rPr>
                <w:rFonts w:hint="eastAsia" w:ascii="宋体" w:hAnsi="宋体" w:cs="宋体"/>
                <w:color w:val="auto"/>
              </w:rPr>
              <w:t>可设置气泡的显示时长。</w:t>
            </w:r>
          </w:p>
          <w:p w14:paraId="13337193">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5)</w:t>
            </w:r>
            <w:r>
              <w:rPr>
                <w:rFonts w:hint="eastAsia" w:ascii="宋体" w:hAnsi="宋体" w:cs="宋体"/>
                <w:color w:val="auto"/>
              </w:rPr>
              <w:tab/>
            </w:r>
            <w:r>
              <w:rPr>
                <w:rFonts w:hint="eastAsia" w:ascii="宋体" w:hAnsi="宋体" w:cs="宋体"/>
                <w:color w:val="auto"/>
              </w:rPr>
              <w:t>可设置是否显示审方时间。</w:t>
            </w:r>
          </w:p>
          <w:p w14:paraId="3AD41F20">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6)</w:t>
            </w:r>
            <w:r>
              <w:rPr>
                <w:rFonts w:hint="eastAsia" w:ascii="宋体" w:hAnsi="宋体" w:cs="宋体"/>
                <w:color w:val="auto"/>
              </w:rPr>
              <w:tab/>
            </w:r>
            <w:r>
              <w:rPr>
                <w:rFonts w:hint="eastAsia" w:ascii="宋体" w:hAnsi="宋体" w:cs="宋体"/>
                <w:color w:val="auto"/>
              </w:rPr>
              <w:t>医生端悬浮球显示设置。</w:t>
            </w:r>
          </w:p>
          <w:p w14:paraId="4B386080">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rPr>
            </w:pPr>
            <w:r>
              <w:rPr>
                <w:rFonts w:hint="eastAsia" w:ascii="宋体" w:hAnsi="宋体" w:cs="宋体"/>
                <w:color w:val="auto"/>
                <w:kern w:val="0"/>
                <w:szCs w:val="21"/>
              </w:rPr>
              <w:t>7)</w:t>
            </w:r>
            <w:r>
              <w:rPr>
                <w:rFonts w:hint="eastAsia" w:ascii="宋体" w:hAnsi="宋体" w:cs="宋体"/>
                <w:color w:val="auto"/>
                <w:kern w:val="0"/>
                <w:szCs w:val="21"/>
              </w:rPr>
              <w:tab/>
            </w:r>
            <w:r>
              <w:rPr>
                <w:rFonts w:hint="eastAsia" w:ascii="宋体" w:hAnsi="宋体" w:cs="宋体"/>
                <w:color w:val="auto"/>
                <w:kern w:val="0"/>
                <w:szCs w:val="21"/>
              </w:rPr>
              <w:t>医生端审方倒计时显示设置</w:t>
            </w:r>
          </w:p>
        </w:tc>
      </w:tr>
      <w:tr w14:paraId="1389A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851" w:type="dxa"/>
            <w:vMerge w:val="continue"/>
            <w:vAlign w:val="center"/>
          </w:tcPr>
          <w:p w14:paraId="3870D797">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szCs w:val="21"/>
              </w:rPr>
            </w:pPr>
          </w:p>
        </w:tc>
        <w:tc>
          <w:tcPr>
            <w:tcW w:w="1538" w:type="dxa"/>
            <w:vAlign w:val="center"/>
          </w:tcPr>
          <w:p w14:paraId="1A840063">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审方科室设置</w:t>
            </w:r>
          </w:p>
        </w:tc>
        <w:tc>
          <w:tcPr>
            <w:tcW w:w="7262" w:type="dxa"/>
            <w:vAlign w:val="center"/>
          </w:tcPr>
          <w:p w14:paraId="39B5611A">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rPr>
            </w:pPr>
            <w:r>
              <w:rPr>
                <w:rFonts w:hint="eastAsia" w:ascii="宋体" w:hAnsi="宋体" w:cs="宋体"/>
                <w:bCs/>
                <w:color w:val="auto"/>
                <w:szCs w:val="21"/>
              </w:rPr>
              <w:t>系统支持设定全部或者部分科室的问题处方/医嘱可进入人工审方。不进入人工审方的处方/医嘱则系统自动通过。</w:t>
            </w:r>
          </w:p>
        </w:tc>
      </w:tr>
      <w:tr w14:paraId="7C675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851" w:type="dxa"/>
            <w:vMerge w:val="continue"/>
            <w:vAlign w:val="center"/>
          </w:tcPr>
          <w:p w14:paraId="3B61CD5B">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szCs w:val="21"/>
              </w:rPr>
            </w:pPr>
          </w:p>
        </w:tc>
        <w:tc>
          <w:tcPr>
            <w:tcW w:w="1538" w:type="dxa"/>
            <w:vAlign w:val="center"/>
          </w:tcPr>
          <w:p w14:paraId="04D0DE52">
            <w:pPr>
              <w:keepNext w:val="0"/>
              <w:keepLines w:val="0"/>
              <w:pageBreakBefore w:val="0"/>
              <w:numPr>
                <w:ilvl w:val="2"/>
                <w:numId w:val="0"/>
              </w:numPr>
              <w:kinsoku/>
              <w:wordWrap/>
              <w:overflowPunct/>
              <w:topLinePunct w:val="0"/>
              <w:autoSpaceDE/>
              <w:autoSpaceDN/>
              <w:bidi w:val="0"/>
              <w:adjustRightInd w:val="0"/>
              <w:snapToGrid w:val="0"/>
              <w:spacing w:line="360" w:lineRule="auto"/>
              <w:jc w:val="left"/>
              <w:textAlignment w:val="auto"/>
              <w:rPr>
                <w:rFonts w:ascii="宋体" w:hAnsi="宋体" w:cs="宋体"/>
                <w:color w:val="auto"/>
              </w:rPr>
            </w:pPr>
            <w:r>
              <w:rPr>
                <w:rFonts w:hint="eastAsia" w:ascii="宋体" w:hAnsi="宋体" w:cs="宋体"/>
                <w:color w:val="auto"/>
              </w:rPr>
              <w:t>不允许超时通过设置</w:t>
            </w:r>
          </w:p>
        </w:tc>
        <w:tc>
          <w:tcPr>
            <w:tcW w:w="7262" w:type="dxa"/>
            <w:vAlign w:val="center"/>
          </w:tcPr>
          <w:p w14:paraId="6A0417E0">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rPr>
            </w:pPr>
            <w:r>
              <w:rPr>
                <w:rFonts w:hint="eastAsia" w:ascii="宋体" w:hAnsi="宋体" w:cs="宋体"/>
                <w:bCs/>
                <w:color w:val="auto"/>
                <w:szCs w:val="21"/>
              </w:rPr>
              <w:t>系统支持设置部分科室的处方/医嘱不允许超时通过，必须经过人工审核方可通过。</w:t>
            </w:r>
          </w:p>
        </w:tc>
      </w:tr>
    </w:tbl>
    <w:p w14:paraId="39A63D2C">
      <w:pPr>
        <w:pStyle w:val="58"/>
        <w:ind w:firstLine="0" w:firstLineChars="0"/>
        <w:rPr>
          <w:rFonts w:ascii="宋体" w:hAnsi="宋体"/>
          <w:b/>
          <w:bCs/>
          <w:color w:val="auto"/>
        </w:rPr>
      </w:pPr>
    </w:p>
    <w:p w14:paraId="52CC520E">
      <w:pPr>
        <w:pStyle w:val="4"/>
        <w:bidi w:val="0"/>
        <w:rPr>
          <w:rFonts w:hint="eastAsia" w:ascii="宋体" w:hAnsi="宋体" w:cs="宋体"/>
          <w:b/>
          <w:bCs/>
          <w:color w:val="000000"/>
          <w:kern w:val="0"/>
          <w:szCs w:val="21"/>
        </w:rPr>
      </w:pPr>
      <w:bookmarkStart w:id="159" w:name="_Toc15829"/>
      <w:bookmarkStart w:id="160" w:name="_Toc15975"/>
      <w:bookmarkStart w:id="161" w:name="_Toc25362"/>
      <w:bookmarkStart w:id="162" w:name="_Toc27788"/>
      <w:bookmarkStart w:id="163" w:name="_Toc21066"/>
      <w:bookmarkStart w:id="164" w:name="_Toc6298"/>
      <w:r>
        <w:rPr>
          <w:rFonts w:hint="eastAsia"/>
        </w:rPr>
        <w:t>全院影像一体化系统</w:t>
      </w:r>
      <w:bookmarkEnd w:id="159"/>
      <w:bookmarkEnd w:id="160"/>
      <w:bookmarkEnd w:id="161"/>
      <w:bookmarkEnd w:id="162"/>
      <w:bookmarkEnd w:id="163"/>
    </w:p>
    <w:tbl>
      <w:tblPr>
        <w:tblStyle w:val="46"/>
        <w:tblW w:w="969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57"/>
        <w:gridCol w:w="1440"/>
        <w:gridCol w:w="7002"/>
      </w:tblGrid>
      <w:tr w14:paraId="0D44F7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1" w:hRule="atLeast"/>
          <w:jc w:val="center"/>
        </w:trPr>
        <w:tc>
          <w:tcPr>
            <w:tcW w:w="1257" w:type="dxa"/>
            <w:tcBorders>
              <w:top w:val="single" w:color="000000" w:sz="4" w:space="0"/>
              <w:left w:val="single" w:color="000000" w:sz="4" w:space="0"/>
              <w:bottom w:val="single" w:color="000000" w:sz="4" w:space="0"/>
              <w:right w:val="single" w:color="000000" w:sz="4" w:space="0"/>
            </w:tcBorders>
            <w:noWrap w:val="0"/>
            <w:vAlign w:val="center"/>
          </w:tcPr>
          <w:p w14:paraId="189EFEEB">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需求名称</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002D9DF0">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00A6D6CC">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需求描述</w:t>
            </w:r>
          </w:p>
        </w:tc>
      </w:tr>
      <w:tr w14:paraId="7ED399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jc w:val="center"/>
        </w:trPr>
        <w:tc>
          <w:tcPr>
            <w:tcW w:w="9699" w:type="dxa"/>
            <w:gridSpan w:val="3"/>
            <w:tcBorders>
              <w:top w:val="single" w:color="000000" w:sz="4" w:space="0"/>
              <w:left w:val="single" w:color="000000" w:sz="4" w:space="0"/>
              <w:bottom w:val="single" w:color="000000" w:sz="4" w:space="0"/>
              <w:right w:val="single" w:color="000000" w:sz="4" w:space="0"/>
            </w:tcBorders>
            <w:noWrap w:val="0"/>
            <w:vAlign w:val="center"/>
          </w:tcPr>
          <w:p w14:paraId="78309273">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影像集成与共享平台功能需求：</w:t>
            </w:r>
          </w:p>
        </w:tc>
      </w:tr>
      <w:tr w14:paraId="13BDDE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76" w:hRule="atLeast"/>
          <w:jc w:val="center"/>
        </w:trPr>
        <w:tc>
          <w:tcPr>
            <w:tcW w:w="1257" w:type="dxa"/>
            <w:vMerge w:val="restart"/>
            <w:tcBorders>
              <w:top w:val="single" w:color="000000" w:sz="4" w:space="0"/>
              <w:left w:val="single" w:color="000000" w:sz="4" w:space="0"/>
              <w:bottom w:val="single" w:color="000000" w:sz="4" w:space="0"/>
              <w:right w:val="single" w:color="000000" w:sz="4" w:space="0"/>
            </w:tcBorders>
            <w:noWrap w:val="0"/>
            <w:vAlign w:val="center"/>
          </w:tcPr>
          <w:p w14:paraId="2CC76201">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1.建设目标</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0040C866">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5803E2A4">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建立标准、安全、稳定、高效的院内影像平台，实现医院内同构、多源异构影像系统的数据接入。采用云存储的技术，实现海量影像数据的统一存储管理，并支持灵活扩容。采用分布式存储技术，保证数据中心系统性能和数据安全。采用云计算技术，实现大数据的获取、调阅、处理，承载医学影像数据的归档、存储（备份）、交换、分发、管理、监控、即时计算、数据挖掘和分析以及共享等应用。</w:t>
            </w:r>
          </w:p>
        </w:tc>
      </w:tr>
      <w:tr w14:paraId="2A38D1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6"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0016F1D">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371D3C07">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404B6964">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为医院临床及医技科室医护人员提供放射、超声、内窥镜、病理、核医学、心电医技检查的病人信息、电子检查申请单、检查报告、检查图像等信息的统一调阅工具。</w:t>
            </w:r>
          </w:p>
        </w:tc>
      </w:tr>
      <w:tr w14:paraId="439D02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9"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808C2C7">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39FA6E97">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70D557D1">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利用</w:t>
            </w:r>
            <w:r>
              <w:rPr>
                <w:rStyle w:val="277"/>
                <w:rFonts w:hint="eastAsia" w:ascii="宋体" w:hAnsi="宋体" w:eastAsia="宋体" w:cs="宋体"/>
                <w:sz w:val="21"/>
                <w:szCs w:val="21"/>
                <w:lang w:val="en-US" w:eastAsia="zh-CN" w:bidi="ar"/>
              </w:rPr>
              <w:t>5G</w:t>
            </w:r>
            <w:r>
              <w:rPr>
                <w:rFonts w:hint="eastAsia" w:ascii="宋体" w:hAnsi="宋体" w:eastAsia="宋体" w:cs="宋体"/>
                <w:i w:val="0"/>
                <w:iCs w:val="0"/>
                <w:color w:val="000000"/>
                <w:kern w:val="0"/>
                <w:sz w:val="21"/>
                <w:szCs w:val="21"/>
                <w:u w:val="none"/>
                <w:lang w:val="en-US" w:eastAsia="zh-CN" w:bidi="ar"/>
              </w:rPr>
              <w:t>、互联网、云技术，患者可提供通过智能终端（如智能手机、平板、</w:t>
            </w:r>
            <w:r>
              <w:rPr>
                <w:rStyle w:val="277"/>
                <w:rFonts w:hint="eastAsia" w:ascii="宋体" w:hAnsi="宋体" w:eastAsia="宋体" w:cs="宋体"/>
                <w:sz w:val="21"/>
                <w:szCs w:val="21"/>
                <w:lang w:val="en-US" w:eastAsia="zh-CN" w:bidi="ar"/>
              </w:rPr>
              <w:t>PC</w:t>
            </w:r>
            <w:r>
              <w:rPr>
                <w:rFonts w:hint="eastAsia" w:ascii="宋体" w:hAnsi="宋体" w:eastAsia="宋体" w:cs="宋体"/>
                <w:i w:val="0"/>
                <w:iCs w:val="0"/>
                <w:color w:val="000000"/>
                <w:kern w:val="0"/>
                <w:sz w:val="21"/>
                <w:szCs w:val="21"/>
                <w:u w:val="none"/>
                <w:lang w:val="en-US" w:eastAsia="zh-CN" w:bidi="ar"/>
              </w:rPr>
              <w:t>、自助机等）进行云端影像及报告查阅等数字化影像服务</w:t>
            </w:r>
          </w:p>
        </w:tc>
      </w:tr>
      <w:tr w14:paraId="368CCC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1"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B16FDFB">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1AEADDE5">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34F9740C">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通过对数据的采集、清洗、标准化处理，对海量的医疗影像数据进行数据挖掘。</w:t>
            </w:r>
          </w:p>
        </w:tc>
      </w:tr>
      <w:tr w14:paraId="60EC6C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6" w:hRule="atLeast"/>
          <w:jc w:val="center"/>
        </w:trPr>
        <w:tc>
          <w:tcPr>
            <w:tcW w:w="1257" w:type="dxa"/>
            <w:vMerge w:val="restart"/>
            <w:tcBorders>
              <w:top w:val="single" w:color="000000" w:sz="4" w:space="0"/>
              <w:left w:val="single" w:color="000000" w:sz="4" w:space="0"/>
              <w:bottom w:val="single" w:color="000000" w:sz="4" w:space="0"/>
              <w:right w:val="single" w:color="000000" w:sz="4" w:space="0"/>
            </w:tcBorders>
            <w:noWrap w:val="0"/>
            <w:vAlign w:val="center"/>
          </w:tcPr>
          <w:p w14:paraId="6E7BFD7B">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2.总体技术要求</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1A7088EB">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187BD791">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以统一的接口标准搭建医学影像平台基础服务，实现以患者为中心的影像数据多源异构集成，最终实现院内检查影像数据的统一存储、统一管理、统一调阅和互联互通</w:t>
            </w:r>
          </w:p>
        </w:tc>
      </w:tr>
      <w:tr w14:paraId="402677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415C867">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46319C0E">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0C4483BD">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影像共享平台为各种影像应用服务提供共享服务。</w:t>
            </w:r>
          </w:p>
        </w:tc>
      </w:tr>
      <w:tr w14:paraId="23CB5C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1"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8BFFFB9">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320A8236">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2407B4DB">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实现对接放射信息系统，采集数据，集中存储在院内影像数据中心</w:t>
            </w:r>
          </w:p>
        </w:tc>
      </w:tr>
      <w:tr w14:paraId="17396D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1"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4CAB977">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6F9ABB8F">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6F32B0B4">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实现对接超声信息系统，采集数据，集中存储在院内影像数据中心</w:t>
            </w:r>
          </w:p>
        </w:tc>
      </w:tr>
      <w:tr w14:paraId="428A18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1"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91138D4">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50BFE105">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4AFBDF16">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实现对接内镜信息系统，采集数据，集中存储在院内影像数据中心</w:t>
            </w:r>
          </w:p>
        </w:tc>
      </w:tr>
      <w:tr w14:paraId="5494B3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1"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DE07FCD">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2A5F8AF0">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5ABE9588">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实现对接病理信息系统，采集数据，集中存储在院内影像数据中心</w:t>
            </w:r>
          </w:p>
        </w:tc>
      </w:tr>
      <w:tr w14:paraId="51EB79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1"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9DE460D">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4AC8FEB1">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0E781960">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实现对接核医学信息系统，采集数据，集中存储在院内影像数据中心</w:t>
            </w:r>
          </w:p>
        </w:tc>
      </w:tr>
      <w:tr w14:paraId="76F8C5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1"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9C89FCE">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20F73176">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4311A306">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实现对接心电、脑电信息系统，采集数据，集中存储在院内影像数据中心</w:t>
            </w:r>
          </w:p>
        </w:tc>
      </w:tr>
      <w:tr w14:paraId="1C9B76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25F12F3">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6C039CCB">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2F0CB9C6">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满足电子病历系统功能应用水平分级评价标准。</w:t>
            </w:r>
          </w:p>
        </w:tc>
      </w:tr>
      <w:tr w14:paraId="5F1606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3"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46B4D51">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58E67405">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2.10 </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15D1E11B">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平台建设需遵循标准化开发，软件设计严格执行国家有关软件工程的标准，支持 DICOM 和 HL7 的相关标准，遵循 IHE 的相关流程、标准和规则，应用设计符合国际、国家、医疗卫生行业相关标准、规范和医院自身的发展规划。</w:t>
            </w:r>
          </w:p>
        </w:tc>
      </w:tr>
      <w:tr w14:paraId="00A669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9" w:hRule="atLeast"/>
          <w:jc w:val="center"/>
        </w:trPr>
        <w:tc>
          <w:tcPr>
            <w:tcW w:w="1257" w:type="dxa"/>
            <w:vMerge w:val="restart"/>
            <w:tcBorders>
              <w:top w:val="single" w:color="000000" w:sz="4" w:space="0"/>
              <w:left w:val="single" w:color="000000" w:sz="4" w:space="0"/>
              <w:bottom w:val="single" w:color="000000" w:sz="4" w:space="0"/>
              <w:right w:val="single" w:color="000000" w:sz="4" w:space="0"/>
            </w:tcBorders>
            <w:noWrap w:val="0"/>
            <w:vAlign w:val="center"/>
          </w:tcPr>
          <w:p w14:paraId="1261C7E0">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3.影像集成平台</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08F32DB0">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79B48128">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支持通过患者主索引服务提供患者检查数据的注册、更新，并支持依据多维属性对检查数据进行相似关联，为每一名患者建立专有检查相关主索引资料。</w:t>
            </w:r>
          </w:p>
        </w:tc>
      </w:tr>
      <w:tr w14:paraId="73A3CA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1"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1336CA7">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474741B1">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4EF06DAD">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支持使用姓名、性别、社保卡号、身份证号、联系电话等条件作为主索引匹配规则。</w:t>
            </w:r>
          </w:p>
        </w:tc>
      </w:tr>
      <w:tr w14:paraId="34FEED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9"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C28CD78">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388C3A4C">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3.3</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7765D7FF">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支持通过唯一的主索引号将多个医疗业务系统患者信息有效地关联在一起，以实现各个系统患者数据之间的关联，解决多系统中识别患者身份的问题。</w:t>
            </w:r>
          </w:p>
        </w:tc>
      </w:tr>
      <w:tr w14:paraId="281394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E1A56CE">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2FAD2B9F">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43E46EB9">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支持对两条相似的患者信息进行手动合并为一条患者主索引。</w:t>
            </w:r>
          </w:p>
        </w:tc>
      </w:tr>
      <w:tr w14:paraId="4FF13D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1"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CE2922E">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0CA1133E">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2B0E7E19">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支持对已合并为一条主索引的多条患者信息进行手动拆分。</w:t>
            </w:r>
          </w:p>
        </w:tc>
      </w:tr>
      <w:tr w14:paraId="1A150B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1"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271DA30">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255B9F03">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3.6</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57531F6A">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支持根据不同科室医生权限进行功能权限和数据权限划分，确保权限分配清晰。</w:t>
            </w:r>
          </w:p>
        </w:tc>
      </w:tr>
      <w:tr w14:paraId="2A29E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BC2E0E1">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443B42DA">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3.7</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1612B6BB">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支持同时配置多条主索引匹配规则，确保不同检查能关联到同一个患者。</w:t>
            </w:r>
          </w:p>
        </w:tc>
      </w:tr>
      <w:tr w14:paraId="4DE259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C3F1540">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2649FCDF">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3.8</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3629F9C3">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支持对匹配规则进行禁用、启用、删除的操作。</w:t>
            </w:r>
          </w:p>
        </w:tc>
      </w:tr>
      <w:tr w14:paraId="4807A6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1"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BF9B618">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7AB4BF2D">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3.9</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7074A033">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支持对医疗机构、检查科室、临床科室、临床医生基本信息的统一管理。</w:t>
            </w:r>
          </w:p>
        </w:tc>
      </w:tr>
      <w:tr w14:paraId="6B1961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7"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3A85ABA">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1C3F5215">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3.10 </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4E4136DF">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支持医疗机构管理中新增、修改、删除等操作，包含医疗机构名称、机构编码、医院等级、医院类别、机构地址、机构电话。</w:t>
            </w:r>
          </w:p>
        </w:tc>
      </w:tr>
      <w:tr w14:paraId="584F0E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1"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E9E5E3">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0F70A631">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3.11</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5D21B450">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支持科室管理中新增、修改、删除等操作，包含科室名称、科室分类、科室编码、科室电话、科室地址。</w:t>
            </w:r>
          </w:p>
        </w:tc>
      </w:tr>
      <w:tr w14:paraId="7E7BC3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1"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935B54C">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51918FF0">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3.12 </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1A245364">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支持用户管理中新增、修改、删除等操作，包含医生姓名、性别、工号、邮箱、手机号码等信息。</w:t>
            </w:r>
          </w:p>
        </w:tc>
      </w:tr>
      <w:tr w14:paraId="03EF28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9"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55AAF98">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2479D15E">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3.13</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23350694">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支持用于构建注册服务的基础字典，包含医生专业、医生职务、人员类别、医生职称、医生学历、证件类别、性别、科室分类。</w:t>
            </w:r>
          </w:p>
        </w:tc>
      </w:tr>
      <w:tr w14:paraId="5A30C9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1"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7E1453B">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68A98E44">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3.14 </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30DDBA50">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支持常见DICOM影像的存储，存储格式遵循DICOM3.0标准；支持DICOM结构化报告SR的存储。</w:t>
            </w:r>
          </w:p>
        </w:tc>
      </w:tr>
      <w:tr w14:paraId="532E09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9"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B10EE1F">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78D11A95">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3.15</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5B2C4DA8">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支持对不同种类影像数据分别设定不同的压缩条件包括：不压缩、压缩，支持JPEG2000无损图像压缩技术DICOM3.0无损数据压缩算法。</w:t>
            </w:r>
          </w:p>
        </w:tc>
      </w:tr>
      <w:tr w14:paraId="45D8F0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1"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8EE4065">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74E283DB">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3.16 </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4BDD7EF9">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支持患者影像资料（放射、超声、内窥镜、病理、核医学、心电）进行集中分布式存储。</w:t>
            </w:r>
          </w:p>
        </w:tc>
      </w:tr>
      <w:tr w14:paraId="30485C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9"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F7E642A">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125F94A7">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3.17</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551E4E96">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支持按照热温数据进行分级存储，可按时间自定义设置热温数据存储分界点，并实现数据在热温存储之间的自动迁移。</w:t>
            </w:r>
          </w:p>
        </w:tc>
      </w:tr>
      <w:tr w14:paraId="5071E0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9"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DCFFBEE">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271288D3">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3.18 </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529E28BE">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支持配置多种存储介质混合使用，如近线数据用高速闪存盘存储，历史数据用对象存储，节约存储成本。支持存储介质有：san、nas、对象存储。</w:t>
            </w:r>
          </w:p>
        </w:tc>
      </w:tr>
      <w:tr w14:paraId="789649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1"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3C8B616">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73B37BC9">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3.19</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0FD4A3E4">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支持根据标准dicom协议连接第三方服务，调阅影像数据。</w:t>
            </w:r>
          </w:p>
        </w:tc>
      </w:tr>
      <w:tr w14:paraId="060632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9"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EBA3989">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57000FFC">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3.20 </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6C08520D">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支持根据用户需求，配置定量存储策略，设置定量存储空间的临界点，当达到设定规则时，存储自动释放部分空间，保障存储的正常使用。</w:t>
            </w:r>
          </w:p>
        </w:tc>
      </w:tr>
      <w:tr w14:paraId="53714E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1"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57F0600">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1E9ED28E">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3.21</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53C7253E">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支持针对存储空间数据进行监控分析，统计存储剩余空间、自动计算空间剩余可用天数。</w:t>
            </w:r>
          </w:p>
        </w:tc>
      </w:tr>
      <w:tr w14:paraId="2B784B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4983DEB">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1569577D">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3.22 </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7FCF3319">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支持统计存储的影像文件数。</w:t>
            </w:r>
          </w:p>
        </w:tc>
      </w:tr>
      <w:tr w14:paraId="1A6951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5A21C39">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6A2489CB">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3.23</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629CD350">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支持统计报告文件数。</w:t>
            </w:r>
          </w:p>
        </w:tc>
      </w:tr>
      <w:tr w14:paraId="06C14A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D782F8E">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2A5D79EC">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3.24 </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59E349DF">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支持统计每个月使用的存储增长量。</w:t>
            </w:r>
          </w:p>
        </w:tc>
      </w:tr>
      <w:tr w14:paraId="71087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D46AA54">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5D15BF68">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3.25</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3F151850">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支持根据检查类型、设备类型分析各类型占用的空间。</w:t>
            </w:r>
          </w:p>
        </w:tc>
      </w:tr>
      <w:tr w14:paraId="04308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1"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742335A">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627012F1">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3.26 </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558C037E">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支持针对自动采集异常的检查影像、报告提供手动补采，保证数据快速补采，不遗漏。</w:t>
            </w:r>
          </w:p>
        </w:tc>
      </w:tr>
      <w:tr w14:paraId="5DE523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9"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1427E42">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69BC6D6D">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3.27</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0751B8C9">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支持采用doris大数据技术框架实现对检查数据亿级量级存储与秒级查询，满足多种检查应用场景数据实时分析需求。</w:t>
            </w:r>
          </w:p>
        </w:tc>
      </w:tr>
      <w:tr w14:paraId="30AA67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6" w:hRule="atLeast"/>
          <w:jc w:val="center"/>
        </w:trPr>
        <w:tc>
          <w:tcPr>
            <w:tcW w:w="1257" w:type="dxa"/>
            <w:vMerge w:val="restart"/>
            <w:tcBorders>
              <w:top w:val="single" w:color="000000" w:sz="4" w:space="0"/>
              <w:left w:val="single" w:color="000000" w:sz="4" w:space="0"/>
              <w:bottom w:val="single" w:color="000000" w:sz="4" w:space="0"/>
              <w:right w:val="single" w:color="000000" w:sz="4" w:space="0"/>
            </w:tcBorders>
            <w:noWrap w:val="0"/>
            <w:vAlign w:val="center"/>
          </w:tcPr>
          <w:p w14:paraId="7F169DE7">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4.影像数据中心</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174F2AE1">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112185B0">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支持从MySQL、Oracle、SqlServer、Doris等主流数据库中获取患者的检查数据、申请单数据。将来自不同系统、具有不同数据格式的数据转换成统一格式，并存入影像平台数据库中。</w:t>
            </w:r>
          </w:p>
        </w:tc>
      </w:tr>
      <w:tr w14:paraId="22F642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9"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3812580">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708C53D2">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4.2</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1856A8E5">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支持在数据采集过程中增加数据预处理的步骤，包括数据的加解密、脱敏、字段长度校验、字段值域规范校验。</w:t>
            </w:r>
          </w:p>
        </w:tc>
      </w:tr>
      <w:tr w14:paraId="7BD64B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1"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93FEB3C">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3BBA7A04">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4.3</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6FEA86F4">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支持通过标准dicom协议或本地磁盘、SFTP、FTP、HTTP中获取报告文件、影像文件。</w:t>
            </w:r>
          </w:p>
        </w:tc>
      </w:tr>
      <w:tr w14:paraId="38EA4B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7F1F8C6">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0E11704E">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4.4</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456EA1E3">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支持采集jpg/pdf的报告文件格式。</w:t>
            </w:r>
          </w:p>
        </w:tc>
      </w:tr>
      <w:tr w14:paraId="377922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1"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EB1644C">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4085B0EA">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2B151CBA">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支持采集jpg格式的影像文件，并将jpg格式的影像文件转成标准DICOM格式。</w:t>
            </w:r>
          </w:p>
        </w:tc>
      </w:tr>
      <w:tr w14:paraId="3ABB93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9"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8A0804F">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7E88C577">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4.6</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616F6984">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支持分别配置影像采集、报告采集、业务数据采集的任务，并根据实际业务量调整数据采集的频率、采集数据的范围。</w:t>
            </w:r>
          </w:p>
        </w:tc>
      </w:tr>
      <w:tr w14:paraId="58FC08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1"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73747FB">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19FB61F7">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4.7</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688869D1">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支持多条采集任务并行运行，保证实时数据能够及时采集。</w:t>
            </w:r>
          </w:p>
        </w:tc>
      </w:tr>
      <w:tr w14:paraId="4B3FE0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1"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6A7EACF">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3A07DE58">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4FCEC06A">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支持针对历史数据采集配置每天固定时间执行，避开高峰期，保证现场业务正常运行。</w:t>
            </w:r>
          </w:p>
        </w:tc>
      </w:tr>
      <w:tr w14:paraId="6E4545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1"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CEF275E">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0BF5B1A1">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4.9</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04F583DA">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支持在数据采集任务执行失败时，程序自动重试，可以配置任务重试次数，保证数据能够完成采集。</w:t>
            </w:r>
          </w:p>
        </w:tc>
      </w:tr>
      <w:tr w14:paraId="57E919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7"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B274776">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37CFAF2E">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4.10 </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36DCEF1B">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支持可视化的展示每一条数据采集任务成功采集的条数和失败的条数，方便更快的发现问题。</w:t>
            </w:r>
          </w:p>
        </w:tc>
      </w:tr>
      <w:tr w14:paraId="1F3E32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9"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9C9F589">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64AE1DFE">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4.11</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57BA0FCA">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支持可视化的按检查系统（放射、超声、内窥镜、病理、核医学、心电）查询采集异常的数据，提供数据异常的字段并分析其错误原因，快速定位到问题。</w:t>
            </w:r>
          </w:p>
        </w:tc>
      </w:tr>
      <w:tr w14:paraId="3C153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76E27B6">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7DFD5E12">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4.12 </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1FF97491">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支持统计各医疗机构上报的报告数据量。</w:t>
            </w:r>
          </w:p>
        </w:tc>
      </w:tr>
      <w:tr w14:paraId="4714E3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1"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46D2C90">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2D1AF8F1">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4.13</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3DCBC813">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支持根据患者登记的身份证件类型分析患者登记的实名制情况。</w:t>
            </w:r>
          </w:p>
        </w:tc>
      </w:tr>
      <w:tr w14:paraId="06A1F0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577BEEF">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4FDBB0A2">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4.14 </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2B4BD92D">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支持按检查设备类型统计医疗机构上报的报告数。</w:t>
            </w:r>
          </w:p>
        </w:tc>
      </w:tr>
      <w:tr w14:paraId="4975C6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1"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E7D8461">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485E1994">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4.15</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52F4F097">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支持按时间（日、月、年）趋势统计医疗机构数据上报的趋势。</w:t>
            </w:r>
          </w:p>
        </w:tc>
      </w:tr>
      <w:tr w14:paraId="02830F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F738729">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43C88C5D">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4.16 </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6343D5FF">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支持按检查设备类型统计检查数据的上报耗时情况。</w:t>
            </w:r>
          </w:p>
        </w:tc>
      </w:tr>
      <w:tr w14:paraId="325D2C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1"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15F9228">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3621E31D">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4.17</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5A5BBF82">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支持统计某机构从影像平台调阅其他医院数据的频次排名。</w:t>
            </w:r>
          </w:p>
        </w:tc>
      </w:tr>
      <w:tr w14:paraId="0722C1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1E8286E">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3F59C66C">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4.18 </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623CDC4A">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支持按检查设备类型统计报告的调阅量分布。</w:t>
            </w:r>
          </w:p>
        </w:tc>
      </w:tr>
      <w:tr w14:paraId="5FAD07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C4AF2A6">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1570FAC8">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4.19</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420073C0">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支持按时间统计并展示每天的调阅量趋势图。</w:t>
            </w:r>
          </w:p>
        </w:tc>
      </w:tr>
      <w:tr w14:paraId="2970D6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8C3BB38">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2FFB0158">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4.20 </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3D144777">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支持从医院、科室、用户的维度统计调阅量排名。</w:t>
            </w:r>
          </w:p>
        </w:tc>
      </w:tr>
      <w:tr w14:paraId="1AD669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9AA3C4">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524F4EEB">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4.21</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79FD178C">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支持统计某机构共享给其他医院调阅的贡献量排名。</w:t>
            </w:r>
          </w:p>
        </w:tc>
      </w:tr>
      <w:tr w14:paraId="09ADA0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1"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9A6F339">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463F4635">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4.22 </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7F40AE5D">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支持详细记录每份报告被调阅的时间、调阅机构、调阅科室、调阅的用户、调阅入口。</w:t>
            </w:r>
          </w:p>
        </w:tc>
      </w:tr>
      <w:tr w14:paraId="3537A2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9"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00E1C86">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1BC8EC71">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4.23</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342E0D16">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支持监控数据上报的情况，设置上报延迟警戒线，如果数据上报延迟超过警戒线，则会发信息通知给相关人员。</w:t>
            </w:r>
          </w:p>
        </w:tc>
      </w:tr>
      <w:tr w14:paraId="5A0168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9"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E63362B">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3095D20D">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4.24 </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1AA9D893">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支持监控数据采集的及时性，分析数据从第三方系统采集到影像平台的耗时，并提供每一条检查数据采集的时间节点明细。保证数据及时采集上来。</w:t>
            </w:r>
          </w:p>
        </w:tc>
      </w:tr>
      <w:tr w14:paraId="6184A0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1"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4F9BE91">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4A525167">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4.25</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36260094">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支持按检查类型（超声/放射/病理/内镜）、患者类型（住院/门诊/急诊）查询数据采集是否及时。</w:t>
            </w:r>
          </w:p>
        </w:tc>
      </w:tr>
      <w:tr w14:paraId="359664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9"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2D8FC8B">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37D146BD">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4.26 </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54A312DF">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支持监控数据采集的完整性，分析第三方PACS系统数据和影像数据中心平台数据是否一致，将两边数据进行对比。</w:t>
            </w:r>
          </w:p>
        </w:tc>
      </w:tr>
      <w:tr w14:paraId="1CF8AA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1"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0CD9496">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719505DC">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4.27</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451E91DF">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支持对数据采集质量情况进行定期短信通知预警功能。</w:t>
            </w:r>
          </w:p>
        </w:tc>
      </w:tr>
      <w:tr w14:paraId="32AFC7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9" w:hRule="atLeast"/>
          <w:jc w:val="center"/>
        </w:trPr>
        <w:tc>
          <w:tcPr>
            <w:tcW w:w="1257" w:type="dxa"/>
            <w:vMerge w:val="restart"/>
            <w:tcBorders>
              <w:top w:val="single" w:color="000000" w:sz="4" w:space="0"/>
              <w:left w:val="single" w:color="000000" w:sz="4" w:space="0"/>
              <w:bottom w:val="single" w:color="000000" w:sz="4" w:space="0"/>
              <w:right w:val="single" w:color="000000" w:sz="4" w:space="0"/>
            </w:tcBorders>
            <w:noWrap w:val="0"/>
            <w:vAlign w:val="center"/>
          </w:tcPr>
          <w:p w14:paraId="7F0CDD71">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5.影像共享平台</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0BC329B2">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5.1</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704ED111">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支持第三方系统通过链接集成的方式跳转到影像平台患者影像共享系统查看检查，并根据链接配置的参数打开指定的检查报告进行查看。</w:t>
            </w:r>
          </w:p>
        </w:tc>
      </w:tr>
      <w:tr w14:paraId="39E770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1"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BFB4746">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00A2C086">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3779556B">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支持放射、超声、内镜、病理、核医学、心电、脑电的检查报告统一入口进行调阅。</w:t>
            </w:r>
          </w:p>
        </w:tc>
      </w:tr>
      <w:tr w14:paraId="4D5863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1"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2897DF8">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19BD8A5A">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5.3</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79039EB5">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支持多个条件查询患者的检查报告，如：姓名、检查部位、检查类型、检查日期、是否危急、诊断意见。</w:t>
            </w:r>
          </w:p>
        </w:tc>
      </w:tr>
      <w:tr w14:paraId="312061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1"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9FB0F2B">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0D330F0C">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5.4</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19DA9CFF">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支持用户自定义多条件组合查询的检索方式，筛选出患者同一时间不同的检查类型，并在列表展示。</w:t>
            </w:r>
          </w:p>
        </w:tc>
      </w:tr>
      <w:tr w14:paraId="12314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1"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3808B55">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73E42A79">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5.5</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7668AFD9">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支持用户自定义检索条件，并保存个人使用习惯，下次使用时默认上次保存的使用习惯。</w:t>
            </w:r>
          </w:p>
        </w:tc>
      </w:tr>
      <w:tr w14:paraId="74884B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2DDD095">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68A47E09">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5.6</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1D0C640A">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支持在患者列表提醒检查是否是急诊、是否危急。</w:t>
            </w:r>
          </w:p>
        </w:tc>
      </w:tr>
      <w:tr w14:paraId="6D028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6"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0A1BE2B">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2FAC6755">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5.7</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27CE110A">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支持展示每一条检查的进程，通过一个时间闭环展示这条检查相关的每一个节点进程动态变化（开单、登记、检查、诊断、审核、打印），并计算检查节点的耗时、报告节点的耗时、审核节点的耗时。</w:t>
            </w:r>
          </w:p>
        </w:tc>
      </w:tr>
      <w:tr w14:paraId="67FFA5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9"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9FFAC11">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4CFE6DE6">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5.8</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534E1B98">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支持针对检查相关的时间节点进行校验，如果发现后一个节点比前一个节点时间还早，会进行醒目提示数据异常。</w:t>
            </w:r>
          </w:p>
        </w:tc>
      </w:tr>
      <w:tr w14:paraId="6D4B84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9"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9913C82">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60C12AFA">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5.9</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22CECF96">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支持针对PACS已删除的数据，或者重复采集的数据，在影像平台进行同步删除，不再展示给用户。同时提供数据手动作废的功能，并详细记录作废的日志。</w:t>
            </w:r>
          </w:p>
        </w:tc>
      </w:tr>
      <w:tr w14:paraId="0FA038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9"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0FF2B53">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7D98EB2C">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5.10 </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1A1786E0">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支持PACS设置了VIP（重点病人）的检查后，在影像平台只有指定用户输入验证码后才可以查看，严格保护重点病人的隐私。</w:t>
            </w:r>
          </w:p>
        </w:tc>
      </w:tr>
      <w:tr w14:paraId="485C0C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1"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9981C76">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2EE46040">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5.11</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3468C1F3">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支持显示检查的危急内容、是否急诊、阴阳性、影像质量等级、报告质量等级。</w:t>
            </w:r>
          </w:p>
        </w:tc>
      </w:tr>
      <w:tr w14:paraId="741E2B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294A393">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3B0C6F9A">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5.12 </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314712C4">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支持通过jpg、pdf格式展示原始报告，保持报告格式与PACS系统一致。</w:t>
            </w:r>
          </w:p>
        </w:tc>
      </w:tr>
      <w:tr w14:paraId="7A89A2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9"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1F7F807">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1A0F5913">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5.13</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0484FEF9">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支持根据患者的基本信息检索出历史检查记录，方便临床医生查看历次检查，可通过检查医院、检查日期进行排序。</w:t>
            </w:r>
          </w:p>
        </w:tc>
      </w:tr>
      <w:tr w14:paraId="1CC5B2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9"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80CC8C4">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4A1D43E6">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5.14 </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67DC06CD">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支持文本形式显示患者信息、申请单内容、检查报告内容，并通过一键复制文本功能，方便用户复制报告文本信息。</w:t>
            </w:r>
          </w:p>
        </w:tc>
      </w:tr>
      <w:tr w14:paraId="77424A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1"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AB6E09D">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5B46066A">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5.15</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12C9EC57">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支持提示同一份报告是否有相似检查，并可以只针对相似检查的报告进行报内容对比。</w:t>
            </w:r>
          </w:p>
        </w:tc>
      </w:tr>
      <w:tr w14:paraId="47A4DC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6"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220956F">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78ADB7F6">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5.16 </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3F2333DE">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支持针对无法关联的数据，关键信息（身份证）缺失，但又存在其他同名数据情况下，提醒用户当前查看的可能是手工单数据，注意查看同名患者的其他检查，以免遗漏。</w:t>
            </w:r>
          </w:p>
        </w:tc>
      </w:tr>
      <w:tr w14:paraId="1169B1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1"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D695799">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7354B5A7">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5.17</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3CEE7C3E">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支持使用普通web阅片以及CS客户端专业阅片（影像高级后处理功能）。</w:t>
            </w:r>
          </w:p>
        </w:tc>
      </w:tr>
      <w:tr w14:paraId="6D0600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3"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84D8F48">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3835F0A8">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5.18 </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10E57B86">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支持web在线影像阅片功能，并对影像进行操作：包括缩放、移动、旋转（L90，R90）、左右镜像、上下翻转、反相、播放、调窗（预设值、实时调节）、布局、平面定位、序列查看、点测量、直线测量、mpr重建等阅片功能。</w:t>
            </w:r>
          </w:p>
        </w:tc>
      </w:tr>
      <w:tr w14:paraId="2EB850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6"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A806E79">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0C4DFE81">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5.19</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135DD10D">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支持影像高级后处理功能：多斜位曲面重建（MMPR）；虚拟内窥镜（VE）；虚拟手术刀；三维去床功能；心脏提取；腹部血管提取；体绘制调窗；序列重建；三维测距。</w:t>
            </w:r>
          </w:p>
        </w:tc>
      </w:tr>
      <w:tr w14:paraId="47B3EA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6"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9F388DE">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041B79B5">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5.20 </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6A4FB145">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支持三维容积重建（VR），精确地绘制出各个组织器官，生动地再现人体器官结构，可任意切割观察结构，并能测量、比较。适合观察肺部、造影血管、肿瘤、肾脏、骨骼。</w:t>
            </w:r>
          </w:p>
        </w:tc>
      </w:tr>
      <w:tr w14:paraId="4CAABF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1"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35F6E23">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271FF499">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5.21</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1214F806">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支持多平面、多曲面重建（MPR），(1)对冠状、矢状、斜面及曲面重建图像，可查看解剖临界部位的病变和复杂解剖结构部位。(2)MPR曲面重建可将迂曲走向的血管整个行程显示在一张图像上。</w:t>
            </w:r>
          </w:p>
        </w:tc>
      </w:tr>
      <w:tr w14:paraId="2826A1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3"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2B88CFF">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1F85DDC8">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5.22 </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68578A0D">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支持多斜位曲面重建（MMPR），多斜位曲面重建是一个基于真正体数据下的处理方式，医生可以对容积扫描的数据在完整的体数据下，按照任意厚度、任意角度和任意曲面，做平均值、最大/最小密度、容积重建、积分图像处理。</w:t>
            </w:r>
          </w:p>
        </w:tc>
      </w:tr>
      <w:tr w14:paraId="3CCBC9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18"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920B56A">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23E64703">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5.23</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44A945A0">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支持虚拟内窥镜（VE），(1)通过对CT、MR等影像设备获取的二维断层序列图像进行器官内、外表面绘制，以内镜成像和从腔内角度观察人体内部器官，虚拟内窥镜是现实人体官腔内表面的计算机成像技术，实现断面图像来反映器官内部解剖与病理结构的图像。(2)用于观察如膈区域、肝肾间等区域的占位性病变；颅底区、鼻、咽和口腔的解剖结构等复杂部位。</w:t>
            </w:r>
          </w:p>
        </w:tc>
      </w:tr>
      <w:tr w14:paraId="31BAB5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6"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E39ED9D">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04C99DE1">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5.24 </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31B6DD98">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支持虚拟手术刀，在需要切割的VR阅片界面上，营造了逼真的三维操作环境。虚拟手术刀可以有效去除遮挡感兴趣区域的物体，实现对物体内部结构的有效分析。</w:t>
            </w:r>
          </w:p>
        </w:tc>
      </w:tr>
      <w:tr w14:paraId="1D926A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9"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E6A7DB1">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06CB43A6">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5.25</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5F0F0E34">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支持三维去床功能，对带床板或头套的CT三维序列进行三维重建时，为保证阅片效果，可进行去床操作。并且体绘制图像显示为去床后的体绘制图像。</w:t>
            </w:r>
          </w:p>
        </w:tc>
      </w:tr>
      <w:tr w14:paraId="4D13B1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6"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2D40123">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6EB68407">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5.26 </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0C7EE104">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支持心脏提取，对心脏CT三维序列进行三维重建时，可进行心脏提取，此时的体绘制图像显示为提取心脏后的体绘制图像。提取心脏后的体绘制图像与原始体绘制图像之间可自由切换。</w:t>
            </w:r>
          </w:p>
        </w:tc>
      </w:tr>
      <w:tr w14:paraId="177407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3"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DE0D279">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5DE3660E">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5.27</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114D2526">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支持腹部血管提取，对血管CT三维序列进行三维重建时，在系统自动去床，人工手动选取种子点完成后，即可进行血管提取，体绘制窗口将显示提取出的血管三维图像，可按需求进行血管重新提取。提取血管之后的体绘制图像与去床板后的体绘制图像之间可自由切换。</w:t>
            </w:r>
          </w:p>
        </w:tc>
      </w:tr>
      <w:tr w14:paraId="25278C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6"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334ED23">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0DD9092C">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5.28 </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6FF7B275">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支持体绘制调窗，体数据可视化方法之一，通过对VR(容积重建)后的影像进行窗宽窗位调整，能够有效地显示不同层次的三维数据场的内部信息，如通过调窗显示从皮肤到组织再到骨骼的容积重建影像。</w:t>
            </w:r>
          </w:p>
        </w:tc>
      </w:tr>
      <w:tr w14:paraId="02B356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1"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124733A">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4A629E7E">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5.29</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10F61771">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支持序列重建，序列重建功能支持创建直线序列、曲线序列以及放射线序列。</w:t>
            </w:r>
          </w:p>
        </w:tc>
      </w:tr>
      <w:tr w14:paraId="5C928E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9"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C6EA59">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5210C353">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5.30 </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52748156">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支持三维测距，三维测距功能用于三维立体测距，通过三维坐标获取两点之间的距离，有助于高效地进行三维建模和虚拟重现。</w:t>
            </w:r>
          </w:p>
        </w:tc>
      </w:tr>
      <w:tr w14:paraId="7ACDB3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9"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8AB3BC4">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7F9F92C4">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5.31</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60E46AD4">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支持三维体积测量，可调整测量区域、自定义HU值范围、自定义名称、自定义标记颜色，来测量感兴趣区域，各阈值范围内的体积。</w:t>
            </w:r>
          </w:p>
        </w:tc>
      </w:tr>
      <w:tr w14:paraId="3E18D6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1"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0066690">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6263BEAB">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5.32 </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37269FF4">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支持使用追加影像功能，实现多个检查影像图像整合，同屏显示进行对比。</w:t>
            </w:r>
          </w:p>
        </w:tc>
      </w:tr>
      <w:tr w14:paraId="4EA3C5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1"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546038F">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51D7DFE9">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5.33</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2553C081">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支持批量根据同一个患者打印多份检查报告，帮助用户批量报告并进行归档。</w:t>
            </w:r>
          </w:p>
        </w:tc>
      </w:tr>
      <w:tr w14:paraId="218B93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6"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0EECC3">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64CA121A">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5.34 </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7565334D">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支持当患者登记检查后，如果存储做了分级管理，会通过预加载的功能把该患者的所有历史的数据加载到近线（热）存储里，在用户调阅该患者历史数据时，可以减少加载时间，实现快速调阅。</w:t>
            </w:r>
          </w:p>
        </w:tc>
      </w:tr>
      <w:tr w14:paraId="3BA5EC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6"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9C9BC3">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34B6ECCA">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5.35</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69CA84FB">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支持提供pacs上报的数据和平台采集的数据对比，并提供详细的数据对比结果。同时针对两边不一致的数据，分析不一致的情况，提供相应的补采、作废的机制。</w:t>
            </w:r>
          </w:p>
        </w:tc>
      </w:tr>
      <w:tr w14:paraId="4248B0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1"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15BB987">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0DB5DA0D">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5.36 </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1656F1D6">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支持针对影像上传失败或者报告上传失败的数据进行手动补传的功能。</w:t>
            </w:r>
          </w:p>
        </w:tc>
      </w:tr>
      <w:tr w14:paraId="652F65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9"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97DC690">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7F4016F8">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5.37</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0993D410">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支持设置用户报告打印权限，根据检查类别设置报告可打印次数，同时控制未审核的报告不能打印，并打上水印进行提示。</w:t>
            </w:r>
          </w:p>
        </w:tc>
      </w:tr>
      <w:tr w14:paraId="59282A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63A5C76">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68B2F1AB">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5.38 </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2D094490">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支持检查报告水印自定义设置。</w:t>
            </w:r>
          </w:p>
        </w:tc>
      </w:tr>
      <w:tr w14:paraId="5F310F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1"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6CDF1B6">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33DEEE92">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5.39</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124C710B">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支持根据需求设置临床医生只能查看已打印/排板的影像、或者全部的影像。</w:t>
            </w:r>
          </w:p>
        </w:tc>
      </w:tr>
      <w:tr w14:paraId="204685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1"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D45B880">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788FA30D">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5.40 </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79A7C3F5">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支持记录用户的调阅报告、打印报告、登录的行为，对用户使用系统的行为可追溯。</w:t>
            </w:r>
          </w:p>
        </w:tc>
      </w:tr>
      <w:tr w14:paraId="731DA4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9" w:hRule="atLeast"/>
          <w:jc w:val="center"/>
        </w:trPr>
        <w:tc>
          <w:tcPr>
            <w:tcW w:w="1257" w:type="dxa"/>
            <w:vMerge w:val="restart"/>
            <w:tcBorders>
              <w:top w:val="single" w:color="000000" w:sz="4" w:space="0"/>
              <w:left w:val="single" w:color="000000" w:sz="4" w:space="0"/>
              <w:bottom w:val="single" w:color="000000" w:sz="4" w:space="0"/>
              <w:right w:val="single" w:color="000000" w:sz="4" w:space="0"/>
            </w:tcBorders>
            <w:noWrap w:val="0"/>
            <w:vAlign w:val="center"/>
          </w:tcPr>
          <w:p w14:paraId="2B81E29B">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6.影像分析平台</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2F8ED33D">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6.1</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7B002B95">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支持通过折线图、柱形图、饼图、表格等多种展示方式提供可视化web界面，并适配普通电脑屏、一体化大屏、拼接大屏的分辨率查看。</w:t>
            </w:r>
          </w:p>
        </w:tc>
      </w:tr>
      <w:tr w14:paraId="26A2C3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1"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8B9348A">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301FF57E">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6.2</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033DC576">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支持统计各检查设备阳性率、设备使用率、设备再用数量。</w:t>
            </w:r>
          </w:p>
        </w:tc>
      </w:tr>
      <w:tr w14:paraId="1C0608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1"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E31F65D">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2D0A8E01">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6.3</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509F9D4A">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支持统计数据存储量、存储数据增长量、存储使用空间，实时展示存储空间情况。</w:t>
            </w:r>
          </w:p>
        </w:tc>
      </w:tr>
      <w:tr w14:paraId="79DF26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1"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2DF3D96">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2711E8F6">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6.4</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31687DB6">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支持统计各检查设备类型的检查等待耗时、检查耗时、报告平均耗时，查看检查科室的工作效率情况。</w:t>
            </w:r>
          </w:p>
        </w:tc>
      </w:tr>
      <w:tr w14:paraId="411E31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1"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4642101">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58A35D11">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6.5</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424E89B8">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支持多维度统计检查患者属性，包括患者年龄分布、患者性别分布。</w:t>
            </w:r>
          </w:p>
        </w:tc>
      </w:tr>
      <w:tr w14:paraId="3777F3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1"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965B427">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4DCC8EB8">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6.6</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5BF13051">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支持根据设备类型、科室类型、患者来源统计检查量分布。</w:t>
            </w:r>
          </w:p>
        </w:tc>
      </w:tr>
      <w:tr w14:paraId="029B31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1"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CDE93D2">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0DA26026">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6.7</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44CFE1DD">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支持提供标准接口供第三方系统调阅影像平台检查数据和影像数据。</w:t>
            </w:r>
          </w:p>
        </w:tc>
      </w:tr>
      <w:tr w14:paraId="409C14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F9EB239">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369A2440">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6.8</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354AB357">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支持影像以DICOM标准协议调阅。</w:t>
            </w:r>
          </w:p>
        </w:tc>
      </w:tr>
      <w:tr w14:paraId="29B6DC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7227A92">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134B8CF7">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6.9</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2EE4A3B8">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支持对调阅方进行token令牌可信度授权和认证。</w:t>
            </w:r>
          </w:p>
        </w:tc>
      </w:tr>
      <w:tr w14:paraId="05E11A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1"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B6DD0CB">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76BC3024">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6.10 </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081BEFCA">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支持对第三方系统跳转至影像平台的链接上参数进行加解密处理。</w:t>
            </w:r>
          </w:p>
        </w:tc>
      </w:tr>
      <w:tr w14:paraId="771AED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9" w:hRule="atLeast"/>
          <w:jc w:val="center"/>
        </w:trPr>
        <w:tc>
          <w:tcPr>
            <w:tcW w:w="1257" w:type="dxa"/>
            <w:vMerge w:val="restart"/>
            <w:tcBorders>
              <w:top w:val="single" w:color="000000" w:sz="4" w:space="0"/>
              <w:left w:val="single" w:color="000000" w:sz="4" w:space="0"/>
              <w:bottom w:val="single" w:color="000000" w:sz="4" w:space="0"/>
              <w:right w:val="single" w:color="000000" w:sz="4" w:space="0"/>
            </w:tcBorders>
            <w:noWrap w:val="0"/>
            <w:vAlign w:val="center"/>
          </w:tcPr>
          <w:p w14:paraId="447C5749">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7.安全要求</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5D548C85">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7.1</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57F06BC2">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用户首次登录系统必须修改默认登录密码，口令复杂度长度须满足8位字符以上、同时包含数字、大小写字母和特殊符号；口令更换周期支持动态配置。</w:t>
            </w:r>
          </w:p>
        </w:tc>
      </w:tr>
      <w:tr w14:paraId="0F7C33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9"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D2C5B7">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5A7B6DF2">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7.2</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48666DDA">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应用系统设计登录失败策略，当账号一段时间内认证失败超过5次后，将对登录账号、IP进行锁定10分；帐号登录后空闲时间超过10分钟，将自动退出系统、结束当前管理会话。</w:t>
            </w:r>
          </w:p>
        </w:tc>
      </w:tr>
      <w:tr w14:paraId="4EE472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9"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51E3F84">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5A228777">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7.3</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70AA0E4B">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建立访问控制策略，依据最小原则授予用户权限，应用系统设计统一的权限分配、资源分配管理机制，并制定系统登录策略、身份鉴别规则。</w:t>
            </w:r>
          </w:p>
        </w:tc>
      </w:tr>
      <w:tr w14:paraId="402213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1"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79D031E">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004CFF21">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7.4</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72567C50">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应用系统管理具备权限分离机制，由系统管理员、系统用户角色（医生、子系统管理员、平台管理员等）构成。访问控制粒度主体为用户级，客体为数据库表级，限制用户对系统资源的访问。访问控制粒度到单一用户，系统用户由系统管理员审批新增，系统用户角色权限由系统管理员进行管理、分配。</w:t>
            </w:r>
          </w:p>
        </w:tc>
      </w:tr>
      <w:tr w14:paraId="0FE1B9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3"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D1BEE73">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13C211DB">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7.5</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794BBC43">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应用系统设计日志模块对用户操作进行记录，提供操作日志查询功能对用户操作进行审计，日志记录字段包括：操作时间、操作人、IP、模块、功能、操作内容；日志查询字段包括：操作时间、操作人、ip地址、模块、操作类型、医疗机构、所属系统、操作内容。</w:t>
            </w:r>
          </w:p>
        </w:tc>
      </w:tr>
      <w:tr w14:paraId="4349AC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9"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0355D94">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3FE9510A">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7.6</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009C7048">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安全审计模块已覆盖事件的日期、时间、发起者信息、类型、描述和结果内容，审计记录的内容详细保证事后问题的审计检查。</w:t>
            </w:r>
          </w:p>
        </w:tc>
      </w:tr>
      <w:tr w14:paraId="3F5232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6"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4141A30">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53AEBB34">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7.7</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3B2D97D4">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应用系统在用户退出登录后不保留用户身份鉴别信息，系统限制浏览器自动填充表单，保证鉴别信息、敏感信息所在的存储空间被释放或重新分配前得到完全清除。</w:t>
            </w:r>
          </w:p>
        </w:tc>
      </w:tr>
      <w:tr w14:paraId="41A525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jc w:val="center"/>
        </w:trPr>
        <w:tc>
          <w:tcPr>
            <w:tcW w:w="9699" w:type="dxa"/>
            <w:gridSpan w:val="3"/>
            <w:tcBorders>
              <w:top w:val="single" w:color="000000" w:sz="4" w:space="0"/>
              <w:left w:val="single" w:color="000000" w:sz="4" w:space="0"/>
              <w:bottom w:val="single" w:color="000000" w:sz="4" w:space="0"/>
              <w:right w:val="single" w:color="000000" w:sz="4" w:space="0"/>
            </w:tcBorders>
            <w:noWrap w:val="0"/>
            <w:vAlign w:val="center"/>
          </w:tcPr>
          <w:p w14:paraId="67BC99BD">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影像共享平台软件功能需求：</w:t>
            </w:r>
          </w:p>
        </w:tc>
      </w:tr>
      <w:tr w14:paraId="73BD9A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9" w:hRule="atLeast"/>
          <w:jc w:val="center"/>
        </w:trPr>
        <w:tc>
          <w:tcPr>
            <w:tcW w:w="1257" w:type="dxa"/>
            <w:vMerge w:val="restart"/>
            <w:tcBorders>
              <w:top w:val="single" w:color="000000" w:sz="4" w:space="0"/>
              <w:left w:val="single" w:color="000000" w:sz="4" w:space="0"/>
              <w:bottom w:val="single" w:color="000000" w:sz="4" w:space="0"/>
              <w:right w:val="single" w:color="000000" w:sz="4" w:space="0"/>
            </w:tcBorders>
            <w:noWrap w:val="0"/>
            <w:vAlign w:val="center"/>
          </w:tcPr>
          <w:p w14:paraId="17D0DBC0">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1.系统管理服务</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70980982">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6EAA4B09">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从影像集成与共享平台收集影像数据，包括影像检查、JPEG 图像、检查报告等，从而为病人创建一个完成连续的数据集。</w:t>
            </w:r>
          </w:p>
        </w:tc>
      </w:tr>
      <w:tr w14:paraId="49659F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1"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FFCF58C">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2263A9E8">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12C0FEF2">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支持各类互操作和集成标准，例如 HL7、DICOM、非 DICOM和 WADO 协议。</w:t>
            </w:r>
          </w:p>
        </w:tc>
      </w:tr>
      <w:tr w14:paraId="4EB256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1"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D741343">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6EF56854">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724B188A">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通过网络随时随地提供患者影像检查记录，能显示单一患者的全部影像检查记录及相关影像。</w:t>
            </w:r>
          </w:p>
        </w:tc>
      </w:tr>
      <w:tr w14:paraId="31F16D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1"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36C26DF">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7269C938">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0ED185AC">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均衡日益增长的临床需求与在用户定义的规则下达到尽可能最低的存储成本的要求。</w:t>
            </w:r>
          </w:p>
        </w:tc>
      </w:tr>
      <w:tr w14:paraId="140C68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6"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E75B616">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5E183D8E">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43B0254F">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应用多层加密和安全措施，监控访问和安全威胁并满足严格的患者隐私法规的要求。通过信息系统安全等级保护三级，提供投产品信息系统安全等级保护备案证明（三级）。</w:t>
            </w:r>
          </w:p>
        </w:tc>
      </w:tr>
      <w:tr w14:paraId="2D090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1"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5E6C158">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3FF1429C">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6FA18292">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影像采集实现与全院所有的DICOM设备的对接或者影像集成平台对接，接收符合DICOM标准的DICOM影像。</w:t>
            </w:r>
          </w:p>
        </w:tc>
      </w:tr>
      <w:tr w14:paraId="3B33CC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1"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CCFA10A">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436E428D">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6DB93DF5">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业务数据传输支持Restful标准接口/视图对接，使用XXL-JOB分布式任务调度平台定时触发采集。</w:t>
            </w:r>
          </w:p>
        </w:tc>
      </w:tr>
      <w:tr w14:paraId="3BCF63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1"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A0D85B0">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75620801">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1.10 </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13D3F9F1">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数据采集和存储支持标准的DICOM协议，标准格式无损压缩图像保证影像数据传输的效率。</w:t>
            </w:r>
          </w:p>
        </w:tc>
      </w:tr>
      <w:tr w14:paraId="520A73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3"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678B044">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02E2391D">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1.11 </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1826949F">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影像元数据管理机制参考医学数字影像通信基本数据集（标准号：WS 538-2017），用于医学数字影像通信数据集元数据属性、数据元属性、数据集中数据元与Dicom数据元对照关系。保证影像共享平台软件系统对各种类型医学影像的获取、处理和归档管理。</w:t>
            </w:r>
          </w:p>
        </w:tc>
      </w:tr>
      <w:tr w14:paraId="471347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1"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15674DF">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6F753C84">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1.12 </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7BA54960">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支持存储同时接收多个采集服务的数据传输，支持并发归档影像。</w:t>
            </w:r>
          </w:p>
        </w:tc>
      </w:tr>
      <w:tr w14:paraId="4F2C38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91DF33A">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761E18D0">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1.13 </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1913AC4A">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基于S3对象存储，支持分桶策略对影像进行归档。</w:t>
            </w:r>
          </w:p>
        </w:tc>
      </w:tr>
      <w:tr w14:paraId="1D43BC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1"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CCCF56E">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68FD170F">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1.14 </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032EDB22">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支持Dicom影像加密后进行归档，充分保障数据的安全性。</w:t>
            </w:r>
          </w:p>
        </w:tc>
      </w:tr>
      <w:tr w14:paraId="3ACC95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9"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6874265">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61687D56">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1.15 </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48B9E916">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长期归档存储设备支持设置自动删除策略，定时检测存储服务器磁盘空间，按照所配置删除策略进行影像删除。</w:t>
            </w:r>
          </w:p>
        </w:tc>
      </w:tr>
      <w:tr w14:paraId="055425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1"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C94158A">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69DE5B3F">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1.16 </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02536119">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支持长期归档存储设备提供无缝升级，升级无需停机，升级时现有存储继续使用。</w:t>
            </w:r>
          </w:p>
        </w:tc>
      </w:tr>
      <w:tr w14:paraId="4297AB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BDDF651">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59AAE0BB">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1.17 </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397ED10A">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支持动态扩展影像报告存储服务存储空间。</w:t>
            </w:r>
          </w:p>
        </w:tc>
      </w:tr>
      <w:tr w14:paraId="1A415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1"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7814736">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14438D2D">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1.18 </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55FE40AB">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患者数据支持Https网络协议传输，实现互联网传输安全保护。</w:t>
            </w:r>
          </w:p>
        </w:tc>
      </w:tr>
      <w:tr w14:paraId="6AB437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5007394">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314801E0">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1.19 </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26B40EC6">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default" w:ascii="宋体" w:hAnsi="宋体" w:eastAsia="宋体" w:cs="宋体"/>
                <w:i w:val="0"/>
                <w:iCs w:val="0"/>
                <w:color w:val="000000"/>
                <w:sz w:val="21"/>
                <w:szCs w:val="21"/>
                <w:u w:val="none"/>
              </w:rPr>
            </w:pPr>
            <w:r>
              <w:rPr>
                <w:rFonts w:hint="default" w:ascii="宋体" w:hAnsi="宋体" w:eastAsia="宋体" w:cs="宋体"/>
                <w:i w:val="0"/>
                <w:iCs w:val="0"/>
                <w:color w:val="000000"/>
                <w:sz w:val="21"/>
                <w:szCs w:val="21"/>
                <w:u w:val="none"/>
              </w:rPr>
              <w:t>支持通过短信链接查看报告。</w:t>
            </w:r>
          </w:p>
        </w:tc>
      </w:tr>
      <w:tr w14:paraId="0438DB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54F2189">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48B73D85">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67D167AE">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p>
        </w:tc>
      </w:tr>
      <w:tr w14:paraId="69D6D9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A1F019B">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416E628A">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1.21 </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414B84A5">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支持根据检查状态设置患者可查看检查报告的时间。</w:t>
            </w:r>
          </w:p>
        </w:tc>
      </w:tr>
      <w:tr w14:paraId="7A39E8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3EE2639">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21AF44FE">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1.22 </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76CFABB5">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支持根据检查状态设置患者可查看检查影像的时间。</w:t>
            </w:r>
          </w:p>
        </w:tc>
      </w:tr>
      <w:tr w14:paraId="698E8F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E92D622">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5FD915DF">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1.23 </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030EAB0F">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支持配置是否允许患者查看原始报告详情。</w:t>
            </w:r>
          </w:p>
        </w:tc>
      </w:tr>
      <w:tr w14:paraId="5CEA95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86410A7">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2240EC5B">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1.24 </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7A16AF5E">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支持配置是否允许患者查看原始影像。</w:t>
            </w:r>
          </w:p>
        </w:tc>
      </w:tr>
      <w:tr w14:paraId="794A0D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118B646">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4022B4B9">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1.25 </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2653C3A2">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支持配置患者是否可以下载影像。</w:t>
            </w:r>
          </w:p>
        </w:tc>
      </w:tr>
      <w:tr w14:paraId="2479B5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EF539DB">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1A3E783A">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1.26 </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1BBB4D7E">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支持配置患者打印胶片后是否可以查看电子胶片。</w:t>
            </w:r>
          </w:p>
        </w:tc>
      </w:tr>
      <w:tr w14:paraId="2F864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1"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AF3DEA3">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38112445">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1.27 </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78CD66E2">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支持自定义患者端应用界面功能配置（Logo图、报告水印、报告底部提示性文字等）。</w:t>
            </w:r>
          </w:p>
        </w:tc>
      </w:tr>
      <w:tr w14:paraId="5B95ED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9"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97CA7E6">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6BE73291">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1.28 </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1895F8C4">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支持统计用户使用影像共享平台软件的访问方式的数据量。访问方式包括包括微信，短信通知链接，报告二维码三种。</w:t>
            </w:r>
          </w:p>
        </w:tc>
      </w:tr>
      <w:tr w14:paraId="591EF0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9"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EC39965">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5A4DF9C5">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1.29 </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15683069">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支持统计检查总人次、报告打印人次、影像查看使用量、对外分享次数、影响下载次数。支持统计展示影像共享平台软件使用率。</w:t>
            </w:r>
          </w:p>
        </w:tc>
      </w:tr>
      <w:tr w14:paraId="1BE16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1"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3A88B99">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01DF703E">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1.30 </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66B80849">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统计数据传输过程采用Aes加密算法加密数据，确保数据安全。</w:t>
            </w:r>
          </w:p>
        </w:tc>
      </w:tr>
      <w:tr w14:paraId="19FE8C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29EA50C">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5AABA5BC">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1.31 </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699D873C">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支持统计报表和统计图形的导出。</w:t>
            </w:r>
          </w:p>
        </w:tc>
      </w:tr>
      <w:tr w14:paraId="3BDE40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1" w:hRule="atLeast"/>
          <w:jc w:val="center"/>
        </w:trPr>
        <w:tc>
          <w:tcPr>
            <w:tcW w:w="1257" w:type="dxa"/>
            <w:vMerge w:val="restart"/>
            <w:tcBorders>
              <w:top w:val="single" w:color="000000" w:sz="4" w:space="0"/>
              <w:left w:val="single" w:color="000000" w:sz="4" w:space="0"/>
              <w:bottom w:val="single" w:color="000000" w:sz="4" w:space="0"/>
              <w:right w:val="single" w:color="000000" w:sz="4" w:space="0"/>
            </w:tcBorders>
            <w:noWrap w:val="0"/>
            <w:vAlign w:val="center"/>
          </w:tcPr>
          <w:p w14:paraId="08D2B4EC">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2.医生影像浏览软件</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3261E497">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408C17FF">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支持通过账号密码登录医生端系统，医生可以修改密码。</w:t>
            </w:r>
          </w:p>
        </w:tc>
      </w:tr>
      <w:tr w14:paraId="7CB78B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1813C56">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736F9346">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58371D20">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支持列表展示患者信息。</w:t>
            </w:r>
          </w:p>
        </w:tc>
      </w:tr>
      <w:tr w14:paraId="21F9BB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1"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236B948">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208C4362">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0597A94E">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支持通过患者ID、流水号、患者姓名、检查时间查询患者信息。</w:t>
            </w:r>
          </w:p>
        </w:tc>
      </w:tr>
      <w:tr w14:paraId="15736A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1"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86480F0">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36270272">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5FC93242">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支持通过患者列表查看原始报告，查看患者影像，进行阅片。</w:t>
            </w:r>
          </w:p>
        </w:tc>
      </w:tr>
      <w:tr w14:paraId="005F68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B2BF394">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14837176">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0242A8FA">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支持Dicom格式查看完整的检查影像。</w:t>
            </w:r>
          </w:p>
        </w:tc>
      </w:tr>
      <w:tr w14:paraId="49EF51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7"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D17BD3A">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61B4687E">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2EC4B13D">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支持缩放、移动、旋转（L90，R90）、左右镜像、上下翻转、反相、播放、调窗（预设值、实时调节）、布局、序列查看等显示功能。</w:t>
            </w:r>
          </w:p>
        </w:tc>
      </w:tr>
      <w:tr w14:paraId="1537B6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1"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A3C7768">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4D92F641">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31D2AA0B">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支持多平面重建（包括最大密度、最小密度、平均密度投影）；支持层厚的调节。</w:t>
            </w:r>
          </w:p>
        </w:tc>
      </w:tr>
      <w:tr w14:paraId="191510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C7A7A17">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1413A9AD">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3CFDEC87">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支持MPR预重建及实时重建功能。</w:t>
            </w:r>
          </w:p>
        </w:tc>
      </w:tr>
      <w:tr w14:paraId="7F2617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415D57D">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3D35935A">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03B499DF">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支持距离、角度、CT值、椭圆等测量等测量功能。</w:t>
            </w:r>
          </w:p>
        </w:tc>
      </w:tr>
      <w:tr w14:paraId="60D848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496B17D">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23040E07">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2.10 </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5B07BE62">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支持文字标注功能。</w:t>
            </w:r>
          </w:p>
        </w:tc>
      </w:tr>
      <w:tr w14:paraId="50C8B0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1"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0517D4">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32E50BDE">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2.11</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52E7BBFE">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支持多人同时进行影像协同操作，影像操作画面共享屏幕。</w:t>
            </w:r>
          </w:p>
        </w:tc>
      </w:tr>
      <w:tr w14:paraId="1CBDEB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370F090">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7E1CCD7F">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2.12 </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441A2E8F">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支持多人在影像协同的过程中进行实时语音通话。</w:t>
            </w:r>
          </w:p>
        </w:tc>
      </w:tr>
      <w:tr w14:paraId="3EFC22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1" w:hRule="atLeast"/>
          <w:jc w:val="center"/>
        </w:trPr>
        <w:tc>
          <w:tcPr>
            <w:tcW w:w="1257" w:type="dxa"/>
            <w:vMerge w:val="restart"/>
            <w:tcBorders>
              <w:top w:val="single" w:color="000000" w:sz="4" w:space="0"/>
              <w:left w:val="single" w:color="000000" w:sz="4" w:space="0"/>
              <w:bottom w:val="single" w:color="000000" w:sz="4" w:space="0"/>
              <w:right w:val="single" w:color="000000" w:sz="4" w:space="0"/>
            </w:tcBorders>
            <w:noWrap w:val="0"/>
            <w:vAlign w:val="center"/>
          </w:tcPr>
          <w:p w14:paraId="4C48A0BF">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3.患者应用服务</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07D7381B">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14CDE6AD">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支持多医技科室（包含但不限于放射、超声、内镜等）检查的图文报告和电子影像统一查阅功能。</w:t>
            </w:r>
          </w:p>
        </w:tc>
      </w:tr>
      <w:tr w14:paraId="7A2FD7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AF71B0B">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7B03D27F">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75E37685">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支持手机、平板设备查阅检查报告和影像。</w:t>
            </w:r>
          </w:p>
        </w:tc>
      </w:tr>
      <w:tr w14:paraId="7C3016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AAA4AFC">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6632DAA7">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3.3</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730E1E9A">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支持电脑端查阅检查影像。</w:t>
            </w:r>
          </w:p>
        </w:tc>
      </w:tr>
      <w:tr w14:paraId="7184FB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D0E96C0">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1A5F6A50">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6BB42429">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支持从医院微信公众号进入查看检查报告和影像。</w:t>
            </w:r>
          </w:p>
        </w:tc>
      </w:tr>
      <w:tr w14:paraId="5E00D9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1"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0CF7521">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72BA75C6">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507D5E3F">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支持通过姓名+身份证号，姓名+就诊号进行检查的查询</w:t>
            </w:r>
          </w:p>
        </w:tc>
      </w:tr>
      <w:tr w14:paraId="12014C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67B9DB4">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0C1F2A29">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3.6</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1A6F8EF4">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支持从医院微信小程序进入查看检查报告和影像。</w:t>
            </w:r>
          </w:p>
        </w:tc>
      </w:tr>
      <w:tr w14:paraId="726E98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3855C3A">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5490ABFC">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3.7</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1FF365D7">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支持扫描报告单二维码进入查看检查报告和影像。</w:t>
            </w:r>
          </w:p>
        </w:tc>
      </w:tr>
      <w:tr w14:paraId="2B3DD4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1"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DC90799">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54668BD1">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3.8</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1CA8D8F9">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支持通过推送的手机短信链接直接调阅检查报告影像。</w:t>
            </w:r>
          </w:p>
        </w:tc>
      </w:tr>
      <w:tr w14:paraId="406CAB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1"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E56C6AD">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6452EB24">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3.9</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53A5E85E">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支持通过短信或微信自动推送检查报告完成提醒服务。</w:t>
            </w:r>
          </w:p>
        </w:tc>
      </w:tr>
      <w:tr w14:paraId="1C590C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1"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21F45E5">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4F9DC286">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3.10 </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001132BA">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支持移动设备直接触摸式滑动翻页浏览检查报告和影像。</w:t>
            </w:r>
          </w:p>
        </w:tc>
      </w:tr>
      <w:tr w14:paraId="49A437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1"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E596BAF">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68AA775F">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3.11</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7ED9139F">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支持图片格式的检查报告的查看和保存下载，便于用户后续自主打印。</w:t>
            </w:r>
          </w:p>
        </w:tc>
      </w:tr>
      <w:tr w14:paraId="4789D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3552857">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032D67FA">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3.12 </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171BB424">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支持DICOM格式查看完整的检查影像。</w:t>
            </w:r>
          </w:p>
        </w:tc>
      </w:tr>
      <w:tr w14:paraId="26E062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F591FC1">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10B696E9">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3.13</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4E3F2483">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支持图片格式查看检查影像。</w:t>
            </w:r>
          </w:p>
        </w:tc>
      </w:tr>
      <w:tr w14:paraId="368426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5FAB94B">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34D65EDF">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3.14 </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406C26C7">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支持检查影像以原始Dicom格式、Jpg格式导出。</w:t>
            </w:r>
          </w:p>
        </w:tc>
      </w:tr>
      <w:tr w14:paraId="5D1C3B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595C0E0">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6AFB1BAA">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3.15</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710C4FF6">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支持查看原始Dicom影像时给出网络状态提示。</w:t>
            </w:r>
          </w:p>
        </w:tc>
      </w:tr>
      <w:tr w14:paraId="4227D5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9"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D0030E2">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3B092D9E">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3.16 </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45F46C8D">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支持对影像进行序列选择、放大缩小、切换、调窗、移动、旋转、测量标注、图像反色、镜像操作、一键还原、播放操作。</w:t>
            </w:r>
          </w:p>
        </w:tc>
      </w:tr>
      <w:tr w14:paraId="53AA9B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25CB2C9">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4B5FEDDA">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3.17</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71C57AA3">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支持距离、角度测量功能。</w:t>
            </w:r>
          </w:p>
        </w:tc>
      </w:tr>
      <w:tr w14:paraId="0FFEDB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1"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98D471A">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1BDECA41">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3.18 </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00CA54ED">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支持多人同时进行影像协同操作，影像操作画面共享屏幕。</w:t>
            </w:r>
          </w:p>
        </w:tc>
      </w:tr>
      <w:tr w14:paraId="1493A7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5F8AA42">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4548429C">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3.19</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2D92CCFA">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支持多人在影像协同的过程中进行实时语音通话。</w:t>
            </w:r>
          </w:p>
        </w:tc>
      </w:tr>
      <w:tr w14:paraId="6B9CB5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45EAB8E">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3F5D6C73">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3.20 </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6D5125E8">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支持检查记录列表展示。</w:t>
            </w:r>
          </w:p>
        </w:tc>
      </w:tr>
      <w:tr w14:paraId="683EC6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6"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D92123B">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70670855">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3.21</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66E00E88">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支持检查结果分享，系统可以生成分享二维码，扫描二维码，可查看检查报告和影像，用户对生成的分享二维码信息进行勾选“允许对方查看历史检查记录”选项，应能分享历史检查记录。</w:t>
            </w:r>
          </w:p>
        </w:tc>
      </w:tr>
      <w:tr w14:paraId="265EE3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A5E5D63">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23624E66">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3.22 </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505FA3BE">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支持更换绑定的手机号。</w:t>
            </w:r>
          </w:p>
        </w:tc>
      </w:tr>
      <w:tr w14:paraId="3CC7B2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EF7A847">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58415C37">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3.23</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2097C3C4">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支持手动绑定或解绑其他用户。</w:t>
            </w:r>
          </w:p>
        </w:tc>
      </w:tr>
      <w:tr w14:paraId="291DFB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1"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DD3FB60">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45661F71">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3.24 </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174F14F4">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具有身份认证机制，用户认证手机号或身份证尾号或短信方式通过之后才能使用影像共享平台软件功能。</w:t>
            </w:r>
          </w:p>
        </w:tc>
      </w:tr>
      <w:tr w14:paraId="17ECA3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1"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F991D1D">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2E54FFB8">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3.25</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09F22DE5">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支持就诊人管理，通过手机号绑定，一个账户能关联多个用户，自由切换。</w:t>
            </w:r>
          </w:p>
        </w:tc>
      </w:tr>
      <w:tr w14:paraId="320155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4766026">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560E7D9F">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3.26 </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1291540C">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支持设置报告单二维码的有效期。</w:t>
            </w:r>
          </w:p>
        </w:tc>
      </w:tr>
      <w:tr w14:paraId="6AF3ED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1"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775F982">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6A47FD5F">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3.27</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433BB9FE">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支持影像共享平台软件使用涉及的常见问题解决方案提醒。</w:t>
            </w:r>
          </w:p>
        </w:tc>
      </w:tr>
      <w:tr w14:paraId="29BA34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197C06C">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5929A12D">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3.28 </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425DF9D1">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支持操作说明文档查阅。</w:t>
            </w:r>
          </w:p>
        </w:tc>
      </w:tr>
      <w:tr w14:paraId="5FB281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08E68CA">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15949FE2">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3.29</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0BA134E2">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支持使用意见反馈功能。</w:t>
            </w:r>
          </w:p>
        </w:tc>
      </w:tr>
      <w:tr w14:paraId="5D7D6B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9D61471">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5B90AF3C">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3.30 </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430B0C98">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支持通过扫码或检索ID自助打印检查报告。</w:t>
            </w:r>
          </w:p>
        </w:tc>
      </w:tr>
      <w:tr w14:paraId="349425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D4312F0">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3F47C095">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3.31</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3F040F7F">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p>
        </w:tc>
      </w:tr>
      <w:tr w14:paraId="6F988D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589DC6F">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71421918">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3.32 </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55C8EAD1">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支持单独屏幕显示待打印患者信息。</w:t>
            </w:r>
          </w:p>
        </w:tc>
      </w:tr>
      <w:tr w14:paraId="7D025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44234BD">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0062DB51">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3.33</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39F26CF7">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支持患者打印列表展示。</w:t>
            </w:r>
          </w:p>
        </w:tc>
      </w:tr>
      <w:tr w14:paraId="10DDBB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1"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636BE60">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3EAA2ED5">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3.34 </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442502CD">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提供收费处、引导员、医技科室、信息科引导患者使用影像共享平台软件的针对性培训。</w:t>
            </w:r>
          </w:p>
        </w:tc>
      </w:tr>
      <w:tr w14:paraId="4031F9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BFC8723">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6EB64D68">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3.35</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347FF9FF">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提供易拉宝，宣传贴等宣传用户指导使用物料。</w:t>
            </w:r>
          </w:p>
        </w:tc>
      </w:tr>
      <w:tr w14:paraId="0061F9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1"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F550196">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6D7DCFD8">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3.36 </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300AE396">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提供影像共享平台软件二维码供医院登记小票、检查报告打印时调用。</w:t>
            </w:r>
          </w:p>
        </w:tc>
      </w:tr>
      <w:tr w14:paraId="5036E6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1"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863645D">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6D1B2821">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3.37</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75B8E8FE">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集成浏览软件支持桌面级嵌入式调用和第三方移动应用的集成调用。</w:t>
            </w:r>
          </w:p>
        </w:tc>
      </w:tr>
      <w:tr w14:paraId="4F741C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jc w:val="center"/>
        </w:trPr>
        <w:tc>
          <w:tcPr>
            <w:tcW w:w="1257" w:type="dxa"/>
            <w:vMerge w:val="restart"/>
            <w:tcBorders>
              <w:top w:val="single" w:color="000000" w:sz="4" w:space="0"/>
              <w:left w:val="single" w:color="000000" w:sz="4" w:space="0"/>
              <w:bottom w:val="single" w:color="000000" w:sz="4" w:space="0"/>
              <w:right w:val="single" w:color="000000" w:sz="4" w:space="0"/>
            </w:tcBorders>
            <w:noWrap w:val="0"/>
            <w:vAlign w:val="center"/>
          </w:tcPr>
          <w:p w14:paraId="26BF0E8F">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4.系统接口</w:t>
            </w: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61E23B48">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16A4EA23">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支持与微信公众号对接，实现影像报告信息的交互。</w:t>
            </w:r>
          </w:p>
        </w:tc>
      </w:tr>
      <w:tr w14:paraId="7873EF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DE83621">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0E5329A0">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4.2</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75D7F06D">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支持与微信小程序对接，实现影像报告信息的交互。</w:t>
            </w:r>
          </w:p>
        </w:tc>
      </w:tr>
      <w:tr w14:paraId="501220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9"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F550353">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41CFC744">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4.3</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286C56ED">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支持与PACS系统通过HL7、DICOM协议标准接口，实现影像报告和图像消息的交互，支持系统业务内前后端通过API接口进行数据交互。</w:t>
            </w:r>
          </w:p>
        </w:tc>
      </w:tr>
      <w:tr w14:paraId="448E29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F2F8AB5">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76393C66">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4.4</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6D2E884A">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支持与企业的微信对接，实现影像报告信息的交互。</w:t>
            </w:r>
          </w:p>
        </w:tc>
      </w:tr>
      <w:tr w14:paraId="5ABA8A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jc w:val="center"/>
        </w:trPr>
        <w:tc>
          <w:tcPr>
            <w:tcW w:w="125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D66F689">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i w:val="0"/>
                <w:iCs w:val="0"/>
                <w:color w:val="000000"/>
                <w:sz w:val="21"/>
                <w:szCs w:val="21"/>
                <w:u w:val="none"/>
              </w:rPr>
            </w:pPr>
          </w:p>
        </w:tc>
        <w:tc>
          <w:tcPr>
            <w:tcW w:w="1440" w:type="dxa"/>
            <w:tcBorders>
              <w:top w:val="single" w:color="000000" w:sz="4" w:space="0"/>
              <w:left w:val="single" w:color="000000" w:sz="4" w:space="0"/>
              <w:bottom w:val="single" w:color="000000" w:sz="4" w:space="0"/>
              <w:right w:val="single" w:color="000000" w:sz="4" w:space="0"/>
            </w:tcBorders>
            <w:noWrap w:val="0"/>
            <w:vAlign w:val="center"/>
          </w:tcPr>
          <w:p w14:paraId="24645C8A">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w:t>
            </w:r>
          </w:p>
        </w:tc>
        <w:tc>
          <w:tcPr>
            <w:tcW w:w="7002" w:type="dxa"/>
            <w:tcBorders>
              <w:top w:val="single" w:color="000000" w:sz="4" w:space="0"/>
              <w:left w:val="single" w:color="000000" w:sz="4" w:space="0"/>
              <w:bottom w:val="single" w:color="000000" w:sz="4" w:space="0"/>
              <w:right w:val="single" w:color="000000" w:sz="4" w:space="0"/>
            </w:tcBorders>
            <w:noWrap w:val="0"/>
            <w:vAlign w:val="center"/>
          </w:tcPr>
          <w:p w14:paraId="34CCA12C">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支持与短信平台的接口，实现同患者手机的短信通知。</w:t>
            </w:r>
          </w:p>
        </w:tc>
      </w:tr>
    </w:tbl>
    <w:p w14:paraId="415CE14F">
      <w:pPr>
        <w:bidi w:val="0"/>
        <w:rPr>
          <w:rFonts w:hint="eastAsia"/>
          <w:lang w:val="en-US" w:eastAsia="zh-CN"/>
        </w:rPr>
      </w:pPr>
    </w:p>
    <w:p w14:paraId="292DC888">
      <w:pPr>
        <w:bidi w:val="0"/>
        <w:rPr>
          <w:rFonts w:hint="eastAsia"/>
          <w:lang w:val="en-US" w:eastAsia="zh-CN"/>
        </w:rPr>
      </w:pPr>
    </w:p>
    <w:p w14:paraId="3A254234">
      <w:pPr>
        <w:pStyle w:val="4"/>
        <w:bidi w:val="0"/>
        <w:rPr>
          <w:rFonts w:hint="eastAsia"/>
          <w:lang w:val="en-US" w:eastAsia="zh-CN"/>
        </w:rPr>
      </w:pPr>
      <w:bookmarkStart w:id="165" w:name="_Toc7845"/>
      <w:bookmarkStart w:id="166" w:name="_Toc22358"/>
      <w:bookmarkStart w:id="167" w:name="_Toc30469"/>
      <w:bookmarkStart w:id="168" w:name="_Toc21110"/>
      <w:r>
        <w:rPr>
          <w:rFonts w:hint="eastAsia"/>
          <w:lang w:val="en-US" w:eastAsia="zh-CN"/>
        </w:rPr>
        <w:t>认知康复训练与评估软件（脑健康与认知障碍测评系统)</w:t>
      </w:r>
      <w:bookmarkEnd w:id="164"/>
      <w:bookmarkEnd w:id="165"/>
      <w:bookmarkEnd w:id="166"/>
      <w:bookmarkEnd w:id="167"/>
      <w:bookmarkEnd w:id="168"/>
    </w:p>
    <w:p w14:paraId="1B3CA3DC">
      <w:pPr>
        <w:pStyle w:val="19"/>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宋体" w:cs="宋体"/>
          <w:sz w:val="24"/>
        </w:rPr>
      </w:pPr>
      <w:r>
        <w:rPr>
          <w:rFonts w:hint="eastAsia" w:ascii="宋体" w:hAnsi="宋体" w:cs="宋体"/>
          <w:sz w:val="24"/>
        </w:rPr>
        <w:t>此次所需认知功能康复训练与评估软件可实现认知障碍及痴呆相关疾病的科研管理、筛查预警，需具备以下优点。</w:t>
      </w:r>
    </w:p>
    <w:p w14:paraId="5C71B401">
      <w:pPr>
        <w:pStyle w:val="19"/>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宋体" w:cs="宋体"/>
          <w:sz w:val="24"/>
        </w:rPr>
      </w:pPr>
      <w:r>
        <w:rPr>
          <w:rFonts w:hint="eastAsia" w:ascii="宋体" w:hAnsi="宋体" w:cs="宋体"/>
          <w:sz w:val="24"/>
        </w:rPr>
        <w:t>（1）检测内容科学性：采用灵敏度高（依据中国人群常模标准精准分析）的认知测验评估大脑认知功能，生成科学专业的脑健康体检报告。</w:t>
      </w:r>
    </w:p>
    <w:p w14:paraId="6E8BB228">
      <w:pPr>
        <w:pStyle w:val="19"/>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宋体" w:cs="宋体"/>
          <w:sz w:val="24"/>
        </w:rPr>
      </w:pPr>
      <w:r>
        <w:rPr>
          <w:rFonts w:hint="eastAsia" w:ascii="宋体" w:hAnsi="宋体" w:cs="宋体"/>
          <w:sz w:val="24"/>
        </w:rPr>
        <w:t>（2）操作智能化：通过移动端的设置，操作简单，便于存储和管理数据，可以及时更新现有数据和查看检测报告。</w:t>
      </w:r>
    </w:p>
    <w:p w14:paraId="5041FFF2">
      <w:pPr>
        <w:pStyle w:val="19"/>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宋体" w:cs="宋体"/>
          <w:sz w:val="24"/>
        </w:rPr>
      </w:pPr>
      <w:r>
        <w:rPr>
          <w:rFonts w:hint="eastAsia" w:ascii="宋体" w:hAnsi="宋体" w:cs="宋体"/>
          <w:sz w:val="24"/>
        </w:rPr>
        <w:t>（3）信息连通性：收集分析被试数据，为科研管理人员提供丰富的参考信息，帮助其管理被试健康档案，实时掌握脑健康指数。</w:t>
      </w:r>
    </w:p>
    <w:p w14:paraId="5A99D965">
      <w:pPr>
        <w:pStyle w:val="19"/>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color w:val="auto"/>
          <w:sz w:val="32"/>
          <w:szCs w:val="32"/>
          <w:highlight w:val="none"/>
        </w:rPr>
      </w:pPr>
      <w:r>
        <w:rPr>
          <w:rFonts w:hint="eastAsia" w:ascii="宋体" w:hAnsi="宋体" w:cs="宋体"/>
          <w:sz w:val="24"/>
        </w:rPr>
        <w:t>（4）测评高效性：测评系统分级设定，初步测评应在10分钟以内，可智能评估认知功能水平、精神情绪状态，精准预警脑健康疾病患病风险。</w:t>
      </w:r>
    </w:p>
    <w:p w14:paraId="3504B44D">
      <w:pPr>
        <w:numPr>
          <w:ilvl w:val="0"/>
          <w:numId w:val="73"/>
        </w:numPr>
        <w:bidi w:val="0"/>
        <w:rPr>
          <w:rFonts w:hint="eastAsia"/>
          <w:b/>
          <w:bCs/>
          <w:lang w:val="en-US" w:eastAsia="zh-CN"/>
        </w:rPr>
      </w:pPr>
      <w:r>
        <w:rPr>
          <w:rFonts w:hint="eastAsia"/>
          <w:b/>
          <w:bCs/>
          <w:lang w:val="en-US" w:eastAsia="zh-CN"/>
        </w:rPr>
        <w:t>技术要求-性能需求</w:t>
      </w:r>
    </w:p>
    <w:p w14:paraId="282C9BB2">
      <w:pPr>
        <w:bidi w:val="0"/>
        <w:spacing w:line="360" w:lineRule="auto"/>
        <w:ind w:firstLine="240" w:firstLineChars="100"/>
        <w:rPr>
          <w:rFonts w:hint="eastAsia"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3</w:t>
      </w:r>
      <w:r>
        <w:rPr>
          <w:rFonts w:hint="eastAsia" w:ascii="宋体" w:hAnsi="宋体" w:eastAsia="宋体" w:cs="宋体"/>
          <w:kern w:val="2"/>
          <w:sz w:val="24"/>
          <w:szCs w:val="24"/>
          <w:lang w:val="en-US" w:eastAsia="zh-CN" w:bidi="ar-SA"/>
        </w:rPr>
        <w:t>.1 实现表现层（应用端）和控制层（管理端）的分离。</w:t>
      </w:r>
    </w:p>
    <w:p w14:paraId="05775DE5">
      <w:pPr>
        <w:bidi w:val="0"/>
        <w:spacing w:line="360" w:lineRule="auto"/>
        <w:ind w:firstLine="240" w:firstLineChars="100"/>
        <w:rPr>
          <w:rFonts w:hint="eastAsia"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3</w:t>
      </w:r>
      <w:r>
        <w:rPr>
          <w:rFonts w:hint="eastAsia" w:ascii="宋体" w:hAnsi="宋体" w:eastAsia="宋体" w:cs="宋体"/>
          <w:kern w:val="2"/>
          <w:sz w:val="24"/>
          <w:szCs w:val="24"/>
          <w:lang w:val="en-US" w:eastAsia="zh-CN" w:bidi="ar-SA"/>
        </w:rPr>
        <w:t>.2 可操作性：系统界面简单美观，功能设计简洁合理，菜单按钮易辨认。</w:t>
      </w:r>
    </w:p>
    <w:p w14:paraId="28602C3C">
      <w:pPr>
        <w:bidi w:val="0"/>
        <w:spacing w:line="360" w:lineRule="auto"/>
        <w:ind w:left="479" w:leftChars="114" w:hanging="240" w:hangingChars="100"/>
        <w:rPr>
          <w:rFonts w:hint="eastAsia"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3</w:t>
      </w:r>
      <w:r>
        <w:rPr>
          <w:rFonts w:hint="eastAsia" w:ascii="宋体" w:hAnsi="宋体" w:eastAsia="宋体" w:cs="宋体"/>
          <w:kern w:val="2"/>
          <w:sz w:val="24"/>
          <w:szCs w:val="24"/>
          <w:lang w:val="en-US" w:eastAsia="zh-CN" w:bidi="ar-SA"/>
        </w:rPr>
        <w:t>.3 高效性：用户登录系统用时≤3s，页面操作响应时间≤3s之内；报表统计分析操作响应时间≤5s。支持多端同时访问，可支持≥1000人并发访问（1000tps）。</w:t>
      </w:r>
    </w:p>
    <w:p w14:paraId="08746E72">
      <w:pPr>
        <w:bidi w:val="0"/>
        <w:spacing w:line="360" w:lineRule="auto"/>
        <w:ind w:left="479" w:leftChars="114" w:hanging="240" w:hangingChars="100"/>
        <w:rPr>
          <w:rFonts w:hint="eastAsia"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3</w:t>
      </w:r>
      <w:r>
        <w:rPr>
          <w:rFonts w:hint="eastAsia" w:ascii="宋体" w:hAnsi="宋体" w:eastAsia="宋体" w:cs="宋体"/>
          <w:kern w:val="2"/>
          <w:sz w:val="24"/>
          <w:szCs w:val="24"/>
          <w:lang w:val="en-US" w:eastAsia="zh-CN" w:bidi="ar-SA"/>
        </w:rPr>
        <w:t>.4 系统兼容性：具备与第三方平台、系统的集成和整合能力，可接入医院体检管理系统。</w:t>
      </w:r>
    </w:p>
    <w:p w14:paraId="25C2CB86">
      <w:pPr>
        <w:bidi w:val="0"/>
        <w:spacing w:line="360" w:lineRule="auto"/>
        <w:ind w:left="479" w:leftChars="114" w:hanging="240" w:hangingChars="100"/>
        <w:rPr>
          <w:rFonts w:hint="eastAsia"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3</w:t>
      </w:r>
      <w:r>
        <w:rPr>
          <w:rFonts w:hint="eastAsia" w:ascii="宋体" w:hAnsi="宋体" w:eastAsia="宋体" w:cs="宋体"/>
          <w:kern w:val="2"/>
          <w:sz w:val="24"/>
          <w:szCs w:val="24"/>
          <w:lang w:val="en-US" w:eastAsia="zh-CN" w:bidi="ar-SA"/>
        </w:rPr>
        <w:t>.5 安全性：具备包括数据加密、网络安全、应用安全和系统安全等层次的安全设计。要有管理员身份认证机制、数据加密机制。应使用国产密码加密系统（或同等效力的加密系统）对患者敏感个人信息数据的采集、存储、传输和使用进行加密，严禁明文传输。</w:t>
      </w:r>
    </w:p>
    <w:p w14:paraId="59A40636">
      <w:pPr>
        <w:bidi w:val="0"/>
        <w:spacing w:line="360" w:lineRule="auto"/>
        <w:ind w:left="479" w:leftChars="114" w:hanging="240" w:hangingChars="100"/>
        <w:rPr>
          <w:rFonts w:hint="eastAsia"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3</w:t>
      </w:r>
      <w:r>
        <w:rPr>
          <w:rFonts w:hint="eastAsia" w:ascii="宋体" w:hAnsi="宋体" w:eastAsia="宋体" w:cs="宋体"/>
          <w:kern w:val="2"/>
          <w:sz w:val="24"/>
          <w:szCs w:val="24"/>
          <w:lang w:val="en-US" w:eastAsia="zh-CN" w:bidi="ar-SA"/>
        </w:rPr>
        <w:t>.6.可扩展性：信息系统采用B/S结构，系统要采用积木式结构，组件化设计，整体构架要考虑系统间的无缝连接，为系统扩展和集成留有扩充余量。</w:t>
      </w:r>
    </w:p>
    <w:p w14:paraId="1EE3522D">
      <w:pPr>
        <w:bidi w:val="0"/>
        <w:spacing w:line="360" w:lineRule="auto"/>
        <w:ind w:left="479" w:leftChars="114" w:hanging="240" w:hangingChars="100"/>
        <w:rPr>
          <w:rFonts w:hint="eastAsia"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3</w:t>
      </w:r>
      <w:r>
        <w:rPr>
          <w:rFonts w:hint="eastAsia" w:ascii="宋体" w:hAnsi="宋体" w:eastAsia="宋体" w:cs="宋体"/>
          <w:kern w:val="2"/>
          <w:sz w:val="24"/>
          <w:szCs w:val="24"/>
          <w:lang w:val="en-US" w:eastAsia="zh-CN" w:bidi="ar-SA"/>
        </w:rPr>
        <w:t>.7.可维护性：系统管理模块定期进行数据备份、日志等管理维护。项目数据存储方式采取多重保障，包括：云存储、本地存储以及异地灾备等。</w:t>
      </w:r>
    </w:p>
    <w:p w14:paraId="41C74D06">
      <w:pPr>
        <w:bidi w:val="0"/>
        <w:spacing w:line="360" w:lineRule="auto"/>
        <w:ind w:left="479" w:leftChars="114" w:hanging="240" w:hangingChars="100"/>
        <w:rPr>
          <w:rFonts w:hint="eastAsia" w:hAnsi="宋体" w:eastAsia="宋体" w:cs="宋体"/>
          <w:b/>
          <w:color w:val="auto"/>
          <w:sz w:val="32"/>
          <w:szCs w:val="32"/>
          <w:highlight w:val="none"/>
          <w:lang w:eastAsia="zh-CN"/>
        </w:rPr>
      </w:pPr>
      <w:r>
        <w:rPr>
          <w:rFonts w:hint="eastAsia" w:ascii="宋体" w:hAnsi="宋体" w:cs="宋体"/>
          <w:kern w:val="2"/>
          <w:sz w:val="24"/>
          <w:szCs w:val="24"/>
          <w:lang w:val="en-US" w:eastAsia="zh-CN" w:bidi="ar-SA"/>
        </w:rPr>
        <w:t>3</w:t>
      </w:r>
      <w:r>
        <w:rPr>
          <w:rFonts w:hint="eastAsia" w:ascii="宋体" w:hAnsi="宋体" w:eastAsia="宋体" w:cs="宋体"/>
          <w:kern w:val="2"/>
          <w:sz w:val="24"/>
          <w:szCs w:val="24"/>
          <w:lang w:val="en-US" w:eastAsia="zh-CN" w:bidi="ar-SA"/>
        </w:rPr>
        <w:t xml:space="preserve">.8.可靠性：系统必须正常稳定运行。系统平均年故障时间≤5天；具有较强的灾难恢复能力，平均故障修复时间少于24 小时。   </w:t>
      </w:r>
    </w:p>
    <w:p w14:paraId="0F51E65E">
      <w:pPr>
        <w:numPr>
          <w:ilvl w:val="0"/>
          <w:numId w:val="73"/>
        </w:numPr>
        <w:bidi w:val="0"/>
        <w:rPr>
          <w:rFonts w:hint="eastAsia"/>
          <w:b/>
          <w:bCs/>
          <w:lang w:val="en-US" w:eastAsia="zh-CN"/>
        </w:rPr>
      </w:pPr>
      <w:r>
        <w:rPr>
          <w:rFonts w:hint="eastAsia"/>
          <w:b/>
          <w:bCs/>
          <w:lang w:val="en-US" w:eastAsia="zh-CN"/>
        </w:rPr>
        <w:t>技术要求-功能需求</w:t>
      </w:r>
    </w:p>
    <w:tbl>
      <w:tblPr>
        <w:tblStyle w:val="47"/>
        <w:tblpPr w:leftFromText="180" w:rightFromText="180" w:vertAnchor="text" w:horzAnchor="page" w:tblpXSpec="center" w:tblpY="519"/>
        <w:tblOverlap w:val="never"/>
        <w:tblW w:w="96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2"/>
        <w:gridCol w:w="1515"/>
        <w:gridCol w:w="959"/>
        <w:gridCol w:w="6203"/>
      </w:tblGrid>
      <w:tr w14:paraId="2DD8E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942" w:type="dxa"/>
            <w:vAlign w:val="center"/>
          </w:tcPr>
          <w:p w14:paraId="4E2F282F">
            <w:pPr>
              <w:pStyle w:val="23"/>
              <w:keepNext w:val="0"/>
              <w:keepLines w:val="0"/>
              <w:pageBreakBefore w:val="0"/>
              <w:widowControl w:val="0"/>
              <w:tabs>
                <w:tab w:val="left" w:pos="420"/>
                <w:tab w:val="left" w:pos="540"/>
              </w:tabs>
              <w:kinsoku/>
              <w:wordWrap/>
              <w:overflowPunct/>
              <w:topLinePunct w:val="0"/>
              <w:autoSpaceDE/>
              <w:autoSpaceDN/>
              <w:bidi w:val="0"/>
              <w:adjustRightInd w:val="0"/>
              <w:snapToGrid w:val="0"/>
              <w:spacing w:line="360" w:lineRule="auto"/>
              <w:jc w:val="left"/>
              <w:textAlignment w:val="auto"/>
              <w:rPr>
                <w:rFonts w:hint="default" w:hAnsi="宋体" w:eastAsia="宋体"/>
                <w:b/>
                <w:color w:val="auto"/>
                <w:kern w:val="0"/>
                <w:sz w:val="21"/>
                <w:szCs w:val="21"/>
                <w:lang w:val="en-US" w:eastAsia="zh-CN"/>
              </w:rPr>
            </w:pPr>
            <w:r>
              <w:rPr>
                <w:rFonts w:hint="eastAsia" w:hAnsi="宋体" w:eastAsia="宋体"/>
                <w:b/>
                <w:color w:val="auto"/>
                <w:kern w:val="0"/>
                <w:sz w:val="21"/>
                <w:szCs w:val="21"/>
              </w:rPr>
              <w:t>序号</w:t>
            </w:r>
          </w:p>
        </w:tc>
        <w:tc>
          <w:tcPr>
            <w:tcW w:w="1515" w:type="dxa"/>
            <w:vAlign w:val="center"/>
          </w:tcPr>
          <w:p w14:paraId="49E3F25A">
            <w:pPr>
              <w:pStyle w:val="23"/>
              <w:keepNext w:val="0"/>
              <w:keepLines w:val="0"/>
              <w:pageBreakBefore w:val="0"/>
              <w:widowControl w:val="0"/>
              <w:tabs>
                <w:tab w:val="left" w:pos="420"/>
                <w:tab w:val="left" w:pos="540"/>
              </w:tabs>
              <w:kinsoku/>
              <w:wordWrap/>
              <w:overflowPunct/>
              <w:topLinePunct w:val="0"/>
              <w:autoSpaceDE/>
              <w:autoSpaceDN/>
              <w:bidi w:val="0"/>
              <w:adjustRightInd w:val="0"/>
              <w:snapToGrid w:val="0"/>
              <w:spacing w:line="360" w:lineRule="auto"/>
              <w:jc w:val="left"/>
              <w:textAlignment w:val="auto"/>
              <w:rPr>
                <w:rFonts w:hint="default" w:hAnsi="宋体" w:eastAsia="宋体"/>
                <w:b/>
                <w:color w:val="auto"/>
                <w:kern w:val="0"/>
                <w:sz w:val="21"/>
                <w:szCs w:val="21"/>
                <w:lang w:val="en-US" w:eastAsia="zh-CN"/>
              </w:rPr>
            </w:pPr>
            <w:r>
              <w:rPr>
                <w:rFonts w:hint="eastAsia" w:hAnsi="宋体" w:eastAsia="宋体"/>
                <w:b/>
                <w:color w:val="auto"/>
                <w:kern w:val="0"/>
                <w:sz w:val="21"/>
                <w:szCs w:val="21"/>
              </w:rPr>
              <w:t>需求指标</w:t>
            </w:r>
          </w:p>
        </w:tc>
        <w:tc>
          <w:tcPr>
            <w:tcW w:w="7162" w:type="dxa"/>
            <w:gridSpan w:val="2"/>
            <w:vAlign w:val="center"/>
          </w:tcPr>
          <w:p w14:paraId="7D91EBE1">
            <w:pPr>
              <w:pStyle w:val="23"/>
              <w:keepNext w:val="0"/>
              <w:keepLines w:val="0"/>
              <w:pageBreakBefore w:val="0"/>
              <w:widowControl w:val="0"/>
              <w:tabs>
                <w:tab w:val="left" w:pos="420"/>
                <w:tab w:val="left" w:pos="540"/>
              </w:tabs>
              <w:kinsoku/>
              <w:wordWrap/>
              <w:overflowPunct/>
              <w:topLinePunct w:val="0"/>
              <w:autoSpaceDE/>
              <w:autoSpaceDN/>
              <w:bidi w:val="0"/>
              <w:adjustRightInd w:val="0"/>
              <w:snapToGrid w:val="0"/>
              <w:spacing w:line="360" w:lineRule="auto"/>
              <w:jc w:val="left"/>
              <w:textAlignment w:val="auto"/>
              <w:rPr>
                <w:rFonts w:hint="default" w:hAnsi="宋体" w:eastAsia="宋体"/>
                <w:b/>
                <w:color w:val="auto"/>
                <w:kern w:val="0"/>
                <w:sz w:val="21"/>
                <w:szCs w:val="21"/>
                <w:lang w:val="en-US" w:eastAsia="zh-CN"/>
              </w:rPr>
            </w:pPr>
            <w:r>
              <w:rPr>
                <w:rFonts w:hint="eastAsia" w:hAnsi="宋体" w:eastAsia="宋体"/>
                <w:b/>
                <w:color w:val="auto"/>
                <w:kern w:val="0"/>
                <w:sz w:val="21"/>
                <w:szCs w:val="21"/>
              </w:rPr>
              <w:t>需求参数要求</w:t>
            </w:r>
          </w:p>
        </w:tc>
      </w:tr>
      <w:tr w14:paraId="6DC72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942" w:type="dxa"/>
            <w:vMerge w:val="restart"/>
            <w:vAlign w:val="center"/>
          </w:tcPr>
          <w:p w14:paraId="6DA91186">
            <w:pPr>
              <w:pStyle w:val="23"/>
              <w:keepNext w:val="0"/>
              <w:keepLines w:val="0"/>
              <w:pageBreakBefore w:val="0"/>
              <w:widowControl w:val="0"/>
              <w:numPr>
                <w:ilvl w:val="0"/>
                <w:numId w:val="0"/>
              </w:numPr>
              <w:tabs>
                <w:tab w:val="left" w:pos="540"/>
              </w:tabs>
              <w:kinsoku/>
              <w:wordWrap/>
              <w:overflowPunct/>
              <w:topLinePunct w:val="0"/>
              <w:autoSpaceDE/>
              <w:autoSpaceDN/>
              <w:bidi w:val="0"/>
              <w:adjustRightInd w:val="0"/>
              <w:snapToGrid w:val="0"/>
              <w:spacing w:line="360" w:lineRule="auto"/>
              <w:jc w:val="left"/>
              <w:textAlignment w:val="auto"/>
              <w:rPr>
                <w:rFonts w:hint="default" w:hAnsi="宋体" w:eastAsia="宋体" w:cs="宋体"/>
                <w:b/>
                <w:color w:val="auto"/>
                <w:sz w:val="21"/>
                <w:szCs w:val="21"/>
                <w:highlight w:val="none"/>
                <w:vertAlign w:val="baseline"/>
                <w:lang w:val="en-US" w:eastAsia="zh-CN"/>
              </w:rPr>
            </w:pPr>
            <w:r>
              <w:rPr>
                <w:rFonts w:hint="eastAsia" w:hAnsi="宋体" w:eastAsia="宋体" w:cs="宋体"/>
                <w:b w:val="0"/>
                <w:bCs/>
                <w:color w:val="auto"/>
                <w:sz w:val="21"/>
                <w:szCs w:val="21"/>
                <w:highlight w:val="none"/>
                <w:vertAlign w:val="baseline"/>
                <w:lang w:val="en-US" w:eastAsia="zh-CN"/>
              </w:rPr>
              <w:t>1</w:t>
            </w:r>
          </w:p>
        </w:tc>
        <w:tc>
          <w:tcPr>
            <w:tcW w:w="1515" w:type="dxa"/>
            <w:vMerge w:val="restart"/>
            <w:vAlign w:val="center"/>
          </w:tcPr>
          <w:p w14:paraId="50DEF625">
            <w:pPr>
              <w:pStyle w:val="23"/>
              <w:keepNext w:val="0"/>
              <w:keepLines w:val="0"/>
              <w:pageBreakBefore w:val="0"/>
              <w:widowControl w:val="0"/>
              <w:numPr>
                <w:ilvl w:val="0"/>
                <w:numId w:val="0"/>
              </w:numPr>
              <w:tabs>
                <w:tab w:val="left" w:pos="540"/>
              </w:tabs>
              <w:kinsoku/>
              <w:wordWrap/>
              <w:overflowPunct/>
              <w:topLinePunct w:val="0"/>
              <w:autoSpaceDE/>
              <w:autoSpaceDN/>
              <w:bidi w:val="0"/>
              <w:adjustRightInd w:val="0"/>
              <w:snapToGrid w:val="0"/>
              <w:spacing w:line="360" w:lineRule="auto"/>
              <w:jc w:val="left"/>
              <w:textAlignment w:val="auto"/>
              <w:rPr>
                <w:rFonts w:hint="default" w:hAnsi="宋体" w:eastAsia="宋体" w:cs="宋体"/>
                <w:b/>
                <w:color w:val="auto"/>
                <w:sz w:val="21"/>
                <w:szCs w:val="21"/>
                <w:highlight w:val="none"/>
                <w:vertAlign w:val="baseline"/>
                <w:lang w:val="en-US" w:eastAsia="zh-CN"/>
              </w:rPr>
            </w:pPr>
            <w:r>
              <w:rPr>
                <w:rFonts w:hint="eastAsia" w:ascii="宋体" w:hAnsi="宋体" w:eastAsia="宋体" w:cs="宋体"/>
                <w:b w:val="0"/>
                <w:bCs w:val="0"/>
                <w:color w:val="auto"/>
                <w:sz w:val="21"/>
                <w:szCs w:val="21"/>
              </w:rPr>
              <w:t>医生管理</w:t>
            </w:r>
          </w:p>
        </w:tc>
        <w:tc>
          <w:tcPr>
            <w:tcW w:w="959" w:type="dxa"/>
            <w:vAlign w:val="center"/>
          </w:tcPr>
          <w:p w14:paraId="2583CF57">
            <w:pPr>
              <w:pStyle w:val="23"/>
              <w:keepNext w:val="0"/>
              <w:keepLines w:val="0"/>
              <w:pageBreakBefore w:val="0"/>
              <w:widowControl w:val="0"/>
              <w:numPr>
                <w:ilvl w:val="0"/>
                <w:numId w:val="0"/>
              </w:numPr>
              <w:tabs>
                <w:tab w:val="left" w:pos="540"/>
              </w:tabs>
              <w:kinsoku/>
              <w:wordWrap/>
              <w:overflowPunct/>
              <w:topLinePunct w:val="0"/>
              <w:autoSpaceDE/>
              <w:autoSpaceDN/>
              <w:bidi w:val="0"/>
              <w:adjustRightInd w:val="0"/>
              <w:snapToGrid w:val="0"/>
              <w:spacing w:line="360" w:lineRule="auto"/>
              <w:jc w:val="left"/>
              <w:textAlignment w:val="auto"/>
              <w:rPr>
                <w:rFonts w:hint="default" w:hAnsi="宋体" w:eastAsia="宋体" w:cs="宋体"/>
                <w:b w:val="0"/>
                <w:bCs/>
                <w:color w:val="auto"/>
                <w:sz w:val="21"/>
                <w:szCs w:val="21"/>
                <w:highlight w:val="none"/>
                <w:vertAlign w:val="baseline"/>
                <w:lang w:val="en-US" w:eastAsia="zh-CN"/>
              </w:rPr>
            </w:pPr>
            <w:r>
              <w:rPr>
                <w:rFonts w:hint="eastAsia" w:hAnsi="宋体" w:eastAsia="宋体" w:cs="宋体"/>
                <w:b w:val="0"/>
                <w:bCs/>
                <w:color w:val="auto"/>
                <w:sz w:val="21"/>
                <w:szCs w:val="21"/>
                <w:highlight w:val="none"/>
                <w:vertAlign w:val="baseline"/>
                <w:lang w:val="en-US" w:eastAsia="zh-CN"/>
              </w:rPr>
              <w:t>4.1</w:t>
            </w:r>
          </w:p>
        </w:tc>
        <w:tc>
          <w:tcPr>
            <w:tcW w:w="6203" w:type="dxa"/>
            <w:vAlign w:val="center"/>
          </w:tcPr>
          <w:p w14:paraId="3A189EAE">
            <w:pPr>
              <w:pStyle w:val="23"/>
              <w:keepNext w:val="0"/>
              <w:keepLines w:val="0"/>
              <w:pageBreakBefore w:val="0"/>
              <w:widowControl w:val="0"/>
              <w:numPr>
                <w:ilvl w:val="0"/>
                <w:numId w:val="0"/>
              </w:numPr>
              <w:tabs>
                <w:tab w:val="left" w:pos="540"/>
              </w:tabs>
              <w:kinsoku/>
              <w:wordWrap/>
              <w:overflowPunct/>
              <w:topLinePunct w:val="0"/>
              <w:autoSpaceDE/>
              <w:autoSpaceDN/>
              <w:bidi w:val="0"/>
              <w:adjustRightInd w:val="0"/>
              <w:snapToGrid w:val="0"/>
              <w:spacing w:line="360" w:lineRule="auto"/>
              <w:jc w:val="left"/>
              <w:textAlignment w:val="auto"/>
              <w:rPr>
                <w:rFonts w:hint="default" w:hAnsi="宋体" w:eastAsia="宋体" w:cs="宋体"/>
                <w:b/>
                <w:color w:val="auto"/>
                <w:sz w:val="21"/>
                <w:szCs w:val="21"/>
                <w:highlight w:val="none"/>
                <w:vertAlign w:val="baseline"/>
                <w:lang w:val="en-US" w:eastAsia="zh-CN"/>
              </w:rPr>
            </w:pPr>
            <w:r>
              <w:rPr>
                <w:rFonts w:hint="eastAsia" w:ascii="宋体" w:hAnsi="宋体" w:eastAsia="宋体" w:cs="宋体"/>
                <w:color w:val="auto"/>
                <w:sz w:val="21"/>
                <w:szCs w:val="21"/>
              </w:rPr>
              <w:t>可创建医生管理账号，开通医生权限设置：采用管理员、普通医生用户二级管理模式，支持自定义多个用户类型和用户角色，支持自定义设置部门管理</w:t>
            </w:r>
            <w:r>
              <w:rPr>
                <w:rFonts w:hint="eastAsia" w:ascii="宋体" w:hAnsi="宋体" w:eastAsia="宋体" w:cs="宋体"/>
                <w:color w:val="auto"/>
                <w:sz w:val="21"/>
                <w:szCs w:val="21"/>
                <w:lang w:eastAsia="zh-CN"/>
              </w:rPr>
              <w:t>。</w:t>
            </w:r>
          </w:p>
        </w:tc>
      </w:tr>
      <w:tr w14:paraId="7C64B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jc w:val="center"/>
        </w:trPr>
        <w:tc>
          <w:tcPr>
            <w:tcW w:w="942" w:type="dxa"/>
            <w:vMerge w:val="continue"/>
            <w:vAlign w:val="center"/>
          </w:tcPr>
          <w:p w14:paraId="0C08459F">
            <w:pPr>
              <w:pStyle w:val="23"/>
              <w:keepNext w:val="0"/>
              <w:keepLines w:val="0"/>
              <w:pageBreakBefore w:val="0"/>
              <w:widowControl w:val="0"/>
              <w:numPr>
                <w:ilvl w:val="0"/>
                <w:numId w:val="0"/>
              </w:numPr>
              <w:tabs>
                <w:tab w:val="left" w:pos="540"/>
              </w:tabs>
              <w:kinsoku/>
              <w:wordWrap/>
              <w:overflowPunct/>
              <w:topLinePunct w:val="0"/>
              <w:autoSpaceDE/>
              <w:autoSpaceDN/>
              <w:bidi w:val="0"/>
              <w:adjustRightInd w:val="0"/>
              <w:snapToGrid w:val="0"/>
              <w:spacing w:line="360" w:lineRule="auto"/>
              <w:jc w:val="left"/>
              <w:textAlignment w:val="auto"/>
              <w:rPr>
                <w:rFonts w:hint="default" w:hAnsi="宋体" w:eastAsia="宋体" w:cs="宋体"/>
                <w:b/>
                <w:color w:val="auto"/>
                <w:sz w:val="21"/>
                <w:szCs w:val="21"/>
                <w:highlight w:val="none"/>
                <w:vertAlign w:val="baseline"/>
                <w:lang w:val="en-US" w:eastAsia="zh-CN"/>
              </w:rPr>
            </w:pPr>
          </w:p>
        </w:tc>
        <w:tc>
          <w:tcPr>
            <w:tcW w:w="1515" w:type="dxa"/>
            <w:vMerge w:val="continue"/>
            <w:vAlign w:val="center"/>
          </w:tcPr>
          <w:p w14:paraId="02B7EE67">
            <w:pPr>
              <w:pStyle w:val="23"/>
              <w:keepNext w:val="0"/>
              <w:keepLines w:val="0"/>
              <w:pageBreakBefore w:val="0"/>
              <w:widowControl w:val="0"/>
              <w:numPr>
                <w:ilvl w:val="0"/>
                <w:numId w:val="0"/>
              </w:numPr>
              <w:tabs>
                <w:tab w:val="left" w:pos="540"/>
              </w:tabs>
              <w:kinsoku/>
              <w:wordWrap/>
              <w:overflowPunct/>
              <w:topLinePunct w:val="0"/>
              <w:autoSpaceDE/>
              <w:autoSpaceDN/>
              <w:bidi w:val="0"/>
              <w:adjustRightInd w:val="0"/>
              <w:snapToGrid w:val="0"/>
              <w:spacing w:line="360" w:lineRule="auto"/>
              <w:jc w:val="left"/>
              <w:textAlignment w:val="auto"/>
              <w:rPr>
                <w:rFonts w:hint="default" w:hAnsi="宋体" w:eastAsia="宋体" w:cs="宋体"/>
                <w:b/>
                <w:color w:val="auto"/>
                <w:sz w:val="21"/>
                <w:szCs w:val="21"/>
                <w:highlight w:val="none"/>
                <w:vertAlign w:val="baseline"/>
                <w:lang w:val="en-US" w:eastAsia="zh-CN"/>
              </w:rPr>
            </w:pPr>
          </w:p>
        </w:tc>
        <w:tc>
          <w:tcPr>
            <w:tcW w:w="959" w:type="dxa"/>
            <w:vAlign w:val="center"/>
          </w:tcPr>
          <w:p w14:paraId="78AE80C5">
            <w:pPr>
              <w:pStyle w:val="23"/>
              <w:keepNext w:val="0"/>
              <w:keepLines w:val="0"/>
              <w:pageBreakBefore w:val="0"/>
              <w:widowControl w:val="0"/>
              <w:numPr>
                <w:ilvl w:val="0"/>
                <w:numId w:val="0"/>
              </w:numPr>
              <w:tabs>
                <w:tab w:val="left" w:pos="540"/>
              </w:tabs>
              <w:kinsoku/>
              <w:wordWrap/>
              <w:overflowPunct/>
              <w:topLinePunct w:val="0"/>
              <w:autoSpaceDE/>
              <w:autoSpaceDN/>
              <w:bidi w:val="0"/>
              <w:adjustRightInd w:val="0"/>
              <w:snapToGrid w:val="0"/>
              <w:spacing w:line="360" w:lineRule="auto"/>
              <w:jc w:val="left"/>
              <w:textAlignment w:val="auto"/>
              <w:rPr>
                <w:rFonts w:hint="default" w:hAnsi="宋体" w:eastAsia="宋体" w:cs="宋体"/>
                <w:b w:val="0"/>
                <w:bCs/>
                <w:color w:val="auto"/>
                <w:sz w:val="21"/>
                <w:szCs w:val="21"/>
                <w:highlight w:val="none"/>
                <w:vertAlign w:val="baseline"/>
                <w:lang w:val="en-US" w:eastAsia="zh-CN"/>
              </w:rPr>
            </w:pPr>
            <w:r>
              <w:rPr>
                <w:rFonts w:hint="eastAsia" w:hAnsi="宋体" w:eastAsia="宋体" w:cs="宋体"/>
                <w:b w:val="0"/>
                <w:bCs/>
                <w:color w:val="auto"/>
                <w:sz w:val="21"/>
                <w:szCs w:val="21"/>
                <w:highlight w:val="none"/>
                <w:vertAlign w:val="baseline"/>
                <w:lang w:val="en-US" w:eastAsia="zh-CN"/>
              </w:rPr>
              <w:t>4.2</w:t>
            </w:r>
          </w:p>
        </w:tc>
        <w:tc>
          <w:tcPr>
            <w:tcW w:w="6203" w:type="dxa"/>
            <w:vAlign w:val="center"/>
          </w:tcPr>
          <w:p w14:paraId="5767C1C7">
            <w:pPr>
              <w:pStyle w:val="23"/>
              <w:keepNext w:val="0"/>
              <w:keepLines w:val="0"/>
              <w:pageBreakBefore w:val="0"/>
              <w:widowControl w:val="0"/>
              <w:numPr>
                <w:ilvl w:val="0"/>
                <w:numId w:val="0"/>
              </w:numPr>
              <w:tabs>
                <w:tab w:val="left" w:pos="540"/>
              </w:tabs>
              <w:kinsoku/>
              <w:wordWrap/>
              <w:overflowPunct/>
              <w:topLinePunct w:val="0"/>
              <w:autoSpaceDE/>
              <w:autoSpaceDN/>
              <w:bidi w:val="0"/>
              <w:adjustRightInd w:val="0"/>
              <w:snapToGrid w:val="0"/>
              <w:spacing w:line="360" w:lineRule="auto"/>
              <w:jc w:val="left"/>
              <w:textAlignment w:val="auto"/>
              <w:rPr>
                <w:rFonts w:hint="default" w:hAnsi="宋体" w:eastAsia="宋体" w:cs="宋体"/>
                <w:b/>
                <w:color w:val="auto"/>
                <w:sz w:val="21"/>
                <w:szCs w:val="21"/>
                <w:highlight w:val="none"/>
                <w:vertAlign w:val="baseline"/>
                <w:lang w:val="en-US" w:eastAsia="zh-CN"/>
              </w:rPr>
            </w:pPr>
            <w:r>
              <w:rPr>
                <w:rFonts w:hint="eastAsia" w:ascii="宋体" w:hAnsi="宋体" w:eastAsia="宋体" w:cs="宋体"/>
                <w:color w:val="auto"/>
                <w:sz w:val="21"/>
                <w:szCs w:val="21"/>
              </w:rPr>
              <w:t>提供机构管理、科室管理、角色管理、医生管理等功能</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根据医生的职责配置相应的权限，各机构和机构各科室间相互独立运行。管理员权限内容：在普通医生用户所有权限基础上，具备创建普通医生账号、管理医生工作权限、查看医生工作动态、评估不同医生工作量、汇总分析医生管理系统中的患者认知测评相关数据、可视化呈现数据分析结果的功能。</w:t>
            </w:r>
          </w:p>
        </w:tc>
      </w:tr>
      <w:tr w14:paraId="00938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942" w:type="dxa"/>
            <w:vMerge w:val="continue"/>
            <w:vAlign w:val="center"/>
          </w:tcPr>
          <w:p w14:paraId="7A10E9DE">
            <w:pPr>
              <w:pStyle w:val="23"/>
              <w:keepNext w:val="0"/>
              <w:keepLines w:val="0"/>
              <w:pageBreakBefore w:val="0"/>
              <w:widowControl w:val="0"/>
              <w:numPr>
                <w:ilvl w:val="0"/>
                <w:numId w:val="0"/>
              </w:numPr>
              <w:tabs>
                <w:tab w:val="left" w:pos="540"/>
              </w:tabs>
              <w:kinsoku/>
              <w:wordWrap/>
              <w:overflowPunct/>
              <w:topLinePunct w:val="0"/>
              <w:autoSpaceDE/>
              <w:autoSpaceDN/>
              <w:bidi w:val="0"/>
              <w:adjustRightInd w:val="0"/>
              <w:snapToGrid w:val="0"/>
              <w:spacing w:line="360" w:lineRule="auto"/>
              <w:jc w:val="left"/>
              <w:textAlignment w:val="auto"/>
              <w:rPr>
                <w:rFonts w:hint="default" w:hAnsi="宋体" w:eastAsia="宋体" w:cs="宋体"/>
                <w:b/>
                <w:color w:val="auto"/>
                <w:sz w:val="21"/>
                <w:szCs w:val="21"/>
                <w:highlight w:val="none"/>
                <w:vertAlign w:val="baseline"/>
                <w:lang w:val="en-US" w:eastAsia="zh-CN"/>
              </w:rPr>
            </w:pPr>
          </w:p>
        </w:tc>
        <w:tc>
          <w:tcPr>
            <w:tcW w:w="1515" w:type="dxa"/>
            <w:vMerge w:val="continue"/>
            <w:vAlign w:val="center"/>
          </w:tcPr>
          <w:p w14:paraId="24B030B3">
            <w:pPr>
              <w:pStyle w:val="23"/>
              <w:keepNext w:val="0"/>
              <w:keepLines w:val="0"/>
              <w:pageBreakBefore w:val="0"/>
              <w:widowControl w:val="0"/>
              <w:numPr>
                <w:ilvl w:val="0"/>
                <w:numId w:val="0"/>
              </w:numPr>
              <w:tabs>
                <w:tab w:val="left" w:pos="540"/>
              </w:tabs>
              <w:kinsoku/>
              <w:wordWrap/>
              <w:overflowPunct/>
              <w:topLinePunct w:val="0"/>
              <w:autoSpaceDE/>
              <w:autoSpaceDN/>
              <w:bidi w:val="0"/>
              <w:adjustRightInd w:val="0"/>
              <w:snapToGrid w:val="0"/>
              <w:spacing w:line="360" w:lineRule="auto"/>
              <w:jc w:val="left"/>
              <w:textAlignment w:val="auto"/>
              <w:rPr>
                <w:rFonts w:hint="default" w:hAnsi="宋体" w:eastAsia="宋体" w:cs="宋体"/>
                <w:b/>
                <w:color w:val="auto"/>
                <w:sz w:val="21"/>
                <w:szCs w:val="21"/>
                <w:highlight w:val="none"/>
                <w:vertAlign w:val="baseline"/>
                <w:lang w:val="en-US" w:eastAsia="zh-CN"/>
              </w:rPr>
            </w:pPr>
          </w:p>
        </w:tc>
        <w:tc>
          <w:tcPr>
            <w:tcW w:w="959" w:type="dxa"/>
            <w:vAlign w:val="center"/>
          </w:tcPr>
          <w:p w14:paraId="69878C31">
            <w:pPr>
              <w:pStyle w:val="23"/>
              <w:keepNext w:val="0"/>
              <w:keepLines w:val="0"/>
              <w:pageBreakBefore w:val="0"/>
              <w:widowControl w:val="0"/>
              <w:numPr>
                <w:ilvl w:val="0"/>
                <w:numId w:val="0"/>
              </w:numPr>
              <w:tabs>
                <w:tab w:val="left" w:pos="540"/>
              </w:tabs>
              <w:kinsoku/>
              <w:wordWrap/>
              <w:overflowPunct/>
              <w:topLinePunct w:val="0"/>
              <w:autoSpaceDE/>
              <w:autoSpaceDN/>
              <w:bidi w:val="0"/>
              <w:adjustRightInd w:val="0"/>
              <w:snapToGrid w:val="0"/>
              <w:spacing w:line="360" w:lineRule="auto"/>
              <w:jc w:val="left"/>
              <w:textAlignment w:val="auto"/>
              <w:rPr>
                <w:rFonts w:hint="default" w:hAnsi="宋体" w:eastAsia="宋体" w:cs="宋体"/>
                <w:b w:val="0"/>
                <w:bCs/>
                <w:color w:val="auto"/>
                <w:sz w:val="21"/>
                <w:szCs w:val="21"/>
                <w:highlight w:val="none"/>
                <w:vertAlign w:val="baseline"/>
                <w:lang w:val="en-US" w:eastAsia="zh-CN"/>
              </w:rPr>
            </w:pPr>
            <w:r>
              <w:rPr>
                <w:rFonts w:hint="eastAsia" w:hAnsi="宋体" w:eastAsia="宋体" w:cs="宋体"/>
                <w:b w:val="0"/>
                <w:bCs/>
                <w:color w:val="auto"/>
                <w:sz w:val="21"/>
                <w:szCs w:val="21"/>
                <w:highlight w:val="none"/>
                <w:vertAlign w:val="baseline"/>
                <w:lang w:val="en-US" w:eastAsia="zh-CN"/>
              </w:rPr>
              <w:t>4.3</w:t>
            </w:r>
          </w:p>
        </w:tc>
        <w:tc>
          <w:tcPr>
            <w:tcW w:w="6203" w:type="dxa"/>
            <w:vAlign w:val="center"/>
          </w:tcPr>
          <w:p w14:paraId="60361EFD">
            <w:pPr>
              <w:pStyle w:val="23"/>
              <w:keepNext w:val="0"/>
              <w:keepLines w:val="0"/>
              <w:pageBreakBefore w:val="0"/>
              <w:widowControl w:val="0"/>
              <w:numPr>
                <w:ilvl w:val="0"/>
                <w:numId w:val="0"/>
              </w:numPr>
              <w:tabs>
                <w:tab w:val="left" w:pos="540"/>
              </w:tabs>
              <w:kinsoku/>
              <w:wordWrap/>
              <w:overflowPunct/>
              <w:topLinePunct w:val="0"/>
              <w:autoSpaceDE/>
              <w:autoSpaceDN/>
              <w:bidi w:val="0"/>
              <w:adjustRightInd w:val="0"/>
              <w:snapToGrid w:val="0"/>
              <w:spacing w:line="360" w:lineRule="auto"/>
              <w:jc w:val="left"/>
              <w:textAlignment w:val="auto"/>
              <w:rPr>
                <w:rFonts w:hint="default" w:hAnsi="宋体" w:eastAsia="宋体" w:cs="宋体"/>
                <w:b/>
                <w:color w:val="auto"/>
                <w:sz w:val="21"/>
                <w:szCs w:val="21"/>
                <w:highlight w:val="none"/>
                <w:vertAlign w:val="baseline"/>
                <w:lang w:val="en-US" w:eastAsia="zh-CN"/>
              </w:rPr>
            </w:pPr>
            <w:r>
              <w:rPr>
                <w:rFonts w:hint="eastAsia" w:ascii="宋体" w:hAnsi="宋体" w:eastAsia="宋体" w:cs="宋体"/>
                <w:color w:val="auto"/>
                <w:sz w:val="21"/>
                <w:szCs w:val="21"/>
              </w:rPr>
              <w:t>可展示医生个人身份二维码，患者扫码后可在公众号中关联该医生。</w:t>
            </w:r>
          </w:p>
        </w:tc>
      </w:tr>
      <w:tr w14:paraId="08B06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8" w:hRule="atLeast"/>
          <w:jc w:val="center"/>
        </w:trPr>
        <w:tc>
          <w:tcPr>
            <w:tcW w:w="942" w:type="dxa"/>
            <w:vMerge w:val="continue"/>
            <w:vAlign w:val="center"/>
          </w:tcPr>
          <w:p w14:paraId="12DCFC72">
            <w:pPr>
              <w:pStyle w:val="23"/>
              <w:keepNext w:val="0"/>
              <w:keepLines w:val="0"/>
              <w:pageBreakBefore w:val="0"/>
              <w:widowControl w:val="0"/>
              <w:numPr>
                <w:ilvl w:val="0"/>
                <w:numId w:val="0"/>
              </w:numPr>
              <w:tabs>
                <w:tab w:val="left" w:pos="540"/>
              </w:tabs>
              <w:kinsoku/>
              <w:wordWrap/>
              <w:overflowPunct/>
              <w:topLinePunct w:val="0"/>
              <w:autoSpaceDE/>
              <w:autoSpaceDN/>
              <w:bidi w:val="0"/>
              <w:adjustRightInd w:val="0"/>
              <w:snapToGrid w:val="0"/>
              <w:spacing w:line="360" w:lineRule="auto"/>
              <w:jc w:val="left"/>
              <w:textAlignment w:val="auto"/>
              <w:rPr>
                <w:rFonts w:hint="default" w:hAnsi="宋体" w:eastAsia="宋体" w:cs="宋体"/>
                <w:b/>
                <w:color w:val="auto"/>
                <w:sz w:val="21"/>
                <w:szCs w:val="21"/>
                <w:highlight w:val="none"/>
                <w:vertAlign w:val="baseline"/>
                <w:lang w:val="en-US" w:eastAsia="zh-CN"/>
              </w:rPr>
            </w:pPr>
          </w:p>
        </w:tc>
        <w:tc>
          <w:tcPr>
            <w:tcW w:w="1515" w:type="dxa"/>
            <w:vMerge w:val="continue"/>
            <w:vAlign w:val="center"/>
          </w:tcPr>
          <w:p w14:paraId="2E529DBE">
            <w:pPr>
              <w:pStyle w:val="23"/>
              <w:keepNext w:val="0"/>
              <w:keepLines w:val="0"/>
              <w:pageBreakBefore w:val="0"/>
              <w:widowControl w:val="0"/>
              <w:numPr>
                <w:ilvl w:val="0"/>
                <w:numId w:val="0"/>
              </w:numPr>
              <w:tabs>
                <w:tab w:val="left" w:pos="540"/>
              </w:tabs>
              <w:kinsoku/>
              <w:wordWrap/>
              <w:overflowPunct/>
              <w:topLinePunct w:val="0"/>
              <w:autoSpaceDE/>
              <w:autoSpaceDN/>
              <w:bidi w:val="0"/>
              <w:adjustRightInd w:val="0"/>
              <w:snapToGrid w:val="0"/>
              <w:spacing w:line="360" w:lineRule="auto"/>
              <w:jc w:val="left"/>
              <w:textAlignment w:val="auto"/>
              <w:rPr>
                <w:rFonts w:hint="default" w:hAnsi="宋体" w:eastAsia="宋体" w:cs="宋体"/>
                <w:b/>
                <w:color w:val="auto"/>
                <w:sz w:val="21"/>
                <w:szCs w:val="21"/>
                <w:highlight w:val="none"/>
                <w:vertAlign w:val="baseline"/>
                <w:lang w:val="en-US" w:eastAsia="zh-CN"/>
              </w:rPr>
            </w:pPr>
          </w:p>
        </w:tc>
        <w:tc>
          <w:tcPr>
            <w:tcW w:w="959" w:type="dxa"/>
            <w:vAlign w:val="center"/>
          </w:tcPr>
          <w:p w14:paraId="5E6B8323">
            <w:pPr>
              <w:pStyle w:val="23"/>
              <w:keepNext w:val="0"/>
              <w:keepLines w:val="0"/>
              <w:pageBreakBefore w:val="0"/>
              <w:widowControl w:val="0"/>
              <w:numPr>
                <w:ilvl w:val="0"/>
                <w:numId w:val="0"/>
              </w:numPr>
              <w:tabs>
                <w:tab w:val="left" w:pos="540"/>
              </w:tabs>
              <w:kinsoku/>
              <w:wordWrap/>
              <w:overflowPunct/>
              <w:topLinePunct w:val="0"/>
              <w:autoSpaceDE/>
              <w:autoSpaceDN/>
              <w:bidi w:val="0"/>
              <w:adjustRightInd w:val="0"/>
              <w:snapToGrid w:val="0"/>
              <w:spacing w:line="360" w:lineRule="auto"/>
              <w:jc w:val="left"/>
              <w:textAlignment w:val="auto"/>
              <w:rPr>
                <w:rFonts w:hint="default" w:hAnsi="宋体" w:eastAsia="宋体" w:cs="宋体"/>
                <w:b w:val="0"/>
                <w:bCs/>
                <w:color w:val="auto"/>
                <w:sz w:val="21"/>
                <w:szCs w:val="21"/>
                <w:highlight w:val="none"/>
                <w:vertAlign w:val="baseline"/>
                <w:lang w:val="en-US" w:eastAsia="zh-CN"/>
              </w:rPr>
            </w:pPr>
            <w:r>
              <w:rPr>
                <w:rFonts w:hint="eastAsia" w:hAnsi="宋体" w:eastAsia="宋体" w:cs="宋体"/>
                <w:b w:val="0"/>
                <w:bCs/>
                <w:color w:val="auto"/>
                <w:sz w:val="21"/>
                <w:szCs w:val="21"/>
                <w:highlight w:val="none"/>
                <w:vertAlign w:val="baseline"/>
                <w:lang w:val="en-US" w:eastAsia="zh-CN"/>
              </w:rPr>
              <w:t>4.4</w:t>
            </w:r>
          </w:p>
        </w:tc>
        <w:tc>
          <w:tcPr>
            <w:tcW w:w="6203" w:type="dxa"/>
            <w:vAlign w:val="center"/>
          </w:tcPr>
          <w:p w14:paraId="745FE5F0">
            <w:pPr>
              <w:pStyle w:val="23"/>
              <w:keepNext w:val="0"/>
              <w:keepLines w:val="0"/>
              <w:pageBreakBefore w:val="0"/>
              <w:widowControl w:val="0"/>
              <w:numPr>
                <w:ilvl w:val="0"/>
                <w:numId w:val="0"/>
              </w:numPr>
              <w:tabs>
                <w:tab w:val="left" w:pos="540"/>
              </w:tabs>
              <w:kinsoku/>
              <w:wordWrap/>
              <w:overflowPunct/>
              <w:topLinePunct w:val="0"/>
              <w:autoSpaceDE/>
              <w:autoSpaceDN/>
              <w:bidi w:val="0"/>
              <w:adjustRightInd w:val="0"/>
              <w:snapToGrid w:val="0"/>
              <w:spacing w:line="360" w:lineRule="auto"/>
              <w:jc w:val="left"/>
              <w:textAlignment w:val="auto"/>
              <w:rPr>
                <w:rFonts w:hint="eastAsia" w:hAnsi="宋体" w:eastAsia="宋体" w:cs="宋体"/>
                <w:b/>
                <w:color w:val="auto"/>
                <w:sz w:val="21"/>
                <w:szCs w:val="21"/>
                <w:highlight w:val="none"/>
                <w:vertAlign w:val="baseline"/>
                <w:lang w:val="en-US" w:eastAsia="zh-CN"/>
              </w:rPr>
            </w:pPr>
            <w:r>
              <w:rPr>
                <w:rFonts w:hint="eastAsia" w:ascii="宋体" w:hAnsi="宋体" w:eastAsia="宋体" w:cs="宋体"/>
                <w:color w:val="auto"/>
                <w:sz w:val="21"/>
                <w:szCs w:val="21"/>
                <w:lang w:val="en-US" w:eastAsia="zh-CN"/>
              </w:rPr>
              <w:t>具</w:t>
            </w:r>
            <w:r>
              <w:rPr>
                <w:rFonts w:hint="eastAsia" w:ascii="宋体" w:hAnsi="宋体" w:eastAsia="宋体" w:cs="宋体"/>
                <w:color w:val="auto"/>
                <w:sz w:val="21"/>
                <w:szCs w:val="21"/>
              </w:rPr>
              <w:t>有医生工作台，包含实时概括、我的待办、消息中心、最新测评、最新训练等模块，</w:t>
            </w:r>
            <w:r>
              <w:rPr>
                <w:rFonts w:hint="eastAsia" w:ascii="宋体" w:hAnsi="宋体" w:eastAsia="宋体" w:cs="宋体"/>
                <w:color w:val="auto"/>
                <w:sz w:val="21"/>
                <w:szCs w:val="21"/>
                <w:lang w:val="en-US" w:eastAsia="zh-CN"/>
              </w:rPr>
              <w:t>可显示</w:t>
            </w:r>
            <w:r>
              <w:rPr>
                <w:rFonts w:hint="eastAsia" w:ascii="宋体" w:hAnsi="宋体" w:eastAsia="宋体" w:cs="宋体"/>
                <w:color w:val="auto"/>
                <w:sz w:val="21"/>
                <w:szCs w:val="21"/>
              </w:rPr>
              <w:t>当前医生管理账户下每一个测评量表的测评进度，当前需要医生处理的测评任务、评分任务、预约任务以及提醒任务等。医生可全面了解所有业务诊疗情况</w:t>
            </w:r>
            <w:r>
              <w:rPr>
                <w:rFonts w:hint="eastAsia" w:hAnsi="宋体" w:eastAsia="宋体" w:cs="宋体"/>
                <w:color w:val="auto"/>
                <w:sz w:val="21"/>
                <w:szCs w:val="21"/>
                <w:lang w:eastAsia="zh-CN"/>
              </w:rPr>
              <w:t>。</w:t>
            </w:r>
          </w:p>
        </w:tc>
      </w:tr>
      <w:tr w14:paraId="7E6DE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942" w:type="dxa"/>
            <w:vMerge w:val="restart"/>
            <w:vAlign w:val="center"/>
          </w:tcPr>
          <w:p w14:paraId="54BE06E9">
            <w:pPr>
              <w:pStyle w:val="23"/>
              <w:keepNext w:val="0"/>
              <w:keepLines w:val="0"/>
              <w:pageBreakBefore w:val="0"/>
              <w:widowControl w:val="0"/>
              <w:numPr>
                <w:ilvl w:val="0"/>
                <w:numId w:val="0"/>
              </w:numPr>
              <w:tabs>
                <w:tab w:val="left" w:pos="540"/>
              </w:tabs>
              <w:kinsoku/>
              <w:wordWrap/>
              <w:overflowPunct/>
              <w:topLinePunct w:val="0"/>
              <w:autoSpaceDE/>
              <w:autoSpaceDN/>
              <w:bidi w:val="0"/>
              <w:adjustRightInd w:val="0"/>
              <w:snapToGrid w:val="0"/>
              <w:spacing w:line="360" w:lineRule="auto"/>
              <w:jc w:val="left"/>
              <w:textAlignment w:val="auto"/>
              <w:rPr>
                <w:rFonts w:hint="default" w:hAnsi="宋体" w:eastAsia="宋体" w:cs="宋体"/>
                <w:b/>
                <w:color w:val="auto"/>
                <w:sz w:val="21"/>
                <w:szCs w:val="21"/>
                <w:highlight w:val="none"/>
                <w:vertAlign w:val="baseline"/>
                <w:lang w:val="en-US" w:eastAsia="zh-CN"/>
              </w:rPr>
            </w:pPr>
            <w:r>
              <w:rPr>
                <w:rFonts w:hint="eastAsia" w:hAnsi="宋体" w:eastAsia="宋体" w:cs="宋体"/>
                <w:b w:val="0"/>
                <w:bCs/>
                <w:color w:val="auto"/>
                <w:sz w:val="21"/>
                <w:szCs w:val="21"/>
                <w:highlight w:val="none"/>
                <w:vertAlign w:val="baseline"/>
                <w:lang w:val="en-US" w:eastAsia="zh-CN"/>
              </w:rPr>
              <w:t>2</w:t>
            </w:r>
          </w:p>
        </w:tc>
        <w:tc>
          <w:tcPr>
            <w:tcW w:w="1515" w:type="dxa"/>
            <w:vMerge w:val="restart"/>
            <w:vAlign w:val="center"/>
          </w:tcPr>
          <w:p w14:paraId="35335616">
            <w:pPr>
              <w:pStyle w:val="23"/>
              <w:keepNext w:val="0"/>
              <w:keepLines w:val="0"/>
              <w:pageBreakBefore w:val="0"/>
              <w:widowControl w:val="0"/>
              <w:numPr>
                <w:ilvl w:val="0"/>
                <w:numId w:val="0"/>
              </w:numPr>
              <w:tabs>
                <w:tab w:val="left" w:pos="540"/>
              </w:tabs>
              <w:kinsoku/>
              <w:wordWrap/>
              <w:overflowPunct/>
              <w:topLinePunct w:val="0"/>
              <w:autoSpaceDE/>
              <w:autoSpaceDN/>
              <w:bidi w:val="0"/>
              <w:adjustRightInd w:val="0"/>
              <w:snapToGrid w:val="0"/>
              <w:spacing w:line="360" w:lineRule="auto"/>
              <w:jc w:val="left"/>
              <w:textAlignment w:val="auto"/>
              <w:rPr>
                <w:rFonts w:hint="default" w:hAnsi="宋体" w:eastAsia="宋体" w:cs="宋体"/>
                <w:b/>
                <w:color w:val="auto"/>
                <w:sz w:val="21"/>
                <w:szCs w:val="21"/>
                <w:highlight w:val="none"/>
                <w:vertAlign w:val="baseline"/>
                <w:lang w:val="en-US" w:eastAsia="zh-CN"/>
              </w:rPr>
            </w:pPr>
            <w:r>
              <w:rPr>
                <w:rFonts w:hint="eastAsia" w:ascii="宋体" w:hAnsi="宋体" w:eastAsia="宋体" w:cs="宋体"/>
                <w:color w:val="auto"/>
                <w:sz w:val="21"/>
                <w:szCs w:val="21"/>
              </w:rPr>
              <w:t>患者管理</w:t>
            </w:r>
          </w:p>
        </w:tc>
        <w:tc>
          <w:tcPr>
            <w:tcW w:w="959" w:type="dxa"/>
            <w:vAlign w:val="center"/>
          </w:tcPr>
          <w:p w14:paraId="0B7029D5">
            <w:pPr>
              <w:pStyle w:val="23"/>
              <w:keepNext w:val="0"/>
              <w:keepLines w:val="0"/>
              <w:pageBreakBefore w:val="0"/>
              <w:widowControl w:val="0"/>
              <w:numPr>
                <w:ilvl w:val="0"/>
                <w:numId w:val="0"/>
              </w:numPr>
              <w:tabs>
                <w:tab w:val="left" w:pos="540"/>
              </w:tabs>
              <w:kinsoku/>
              <w:wordWrap/>
              <w:overflowPunct/>
              <w:topLinePunct w:val="0"/>
              <w:autoSpaceDE/>
              <w:autoSpaceDN/>
              <w:bidi w:val="0"/>
              <w:adjustRightInd w:val="0"/>
              <w:snapToGrid w:val="0"/>
              <w:spacing w:line="360" w:lineRule="auto"/>
              <w:jc w:val="left"/>
              <w:textAlignment w:val="auto"/>
              <w:rPr>
                <w:rFonts w:hint="default" w:hAnsi="宋体" w:eastAsia="宋体" w:cs="宋体"/>
                <w:b w:val="0"/>
                <w:bCs/>
                <w:color w:val="auto"/>
                <w:sz w:val="21"/>
                <w:szCs w:val="21"/>
                <w:highlight w:val="none"/>
                <w:vertAlign w:val="baseline"/>
                <w:lang w:val="en-US" w:eastAsia="zh-CN"/>
              </w:rPr>
            </w:pPr>
            <w:r>
              <w:rPr>
                <w:rFonts w:hint="eastAsia" w:hAnsi="宋体" w:eastAsia="宋体" w:cs="宋体"/>
                <w:b w:val="0"/>
                <w:bCs/>
                <w:color w:val="auto"/>
                <w:sz w:val="21"/>
                <w:szCs w:val="21"/>
                <w:highlight w:val="none"/>
                <w:vertAlign w:val="baseline"/>
                <w:lang w:val="en-US" w:eastAsia="zh-CN"/>
              </w:rPr>
              <w:t>4.5</w:t>
            </w:r>
          </w:p>
        </w:tc>
        <w:tc>
          <w:tcPr>
            <w:tcW w:w="6203" w:type="dxa"/>
            <w:vAlign w:val="center"/>
          </w:tcPr>
          <w:p w14:paraId="328D3304">
            <w:pPr>
              <w:pStyle w:val="23"/>
              <w:keepNext w:val="0"/>
              <w:keepLines w:val="0"/>
              <w:pageBreakBefore w:val="0"/>
              <w:widowControl w:val="0"/>
              <w:numPr>
                <w:ilvl w:val="0"/>
                <w:numId w:val="0"/>
              </w:numPr>
              <w:tabs>
                <w:tab w:val="left" w:pos="540"/>
              </w:tabs>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可新增、修改患者信息。</w:t>
            </w:r>
          </w:p>
        </w:tc>
      </w:tr>
      <w:tr w14:paraId="17BFC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942" w:type="dxa"/>
            <w:vMerge w:val="continue"/>
            <w:vAlign w:val="center"/>
          </w:tcPr>
          <w:p w14:paraId="32420550">
            <w:pPr>
              <w:pStyle w:val="23"/>
              <w:keepNext w:val="0"/>
              <w:keepLines w:val="0"/>
              <w:pageBreakBefore w:val="0"/>
              <w:widowControl w:val="0"/>
              <w:numPr>
                <w:ilvl w:val="0"/>
                <w:numId w:val="0"/>
              </w:numPr>
              <w:tabs>
                <w:tab w:val="left" w:pos="540"/>
              </w:tabs>
              <w:kinsoku/>
              <w:wordWrap/>
              <w:overflowPunct/>
              <w:topLinePunct w:val="0"/>
              <w:autoSpaceDE/>
              <w:autoSpaceDN/>
              <w:bidi w:val="0"/>
              <w:adjustRightInd w:val="0"/>
              <w:snapToGrid w:val="0"/>
              <w:spacing w:line="360" w:lineRule="auto"/>
              <w:jc w:val="left"/>
              <w:textAlignment w:val="auto"/>
              <w:rPr>
                <w:rFonts w:hint="default" w:hAnsi="宋体" w:eastAsia="宋体" w:cs="宋体"/>
                <w:b/>
                <w:color w:val="auto"/>
                <w:sz w:val="21"/>
                <w:szCs w:val="21"/>
                <w:highlight w:val="none"/>
                <w:vertAlign w:val="baseline"/>
                <w:lang w:val="en-US" w:eastAsia="zh-CN"/>
              </w:rPr>
            </w:pPr>
          </w:p>
        </w:tc>
        <w:tc>
          <w:tcPr>
            <w:tcW w:w="1515" w:type="dxa"/>
            <w:vMerge w:val="continue"/>
            <w:vAlign w:val="center"/>
          </w:tcPr>
          <w:p w14:paraId="0F78D640">
            <w:pPr>
              <w:pStyle w:val="23"/>
              <w:keepNext w:val="0"/>
              <w:keepLines w:val="0"/>
              <w:pageBreakBefore w:val="0"/>
              <w:widowControl w:val="0"/>
              <w:numPr>
                <w:ilvl w:val="0"/>
                <w:numId w:val="0"/>
              </w:numPr>
              <w:tabs>
                <w:tab w:val="left" w:pos="540"/>
              </w:tabs>
              <w:kinsoku/>
              <w:wordWrap/>
              <w:overflowPunct/>
              <w:topLinePunct w:val="0"/>
              <w:autoSpaceDE/>
              <w:autoSpaceDN/>
              <w:bidi w:val="0"/>
              <w:adjustRightInd w:val="0"/>
              <w:snapToGrid w:val="0"/>
              <w:spacing w:line="360" w:lineRule="auto"/>
              <w:jc w:val="left"/>
              <w:textAlignment w:val="auto"/>
              <w:rPr>
                <w:rFonts w:hint="default" w:hAnsi="宋体" w:eastAsia="宋体" w:cs="宋体"/>
                <w:b/>
                <w:color w:val="auto"/>
                <w:sz w:val="21"/>
                <w:szCs w:val="21"/>
                <w:highlight w:val="none"/>
                <w:vertAlign w:val="baseline"/>
                <w:lang w:val="en-US" w:eastAsia="zh-CN"/>
              </w:rPr>
            </w:pPr>
          </w:p>
        </w:tc>
        <w:tc>
          <w:tcPr>
            <w:tcW w:w="959" w:type="dxa"/>
            <w:vAlign w:val="center"/>
          </w:tcPr>
          <w:p w14:paraId="07D942B6">
            <w:pPr>
              <w:pStyle w:val="23"/>
              <w:keepNext w:val="0"/>
              <w:keepLines w:val="0"/>
              <w:pageBreakBefore w:val="0"/>
              <w:widowControl w:val="0"/>
              <w:numPr>
                <w:ilvl w:val="0"/>
                <w:numId w:val="0"/>
              </w:numPr>
              <w:tabs>
                <w:tab w:val="left" w:pos="540"/>
              </w:tabs>
              <w:kinsoku/>
              <w:wordWrap/>
              <w:overflowPunct/>
              <w:topLinePunct w:val="0"/>
              <w:autoSpaceDE/>
              <w:autoSpaceDN/>
              <w:bidi w:val="0"/>
              <w:adjustRightInd w:val="0"/>
              <w:snapToGrid w:val="0"/>
              <w:spacing w:line="360" w:lineRule="auto"/>
              <w:jc w:val="left"/>
              <w:textAlignment w:val="auto"/>
              <w:rPr>
                <w:rFonts w:hint="default" w:hAnsi="宋体" w:eastAsia="宋体" w:cs="宋体"/>
                <w:b w:val="0"/>
                <w:bCs/>
                <w:color w:val="auto"/>
                <w:sz w:val="21"/>
                <w:szCs w:val="21"/>
                <w:highlight w:val="none"/>
                <w:vertAlign w:val="baseline"/>
                <w:lang w:val="en-US" w:eastAsia="zh-CN"/>
              </w:rPr>
            </w:pPr>
            <w:r>
              <w:rPr>
                <w:rFonts w:hint="eastAsia" w:hAnsi="宋体" w:eastAsia="宋体" w:cs="宋体"/>
                <w:b w:val="0"/>
                <w:bCs/>
                <w:color w:val="auto"/>
                <w:sz w:val="21"/>
                <w:szCs w:val="21"/>
                <w:highlight w:val="none"/>
                <w:vertAlign w:val="baseline"/>
                <w:lang w:val="en-US" w:eastAsia="zh-CN"/>
              </w:rPr>
              <w:t>4.6</w:t>
            </w:r>
          </w:p>
        </w:tc>
        <w:tc>
          <w:tcPr>
            <w:tcW w:w="6203" w:type="dxa"/>
            <w:vAlign w:val="center"/>
          </w:tcPr>
          <w:p w14:paraId="46A90474">
            <w:pPr>
              <w:pStyle w:val="23"/>
              <w:keepNext w:val="0"/>
              <w:keepLines w:val="0"/>
              <w:pageBreakBefore w:val="0"/>
              <w:widowControl w:val="0"/>
              <w:numPr>
                <w:ilvl w:val="0"/>
                <w:numId w:val="0"/>
              </w:numPr>
              <w:tabs>
                <w:tab w:val="left" w:pos="540"/>
              </w:tabs>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可查看患者的个人信息、测评和训练记录等。患者信息查询支持多条件模糊查询模式，可以按分级管理定义的级别快速查询，可按当日、本周、本月、本年、姓名快速查询。</w:t>
            </w:r>
          </w:p>
        </w:tc>
      </w:tr>
      <w:tr w14:paraId="08FF1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942" w:type="dxa"/>
            <w:vMerge w:val="continue"/>
            <w:vAlign w:val="center"/>
          </w:tcPr>
          <w:p w14:paraId="04052CA2">
            <w:pPr>
              <w:pStyle w:val="23"/>
              <w:keepNext w:val="0"/>
              <w:keepLines w:val="0"/>
              <w:pageBreakBefore w:val="0"/>
              <w:widowControl w:val="0"/>
              <w:numPr>
                <w:ilvl w:val="0"/>
                <w:numId w:val="0"/>
              </w:numPr>
              <w:tabs>
                <w:tab w:val="left" w:pos="540"/>
              </w:tabs>
              <w:kinsoku/>
              <w:wordWrap/>
              <w:overflowPunct/>
              <w:topLinePunct w:val="0"/>
              <w:autoSpaceDE/>
              <w:autoSpaceDN/>
              <w:bidi w:val="0"/>
              <w:adjustRightInd w:val="0"/>
              <w:snapToGrid w:val="0"/>
              <w:spacing w:line="360" w:lineRule="auto"/>
              <w:jc w:val="left"/>
              <w:textAlignment w:val="auto"/>
              <w:rPr>
                <w:rFonts w:hint="default" w:hAnsi="宋体" w:eastAsia="宋体" w:cs="宋体"/>
                <w:b/>
                <w:color w:val="auto"/>
                <w:sz w:val="21"/>
                <w:szCs w:val="21"/>
                <w:highlight w:val="none"/>
                <w:vertAlign w:val="baseline"/>
                <w:lang w:val="en-US" w:eastAsia="zh-CN"/>
              </w:rPr>
            </w:pPr>
          </w:p>
        </w:tc>
        <w:tc>
          <w:tcPr>
            <w:tcW w:w="1515" w:type="dxa"/>
            <w:vMerge w:val="continue"/>
            <w:vAlign w:val="center"/>
          </w:tcPr>
          <w:p w14:paraId="76CE12B2">
            <w:pPr>
              <w:pStyle w:val="23"/>
              <w:keepNext w:val="0"/>
              <w:keepLines w:val="0"/>
              <w:pageBreakBefore w:val="0"/>
              <w:widowControl w:val="0"/>
              <w:numPr>
                <w:ilvl w:val="0"/>
                <w:numId w:val="0"/>
              </w:numPr>
              <w:tabs>
                <w:tab w:val="left" w:pos="540"/>
              </w:tabs>
              <w:kinsoku/>
              <w:wordWrap/>
              <w:overflowPunct/>
              <w:topLinePunct w:val="0"/>
              <w:autoSpaceDE/>
              <w:autoSpaceDN/>
              <w:bidi w:val="0"/>
              <w:adjustRightInd w:val="0"/>
              <w:snapToGrid w:val="0"/>
              <w:spacing w:line="360" w:lineRule="auto"/>
              <w:jc w:val="left"/>
              <w:textAlignment w:val="auto"/>
              <w:rPr>
                <w:rFonts w:hint="default" w:hAnsi="宋体" w:eastAsia="宋体" w:cs="宋体"/>
                <w:b/>
                <w:color w:val="auto"/>
                <w:sz w:val="21"/>
                <w:szCs w:val="21"/>
                <w:highlight w:val="none"/>
                <w:vertAlign w:val="baseline"/>
                <w:lang w:val="en-US" w:eastAsia="zh-CN"/>
              </w:rPr>
            </w:pPr>
          </w:p>
        </w:tc>
        <w:tc>
          <w:tcPr>
            <w:tcW w:w="959" w:type="dxa"/>
            <w:vAlign w:val="center"/>
          </w:tcPr>
          <w:p w14:paraId="1FBE2552">
            <w:pPr>
              <w:pStyle w:val="23"/>
              <w:keepNext w:val="0"/>
              <w:keepLines w:val="0"/>
              <w:pageBreakBefore w:val="0"/>
              <w:widowControl w:val="0"/>
              <w:numPr>
                <w:ilvl w:val="0"/>
                <w:numId w:val="0"/>
              </w:numPr>
              <w:tabs>
                <w:tab w:val="left" w:pos="540"/>
              </w:tabs>
              <w:kinsoku/>
              <w:wordWrap/>
              <w:overflowPunct/>
              <w:topLinePunct w:val="0"/>
              <w:autoSpaceDE/>
              <w:autoSpaceDN/>
              <w:bidi w:val="0"/>
              <w:adjustRightInd w:val="0"/>
              <w:snapToGrid w:val="0"/>
              <w:spacing w:line="360" w:lineRule="auto"/>
              <w:jc w:val="left"/>
              <w:textAlignment w:val="auto"/>
              <w:rPr>
                <w:rFonts w:hint="default" w:hAnsi="宋体" w:eastAsia="宋体" w:cs="宋体"/>
                <w:b w:val="0"/>
                <w:bCs/>
                <w:color w:val="auto"/>
                <w:sz w:val="21"/>
                <w:szCs w:val="21"/>
                <w:highlight w:val="none"/>
                <w:vertAlign w:val="baseline"/>
                <w:lang w:val="en-US" w:eastAsia="zh-CN"/>
              </w:rPr>
            </w:pPr>
            <w:r>
              <w:rPr>
                <w:rFonts w:hint="eastAsia" w:hAnsi="宋体" w:eastAsia="宋体" w:cs="宋体"/>
                <w:b w:val="0"/>
                <w:bCs/>
                <w:color w:val="auto"/>
                <w:sz w:val="21"/>
                <w:szCs w:val="21"/>
                <w:highlight w:val="none"/>
                <w:vertAlign w:val="baseline"/>
                <w:lang w:val="en-US" w:eastAsia="zh-CN"/>
              </w:rPr>
              <w:t>4.7</w:t>
            </w:r>
          </w:p>
        </w:tc>
        <w:tc>
          <w:tcPr>
            <w:tcW w:w="6203" w:type="dxa"/>
            <w:vAlign w:val="center"/>
          </w:tcPr>
          <w:p w14:paraId="689D9D71">
            <w:pPr>
              <w:pStyle w:val="23"/>
              <w:keepNext w:val="0"/>
              <w:keepLines w:val="0"/>
              <w:pageBreakBefore w:val="0"/>
              <w:widowControl w:val="0"/>
              <w:numPr>
                <w:ilvl w:val="0"/>
                <w:numId w:val="0"/>
              </w:numPr>
              <w:tabs>
                <w:tab w:val="left" w:pos="540"/>
              </w:tabs>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可查看平台内全部患者测评与训练数据，</w:t>
            </w:r>
            <w:r>
              <w:rPr>
                <w:rFonts w:hint="eastAsia" w:ascii="宋体" w:hAnsi="宋体" w:eastAsia="宋体" w:cs="宋体"/>
                <w:color w:val="auto"/>
                <w:sz w:val="21"/>
                <w:szCs w:val="21"/>
              </w:rPr>
              <w:t>按照创建时间从近到远展现</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也可按患者信息、测评与训练量表名称方案、测评跟训练结果进行查询。</w:t>
            </w:r>
          </w:p>
        </w:tc>
      </w:tr>
      <w:tr w14:paraId="7B576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942" w:type="dxa"/>
            <w:vMerge w:val="continue"/>
            <w:vAlign w:val="center"/>
          </w:tcPr>
          <w:p w14:paraId="72A6AF62">
            <w:pPr>
              <w:pStyle w:val="23"/>
              <w:keepNext w:val="0"/>
              <w:keepLines w:val="0"/>
              <w:pageBreakBefore w:val="0"/>
              <w:widowControl w:val="0"/>
              <w:numPr>
                <w:ilvl w:val="0"/>
                <w:numId w:val="0"/>
              </w:numPr>
              <w:tabs>
                <w:tab w:val="left" w:pos="540"/>
              </w:tabs>
              <w:kinsoku/>
              <w:wordWrap/>
              <w:overflowPunct/>
              <w:topLinePunct w:val="0"/>
              <w:autoSpaceDE/>
              <w:autoSpaceDN/>
              <w:bidi w:val="0"/>
              <w:adjustRightInd w:val="0"/>
              <w:snapToGrid w:val="0"/>
              <w:spacing w:line="360" w:lineRule="auto"/>
              <w:jc w:val="left"/>
              <w:textAlignment w:val="auto"/>
              <w:rPr>
                <w:rFonts w:hint="default" w:hAnsi="宋体" w:eastAsia="宋体" w:cs="宋体"/>
                <w:b/>
                <w:color w:val="auto"/>
                <w:sz w:val="21"/>
                <w:szCs w:val="21"/>
                <w:highlight w:val="none"/>
                <w:vertAlign w:val="baseline"/>
                <w:lang w:val="en-US" w:eastAsia="zh-CN"/>
              </w:rPr>
            </w:pPr>
          </w:p>
        </w:tc>
        <w:tc>
          <w:tcPr>
            <w:tcW w:w="1515" w:type="dxa"/>
            <w:vMerge w:val="continue"/>
            <w:vAlign w:val="center"/>
          </w:tcPr>
          <w:p w14:paraId="00D7C22E">
            <w:pPr>
              <w:pStyle w:val="23"/>
              <w:keepNext w:val="0"/>
              <w:keepLines w:val="0"/>
              <w:pageBreakBefore w:val="0"/>
              <w:widowControl w:val="0"/>
              <w:numPr>
                <w:ilvl w:val="0"/>
                <w:numId w:val="0"/>
              </w:numPr>
              <w:tabs>
                <w:tab w:val="left" w:pos="540"/>
              </w:tabs>
              <w:kinsoku/>
              <w:wordWrap/>
              <w:overflowPunct/>
              <w:topLinePunct w:val="0"/>
              <w:autoSpaceDE/>
              <w:autoSpaceDN/>
              <w:bidi w:val="0"/>
              <w:adjustRightInd w:val="0"/>
              <w:snapToGrid w:val="0"/>
              <w:spacing w:line="360" w:lineRule="auto"/>
              <w:jc w:val="left"/>
              <w:textAlignment w:val="auto"/>
              <w:rPr>
                <w:rFonts w:hint="default" w:hAnsi="宋体" w:eastAsia="宋体" w:cs="宋体"/>
                <w:b/>
                <w:color w:val="auto"/>
                <w:sz w:val="21"/>
                <w:szCs w:val="21"/>
                <w:highlight w:val="none"/>
                <w:vertAlign w:val="baseline"/>
                <w:lang w:val="en-US" w:eastAsia="zh-CN"/>
              </w:rPr>
            </w:pPr>
          </w:p>
        </w:tc>
        <w:tc>
          <w:tcPr>
            <w:tcW w:w="959" w:type="dxa"/>
            <w:vAlign w:val="center"/>
          </w:tcPr>
          <w:p w14:paraId="27BF914F">
            <w:pPr>
              <w:pStyle w:val="23"/>
              <w:keepNext w:val="0"/>
              <w:keepLines w:val="0"/>
              <w:pageBreakBefore w:val="0"/>
              <w:widowControl w:val="0"/>
              <w:numPr>
                <w:ilvl w:val="0"/>
                <w:numId w:val="0"/>
              </w:numPr>
              <w:tabs>
                <w:tab w:val="left" w:pos="540"/>
              </w:tabs>
              <w:kinsoku/>
              <w:wordWrap/>
              <w:overflowPunct/>
              <w:topLinePunct w:val="0"/>
              <w:autoSpaceDE/>
              <w:autoSpaceDN/>
              <w:bidi w:val="0"/>
              <w:adjustRightInd w:val="0"/>
              <w:snapToGrid w:val="0"/>
              <w:spacing w:line="360" w:lineRule="auto"/>
              <w:jc w:val="left"/>
              <w:textAlignment w:val="auto"/>
              <w:rPr>
                <w:rFonts w:hint="default" w:hAnsi="宋体" w:eastAsia="宋体" w:cs="宋体"/>
                <w:b w:val="0"/>
                <w:bCs/>
                <w:color w:val="auto"/>
                <w:sz w:val="21"/>
                <w:szCs w:val="21"/>
                <w:highlight w:val="none"/>
                <w:vertAlign w:val="baseline"/>
                <w:lang w:val="en-US" w:eastAsia="zh-CN"/>
              </w:rPr>
            </w:pPr>
            <w:r>
              <w:rPr>
                <w:rFonts w:hint="eastAsia" w:hAnsi="宋体" w:eastAsia="宋体" w:cs="宋体"/>
                <w:b w:val="0"/>
                <w:bCs/>
                <w:color w:val="auto"/>
                <w:sz w:val="21"/>
                <w:szCs w:val="21"/>
                <w:highlight w:val="none"/>
                <w:vertAlign w:val="baseline"/>
                <w:lang w:val="en-US" w:eastAsia="zh-CN"/>
              </w:rPr>
              <w:t>4.8</w:t>
            </w:r>
          </w:p>
        </w:tc>
        <w:tc>
          <w:tcPr>
            <w:tcW w:w="6203" w:type="dxa"/>
            <w:vAlign w:val="center"/>
          </w:tcPr>
          <w:p w14:paraId="1830A048">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可</w:t>
            </w:r>
            <w:r>
              <w:rPr>
                <w:rFonts w:hint="eastAsia" w:ascii="宋体" w:hAnsi="宋体" w:eastAsia="宋体" w:cs="宋体"/>
                <w:color w:val="auto"/>
                <w:sz w:val="21"/>
                <w:szCs w:val="21"/>
              </w:rPr>
              <w:t>在微信服务号中关联此患者。</w:t>
            </w:r>
            <w:r>
              <w:rPr>
                <w:rFonts w:hint="eastAsia" w:ascii="宋体" w:hAnsi="宋体" w:eastAsia="宋体" w:cs="宋体"/>
                <w:color w:val="auto"/>
                <w:sz w:val="21"/>
                <w:szCs w:val="21"/>
                <w:lang w:val="en-US" w:eastAsia="zh-CN"/>
              </w:rPr>
              <w:t>点击绑定，弹出患者信息二维码，微信扫一扫后关联此患者。</w:t>
            </w:r>
          </w:p>
        </w:tc>
      </w:tr>
      <w:tr w14:paraId="7D4A2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2" w:hRule="atLeast"/>
          <w:jc w:val="center"/>
        </w:trPr>
        <w:tc>
          <w:tcPr>
            <w:tcW w:w="942" w:type="dxa"/>
            <w:vMerge w:val="continue"/>
            <w:vAlign w:val="center"/>
          </w:tcPr>
          <w:p w14:paraId="19046DD1">
            <w:pPr>
              <w:pStyle w:val="23"/>
              <w:keepNext w:val="0"/>
              <w:keepLines w:val="0"/>
              <w:pageBreakBefore w:val="0"/>
              <w:widowControl w:val="0"/>
              <w:numPr>
                <w:ilvl w:val="0"/>
                <w:numId w:val="0"/>
              </w:numPr>
              <w:tabs>
                <w:tab w:val="left" w:pos="540"/>
              </w:tabs>
              <w:kinsoku/>
              <w:wordWrap/>
              <w:overflowPunct/>
              <w:topLinePunct w:val="0"/>
              <w:autoSpaceDE/>
              <w:autoSpaceDN/>
              <w:bidi w:val="0"/>
              <w:adjustRightInd w:val="0"/>
              <w:snapToGrid w:val="0"/>
              <w:spacing w:line="360" w:lineRule="auto"/>
              <w:jc w:val="left"/>
              <w:textAlignment w:val="auto"/>
              <w:rPr>
                <w:rFonts w:hint="default" w:hAnsi="宋体" w:eastAsia="宋体" w:cs="宋体"/>
                <w:b/>
                <w:color w:val="auto"/>
                <w:sz w:val="21"/>
                <w:szCs w:val="21"/>
                <w:highlight w:val="none"/>
                <w:vertAlign w:val="baseline"/>
                <w:lang w:val="en-US" w:eastAsia="zh-CN"/>
              </w:rPr>
            </w:pPr>
          </w:p>
        </w:tc>
        <w:tc>
          <w:tcPr>
            <w:tcW w:w="1515" w:type="dxa"/>
            <w:vMerge w:val="continue"/>
            <w:vAlign w:val="center"/>
          </w:tcPr>
          <w:p w14:paraId="56BA0DDD">
            <w:pPr>
              <w:pStyle w:val="23"/>
              <w:keepNext w:val="0"/>
              <w:keepLines w:val="0"/>
              <w:pageBreakBefore w:val="0"/>
              <w:widowControl w:val="0"/>
              <w:numPr>
                <w:ilvl w:val="0"/>
                <w:numId w:val="0"/>
              </w:numPr>
              <w:tabs>
                <w:tab w:val="left" w:pos="540"/>
              </w:tabs>
              <w:kinsoku/>
              <w:wordWrap/>
              <w:overflowPunct/>
              <w:topLinePunct w:val="0"/>
              <w:autoSpaceDE/>
              <w:autoSpaceDN/>
              <w:bidi w:val="0"/>
              <w:adjustRightInd w:val="0"/>
              <w:snapToGrid w:val="0"/>
              <w:spacing w:line="360" w:lineRule="auto"/>
              <w:jc w:val="left"/>
              <w:textAlignment w:val="auto"/>
              <w:rPr>
                <w:rFonts w:hint="default" w:hAnsi="宋体" w:eastAsia="宋体" w:cs="宋体"/>
                <w:b/>
                <w:color w:val="auto"/>
                <w:sz w:val="21"/>
                <w:szCs w:val="21"/>
                <w:highlight w:val="none"/>
                <w:vertAlign w:val="baseline"/>
                <w:lang w:val="en-US" w:eastAsia="zh-CN"/>
              </w:rPr>
            </w:pPr>
          </w:p>
        </w:tc>
        <w:tc>
          <w:tcPr>
            <w:tcW w:w="959" w:type="dxa"/>
            <w:vAlign w:val="center"/>
          </w:tcPr>
          <w:p w14:paraId="271B9767">
            <w:pPr>
              <w:pStyle w:val="23"/>
              <w:keepNext w:val="0"/>
              <w:keepLines w:val="0"/>
              <w:pageBreakBefore w:val="0"/>
              <w:widowControl w:val="0"/>
              <w:numPr>
                <w:ilvl w:val="0"/>
                <w:numId w:val="0"/>
              </w:numPr>
              <w:tabs>
                <w:tab w:val="left" w:pos="540"/>
              </w:tabs>
              <w:kinsoku/>
              <w:wordWrap/>
              <w:overflowPunct/>
              <w:topLinePunct w:val="0"/>
              <w:autoSpaceDE/>
              <w:autoSpaceDN/>
              <w:bidi w:val="0"/>
              <w:adjustRightInd w:val="0"/>
              <w:snapToGrid w:val="0"/>
              <w:spacing w:line="360" w:lineRule="auto"/>
              <w:jc w:val="left"/>
              <w:textAlignment w:val="auto"/>
              <w:rPr>
                <w:rFonts w:hint="default" w:hAnsi="宋体" w:eastAsia="宋体" w:cs="宋体"/>
                <w:b w:val="0"/>
                <w:bCs/>
                <w:color w:val="auto"/>
                <w:sz w:val="21"/>
                <w:szCs w:val="21"/>
                <w:highlight w:val="none"/>
                <w:vertAlign w:val="baseline"/>
                <w:lang w:val="en-US" w:eastAsia="zh-CN"/>
              </w:rPr>
            </w:pPr>
            <w:r>
              <w:rPr>
                <w:rFonts w:hint="eastAsia" w:hAnsi="宋体" w:eastAsia="宋体" w:cs="宋体"/>
                <w:b w:val="0"/>
                <w:bCs/>
                <w:color w:val="auto"/>
                <w:sz w:val="21"/>
                <w:szCs w:val="21"/>
                <w:highlight w:val="none"/>
                <w:vertAlign w:val="baseline"/>
                <w:lang w:val="en-US" w:eastAsia="zh-CN"/>
              </w:rPr>
              <w:t>4.9</w:t>
            </w:r>
          </w:p>
        </w:tc>
        <w:tc>
          <w:tcPr>
            <w:tcW w:w="6203" w:type="dxa"/>
            <w:vAlign w:val="center"/>
          </w:tcPr>
          <w:p w14:paraId="21BD1DEF">
            <w:pPr>
              <w:pStyle w:val="23"/>
              <w:keepNext w:val="0"/>
              <w:keepLines w:val="0"/>
              <w:pageBreakBefore w:val="0"/>
              <w:widowControl w:val="0"/>
              <w:numPr>
                <w:ilvl w:val="0"/>
                <w:numId w:val="0"/>
              </w:numPr>
              <w:tabs>
                <w:tab w:val="left" w:pos="540"/>
              </w:tabs>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医生可将患者分到不同的组别中，便于管理维护。分组可由医生自定义，也可根据患者性别、年龄、受教育程度等人口学信息进行划分。</w:t>
            </w:r>
            <w:r>
              <w:rPr>
                <w:rFonts w:hint="eastAsia" w:ascii="宋体" w:hAnsi="宋体" w:eastAsia="宋体" w:cs="宋体"/>
                <w:color w:val="auto"/>
                <w:sz w:val="21"/>
                <w:szCs w:val="21"/>
                <w:lang w:val="en-US" w:eastAsia="zh-CN"/>
              </w:rPr>
              <w:t>还可根据测评结果和医生自定义的阈值对患者进行分组，（如：完成某个测评的患者共X人，医生划定n为cut-off值，自动将X人分为&gt;n和≤n两组）。</w:t>
            </w:r>
            <w:r>
              <w:rPr>
                <w:rFonts w:hint="eastAsia" w:ascii="宋体" w:hAnsi="宋体" w:eastAsia="宋体" w:cs="宋体"/>
                <w:color w:val="auto"/>
                <w:sz w:val="21"/>
                <w:szCs w:val="21"/>
              </w:rPr>
              <w:t>医生管理的患者可以有多类分组，一个患者可以拥有多个组别标签。</w:t>
            </w:r>
          </w:p>
        </w:tc>
      </w:tr>
      <w:tr w14:paraId="222B2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942" w:type="dxa"/>
            <w:vMerge w:val="restart"/>
            <w:vAlign w:val="center"/>
          </w:tcPr>
          <w:p w14:paraId="6282C72D">
            <w:pPr>
              <w:pStyle w:val="23"/>
              <w:keepNext w:val="0"/>
              <w:keepLines w:val="0"/>
              <w:pageBreakBefore w:val="0"/>
              <w:widowControl w:val="0"/>
              <w:numPr>
                <w:ilvl w:val="0"/>
                <w:numId w:val="0"/>
              </w:numPr>
              <w:tabs>
                <w:tab w:val="left" w:pos="540"/>
              </w:tabs>
              <w:kinsoku/>
              <w:wordWrap/>
              <w:overflowPunct/>
              <w:topLinePunct w:val="0"/>
              <w:autoSpaceDE/>
              <w:autoSpaceDN/>
              <w:bidi w:val="0"/>
              <w:adjustRightInd w:val="0"/>
              <w:snapToGrid w:val="0"/>
              <w:spacing w:line="360" w:lineRule="auto"/>
              <w:jc w:val="left"/>
              <w:textAlignment w:val="auto"/>
              <w:rPr>
                <w:rFonts w:hint="default" w:hAnsi="宋体" w:eastAsia="宋体" w:cs="宋体"/>
                <w:b/>
                <w:color w:val="auto"/>
                <w:sz w:val="21"/>
                <w:szCs w:val="21"/>
                <w:highlight w:val="none"/>
                <w:vertAlign w:val="baseline"/>
                <w:lang w:val="en-US" w:eastAsia="zh-CN"/>
              </w:rPr>
            </w:pPr>
            <w:r>
              <w:rPr>
                <w:rFonts w:hint="eastAsia" w:hAnsi="宋体" w:eastAsia="宋体" w:cs="宋体"/>
                <w:b w:val="0"/>
                <w:bCs/>
                <w:color w:val="auto"/>
                <w:sz w:val="21"/>
                <w:szCs w:val="21"/>
                <w:highlight w:val="none"/>
                <w:vertAlign w:val="baseline"/>
                <w:lang w:val="en-US" w:eastAsia="zh-CN"/>
              </w:rPr>
              <w:t>3</w:t>
            </w:r>
          </w:p>
        </w:tc>
        <w:tc>
          <w:tcPr>
            <w:tcW w:w="1515" w:type="dxa"/>
            <w:vMerge w:val="restart"/>
            <w:vAlign w:val="center"/>
          </w:tcPr>
          <w:p w14:paraId="5C20C732">
            <w:pPr>
              <w:pStyle w:val="23"/>
              <w:keepNext w:val="0"/>
              <w:keepLines w:val="0"/>
              <w:pageBreakBefore w:val="0"/>
              <w:widowControl w:val="0"/>
              <w:numPr>
                <w:ilvl w:val="0"/>
                <w:numId w:val="0"/>
              </w:numPr>
              <w:tabs>
                <w:tab w:val="left" w:pos="540"/>
              </w:tabs>
              <w:kinsoku/>
              <w:wordWrap/>
              <w:overflowPunct/>
              <w:topLinePunct w:val="0"/>
              <w:autoSpaceDE/>
              <w:autoSpaceDN/>
              <w:bidi w:val="0"/>
              <w:adjustRightInd w:val="0"/>
              <w:snapToGrid w:val="0"/>
              <w:spacing w:line="360" w:lineRule="auto"/>
              <w:jc w:val="left"/>
              <w:textAlignment w:val="auto"/>
              <w:rPr>
                <w:rFonts w:hint="default" w:hAnsi="宋体" w:eastAsia="宋体" w:cs="宋体"/>
                <w:b/>
                <w:color w:val="auto"/>
                <w:sz w:val="21"/>
                <w:szCs w:val="21"/>
                <w:highlight w:val="none"/>
                <w:vertAlign w:val="baseline"/>
                <w:lang w:val="en-US" w:eastAsia="zh-CN"/>
              </w:rPr>
            </w:pPr>
            <w:r>
              <w:rPr>
                <w:rFonts w:hint="eastAsia" w:ascii="宋体" w:hAnsi="宋体" w:eastAsia="宋体" w:cs="宋体"/>
                <w:color w:val="auto"/>
                <w:sz w:val="21"/>
                <w:szCs w:val="21"/>
                <w:lang w:val="en-US" w:eastAsia="zh-CN"/>
              </w:rPr>
              <w:t>数据管理</w:t>
            </w:r>
          </w:p>
        </w:tc>
        <w:tc>
          <w:tcPr>
            <w:tcW w:w="959" w:type="dxa"/>
            <w:vAlign w:val="center"/>
          </w:tcPr>
          <w:p w14:paraId="24762861">
            <w:pPr>
              <w:pStyle w:val="23"/>
              <w:keepNext w:val="0"/>
              <w:keepLines w:val="0"/>
              <w:pageBreakBefore w:val="0"/>
              <w:widowControl w:val="0"/>
              <w:numPr>
                <w:ilvl w:val="0"/>
                <w:numId w:val="0"/>
              </w:numPr>
              <w:tabs>
                <w:tab w:val="left" w:pos="540"/>
              </w:tabs>
              <w:kinsoku/>
              <w:wordWrap/>
              <w:overflowPunct/>
              <w:topLinePunct w:val="0"/>
              <w:autoSpaceDE/>
              <w:autoSpaceDN/>
              <w:bidi w:val="0"/>
              <w:adjustRightInd w:val="0"/>
              <w:snapToGrid w:val="0"/>
              <w:spacing w:line="360" w:lineRule="auto"/>
              <w:jc w:val="left"/>
              <w:textAlignment w:val="auto"/>
              <w:rPr>
                <w:rFonts w:hint="default" w:hAnsi="宋体" w:eastAsia="宋体" w:cs="宋体"/>
                <w:b w:val="0"/>
                <w:bCs/>
                <w:color w:val="auto"/>
                <w:sz w:val="21"/>
                <w:szCs w:val="21"/>
                <w:highlight w:val="none"/>
                <w:vertAlign w:val="baseline"/>
                <w:lang w:val="en-US" w:eastAsia="zh-CN"/>
              </w:rPr>
            </w:pPr>
            <w:r>
              <w:rPr>
                <w:rFonts w:hint="eastAsia" w:hAnsi="宋体" w:eastAsia="宋体" w:cs="宋体"/>
                <w:b w:val="0"/>
                <w:bCs/>
                <w:color w:val="auto"/>
                <w:sz w:val="21"/>
                <w:szCs w:val="21"/>
                <w:highlight w:val="none"/>
                <w:vertAlign w:val="baseline"/>
                <w:lang w:val="en-US" w:eastAsia="zh-CN"/>
              </w:rPr>
              <w:t>4.10</w:t>
            </w:r>
          </w:p>
        </w:tc>
        <w:tc>
          <w:tcPr>
            <w:tcW w:w="6203" w:type="dxa"/>
            <w:vAlign w:val="center"/>
          </w:tcPr>
          <w:p w14:paraId="5CFA8797">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数据概览：可查看当前医生的整体诊疗情况，也可选择日期搜索范围内的诊疗详情数据。还可根据测评内容查看完成人数等情况。</w:t>
            </w:r>
          </w:p>
        </w:tc>
      </w:tr>
      <w:tr w14:paraId="1F408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942" w:type="dxa"/>
            <w:vMerge w:val="continue"/>
            <w:vAlign w:val="center"/>
          </w:tcPr>
          <w:p w14:paraId="2647BF26">
            <w:pPr>
              <w:pStyle w:val="23"/>
              <w:keepNext w:val="0"/>
              <w:keepLines w:val="0"/>
              <w:pageBreakBefore w:val="0"/>
              <w:widowControl w:val="0"/>
              <w:numPr>
                <w:ilvl w:val="0"/>
                <w:numId w:val="0"/>
              </w:numPr>
              <w:tabs>
                <w:tab w:val="left" w:pos="540"/>
              </w:tabs>
              <w:kinsoku/>
              <w:wordWrap/>
              <w:overflowPunct/>
              <w:topLinePunct w:val="0"/>
              <w:autoSpaceDE/>
              <w:autoSpaceDN/>
              <w:bidi w:val="0"/>
              <w:adjustRightInd w:val="0"/>
              <w:snapToGrid w:val="0"/>
              <w:spacing w:line="360" w:lineRule="auto"/>
              <w:jc w:val="left"/>
              <w:textAlignment w:val="auto"/>
              <w:rPr>
                <w:rFonts w:hint="eastAsia" w:hAnsi="宋体" w:eastAsia="宋体" w:cs="宋体"/>
                <w:b/>
                <w:color w:val="auto"/>
                <w:sz w:val="21"/>
                <w:szCs w:val="21"/>
                <w:highlight w:val="none"/>
                <w:vertAlign w:val="baseline"/>
                <w:lang w:val="en-US" w:eastAsia="zh-CN"/>
              </w:rPr>
            </w:pPr>
          </w:p>
        </w:tc>
        <w:tc>
          <w:tcPr>
            <w:tcW w:w="1515" w:type="dxa"/>
            <w:vMerge w:val="continue"/>
            <w:vAlign w:val="center"/>
          </w:tcPr>
          <w:p w14:paraId="45C8CEB3">
            <w:pPr>
              <w:pStyle w:val="23"/>
              <w:keepNext w:val="0"/>
              <w:keepLines w:val="0"/>
              <w:pageBreakBefore w:val="0"/>
              <w:widowControl w:val="0"/>
              <w:numPr>
                <w:ilvl w:val="0"/>
                <w:numId w:val="0"/>
              </w:numPr>
              <w:tabs>
                <w:tab w:val="left" w:pos="540"/>
              </w:tabs>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color w:val="auto"/>
                <w:sz w:val="21"/>
                <w:szCs w:val="21"/>
                <w:lang w:val="en-US" w:eastAsia="zh-CN"/>
              </w:rPr>
            </w:pPr>
          </w:p>
        </w:tc>
        <w:tc>
          <w:tcPr>
            <w:tcW w:w="959" w:type="dxa"/>
            <w:vAlign w:val="center"/>
          </w:tcPr>
          <w:p w14:paraId="1D3066B4">
            <w:pPr>
              <w:pStyle w:val="23"/>
              <w:keepNext w:val="0"/>
              <w:keepLines w:val="0"/>
              <w:pageBreakBefore w:val="0"/>
              <w:widowControl w:val="0"/>
              <w:numPr>
                <w:ilvl w:val="0"/>
                <w:numId w:val="0"/>
              </w:numPr>
              <w:tabs>
                <w:tab w:val="left" w:pos="540"/>
              </w:tabs>
              <w:kinsoku/>
              <w:wordWrap/>
              <w:overflowPunct/>
              <w:topLinePunct w:val="0"/>
              <w:autoSpaceDE/>
              <w:autoSpaceDN/>
              <w:bidi w:val="0"/>
              <w:adjustRightInd w:val="0"/>
              <w:snapToGrid w:val="0"/>
              <w:spacing w:line="360" w:lineRule="auto"/>
              <w:jc w:val="left"/>
              <w:textAlignment w:val="auto"/>
              <w:rPr>
                <w:rFonts w:hint="default" w:hAnsi="宋体" w:eastAsia="宋体" w:cs="宋体"/>
                <w:b w:val="0"/>
                <w:bCs/>
                <w:color w:val="auto"/>
                <w:sz w:val="21"/>
                <w:szCs w:val="21"/>
                <w:highlight w:val="none"/>
                <w:vertAlign w:val="baseline"/>
                <w:lang w:val="en-US" w:eastAsia="zh-CN"/>
              </w:rPr>
            </w:pPr>
            <w:r>
              <w:rPr>
                <w:rFonts w:hint="eastAsia" w:hAnsi="宋体" w:eastAsia="宋体" w:cs="宋体"/>
                <w:b w:val="0"/>
                <w:bCs/>
                <w:color w:val="auto"/>
                <w:sz w:val="21"/>
                <w:szCs w:val="21"/>
                <w:highlight w:val="none"/>
                <w:vertAlign w:val="baseline"/>
                <w:lang w:val="en-US" w:eastAsia="zh-CN"/>
              </w:rPr>
              <w:t>4.11</w:t>
            </w:r>
          </w:p>
        </w:tc>
        <w:tc>
          <w:tcPr>
            <w:tcW w:w="6203" w:type="dxa"/>
            <w:vAlign w:val="center"/>
          </w:tcPr>
          <w:p w14:paraId="67794E12">
            <w:pPr>
              <w:pStyle w:val="23"/>
              <w:keepNext w:val="0"/>
              <w:keepLines w:val="0"/>
              <w:pageBreakBefore w:val="0"/>
              <w:widowControl w:val="0"/>
              <w:numPr>
                <w:ilvl w:val="0"/>
                <w:numId w:val="0"/>
              </w:numPr>
              <w:tabs>
                <w:tab w:val="left" w:pos="540"/>
              </w:tabs>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可查看当前医生开具处方的全部测评结果，支持导出患者作答原始数据。</w:t>
            </w:r>
          </w:p>
        </w:tc>
      </w:tr>
      <w:tr w14:paraId="0F30D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942" w:type="dxa"/>
            <w:vMerge w:val="continue"/>
            <w:vAlign w:val="center"/>
          </w:tcPr>
          <w:p w14:paraId="0130A1CF">
            <w:pPr>
              <w:pStyle w:val="23"/>
              <w:keepNext w:val="0"/>
              <w:keepLines w:val="0"/>
              <w:pageBreakBefore w:val="0"/>
              <w:widowControl w:val="0"/>
              <w:numPr>
                <w:ilvl w:val="0"/>
                <w:numId w:val="0"/>
              </w:numPr>
              <w:tabs>
                <w:tab w:val="left" w:pos="540"/>
              </w:tabs>
              <w:kinsoku/>
              <w:wordWrap/>
              <w:overflowPunct/>
              <w:topLinePunct w:val="0"/>
              <w:autoSpaceDE/>
              <w:autoSpaceDN/>
              <w:bidi w:val="0"/>
              <w:adjustRightInd w:val="0"/>
              <w:snapToGrid w:val="0"/>
              <w:spacing w:line="360" w:lineRule="auto"/>
              <w:jc w:val="left"/>
              <w:textAlignment w:val="auto"/>
              <w:rPr>
                <w:rFonts w:hint="eastAsia" w:hAnsi="宋体" w:eastAsia="宋体" w:cs="宋体"/>
                <w:b/>
                <w:color w:val="auto"/>
                <w:sz w:val="21"/>
                <w:szCs w:val="21"/>
                <w:highlight w:val="none"/>
                <w:vertAlign w:val="baseline"/>
                <w:lang w:val="en-US" w:eastAsia="zh-CN"/>
              </w:rPr>
            </w:pPr>
          </w:p>
        </w:tc>
        <w:tc>
          <w:tcPr>
            <w:tcW w:w="1515" w:type="dxa"/>
            <w:vMerge w:val="continue"/>
            <w:vAlign w:val="center"/>
          </w:tcPr>
          <w:p w14:paraId="2CC6794D">
            <w:pPr>
              <w:pStyle w:val="23"/>
              <w:keepNext w:val="0"/>
              <w:keepLines w:val="0"/>
              <w:pageBreakBefore w:val="0"/>
              <w:widowControl w:val="0"/>
              <w:numPr>
                <w:ilvl w:val="0"/>
                <w:numId w:val="0"/>
              </w:numPr>
              <w:tabs>
                <w:tab w:val="left" w:pos="540"/>
              </w:tabs>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color w:val="auto"/>
                <w:sz w:val="21"/>
                <w:szCs w:val="21"/>
                <w:lang w:val="en-US" w:eastAsia="zh-CN"/>
              </w:rPr>
            </w:pPr>
          </w:p>
        </w:tc>
        <w:tc>
          <w:tcPr>
            <w:tcW w:w="959" w:type="dxa"/>
            <w:vAlign w:val="center"/>
          </w:tcPr>
          <w:p w14:paraId="256EF2ED">
            <w:pPr>
              <w:pStyle w:val="23"/>
              <w:keepNext w:val="0"/>
              <w:keepLines w:val="0"/>
              <w:pageBreakBefore w:val="0"/>
              <w:widowControl w:val="0"/>
              <w:numPr>
                <w:ilvl w:val="0"/>
                <w:numId w:val="0"/>
              </w:numPr>
              <w:tabs>
                <w:tab w:val="left" w:pos="540"/>
              </w:tabs>
              <w:kinsoku/>
              <w:wordWrap/>
              <w:overflowPunct/>
              <w:topLinePunct w:val="0"/>
              <w:autoSpaceDE/>
              <w:autoSpaceDN/>
              <w:bidi w:val="0"/>
              <w:adjustRightInd w:val="0"/>
              <w:snapToGrid w:val="0"/>
              <w:spacing w:line="360" w:lineRule="auto"/>
              <w:jc w:val="left"/>
              <w:textAlignment w:val="auto"/>
              <w:rPr>
                <w:rFonts w:hint="default" w:hAnsi="宋体" w:eastAsia="宋体" w:cs="宋体"/>
                <w:b w:val="0"/>
                <w:bCs/>
                <w:color w:val="auto"/>
                <w:sz w:val="21"/>
                <w:szCs w:val="21"/>
                <w:highlight w:val="none"/>
                <w:vertAlign w:val="baseline"/>
                <w:lang w:val="en-US" w:eastAsia="zh-CN"/>
              </w:rPr>
            </w:pPr>
            <w:r>
              <w:rPr>
                <w:rFonts w:hint="eastAsia" w:hAnsi="宋体" w:eastAsia="宋体" w:cs="宋体"/>
                <w:b w:val="0"/>
                <w:bCs/>
                <w:color w:val="auto"/>
                <w:sz w:val="21"/>
                <w:szCs w:val="21"/>
                <w:highlight w:val="none"/>
                <w:vertAlign w:val="baseline"/>
                <w:lang w:val="en-US" w:eastAsia="zh-CN"/>
              </w:rPr>
              <w:t>4.12</w:t>
            </w:r>
          </w:p>
        </w:tc>
        <w:tc>
          <w:tcPr>
            <w:tcW w:w="6203" w:type="dxa"/>
            <w:vAlign w:val="center"/>
          </w:tcPr>
          <w:p w14:paraId="401945CA">
            <w:pPr>
              <w:pStyle w:val="23"/>
              <w:keepNext w:val="0"/>
              <w:keepLines w:val="0"/>
              <w:pageBreakBefore w:val="0"/>
              <w:widowControl w:val="0"/>
              <w:numPr>
                <w:ilvl w:val="0"/>
                <w:numId w:val="0"/>
              </w:numPr>
              <w:tabs>
                <w:tab w:val="left" w:pos="540"/>
              </w:tabs>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可对所有患者或完成某项测评的患者进行心理画像，对该人群年龄、性别、受教育程度等人口学信息进行描述性统计，并对该项测评的完成情况进行描述性统计，包括得分均值、标准差、全距、峰度、偏度等</w:t>
            </w:r>
          </w:p>
        </w:tc>
      </w:tr>
      <w:tr w14:paraId="4523F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942" w:type="dxa"/>
            <w:vMerge w:val="continue"/>
            <w:vAlign w:val="center"/>
          </w:tcPr>
          <w:p w14:paraId="7C239E18">
            <w:pPr>
              <w:pStyle w:val="23"/>
              <w:keepNext w:val="0"/>
              <w:keepLines w:val="0"/>
              <w:pageBreakBefore w:val="0"/>
              <w:widowControl w:val="0"/>
              <w:numPr>
                <w:ilvl w:val="0"/>
                <w:numId w:val="0"/>
              </w:numPr>
              <w:tabs>
                <w:tab w:val="left" w:pos="540"/>
              </w:tabs>
              <w:kinsoku/>
              <w:wordWrap/>
              <w:overflowPunct/>
              <w:topLinePunct w:val="0"/>
              <w:autoSpaceDE/>
              <w:autoSpaceDN/>
              <w:bidi w:val="0"/>
              <w:adjustRightInd w:val="0"/>
              <w:snapToGrid w:val="0"/>
              <w:spacing w:line="360" w:lineRule="auto"/>
              <w:jc w:val="left"/>
              <w:textAlignment w:val="auto"/>
              <w:rPr>
                <w:rFonts w:hint="eastAsia" w:hAnsi="宋体" w:eastAsia="宋体" w:cs="宋体"/>
                <w:b/>
                <w:color w:val="auto"/>
                <w:sz w:val="21"/>
                <w:szCs w:val="21"/>
                <w:highlight w:val="none"/>
                <w:vertAlign w:val="baseline"/>
                <w:lang w:val="en-US" w:eastAsia="zh-CN"/>
              </w:rPr>
            </w:pPr>
          </w:p>
        </w:tc>
        <w:tc>
          <w:tcPr>
            <w:tcW w:w="1515" w:type="dxa"/>
            <w:vMerge w:val="continue"/>
            <w:vAlign w:val="center"/>
          </w:tcPr>
          <w:p w14:paraId="610AD488">
            <w:pPr>
              <w:pStyle w:val="23"/>
              <w:keepNext w:val="0"/>
              <w:keepLines w:val="0"/>
              <w:pageBreakBefore w:val="0"/>
              <w:widowControl w:val="0"/>
              <w:numPr>
                <w:ilvl w:val="0"/>
                <w:numId w:val="0"/>
              </w:numPr>
              <w:tabs>
                <w:tab w:val="left" w:pos="540"/>
              </w:tabs>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color w:val="auto"/>
                <w:sz w:val="21"/>
                <w:szCs w:val="21"/>
                <w:lang w:val="en-US" w:eastAsia="zh-CN"/>
              </w:rPr>
            </w:pPr>
          </w:p>
        </w:tc>
        <w:tc>
          <w:tcPr>
            <w:tcW w:w="959" w:type="dxa"/>
            <w:vAlign w:val="center"/>
          </w:tcPr>
          <w:p w14:paraId="3B141BC2">
            <w:pPr>
              <w:pStyle w:val="23"/>
              <w:keepNext w:val="0"/>
              <w:keepLines w:val="0"/>
              <w:pageBreakBefore w:val="0"/>
              <w:widowControl w:val="0"/>
              <w:numPr>
                <w:ilvl w:val="0"/>
                <w:numId w:val="0"/>
              </w:numPr>
              <w:tabs>
                <w:tab w:val="left" w:pos="540"/>
              </w:tabs>
              <w:kinsoku/>
              <w:wordWrap/>
              <w:overflowPunct/>
              <w:topLinePunct w:val="0"/>
              <w:autoSpaceDE/>
              <w:autoSpaceDN/>
              <w:bidi w:val="0"/>
              <w:adjustRightInd w:val="0"/>
              <w:snapToGrid w:val="0"/>
              <w:spacing w:line="360" w:lineRule="auto"/>
              <w:jc w:val="left"/>
              <w:textAlignment w:val="auto"/>
              <w:rPr>
                <w:rFonts w:hint="default" w:hAnsi="宋体" w:eastAsia="宋体" w:cs="宋体"/>
                <w:b w:val="0"/>
                <w:bCs/>
                <w:color w:val="auto"/>
                <w:sz w:val="21"/>
                <w:szCs w:val="21"/>
                <w:highlight w:val="none"/>
                <w:vertAlign w:val="baseline"/>
                <w:lang w:val="en-US" w:eastAsia="zh-CN"/>
              </w:rPr>
            </w:pPr>
            <w:r>
              <w:rPr>
                <w:rFonts w:hint="eastAsia" w:hAnsi="宋体" w:eastAsia="宋体" w:cs="宋体"/>
                <w:b w:val="0"/>
                <w:bCs/>
                <w:color w:val="auto"/>
                <w:sz w:val="21"/>
                <w:szCs w:val="21"/>
                <w:highlight w:val="none"/>
                <w:vertAlign w:val="baseline"/>
                <w:lang w:val="en-US" w:eastAsia="zh-CN"/>
              </w:rPr>
              <w:t>4.13</w:t>
            </w:r>
          </w:p>
        </w:tc>
        <w:tc>
          <w:tcPr>
            <w:tcW w:w="6203" w:type="dxa"/>
            <w:vAlign w:val="center"/>
          </w:tcPr>
          <w:p w14:paraId="292644AE">
            <w:pPr>
              <w:pStyle w:val="23"/>
              <w:keepNext w:val="0"/>
              <w:keepLines w:val="0"/>
              <w:pageBreakBefore w:val="0"/>
              <w:widowControl w:val="0"/>
              <w:numPr>
                <w:ilvl w:val="0"/>
                <w:numId w:val="0"/>
              </w:numPr>
              <w:tabs>
                <w:tab w:val="left" w:pos="540"/>
              </w:tabs>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可根据患者的年龄、性别、部分量表分值、慢病或自定义分组标签等进行数据可视化呈现对患者的测评结果进行组间比较等推断性统计。</w:t>
            </w:r>
          </w:p>
        </w:tc>
      </w:tr>
      <w:tr w14:paraId="63CE5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942" w:type="dxa"/>
            <w:vMerge w:val="continue"/>
            <w:vAlign w:val="center"/>
          </w:tcPr>
          <w:p w14:paraId="3D50BEA2">
            <w:pPr>
              <w:pStyle w:val="23"/>
              <w:keepNext w:val="0"/>
              <w:keepLines w:val="0"/>
              <w:pageBreakBefore w:val="0"/>
              <w:widowControl w:val="0"/>
              <w:numPr>
                <w:ilvl w:val="0"/>
                <w:numId w:val="0"/>
              </w:numPr>
              <w:tabs>
                <w:tab w:val="left" w:pos="540"/>
              </w:tabs>
              <w:kinsoku/>
              <w:wordWrap/>
              <w:overflowPunct/>
              <w:topLinePunct w:val="0"/>
              <w:autoSpaceDE/>
              <w:autoSpaceDN/>
              <w:bidi w:val="0"/>
              <w:adjustRightInd w:val="0"/>
              <w:snapToGrid w:val="0"/>
              <w:spacing w:line="360" w:lineRule="auto"/>
              <w:jc w:val="left"/>
              <w:textAlignment w:val="auto"/>
              <w:rPr>
                <w:rFonts w:hint="eastAsia" w:hAnsi="宋体" w:eastAsia="宋体" w:cs="宋体"/>
                <w:b/>
                <w:color w:val="auto"/>
                <w:sz w:val="21"/>
                <w:szCs w:val="21"/>
                <w:highlight w:val="none"/>
                <w:vertAlign w:val="baseline"/>
                <w:lang w:val="en-US" w:eastAsia="zh-CN"/>
              </w:rPr>
            </w:pPr>
          </w:p>
        </w:tc>
        <w:tc>
          <w:tcPr>
            <w:tcW w:w="1515" w:type="dxa"/>
            <w:vMerge w:val="continue"/>
            <w:vAlign w:val="center"/>
          </w:tcPr>
          <w:p w14:paraId="0E0E2E75">
            <w:pPr>
              <w:pStyle w:val="23"/>
              <w:keepNext w:val="0"/>
              <w:keepLines w:val="0"/>
              <w:pageBreakBefore w:val="0"/>
              <w:widowControl w:val="0"/>
              <w:numPr>
                <w:ilvl w:val="0"/>
                <w:numId w:val="0"/>
              </w:numPr>
              <w:tabs>
                <w:tab w:val="left" w:pos="540"/>
              </w:tabs>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color w:val="auto"/>
                <w:sz w:val="21"/>
                <w:szCs w:val="21"/>
                <w:lang w:val="en-US" w:eastAsia="zh-CN"/>
              </w:rPr>
            </w:pPr>
          </w:p>
        </w:tc>
        <w:tc>
          <w:tcPr>
            <w:tcW w:w="959" w:type="dxa"/>
            <w:vAlign w:val="center"/>
          </w:tcPr>
          <w:p w14:paraId="66207FFD">
            <w:pPr>
              <w:pStyle w:val="23"/>
              <w:keepNext w:val="0"/>
              <w:keepLines w:val="0"/>
              <w:pageBreakBefore w:val="0"/>
              <w:widowControl w:val="0"/>
              <w:numPr>
                <w:ilvl w:val="0"/>
                <w:numId w:val="0"/>
              </w:numPr>
              <w:tabs>
                <w:tab w:val="left" w:pos="540"/>
              </w:tabs>
              <w:kinsoku/>
              <w:wordWrap/>
              <w:overflowPunct/>
              <w:topLinePunct w:val="0"/>
              <w:autoSpaceDE/>
              <w:autoSpaceDN/>
              <w:bidi w:val="0"/>
              <w:adjustRightInd w:val="0"/>
              <w:snapToGrid w:val="0"/>
              <w:spacing w:line="360" w:lineRule="auto"/>
              <w:jc w:val="left"/>
              <w:textAlignment w:val="auto"/>
              <w:rPr>
                <w:rFonts w:hint="default" w:hAnsi="宋体" w:eastAsia="宋体" w:cs="宋体"/>
                <w:b w:val="0"/>
                <w:bCs/>
                <w:color w:val="auto"/>
                <w:sz w:val="21"/>
                <w:szCs w:val="21"/>
                <w:highlight w:val="none"/>
                <w:vertAlign w:val="baseline"/>
                <w:lang w:val="en-US" w:eastAsia="zh-CN"/>
              </w:rPr>
            </w:pPr>
            <w:r>
              <w:rPr>
                <w:rFonts w:hint="eastAsia" w:hAnsi="宋体" w:eastAsia="宋体" w:cs="宋体"/>
                <w:b w:val="0"/>
                <w:bCs/>
                <w:color w:val="auto"/>
                <w:sz w:val="21"/>
                <w:szCs w:val="21"/>
                <w:highlight w:val="none"/>
                <w:vertAlign w:val="baseline"/>
                <w:lang w:val="en-US" w:eastAsia="zh-CN"/>
              </w:rPr>
              <w:t>4.14</w:t>
            </w:r>
          </w:p>
        </w:tc>
        <w:tc>
          <w:tcPr>
            <w:tcW w:w="6203" w:type="dxa"/>
            <w:vAlign w:val="center"/>
          </w:tcPr>
          <w:p w14:paraId="3FDBCC6F">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数据质检：针对采集数据，根据数据辨识规则，自动识别数据质量，并提供整体数据预警提醒。</w:t>
            </w:r>
          </w:p>
        </w:tc>
      </w:tr>
      <w:tr w14:paraId="02BB3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jc w:val="center"/>
        </w:trPr>
        <w:tc>
          <w:tcPr>
            <w:tcW w:w="942" w:type="dxa"/>
            <w:vMerge w:val="restart"/>
            <w:vAlign w:val="center"/>
          </w:tcPr>
          <w:p w14:paraId="3A9B3EB6">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sz w:val="21"/>
                <w:szCs w:val="21"/>
                <w:lang w:val="en-US" w:eastAsia="zh-CN"/>
              </w:rPr>
            </w:pPr>
            <w:r>
              <w:rPr>
                <w:rFonts w:hint="eastAsia" w:hAnsi="宋体" w:eastAsia="宋体" w:cs="宋体"/>
                <w:b w:val="0"/>
                <w:bCs/>
                <w:color w:val="auto"/>
                <w:sz w:val="21"/>
                <w:szCs w:val="21"/>
                <w:highlight w:val="none"/>
                <w:vertAlign w:val="baseline"/>
                <w:lang w:val="en-US" w:eastAsia="zh-CN"/>
              </w:rPr>
              <w:t>4</w:t>
            </w:r>
          </w:p>
        </w:tc>
        <w:tc>
          <w:tcPr>
            <w:tcW w:w="1515" w:type="dxa"/>
            <w:vMerge w:val="restart"/>
            <w:vAlign w:val="center"/>
          </w:tcPr>
          <w:p w14:paraId="048226B5">
            <w:pPr>
              <w:pStyle w:val="23"/>
              <w:keepNext w:val="0"/>
              <w:keepLines w:val="0"/>
              <w:pageBreakBefore w:val="0"/>
              <w:widowControl w:val="0"/>
              <w:numPr>
                <w:ilvl w:val="0"/>
                <w:numId w:val="0"/>
              </w:numPr>
              <w:tabs>
                <w:tab w:val="left" w:pos="540"/>
              </w:tabs>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测评管理系统（管理端与应用端）</w:t>
            </w:r>
          </w:p>
        </w:tc>
        <w:tc>
          <w:tcPr>
            <w:tcW w:w="959" w:type="dxa"/>
            <w:vAlign w:val="center"/>
          </w:tcPr>
          <w:p w14:paraId="603C1633">
            <w:pPr>
              <w:pStyle w:val="23"/>
              <w:keepNext w:val="0"/>
              <w:keepLines w:val="0"/>
              <w:pageBreakBefore w:val="0"/>
              <w:widowControl w:val="0"/>
              <w:numPr>
                <w:ilvl w:val="0"/>
                <w:numId w:val="0"/>
              </w:numPr>
              <w:tabs>
                <w:tab w:val="left" w:pos="540"/>
              </w:tabs>
              <w:kinsoku/>
              <w:wordWrap/>
              <w:overflowPunct/>
              <w:topLinePunct w:val="0"/>
              <w:autoSpaceDE/>
              <w:autoSpaceDN/>
              <w:bidi w:val="0"/>
              <w:adjustRightInd w:val="0"/>
              <w:snapToGrid w:val="0"/>
              <w:spacing w:line="360" w:lineRule="auto"/>
              <w:jc w:val="left"/>
              <w:textAlignment w:val="auto"/>
              <w:rPr>
                <w:rFonts w:hint="default" w:hAnsi="宋体" w:eastAsia="宋体" w:cs="宋体"/>
                <w:b w:val="0"/>
                <w:bCs/>
                <w:color w:val="auto"/>
                <w:sz w:val="21"/>
                <w:szCs w:val="21"/>
                <w:highlight w:val="none"/>
                <w:vertAlign w:val="baseline"/>
                <w:lang w:val="en-US" w:eastAsia="zh-CN"/>
              </w:rPr>
            </w:pPr>
            <w:r>
              <w:rPr>
                <w:rFonts w:hint="eastAsia" w:hAnsi="宋体" w:eastAsia="宋体" w:cs="宋体"/>
                <w:b w:val="0"/>
                <w:bCs/>
                <w:color w:val="auto"/>
                <w:sz w:val="21"/>
                <w:szCs w:val="21"/>
                <w:highlight w:val="none"/>
                <w:vertAlign w:val="baseline"/>
                <w:lang w:val="en-US" w:eastAsia="zh-CN"/>
              </w:rPr>
              <w:t>4.15</w:t>
            </w:r>
          </w:p>
        </w:tc>
        <w:tc>
          <w:tcPr>
            <w:tcW w:w="6203" w:type="dxa"/>
            <w:vAlign w:val="center"/>
          </w:tcPr>
          <w:p w14:paraId="12EE10F8">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测评量表集设置：根据临床科室的不同需求支持具备门诊或住院测评处方的开具、分配等功能，能够对测评项目进行自由组合并根据需要对量表集组合进行修改和重组。</w:t>
            </w:r>
          </w:p>
        </w:tc>
      </w:tr>
      <w:tr w14:paraId="662F5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942" w:type="dxa"/>
            <w:vMerge w:val="continue"/>
            <w:vAlign w:val="center"/>
          </w:tcPr>
          <w:p w14:paraId="7CCE57E6">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b/>
                <w:color w:val="auto"/>
                <w:kern w:val="2"/>
                <w:sz w:val="21"/>
                <w:szCs w:val="21"/>
                <w:highlight w:val="none"/>
                <w:vertAlign w:val="baseline"/>
                <w:lang w:val="en-US" w:eastAsia="zh-CN" w:bidi="ar-SA"/>
              </w:rPr>
            </w:pPr>
          </w:p>
        </w:tc>
        <w:tc>
          <w:tcPr>
            <w:tcW w:w="1515" w:type="dxa"/>
            <w:vMerge w:val="continue"/>
            <w:vAlign w:val="center"/>
          </w:tcPr>
          <w:p w14:paraId="06B33624">
            <w:pPr>
              <w:pStyle w:val="23"/>
              <w:keepNext w:val="0"/>
              <w:keepLines w:val="0"/>
              <w:pageBreakBefore w:val="0"/>
              <w:widowControl w:val="0"/>
              <w:numPr>
                <w:ilvl w:val="0"/>
                <w:numId w:val="0"/>
              </w:numPr>
              <w:tabs>
                <w:tab w:val="left" w:pos="540"/>
              </w:tabs>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color w:val="auto"/>
                <w:sz w:val="21"/>
                <w:szCs w:val="21"/>
                <w:lang w:val="en-US" w:eastAsia="zh-CN"/>
              </w:rPr>
            </w:pPr>
          </w:p>
        </w:tc>
        <w:tc>
          <w:tcPr>
            <w:tcW w:w="959" w:type="dxa"/>
            <w:vAlign w:val="center"/>
          </w:tcPr>
          <w:p w14:paraId="4CEE758B">
            <w:pPr>
              <w:pStyle w:val="23"/>
              <w:keepNext w:val="0"/>
              <w:keepLines w:val="0"/>
              <w:pageBreakBefore w:val="0"/>
              <w:widowControl w:val="0"/>
              <w:numPr>
                <w:ilvl w:val="0"/>
                <w:numId w:val="0"/>
              </w:numPr>
              <w:tabs>
                <w:tab w:val="left" w:pos="540"/>
              </w:tabs>
              <w:kinsoku/>
              <w:wordWrap/>
              <w:overflowPunct/>
              <w:topLinePunct w:val="0"/>
              <w:autoSpaceDE/>
              <w:autoSpaceDN/>
              <w:bidi w:val="0"/>
              <w:adjustRightInd w:val="0"/>
              <w:snapToGrid w:val="0"/>
              <w:spacing w:line="360" w:lineRule="auto"/>
              <w:jc w:val="left"/>
              <w:textAlignment w:val="auto"/>
              <w:rPr>
                <w:rFonts w:hint="default" w:hAnsi="宋体" w:eastAsia="宋体" w:cs="宋体"/>
                <w:b w:val="0"/>
                <w:bCs/>
                <w:color w:val="auto"/>
                <w:sz w:val="21"/>
                <w:szCs w:val="21"/>
                <w:highlight w:val="none"/>
                <w:vertAlign w:val="baseline"/>
                <w:lang w:val="en-US" w:eastAsia="zh-CN"/>
              </w:rPr>
            </w:pPr>
            <w:r>
              <w:rPr>
                <w:rFonts w:hint="eastAsia" w:hAnsi="宋体" w:eastAsia="宋体" w:cs="宋体"/>
                <w:b w:val="0"/>
                <w:bCs/>
                <w:color w:val="auto"/>
                <w:sz w:val="21"/>
                <w:szCs w:val="21"/>
                <w:highlight w:val="none"/>
                <w:vertAlign w:val="baseline"/>
                <w:lang w:val="en-US" w:eastAsia="zh-CN"/>
              </w:rPr>
              <w:t>4.16</w:t>
            </w:r>
          </w:p>
        </w:tc>
        <w:tc>
          <w:tcPr>
            <w:tcW w:w="6203" w:type="dxa"/>
            <w:vAlign w:val="center"/>
          </w:tcPr>
          <w:p w14:paraId="2F38D2D4">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测评量表内容要求：具备量表及测评内容不少于</w:t>
            </w:r>
            <w:r>
              <w:rPr>
                <w:rFonts w:hint="eastAsia" w:ascii="宋体" w:hAnsi="宋体" w:eastAsia="宋体" w:cs="宋体"/>
                <w:color w:val="auto"/>
                <w:sz w:val="21"/>
                <w:szCs w:val="21"/>
                <w:lang w:val="en-US" w:eastAsia="zh-CN"/>
              </w:rPr>
              <w:t>80</w:t>
            </w:r>
            <w:r>
              <w:rPr>
                <w:rFonts w:hint="eastAsia" w:ascii="宋体" w:hAnsi="宋体" w:eastAsia="宋体" w:cs="宋体"/>
                <w:color w:val="auto"/>
                <w:sz w:val="21"/>
                <w:szCs w:val="21"/>
              </w:rPr>
              <w:t>款，包含相关认知功能专项评估及临床综合评估，还需包括精神情绪、生活功能、中医症候等内容的测评量表。</w:t>
            </w:r>
          </w:p>
        </w:tc>
      </w:tr>
      <w:tr w14:paraId="4BD61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942" w:type="dxa"/>
            <w:vMerge w:val="continue"/>
            <w:vAlign w:val="center"/>
          </w:tcPr>
          <w:p w14:paraId="115D2157">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b/>
                <w:color w:val="auto"/>
                <w:kern w:val="2"/>
                <w:sz w:val="21"/>
                <w:szCs w:val="21"/>
                <w:highlight w:val="none"/>
                <w:vertAlign w:val="baseline"/>
                <w:lang w:val="en-US" w:eastAsia="zh-CN" w:bidi="ar-SA"/>
              </w:rPr>
            </w:pPr>
          </w:p>
        </w:tc>
        <w:tc>
          <w:tcPr>
            <w:tcW w:w="1515" w:type="dxa"/>
            <w:vMerge w:val="continue"/>
            <w:vAlign w:val="center"/>
          </w:tcPr>
          <w:p w14:paraId="16D7E351">
            <w:pPr>
              <w:pStyle w:val="23"/>
              <w:keepNext w:val="0"/>
              <w:keepLines w:val="0"/>
              <w:pageBreakBefore w:val="0"/>
              <w:widowControl w:val="0"/>
              <w:numPr>
                <w:ilvl w:val="0"/>
                <w:numId w:val="0"/>
              </w:numPr>
              <w:tabs>
                <w:tab w:val="left" w:pos="540"/>
              </w:tabs>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color w:val="auto"/>
                <w:sz w:val="21"/>
                <w:szCs w:val="21"/>
                <w:lang w:val="en-US" w:eastAsia="zh-CN"/>
              </w:rPr>
            </w:pPr>
          </w:p>
        </w:tc>
        <w:tc>
          <w:tcPr>
            <w:tcW w:w="959" w:type="dxa"/>
            <w:vAlign w:val="center"/>
          </w:tcPr>
          <w:p w14:paraId="68A4DEED">
            <w:pPr>
              <w:pStyle w:val="23"/>
              <w:keepNext w:val="0"/>
              <w:keepLines w:val="0"/>
              <w:pageBreakBefore w:val="0"/>
              <w:widowControl w:val="0"/>
              <w:numPr>
                <w:ilvl w:val="0"/>
                <w:numId w:val="0"/>
              </w:numPr>
              <w:tabs>
                <w:tab w:val="left" w:pos="540"/>
              </w:tabs>
              <w:kinsoku/>
              <w:wordWrap/>
              <w:overflowPunct/>
              <w:topLinePunct w:val="0"/>
              <w:autoSpaceDE/>
              <w:autoSpaceDN/>
              <w:bidi w:val="0"/>
              <w:adjustRightInd w:val="0"/>
              <w:snapToGrid w:val="0"/>
              <w:spacing w:line="360" w:lineRule="auto"/>
              <w:jc w:val="left"/>
              <w:textAlignment w:val="auto"/>
              <w:rPr>
                <w:rFonts w:hint="default" w:hAnsi="宋体" w:eastAsia="宋体" w:cs="宋体"/>
                <w:b w:val="0"/>
                <w:bCs/>
                <w:color w:val="auto"/>
                <w:sz w:val="21"/>
                <w:szCs w:val="21"/>
                <w:highlight w:val="none"/>
                <w:vertAlign w:val="baseline"/>
                <w:lang w:val="en-US" w:eastAsia="zh-CN"/>
              </w:rPr>
            </w:pPr>
            <w:r>
              <w:rPr>
                <w:rFonts w:hint="eastAsia" w:hAnsi="宋体" w:eastAsia="宋体" w:cs="宋体"/>
                <w:b w:val="0"/>
                <w:bCs/>
                <w:color w:val="auto"/>
                <w:sz w:val="21"/>
                <w:szCs w:val="21"/>
                <w:highlight w:val="none"/>
                <w:vertAlign w:val="baseline"/>
                <w:lang w:val="en-US" w:eastAsia="zh-CN"/>
              </w:rPr>
              <w:t>4.17</w:t>
            </w:r>
          </w:p>
        </w:tc>
        <w:tc>
          <w:tcPr>
            <w:tcW w:w="6203" w:type="dxa"/>
            <w:vAlign w:val="center"/>
          </w:tcPr>
          <w:p w14:paraId="59797F0B">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可自由选择测评项目的实施方式，支持网页、智能手机或平板电脑等电子化评估形式。</w:t>
            </w:r>
          </w:p>
        </w:tc>
      </w:tr>
      <w:tr w14:paraId="4369A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942" w:type="dxa"/>
            <w:vMerge w:val="continue"/>
            <w:vAlign w:val="center"/>
          </w:tcPr>
          <w:p w14:paraId="50DE7ED9">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b/>
                <w:color w:val="auto"/>
                <w:kern w:val="2"/>
                <w:sz w:val="21"/>
                <w:szCs w:val="21"/>
                <w:highlight w:val="none"/>
                <w:vertAlign w:val="baseline"/>
                <w:lang w:val="en-US" w:eastAsia="zh-CN" w:bidi="ar-SA"/>
              </w:rPr>
            </w:pPr>
          </w:p>
        </w:tc>
        <w:tc>
          <w:tcPr>
            <w:tcW w:w="1515" w:type="dxa"/>
            <w:vMerge w:val="continue"/>
            <w:vAlign w:val="center"/>
          </w:tcPr>
          <w:p w14:paraId="1453653C">
            <w:pPr>
              <w:pStyle w:val="23"/>
              <w:keepNext w:val="0"/>
              <w:keepLines w:val="0"/>
              <w:pageBreakBefore w:val="0"/>
              <w:widowControl w:val="0"/>
              <w:numPr>
                <w:ilvl w:val="0"/>
                <w:numId w:val="0"/>
              </w:numPr>
              <w:tabs>
                <w:tab w:val="left" w:pos="540"/>
              </w:tabs>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color w:val="auto"/>
                <w:sz w:val="21"/>
                <w:szCs w:val="21"/>
                <w:lang w:val="en-US" w:eastAsia="zh-CN"/>
              </w:rPr>
            </w:pPr>
          </w:p>
        </w:tc>
        <w:tc>
          <w:tcPr>
            <w:tcW w:w="959" w:type="dxa"/>
            <w:vAlign w:val="center"/>
          </w:tcPr>
          <w:p w14:paraId="67903158">
            <w:pPr>
              <w:pStyle w:val="23"/>
              <w:keepNext w:val="0"/>
              <w:keepLines w:val="0"/>
              <w:pageBreakBefore w:val="0"/>
              <w:widowControl w:val="0"/>
              <w:numPr>
                <w:ilvl w:val="0"/>
                <w:numId w:val="0"/>
              </w:numPr>
              <w:tabs>
                <w:tab w:val="left" w:pos="540"/>
              </w:tabs>
              <w:kinsoku/>
              <w:wordWrap/>
              <w:overflowPunct/>
              <w:topLinePunct w:val="0"/>
              <w:autoSpaceDE/>
              <w:autoSpaceDN/>
              <w:bidi w:val="0"/>
              <w:adjustRightInd w:val="0"/>
              <w:snapToGrid w:val="0"/>
              <w:spacing w:line="360" w:lineRule="auto"/>
              <w:jc w:val="left"/>
              <w:textAlignment w:val="auto"/>
              <w:rPr>
                <w:rFonts w:hint="default" w:hAnsi="宋体" w:eastAsia="宋体" w:cs="宋体"/>
                <w:b w:val="0"/>
                <w:bCs/>
                <w:color w:val="auto"/>
                <w:sz w:val="21"/>
                <w:szCs w:val="21"/>
                <w:highlight w:val="none"/>
                <w:vertAlign w:val="baseline"/>
                <w:lang w:val="en-US" w:eastAsia="zh-CN"/>
              </w:rPr>
            </w:pPr>
            <w:r>
              <w:rPr>
                <w:rFonts w:hint="eastAsia" w:hAnsi="宋体" w:eastAsia="宋体" w:cs="宋体"/>
                <w:b w:val="0"/>
                <w:bCs/>
                <w:color w:val="auto"/>
                <w:sz w:val="21"/>
                <w:szCs w:val="21"/>
                <w:highlight w:val="none"/>
                <w:vertAlign w:val="baseline"/>
                <w:lang w:val="en-US" w:eastAsia="zh-CN"/>
              </w:rPr>
              <w:t>4.19</w:t>
            </w:r>
          </w:p>
        </w:tc>
        <w:tc>
          <w:tcPr>
            <w:tcW w:w="6203" w:type="dxa"/>
            <w:vAlign w:val="center"/>
          </w:tcPr>
          <w:p w14:paraId="4F5D30EF">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系统支持医生为个体、团体患者开具适宜的测评处方，并分发至方便患者测评的终端。处方可以打印或发送到绑定的患者移动终端。</w:t>
            </w:r>
          </w:p>
        </w:tc>
      </w:tr>
    </w:tbl>
    <w:p w14:paraId="60EAF512">
      <w:pPr>
        <w:rPr>
          <w:rFonts w:hint="eastAsia"/>
          <w:lang w:val="en-US" w:eastAsia="zh-CN"/>
        </w:rPr>
      </w:pPr>
    </w:p>
    <w:p w14:paraId="0FEBEF32">
      <w:pPr>
        <w:pStyle w:val="4"/>
        <w:bidi w:val="0"/>
      </w:pPr>
      <w:bookmarkStart w:id="169" w:name="_Toc21063"/>
      <w:bookmarkStart w:id="170" w:name="_Toc24872"/>
      <w:bookmarkStart w:id="171" w:name="_Toc14694"/>
      <w:bookmarkStart w:id="172" w:name="_Toc28364"/>
      <w:bookmarkStart w:id="173" w:name="_Toc28058"/>
      <w:r>
        <w:t>医院银医直联系统</w:t>
      </w:r>
      <w:bookmarkEnd w:id="169"/>
      <w:bookmarkEnd w:id="170"/>
      <w:bookmarkEnd w:id="171"/>
      <w:bookmarkEnd w:id="172"/>
      <w:bookmarkEnd w:id="173"/>
    </w:p>
    <w:p w14:paraId="28B66947">
      <w:pPr>
        <w:bidi w:val="0"/>
      </w:pPr>
      <w:r>
        <w:t xml:space="preserve">1. 项目背景与目标 </w:t>
      </w:r>
    </w:p>
    <w:p w14:paraId="1E11F80C">
      <w:pPr>
        <w:bidi w:val="0"/>
        <w:rPr>
          <w:rFonts w:hint="eastAsia"/>
        </w:rPr>
      </w:pPr>
      <w:r>
        <w:rPr>
          <w:rFonts w:hint="eastAsia"/>
          <w:lang w:val="en-US" w:eastAsia="zh-CN"/>
        </w:rPr>
        <w:t>项目背景：为优化医院财务管理流程，实现资金流转的自动化、透明化与可追溯，计划引入银企直联系统，打通医院财务系统与银行业务平台，减少人工操作环节，降低差错率与财务风险。</w:t>
      </w:r>
    </w:p>
    <w:p w14:paraId="011C6704">
      <w:pPr>
        <w:bidi w:val="0"/>
        <w:rPr>
          <w:rFonts w:hint="eastAsia"/>
        </w:rPr>
      </w:pPr>
      <w:r>
        <w:rPr>
          <w:rFonts w:hint="eastAsia"/>
          <w:lang w:val="en-US" w:eastAsia="zh-CN"/>
        </w:rPr>
        <w:t>核心目标：</w:t>
      </w:r>
    </w:p>
    <w:p w14:paraId="7BB1E569">
      <w:pPr>
        <w:bidi w:val="0"/>
        <w:rPr>
          <w:rFonts w:hint="eastAsia"/>
        </w:rPr>
      </w:pPr>
      <w:r>
        <w:rPr>
          <w:rFonts w:hint="eastAsia"/>
          <w:lang w:val="en-US" w:eastAsia="zh-CN"/>
        </w:rPr>
        <w:t>效率提升：实现支付业务自动处理，减少重复录入与对账时间；</w:t>
      </w:r>
    </w:p>
    <w:p w14:paraId="19B9CF57">
      <w:pPr>
        <w:bidi w:val="0"/>
        <w:rPr>
          <w:rFonts w:hint="eastAsia"/>
        </w:rPr>
      </w:pPr>
      <w:r>
        <w:rPr>
          <w:rFonts w:hint="eastAsia"/>
          <w:lang w:val="en-US" w:eastAsia="zh-CN"/>
        </w:rPr>
        <w:t>风险管控：强化资金流向监控，防范单边账、重复支付等风险；</w:t>
      </w:r>
    </w:p>
    <w:p w14:paraId="4C4A9EA2">
      <w:pPr>
        <w:bidi w:val="0"/>
        <w:rPr>
          <w:rFonts w:hint="eastAsia"/>
        </w:rPr>
      </w:pPr>
      <w:r>
        <w:rPr>
          <w:rFonts w:hint="eastAsia"/>
          <w:lang w:val="en-US" w:eastAsia="zh-CN"/>
        </w:rPr>
        <w:t>业财融合：与预算管理、合同管理、费控报销等系统集成，形成财务闭环管理。</w:t>
      </w:r>
    </w:p>
    <w:p w14:paraId="2DB5F560">
      <w:pPr>
        <w:bidi w:val="0"/>
        <w:rPr>
          <w:rFonts w:hint="eastAsia"/>
        </w:rPr>
      </w:pPr>
      <w:r>
        <w:rPr>
          <w:rFonts w:hint="eastAsia"/>
        </w:rPr>
        <w:t>系统总体要求</w:t>
      </w:r>
    </w:p>
    <w:tbl>
      <w:tblPr>
        <w:tblStyle w:val="46"/>
        <w:tblW w:w="8399"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063"/>
        <w:gridCol w:w="6336"/>
      </w:tblGrid>
      <w:tr w14:paraId="079652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2D596">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要求类别</w:t>
            </w:r>
            <w:r>
              <w:rPr>
                <w:rStyle w:val="213"/>
                <w:rFonts w:hint="eastAsia" w:ascii="宋体" w:hAnsi="宋体" w:eastAsia="宋体" w:cs="宋体"/>
                <w:sz w:val="21"/>
                <w:szCs w:val="21"/>
                <w:highlight w:val="none"/>
                <w:lang w:val="en-US" w:eastAsia="zh-CN" w:bidi="ar"/>
              </w:rPr>
              <w:t>​</w:t>
            </w:r>
          </w:p>
        </w:tc>
        <w:tc>
          <w:tcPr>
            <w:tcW w:w="6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F12B2">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具体内容</w:t>
            </w:r>
            <w:r>
              <w:rPr>
                <w:rStyle w:val="213"/>
                <w:rFonts w:hint="eastAsia" w:ascii="宋体" w:hAnsi="宋体" w:eastAsia="宋体" w:cs="宋体"/>
                <w:sz w:val="21"/>
                <w:szCs w:val="21"/>
                <w:highlight w:val="none"/>
                <w:lang w:val="en-US" w:eastAsia="zh-CN" w:bidi="ar"/>
              </w:rPr>
              <w:t>​</w:t>
            </w:r>
          </w:p>
        </w:tc>
      </w:tr>
      <w:tr w14:paraId="3587B1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 w:hRule="atLeast"/>
        </w:trPr>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48D32">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架构兼容性</w:t>
            </w:r>
            <w:r>
              <w:rPr>
                <w:rStyle w:val="213"/>
                <w:rFonts w:hint="eastAsia" w:ascii="宋体" w:hAnsi="宋体" w:eastAsia="宋体" w:cs="宋体"/>
                <w:sz w:val="21"/>
                <w:szCs w:val="21"/>
                <w:highlight w:val="none"/>
                <w:lang w:val="en-US" w:eastAsia="zh-CN" w:bidi="ar"/>
              </w:rPr>
              <w:t>​</w:t>
            </w:r>
          </w:p>
        </w:tc>
        <w:tc>
          <w:tcPr>
            <w:tcW w:w="6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B6DD1">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支持B/S架构；兼容Windows/Linux/国产化操作系统（如麒麟），支持Oracle/MySQL/SQL Server等数据库。</w:t>
            </w:r>
          </w:p>
        </w:tc>
      </w:tr>
      <w:tr w14:paraId="1CC92F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8" w:hRule="atLeast"/>
        </w:trPr>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7534E">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集成性</w:t>
            </w:r>
            <w:r>
              <w:rPr>
                <w:rStyle w:val="213"/>
                <w:rFonts w:hint="eastAsia" w:ascii="宋体" w:hAnsi="宋体" w:eastAsia="宋体" w:cs="宋体"/>
                <w:sz w:val="21"/>
                <w:szCs w:val="21"/>
                <w:highlight w:val="none"/>
                <w:lang w:val="en-US" w:eastAsia="zh-CN" w:bidi="ar"/>
              </w:rPr>
              <w:t>​</w:t>
            </w:r>
          </w:p>
        </w:tc>
        <w:tc>
          <w:tcPr>
            <w:tcW w:w="6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0FF25">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需与医院现有财务HRP系统、预算系统、OA系统（报销业务流程）、合同管理系统（未建成）无缝对接。</w:t>
            </w:r>
          </w:p>
        </w:tc>
      </w:tr>
      <w:tr w14:paraId="3A096C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5" w:hRule="atLeast"/>
        </w:trPr>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1CFAA">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安全性</w:t>
            </w:r>
            <w:r>
              <w:rPr>
                <w:rStyle w:val="213"/>
                <w:rFonts w:hint="eastAsia" w:ascii="宋体" w:hAnsi="宋体" w:eastAsia="宋体" w:cs="宋体"/>
                <w:sz w:val="21"/>
                <w:szCs w:val="21"/>
                <w:highlight w:val="none"/>
                <w:lang w:val="en-US" w:eastAsia="zh-CN" w:bidi="ar"/>
              </w:rPr>
              <w:t>​</w:t>
            </w:r>
          </w:p>
        </w:tc>
        <w:tc>
          <w:tcPr>
            <w:tcW w:w="6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1F3D2">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符合国家等保三级标准，支持三员权限分离（系统管理员、应用管理员、审计管理员），操作留痕可追溯。</w:t>
            </w:r>
          </w:p>
        </w:tc>
      </w:tr>
      <w:tr w14:paraId="5E0314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3" w:hRule="atLeast"/>
        </w:trPr>
        <w:tc>
          <w:tcPr>
            <w:tcW w:w="2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7C824">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可扩展性</w:t>
            </w:r>
            <w:r>
              <w:rPr>
                <w:rStyle w:val="213"/>
                <w:rFonts w:hint="eastAsia" w:ascii="宋体" w:hAnsi="宋体" w:eastAsia="宋体" w:cs="宋体"/>
                <w:sz w:val="21"/>
                <w:szCs w:val="21"/>
                <w:highlight w:val="none"/>
                <w:lang w:val="en-US" w:eastAsia="zh-CN" w:bidi="ar"/>
              </w:rPr>
              <w:t>​</w:t>
            </w:r>
          </w:p>
        </w:tc>
        <w:tc>
          <w:tcPr>
            <w:tcW w:w="63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1F66A">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支持微服务架构，允许根据医院需求定制功能（如集团资金归集、跨行批量支付等）。</w:t>
            </w:r>
          </w:p>
        </w:tc>
      </w:tr>
    </w:tbl>
    <w:p w14:paraId="190AAFA8">
      <w:pPr>
        <w:keepNext w:val="0"/>
        <w:keepLines w:val="0"/>
        <w:widowControl/>
        <w:suppressLineNumbers w:val="0"/>
        <w:rPr>
          <w:rFonts w:hint="eastAsia" w:ascii="宋体" w:hAnsi="宋体" w:eastAsia="宋体" w:cs="宋体"/>
          <w:b w:val="0"/>
          <w:bCs/>
          <w:sz w:val="24"/>
          <w:szCs w:val="24"/>
          <w:highlight w:val="none"/>
        </w:rPr>
      </w:pPr>
    </w:p>
    <w:p w14:paraId="32375E3B">
      <w:pPr>
        <w:bidi w:val="0"/>
        <w:rPr>
          <w:rFonts w:hint="eastAsia"/>
        </w:rPr>
      </w:pPr>
      <w:r>
        <w:rPr>
          <w:rFonts w:hint="eastAsia"/>
        </w:rPr>
        <w:t xml:space="preserve">3. 核心功能需求 </w:t>
      </w:r>
    </w:p>
    <w:p w14:paraId="3DCB4AD1">
      <w:pPr>
        <w:bidi w:val="0"/>
        <w:rPr>
          <w:rFonts w:hint="eastAsia"/>
        </w:rPr>
      </w:pPr>
      <w:r>
        <w:rPr>
          <w:rFonts w:hint="eastAsia"/>
        </w:rPr>
        <w:t xml:space="preserve">（1）账户管理模块 </w:t>
      </w:r>
    </w:p>
    <w:p w14:paraId="38383854">
      <w:pPr>
        <w:bidi w:val="0"/>
        <w:rPr>
          <w:rFonts w:hint="eastAsia"/>
        </w:rPr>
      </w:pPr>
      <w:r>
        <w:rPr>
          <w:rFonts w:hint="eastAsia"/>
          <w:lang w:val="en-US" w:eastAsia="zh-CN"/>
        </w:rPr>
        <w:t>多账户统一管控：支持签约账户的余额、交易明细实时查询，可设置单笔支付限额与定向收款方限制。</w:t>
      </w:r>
    </w:p>
    <w:p w14:paraId="0A438DF6">
      <w:pPr>
        <w:bidi w:val="0"/>
        <w:rPr>
          <w:rFonts w:hint="eastAsia"/>
        </w:rPr>
      </w:pPr>
      <w:r>
        <w:rPr>
          <w:rFonts w:hint="eastAsia"/>
        </w:rPr>
        <w:t xml:space="preserve">（2）支付业务模块 </w:t>
      </w:r>
    </w:p>
    <w:p w14:paraId="5AB57359">
      <w:pPr>
        <w:bidi w:val="0"/>
        <w:rPr>
          <w:rFonts w:hint="eastAsia"/>
        </w:rPr>
      </w:pPr>
      <w:r>
        <w:rPr>
          <w:rFonts w:hint="eastAsia"/>
          <w:lang w:val="en-US" w:eastAsia="zh-CN"/>
        </w:rPr>
        <w:t>多样化支付方式：</w:t>
      </w:r>
    </w:p>
    <w:p w14:paraId="1D688E03">
      <w:pPr>
        <w:bidi w:val="0"/>
        <w:rPr>
          <w:rFonts w:hint="eastAsia"/>
        </w:rPr>
      </w:pPr>
      <w:r>
        <w:rPr>
          <w:rFonts w:hint="eastAsia"/>
          <w:lang w:val="en-US" w:eastAsia="zh-CN"/>
        </w:rPr>
        <w:t>单笔/批量转账（支持同行、跨行）；</w:t>
      </w:r>
    </w:p>
    <w:p w14:paraId="0FDED9FB">
      <w:pPr>
        <w:bidi w:val="0"/>
        <w:rPr>
          <w:rFonts w:hint="eastAsia"/>
        </w:rPr>
      </w:pPr>
      <w:r>
        <w:rPr>
          <w:rFonts w:hint="eastAsia"/>
          <w:lang w:val="en-US" w:eastAsia="zh-CN"/>
        </w:rPr>
        <w:t>代发工资（支持员工银行卡批量打款，自动校验账户有效性）；</w:t>
      </w:r>
    </w:p>
    <w:p w14:paraId="505B51A9">
      <w:pPr>
        <w:bidi w:val="0"/>
        <w:rPr>
          <w:rFonts w:hint="eastAsia"/>
        </w:rPr>
      </w:pPr>
      <w:r>
        <w:rPr>
          <w:rFonts w:hint="eastAsia"/>
          <w:lang w:val="en-US" w:eastAsia="zh-CN"/>
        </w:rPr>
        <w:t>预约支付（支持定时扣款，如药品采购款、设备分期付款）。</w:t>
      </w:r>
    </w:p>
    <w:p w14:paraId="5C1FFEB2">
      <w:pPr>
        <w:bidi w:val="0"/>
        <w:rPr>
          <w:rFonts w:hint="eastAsia"/>
        </w:rPr>
      </w:pPr>
      <w:r>
        <w:rPr>
          <w:rFonts w:hint="eastAsia"/>
          <w:lang w:val="en-US" w:eastAsia="zh-CN"/>
        </w:rPr>
        <w:t>支付流程联动：</w:t>
      </w:r>
    </w:p>
    <w:p w14:paraId="522D0C70">
      <w:pPr>
        <w:bidi w:val="0"/>
        <w:rPr>
          <w:rFonts w:hint="eastAsia"/>
        </w:rPr>
      </w:pPr>
      <w:r>
        <w:rPr>
          <w:rFonts w:hint="eastAsia"/>
          <w:lang w:val="en-US" w:eastAsia="zh-CN"/>
        </w:rPr>
        <w:t>从OA系统推送报销单据至银企直联，经根据院内相关规章制度要求设置的各级审批人审批后，自动付款并回传电子回单至财务系统生成凭证，同时自动将回单作为附件上传在对应OA报销流程中并标识已付款。</w:t>
      </w:r>
    </w:p>
    <w:p w14:paraId="0AB0C1BA">
      <w:pPr>
        <w:bidi w:val="0"/>
        <w:rPr>
          <w:rFonts w:hint="eastAsia"/>
        </w:rPr>
      </w:pPr>
      <w:r>
        <w:rPr>
          <w:rFonts w:hint="eastAsia"/>
        </w:rPr>
        <w:t xml:space="preserve">（3）智能对账与调账模块 </w:t>
      </w:r>
    </w:p>
    <w:p w14:paraId="757FC449">
      <w:pPr>
        <w:bidi w:val="0"/>
        <w:rPr>
          <w:rFonts w:hint="eastAsia"/>
        </w:rPr>
      </w:pPr>
      <w:r>
        <w:rPr>
          <w:rFonts w:hint="eastAsia"/>
          <w:lang w:val="en-US" w:eastAsia="zh-CN"/>
        </w:rPr>
        <w:t>自动对账：每日定时从银行下载对账文件，财务核算系统数据比对，自动标记差异（如单边账）并生成异常报告。</w:t>
      </w:r>
    </w:p>
    <w:p w14:paraId="0F6667E8">
      <w:pPr>
        <w:bidi w:val="0"/>
        <w:rPr>
          <w:rFonts w:hint="eastAsia"/>
        </w:rPr>
      </w:pPr>
      <w:r>
        <w:rPr>
          <w:rFonts w:hint="eastAsia"/>
          <w:lang w:val="en-US" w:eastAsia="zh-CN"/>
        </w:rPr>
        <w:t>调账能力：支持线上自动调账（如重新支付）或人工干预调账（如现金日记账与银行日记账匹配），确保银企账务一致性。</w:t>
      </w:r>
    </w:p>
    <w:p w14:paraId="7B1BB832">
      <w:pPr>
        <w:bidi w:val="0"/>
        <w:rPr>
          <w:rFonts w:hint="eastAsia"/>
        </w:rPr>
      </w:pPr>
      <w:r>
        <w:rPr>
          <w:rFonts w:hint="eastAsia"/>
        </w:rPr>
        <w:t xml:space="preserve">（4）电子票据与回单管理 </w:t>
      </w:r>
    </w:p>
    <w:p w14:paraId="5700D702">
      <w:pPr>
        <w:bidi w:val="0"/>
        <w:rPr>
          <w:rFonts w:hint="eastAsia"/>
        </w:rPr>
      </w:pPr>
      <w:r>
        <w:rPr>
          <w:rFonts w:hint="eastAsia"/>
          <w:lang w:val="en-US" w:eastAsia="zh-CN"/>
        </w:rPr>
        <w:t>自动关联支付流水与电子发票/财政票据，生成电子回单档案；</w:t>
      </w:r>
    </w:p>
    <w:p w14:paraId="2EE1EAFD">
      <w:pPr>
        <w:bidi w:val="0"/>
        <w:rPr>
          <w:rFonts w:hint="eastAsia"/>
        </w:rPr>
      </w:pPr>
      <w:r>
        <w:rPr>
          <w:rFonts w:hint="eastAsia"/>
          <w:lang w:val="en-US" w:eastAsia="zh-CN"/>
        </w:rPr>
        <w:t>支持回单在线查询、打印、归档，便于审计追踪。</w:t>
      </w:r>
    </w:p>
    <w:p w14:paraId="681B81B4">
      <w:pPr>
        <w:bidi w:val="0"/>
        <w:rPr>
          <w:rFonts w:hint="eastAsia"/>
        </w:rPr>
      </w:pPr>
      <w:r>
        <w:rPr>
          <w:rFonts w:hint="eastAsia"/>
        </w:rPr>
        <w:t xml:space="preserve">（5）移动端与预警功能 </w:t>
      </w:r>
    </w:p>
    <w:p w14:paraId="6B2407B9">
      <w:pPr>
        <w:bidi w:val="0"/>
        <w:rPr>
          <w:rFonts w:hint="eastAsia"/>
        </w:rPr>
      </w:pPr>
      <w:r>
        <w:rPr>
          <w:rFonts w:hint="eastAsia"/>
          <w:lang w:val="en-US" w:eastAsia="zh-CN"/>
        </w:rPr>
        <w:t>移动审批：与OA/企业微信集成，各级审批人可通过手机审批支付流程；</w:t>
      </w:r>
    </w:p>
    <w:p w14:paraId="0C26CCD4">
      <w:pPr>
        <w:bidi w:val="0"/>
        <w:rPr>
          <w:rFonts w:hint="eastAsia"/>
        </w:rPr>
      </w:pPr>
      <w:r>
        <w:rPr>
          <w:rFonts w:hint="eastAsia"/>
          <w:lang w:val="en-US" w:eastAsia="zh-CN"/>
        </w:rPr>
        <w:t>实时预警：动账短信通知、支付失败提醒、预算超支预警（如预算系统开始正式启用）等。</w:t>
      </w:r>
    </w:p>
    <w:p w14:paraId="76EC5E08">
      <w:pPr>
        <w:bidi w:val="0"/>
        <w:rPr>
          <w:rFonts w:hint="eastAsia"/>
        </w:rPr>
      </w:pPr>
    </w:p>
    <w:p w14:paraId="5AD3EB40">
      <w:pPr>
        <w:bidi w:val="0"/>
        <w:rPr>
          <w:rFonts w:hint="eastAsia"/>
        </w:rPr>
      </w:pPr>
      <w:r>
        <w:rPr>
          <w:rFonts w:hint="eastAsia"/>
        </w:rPr>
        <w:t xml:space="preserve">4. 非功能性需求 </w:t>
      </w:r>
    </w:p>
    <w:tbl>
      <w:tblPr>
        <w:tblStyle w:val="46"/>
        <w:tblW w:w="9379"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780"/>
        <w:gridCol w:w="7599"/>
      </w:tblGrid>
      <w:tr w14:paraId="20D9A4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 w:hRule="atLeast"/>
        </w:trPr>
        <w:tc>
          <w:tcPr>
            <w:tcW w:w="1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7995C">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需求维度</w:t>
            </w:r>
          </w:p>
        </w:tc>
        <w:tc>
          <w:tcPr>
            <w:tcW w:w="7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061EC">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具体要求​</w:t>
            </w:r>
          </w:p>
        </w:tc>
      </w:tr>
      <w:tr w14:paraId="558A37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1" w:hRule="atLeast"/>
        </w:trPr>
        <w:tc>
          <w:tcPr>
            <w:tcW w:w="1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3C489">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性能​</w:t>
            </w:r>
          </w:p>
        </w:tc>
        <w:tc>
          <w:tcPr>
            <w:tcW w:w="7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8BD25">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支付响应时间≤3秒，批量处理（如1000笔代发工资）耗时≤3分钟，系统可用性≥99.5%。</w:t>
            </w:r>
          </w:p>
        </w:tc>
      </w:tr>
      <w:tr w14:paraId="165186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1" w:hRule="atLeast"/>
        </w:trPr>
        <w:tc>
          <w:tcPr>
            <w:tcW w:w="1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2E2D9">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安全​</w:t>
            </w:r>
          </w:p>
        </w:tc>
        <w:tc>
          <w:tcPr>
            <w:tcW w:w="7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77D74">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数据传输采用国密算法加密，支持数字证书（UKey）与令牌双因子认证，操作日志全留存。</w:t>
            </w:r>
          </w:p>
        </w:tc>
      </w:tr>
      <w:tr w14:paraId="475C50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0" w:hRule="atLeast"/>
        </w:trPr>
        <w:tc>
          <w:tcPr>
            <w:tcW w:w="1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3E30A">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运维​</w:t>
            </w:r>
          </w:p>
        </w:tc>
        <w:tc>
          <w:tcPr>
            <w:tcW w:w="7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91ECF">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提供可视化监控后台，支持故障预警与快速恢复；银行端系统升级时需保障接口向前兼容。</w:t>
            </w:r>
          </w:p>
        </w:tc>
      </w:tr>
    </w:tbl>
    <w:p w14:paraId="4E135C7F">
      <w:pPr>
        <w:bidi w:val="0"/>
        <w:rPr>
          <w:rFonts w:hint="eastAsia"/>
        </w:rPr>
      </w:pPr>
    </w:p>
    <w:p w14:paraId="3804D3B3">
      <w:pPr>
        <w:bidi w:val="0"/>
        <w:rPr>
          <w:rFonts w:hint="eastAsia"/>
        </w:rPr>
      </w:pPr>
      <w:r>
        <w:rPr>
          <w:rFonts w:hint="eastAsia"/>
        </w:rPr>
        <w:t xml:space="preserve">5. 集成需求清单 </w:t>
      </w:r>
    </w:p>
    <w:p w14:paraId="2E3A18CC">
      <w:pPr>
        <w:bidi w:val="0"/>
        <w:rPr>
          <w:rFonts w:hint="eastAsia"/>
        </w:rPr>
      </w:pPr>
      <w:r>
        <w:rPr>
          <w:rFonts w:hint="eastAsia"/>
          <w:lang w:val="en-US" w:eastAsia="zh-CN"/>
        </w:rPr>
        <w:t>与财务集成：实现支付后数据下载自动生成凭证。</w:t>
      </w:r>
    </w:p>
    <w:p w14:paraId="074C824E">
      <w:pPr>
        <w:bidi w:val="0"/>
        <w:rPr>
          <w:rFonts w:hint="eastAsia"/>
        </w:rPr>
      </w:pPr>
      <w:r>
        <w:rPr>
          <w:rFonts w:hint="eastAsia"/>
          <w:lang w:val="en-US" w:eastAsia="zh-CN"/>
        </w:rPr>
        <w:t>与预算/OA系统集成：支付申请需关联预算项目，实时冻结/核销额度。</w:t>
      </w:r>
    </w:p>
    <w:p w14:paraId="5E937E6C">
      <w:pPr>
        <w:bidi w:val="0"/>
        <w:rPr>
          <w:rFonts w:hint="eastAsia"/>
        </w:rPr>
      </w:pPr>
      <w:r>
        <w:rPr>
          <w:rFonts w:hint="eastAsia"/>
          <w:lang w:val="en-US" w:eastAsia="zh-CN"/>
        </w:rPr>
        <w:t>支持多银行接口：除主合作银行外，需预留接口以便未来接入其他银行。</w:t>
      </w:r>
    </w:p>
    <w:p w14:paraId="46F9CC43">
      <w:pPr>
        <w:bidi w:val="0"/>
        <w:rPr>
          <w:rFonts w:hint="eastAsia"/>
        </w:rPr>
      </w:pPr>
      <w:r>
        <w:rPr>
          <w:rFonts w:hint="eastAsia"/>
        </w:rPr>
        <w:t xml:space="preserve">6. 实施与验收要求 </w:t>
      </w:r>
    </w:p>
    <w:p w14:paraId="39A3A04D">
      <w:pPr>
        <w:bidi w:val="0"/>
        <w:rPr>
          <w:rFonts w:hint="eastAsia"/>
        </w:rPr>
      </w:pPr>
      <w:r>
        <w:rPr>
          <w:rFonts w:hint="eastAsia"/>
          <w:lang w:val="en-US" w:eastAsia="zh-CN"/>
        </w:rPr>
        <w:t>实施周期：合同签订后3个月内完成部署、联调与培训；</w:t>
      </w:r>
    </w:p>
    <w:p w14:paraId="6A3F0F50">
      <w:pPr>
        <w:bidi w:val="0"/>
        <w:rPr>
          <w:rFonts w:hint="eastAsia"/>
        </w:rPr>
      </w:pPr>
      <w:r>
        <w:rPr>
          <w:rFonts w:hint="eastAsia"/>
          <w:lang w:val="en-US" w:eastAsia="zh-CN"/>
        </w:rPr>
        <w:t>验收标准：</w:t>
      </w:r>
    </w:p>
    <w:p w14:paraId="27C41EE7">
      <w:pPr>
        <w:bidi w:val="0"/>
        <w:rPr>
          <w:rFonts w:hint="eastAsia"/>
        </w:rPr>
      </w:pPr>
      <w:r>
        <w:rPr>
          <w:rFonts w:hint="eastAsia"/>
          <w:lang w:val="en-US" w:eastAsia="zh-CN"/>
        </w:rPr>
        <w:t>关键功能（如支付、对账）；</w:t>
      </w:r>
    </w:p>
    <w:p w14:paraId="1C255001">
      <w:pPr>
        <w:bidi w:val="0"/>
        <w:rPr>
          <w:rFonts w:hint="eastAsia"/>
        </w:rPr>
      </w:pPr>
      <w:r>
        <w:rPr>
          <w:rFonts w:hint="eastAsia"/>
          <w:lang w:val="en-US" w:eastAsia="zh-CN"/>
        </w:rPr>
        <w:t>提供系统操作手册、运维文档及二次开发指南；</w:t>
      </w:r>
    </w:p>
    <w:p w14:paraId="65A0667F">
      <w:pPr>
        <w:bidi w:val="0"/>
        <w:rPr>
          <w:rFonts w:hint="eastAsia"/>
        </w:rPr>
      </w:pPr>
      <w:r>
        <w:rPr>
          <w:rFonts w:hint="eastAsia"/>
          <w:lang w:val="en-US" w:eastAsia="zh-CN"/>
        </w:rPr>
        <w:t>售后服务：要求7×24小时响应，故障2小时内响应，24小时内解决。</w:t>
      </w:r>
    </w:p>
    <w:p w14:paraId="726CDFCE">
      <w:pPr>
        <w:bidi w:val="0"/>
        <w:rPr>
          <w:rFonts w:hint="eastAsia"/>
        </w:rPr>
      </w:pPr>
    </w:p>
    <w:p w14:paraId="5AAAC5B8">
      <w:pPr>
        <w:bidi w:val="0"/>
        <w:rPr>
          <w:rFonts w:hint="eastAsia"/>
        </w:rPr>
      </w:pPr>
      <w:r>
        <w:rPr>
          <w:rFonts w:hint="eastAsia"/>
        </w:rPr>
        <w:t xml:space="preserve">7. 方案附件建议 </w:t>
      </w:r>
    </w:p>
    <w:p w14:paraId="60630937">
      <w:pPr>
        <w:bidi w:val="0"/>
        <w:rPr>
          <w:rFonts w:hint="eastAsia"/>
        </w:rPr>
      </w:pPr>
      <w:r>
        <w:rPr>
          <w:rFonts w:hint="eastAsia"/>
          <w:lang w:val="en-US" w:eastAsia="zh-CN"/>
        </w:rPr>
        <w:t>银行能力评估表：对比各银行接口稳定性、费用标准、本地服务能力；</w:t>
      </w:r>
    </w:p>
    <w:p w14:paraId="27E170A1">
      <w:pPr>
        <w:bidi w:val="0"/>
        <w:rPr>
          <w:rFonts w:hint="eastAsia"/>
        </w:rPr>
      </w:pPr>
      <w:r>
        <w:rPr>
          <w:rFonts w:hint="eastAsia"/>
          <w:lang w:val="en-US" w:eastAsia="zh-CN"/>
        </w:rPr>
        <w:t>风险预案：针对单边账、网络中断、数据泄露等场景制定应急流程</w:t>
      </w:r>
    </w:p>
    <w:p w14:paraId="24DCC432">
      <w:pPr>
        <w:bidi w:val="0"/>
        <w:rPr>
          <w:rFonts w:hint="eastAsia"/>
        </w:rPr>
      </w:pPr>
      <w:r>
        <w:rPr>
          <w:rFonts w:hint="eastAsia"/>
        </w:rPr>
        <w:t xml:space="preserve">医院特定业务场景的支付与对账需求 </w:t>
      </w:r>
    </w:p>
    <w:p w14:paraId="71F648B0">
      <w:pPr>
        <w:bidi w:val="0"/>
        <w:rPr>
          <w:rFonts w:hint="eastAsia" w:ascii="宋体" w:hAnsi="宋体" w:eastAsia="宋体" w:cs="宋体"/>
          <w:b w:val="0"/>
          <w:bCs/>
          <w:kern w:val="0"/>
          <w:szCs w:val="24"/>
          <w:highlight w:val="none"/>
          <w:lang w:val="en-US" w:eastAsia="zh-CN" w:bidi="ar"/>
        </w:rPr>
      </w:pPr>
      <w:r>
        <w:rPr>
          <w:rFonts w:hint="eastAsia"/>
          <w:lang w:val="en-US" w:eastAsia="zh-CN"/>
        </w:rPr>
        <w:t>此部分将医院繁杂的资金业务归纳为以下几类，并说明在银企直联中应如何实现。</w:t>
      </w:r>
    </w:p>
    <w:tbl>
      <w:tblPr>
        <w:tblStyle w:val="46"/>
        <w:tblW w:w="9278"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754"/>
        <w:gridCol w:w="2577"/>
        <w:gridCol w:w="4947"/>
      </w:tblGrid>
      <w:tr w14:paraId="65CA7D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6" w:hRule="atLeast"/>
        </w:trPr>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A1163">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业务场景</w:t>
            </w:r>
          </w:p>
        </w:tc>
        <w:tc>
          <w:tcPr>
            <w:tcW w:w="2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0AA7F">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业务痛点</w:t>
            </w:r>
          </w:p>
        </w:tc>
        <w:tc>
          <w:tcPr>
            <w:tcW w:w="4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9AFB3">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核心需求描述</w:t>
            </w:r>
          </w:p>
        </w:tc>
      </w:tr>
      <w:tr w14:paraId="175C1D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96" w:hRule="atLeast"/>
        </w:trPr>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E632C">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 供应商付款​</w:t>
            </w:r>
          </w:p>
        </w:tc>
        <w:tc>
          <w:tcPr>
            <w:tcW w:w="2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E31CC">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涉及药品、耗材、设备采购等，付款审批流程长，出纳需在财务系统和网银间重复录入信息。</w:t>
            </w:r>
          </w:p>
        </w:tc>
        <w:tc>
          <w:tcPr>
            <w:tcW w:w="4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5BFA9">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付款指令应能直接从业务系统（OA系统或供应链系统）发起并传递。例如，供应科在供应链系统发起“医用耗材款”支付申请，审批流结束后，数据（收款方、金额）直接推送至银企直联接口，无需出纳二次录入；课题组通过OA系统报销流程走完后，会将支付令推送至HRP，点击批量支付后推送至银企直联接口。</w:t>
            </w:r>
          </w:p>
        </w:tc>
      </w:tr>
      <w:tr w14:paraId="4AF1E2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57" w:hRule="atLeast"/>
        </w:trPr>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58042">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 员工报销付款​</w:t>
            </w:r>
          </w:p>
        </w:tc>
        <w:tc>
          <w:tcPr>
            <w:tcW w:w="2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7CC98">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报销周期长，员工无法实时感知审批和付款进度。</w:t>
            </w:r>
          </w:p>
        </w:tc>
        <w:tc>
          <w:tcPr>
            <w:tcW w:w="4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14BDB">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系统应支持批量代发功能。报销审批完成后，财务人员可筛选一批已审批单据，生成一个批量付款指令文件，直接通过银企直联提交银行处理。同时，系统应能向申请人发送付款状态通知（如“审批通过”、“银行处理中”、“付款成功”）。</w:t>
            </w:r>
          </w:p>
        </w:tc>
      </w:tr>
      <w:tr w14:paraId="5D4A95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16" w:hRule="atLeast"/>
        </w:trPr>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50918">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 薪酬发放​</w:t>
            </w:r>
          </w:p>
        </w:tc>
        <w:tc>
          <w:tcPr>
            <w:tcW w:w="2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82300">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包括在编、非编、返聘、退休人员等多类主体，银行卡号管理和发放操作复杂。</w:t>
            </w:r>
          </w:p>
        </w:tc>
        <w:tc>
          <w:tcPr>
            <w:tcW w:w="4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717AE">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系统需提供安全的银行卡信息库和代发工资模板。支持按人员类别分类，一次操作完成批量发放，并自动校验账号有效性。发放成功后，电子回单应能自动返回并关联至薪酬核算凭证。</w:t>
            </w:r>
          </w:p>
        </w:tc>
      </w:tr>
      <w:tr w14:paraId="5B7B37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3" w:hRule="atLeast"/>
        </w:trPr>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C0CCC">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 其他付款​</w:t>
            </w:r>
          </w:p>
        </w:tc>
        <w:tc>
          <w:tcPr>
            <w:tcW w:w="2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AD83A">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除上述费用支出外，支持其他付款单。</w:t>
            </w:r>
          </w:p>
        </w:tc>
        <w:tc>
          <w:tcPr>
            <w:tcW w:w="49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8E97A">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支持其他付款单录入、支付，生成凭证功能</w:t>
            </w:r>
          </w:p>
        </w:tc>
      </w:tr>
    </w:tbl>
    <w:p w14:paraId="17F98BA9">
      <w:pPr>
        <w:bidi w:val="0"/>
        <w:rPr>
          <w:rFonts w:hint="eastAsia"/>
          <w:lang w:val="en-US" w:eastAsia="zh-CN"/>
        </w:rPr>
      </w:pPr>
    </w:p>
    <w:p w14:paraId="38634D66">
      <w:pPr>
        <w:bidi w:val="0"/>
        <w:rPr>
          <w:rFonts w:hint="eastAsia"/>
        </w:rPr>
      </w:pPr>
      <w:r>
        <w:rPr>
          <w:rFonts w:hint="eastAsia"/>
        </w:rPr>
        <w:t xml:space="preserve">二、 精细化权限管理与安全内控需求 </w:t>
      </w:r>
    </w:p>
    <w:p w14:paraId="1F456343">
      <w:pPr>
        <w:bidi w:val="0"/>
        <w:rPr>
          <w:rFonts w:hint="eastAsia"/>
        </w:rPr>
      </w:pPr>
      <w:r>
        <w:rPr>
          <w:rFonts w:hint="eastAsia"/>
          <w:lang w:val="en-US" w:eastAsia="zh-CN"/>
        </w:rPr>
        <w:t>分级授权机制：系统必须支持基于角色的权限分配。例如：</w:t>
      </w:r>
    </w:p>
    <w:p w14:paraId="590AA344">
      <w:pPr>
        <w:bidi w:val="0"/>
        <w:rPr>
          <w:rFonts w:hint="eastAsia"/>
        </w:rPr>
      </w:pPr>
      <w:r>
        <w:rPr>
          <w:rFonts w:hint="eastAsia"/>
          <w:lang w:val="en-US" w:eastAsia="zh-CN"/>
        </w:rPr>
        <w:t>科室经办人：仅有权限填制付款申请单。</w:t>
      </w:r>
    </w:p>
    <w:p w14:paraId="21DDD4EC">
      <w:pPr>
        <w:bidi w:val="0"/>
        <w:rPr>
          <w:rFonts w:hint="default"/>
        </w:rPr>
      </w:pPr>
      <w:r>
        <w:rPr>
          <w:rFonts w:hint="eastAsia"/>
          <w:lang w:val="en-US" w:eastAsia="zh-CN"/>
        </w:rPr>
        <w:t>科室负责人：可审批本科室的付款申请。</w:t>
      </w:r>
    </w:p>
    <w:p w14:paraId="38DD0F4F">
      <w:pPr>
        <w:bidi w:val="0"/>
        <w:rPr>
          <w:rFonts w:hint="eastAsia"/>
        </w:rPr>
      </w:pPr>
      <w:r>
        <w:rPr>
          <w:rFonts w:hint="eastAsia"/>
          <w:lang w:val="en-US" w:eastAsia="zh-CN"/>
        </w:rPr>
        <w:t>财务审核岗：有权审核单据的合规性、发票真伪及预算符合情况。</w:t>
      </w:r>
    </w:p>
    <w:p w14:paraId="3E434715">
      <w:pPr>
        <w:bidi w:val="0"/>
        <w:rPr>
          <w:rFonts w:hint="eastAsia"/>
        </w:rPr>
      </w:pPr>
      <w:r>
        <w:rPr>
          <w:rFonts w:hint="eastAsia"/>
          <w:lang w:val="en-US" w:eastAsia="zh-CN"/>
        </w:rPr>
        <w:t>财务主管：拥有最终支付审批权限，可设定不同金额层级（如单笔5万元以上还需财务主任审批。</w:t>
      </w:r>
    </w:p>
    <w:p w14:paraId="28A10294">
      <w:pPr>
        <w:bidi w:val="0"/>
        <w:rPr>
          <w:rFonts w:hint="eastAsia"/>
        </w:rPr>
      </w:pPr>
      <w:r>
        <w:rPr>
          <w:rFonts w:hint="eastAsia"/>
          <w:lang w:val="en-US" w:eastAsia="zh-CN"/>
        </w:rPr>
        <w:t>出纳岗：无审批权，只有执行批量支付操作的权限。</w:t>
      </w:r>
    </w:p>
    <w:p w14:paraId="0BA54160">
      <w:pPr>
        <w:bidi w:val="0"/>
        <w:rPr>
          <w:rFonts w:hint="eastAsia"/>
        </w:rPr>
      </w:pPr>
      <w:r>
        <w:rPr>
          <w:rFonts w:hint="eastAsia"/>
          <w:lang w:val="en-US" w:eastAsia="zh-CN"/>
        </w:rPr>
        <w:t>操作留痕与不可篡改：系统的所有操作，包括录入、修改、审批、支付，都必须有完整的日志记录，记录操作人、时间和内容。关键数据（如收款方账号、金额）一旦提交，任何修改都应需要重新审批并留下痕迹。</w:t>
      </w:r>
    </w:p>
    <w:p w14:paraId="269DFB51">
      <w:pPr>
        <w:bidi w:val="0"/>
        <w:rPr>
          <w:rFonts w:hint="eastAsia"/>
        </w:rPr>
      </w:pPr>
      <w:r>
        <w:rPr>
          <w:rFonts w:hint="eastAsia"/>
          <w:lang w:val="en-US" w:eastAsia="zh-CN"/>
        </w:rPr>
        <w:t>支付复核机制：支付指令在最终发出前，不能由一人完成。系统应支持“制单-复核”机制。即一人录入（或系统生成）支付指令，另一人（复核岗）需登录系统进行核对确认后，若支付指令中有单笔金额超过5万元或批量代发总金额超过50万元，还需财务主管登录并复核后才能发送至银行。这是防止操作失误和道德风险的关键环节。</w:t>
      </w:r>
    </w:p>
    <w:p w14:paraId="1B97AEF4">
      <w:pPr>
        <w:bidi w:val="0"/>
        <w:rPr>
          <w:rFonts w:hint="eastAsia"/>
        </w:rPr>
      </w:pPr>
      <w:r>
        <w:rPr>
          <w:rFonts w:hint="eastAsia"/>
        </w:rPr>
        <w:t xml:space="preserve">三、 系统集成与数据交换需求 </w:t>
      </w:r>
    </w:p>
    <w:p w14:paraId="084CD8DC">
      <w:pPr>
        <w:bidi w:val="0"/>
        <w:rPr>
          <w:rFonts w:hint="eastAsia"/>
        </w:rPr>
      </w:pPr>
      <w:r>
        <w:rPr>
          <w:rFonts w:hint="eastAsia"/>
          <w:lang w:val="en-US" w:eastAsia="zh-CN"/>
        </w:rPr>
        <w:t>与HRP系统深度集成：这是银企直联的核心价值。需求包括：</w:t>
      </w:r>
    </w:p>
    <w:p w14:paraId="679A1E25">
      <w:pPr>
        <w:bidi w:val="0"/>
        <w:rPr>
          <w:rFonts w:hint="eastAsia"/>
        </w:rPr>
      </w:pPr>
      <w:r>
        <w:rPr>
          <w:rFonts w:hint="eastAsia"/>
          <w:lang w:val="en-US" w:eastAsia="zh-CN"/>
        </w:rPr>
        <w:t>1、自动生成凭证：支付成功后，系统应能根据业务类型（如差旅报销、药品付款）自动生成会计分录，并传递至总账模块，实现业财一体化。</w:t>
      </w:r>
    </w:p>
    <w:p w14:paraId="7244303C">
      <w:pPr>
        <w:bidi w:val="0"/>
        <w:rPr>
          <w:rFonts w:hint="eastAsia"/>
          <w:lang w:val="en-US" w:eastAsia="zh-CN"/>
        </w:rPr>
      </w:pPr>
      <w:r>
        <w:rPr>
          <w:rFonts w:hint="eastAsia"/>
          <w:lang w:val="en-US" w:eastAsia="zh-CN"/>
        </w:rPr>
        <w:t>2、预算实时控制：支付环节必须与预算系统联动，在付款申请时即实时冻结相应预算额度，支付成功后自动核销，形成“无预算，不支付”的强控制闭环。</w:t>
      </w:r>
    </w:p>
    <w:p w14:paraId="73FD0469">
      <w:pPr>
        <w:bidi w:val="0"/>
        <w:rPr>
          <w:rFonts w:hint="eastAsia"/>
          <w:lang w:val="en-US" w:eastAsia="zh-CN"/>
        </w:rPr>
      </w:pPr>
    </w:p>
    <w:p w14:paraId="540281B0">
      <w:pPr>
        <w:bidi w:val="0"/>
        <w:rPr>
          <w:rFonts w:hint="eastAsia"/>
          <w:lang w:val="en-US" w:eastAsia="zh-CN"/>
        </w:rPr>
      </w:pPr>
      <w:r>
        <w:rPr>
          <w:rFonts w:hint="eastAsia"/>
          <w:lang w:val="en-US" w:eastAsia="zh-CN"/>
        </w:rPr>
        <w:t>项目详细功能描述</w:t>
      </w:r>
    </w:p>
    <w:tbl>
      <w:tblPr>
        <w:tblStyle w:val="46"/>
        <w:tblW w:w="9198"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74"/>
        <w:gridCol w:w="1555"/>
        <w:gridCol w:w="6669"/>
      </w:tblGrid>
      <w:tr w14:paraId="2B3F61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trPr>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CECCB">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一级模块</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F3A50">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二级菜单/核心功能点</w:t>
            </w:r>
          </w:p>
        </w:tc>
        <w:tc>
          <w:tcPr>
            <w:tcW w:w="6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F5BCA">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详细功能与操作描述</w:t>
            </w:r>
          </w:p>
        </w:tc>
      </w:tr>
      <w:tr w14:paraId="6BF6B2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trPr>
        <w:tc>
          <w:tcPr>
            <w:tcW w:w="97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109BF">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账户管理</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14A7B">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账户总览</w:t>
            </w:r>
          </w:p>
        </w:tc>
        <w:tc>
          <w:tcPr>
            <w:tcW w:w="6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4CD8B">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集中展示医院所有签约账户的实时余额、今日交易流水概要，支持按账户、按币种筛选。</w:t>
            </w:r>
          </w:p>
        </w:tc>
      </w:tr>
      <w:tr w14:paraId="2DF078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1" w:hRule="atLeast"/>
        </w:trPr>
        <w:tc>
          <w:tcPr>
            <w:tcW w:w="9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98B72">
            <w:pPr>
              <w:keepNext w:val="0"/>
              <w:keepLines w:val="0"/>
              <w:pageBreakBefore w:val="0"/>
              <w:kinsoku/>
              <w:wordWrap/>
              <w:overflowPunct/>
              <w:topLinePunct w:val="0"/>
              <w:autoSpaceDE/>
              <w:autoSpaceDN/>
              <w:bidi w:val="0"/>
              <w:adjustRightInd w:val="0"/>
              <w:snapToGrid w:val="0"/>
              <w:spacing w:line="360" w:lineRule="auto"/>
              <w:jc w:val="center"/>
              <w:rPr>
                <w:rFonts w:hint="eastAsia" w:ascii="宋体" w:hAnsi="宋体" w:eastAsia="宋体" w:cs="宋体"/>
                <w:i w:val="0"/>
                <w:iCs w:val="0"/>
                <w:color w:val="000000"/>
                <w:sz w:val="21"/>
                <w:szCs w:val="21"/>
                <w:highlight w:val="none"/>
                <w:u w:val="none"/>
              </w:rPr>
            </w:pP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0CC45">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账户信息维护</w:t>
            </w:r>
          </w:p>
        </w:tc>
        <w:tc>
          <w:tcPr>
            <w:tcW w:w="6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64BED">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维护签约账户的基本信息，如开户行、账号、币种、账户用途（如收款户、付款户、医保结算户）。关键需求：支持设置账户的单笔/单日累计支付限额。</w:t>
            </w:r>
          </w:p>
        </w:tc>
      </w:tr>
      <w:tr w14:paraId="26C89F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1" w:hRule="atLeast"/>
        </w:trPr>
        <w:tc>
          <w:tcPr>
            <w:tcW w:w="9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2F813">
            <w:pPr>
              <w:keepNext w:val="0"/>
              <w:keepLines w:val="0"/>
              <w:pageBreakBefore w:val="0"/>
              <w:kinsoku/>
              <w:wordWrap/>
              <w:overflowPunct/>
              <w:topLinePunct w:val="0"/>
              <w:autoSpaceDE/>
              <w:autoSpaceDN/>
              <w:bidi w:val="0"/>
              <w:adjustRightInd w:val="0"/>
              <w:snapToGrid w:val="0"/>
              <w:spacing w:line="360" w:lineRule="auto"/>
              <w:jc w:val="center"/>
              <w:rPr>
                <w:rFonts w:hint="eastAsia" w:ascii="宋体" w:hAnsi="宋体" w:eastAsia="宋体" w:cs="宋体"/>
                <w:i w:val="0"/>
                <w:iCs w:val="0"/>
                <w:color w:val="000000"/>
                <w:sz w:val="21"/>
                <w:szCs w:val="21"/>
                <w:highlight w:val="none"/>
                <w:u w:val="none"/>
              </w:rPr>
            </w:pP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09889">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收款方信息库</w:t>
            </w:r>
          </w:p>
        </w:tc>
        <w:tc>
          <w:tcPr>
            <w:tcW w:w="6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8332D">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建立并维护供应商、员工等收款方的标准信息库（名称、账号、开户行、联行号等）。关键需求：支持与供应链系统、HRP系统联动更新，避免人工维护差错；</w:t>
            </w:r>
          </w:p>
        </w:tc>
      </w:tr>
      <w:tr w14:paraId="3E7CCD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trPr>
        <w:tc>
          <w:tcPr>
            <w:tcW w:w="97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34D19">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支付结算</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72A26">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单笔付款</w:t>
            </w:r>
          </w:p>
        </w:tc>
        <w:tc>
          <w:tcPr>
            <w:tcW w:w="6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2FBFB">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经办人填写付款单，系统自动带出收款方信息。审批通过后指令发送至银行。全程状态（待审批、银行处理中、成功/失败）可追踪</w:t>
            </w:r>
          </w:p>
        </w:tc>
      </w:tr>
      <w:tr w14:paraId="2F6981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1" w:hRule="atLeast"/>
        </w:trPr>
        <w:tc>
          <w:tcPr>
            <w:tcW w:w="9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3C322">
            <w:pPr>
              <w:keepNext w:val="0"/>
              <w:keepLines w:val="0"/>
              <w:pageBreakBefore w:val="0"/>
              <w:kinsoku/>
              <w:wordWrap/>
              <w:overflowPunct/>
              <w:topLinePunct w:val="0"/>
              <w:autoSpaceDE/>
              <w:autoSpaceDN/>
              <w:bidi w:val="0"/>
              <w:adjustRightInd w:val="0"/>
              <w:snapToGrid w:val="0"/>
              <w:spacing w:line="360" w:lineRule="auto"/>
              <w:jc w:val="center"/>
              <w:rPr>
                <w:rFonts w:hint="eastAsia" w:ascii="宋体" w:hAnsi="宋体" w:eastAsia="宋体" w:cs="宋体"/>
                <w:i w:val="0"/>
                <w:iCs w:val="0"/>
                <w:color w:val="000000"/>
                <w:sz w:val="21"/>
                <w:szCs w:val="21"/>
                <w:highlight w:val="none"/>
                <w:u w:val="none"/>
              </w:rPr>
            </w:pP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1BE95">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批量付款/代发工资</w:t>
            </w:r>
          </w:p>
        </w:tc>
        <w:tc>
          <w:tcPr>
            <w:tcW w:w="6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9D3A0">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支持上传标准格式的批量付款文件，用于代发工资、批量支付供应商款项。关键需求：系统应具备账户预校验功能，在提交前对收款账号进行有效性检查，并提供处理结果报告</w:t>
            </w:r>
          </w:p>
        </w:tc>
      </w:tr>
      <w:tr w14:paraId="0F6D68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3" w:hRule="atLeast"/>
        </w:trPr>
        <w:tc>
          <w:tcPr>
            <w:tcW w:w="9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A7E68">
            <w:pPr>
              <w:keepNext w:val="0"/>
              <w:keepLines w:val="0"/>
              <w:pageBreakBefore w:val="0"/>
              <w:kinsoku/>
              <w:wordWrap/>
              <w:overflowPunct/>
              <w:topLinePunct w:val="0"/>
              <w:autoSpaceDE/>
              <w:autoSpaceDN/>
              <w:bidi w:val="0"/>
              <w:adjustRightInd w:val="0"/>
              <w:snapToGrid w:val="0"/>
              <w:spacing w:line="360" w:lineRule="auto"/>
              <w:jc w:val="center"/>
              <w:rPr>
                <w:rFonts w:hint="eastAsia" w:ascii="宋体" w:hAnsi="宋体" w:eastAsia="宋体" w:cs="宋体"/>
                <w:i w:val="0"/>
                <w:iCs w:val="0"/>
                <w:color w:val="000000"/>
                <w:sz w:val="21"/>
                <w:szCs w:val="21"/>
                <w:highlight w:val="none"/>
                <w:u w:val="none"/>
              </w:rPr>
            </w:pP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79C34">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预约支付</w:t>
            </w:r>
          </w:p>
        </w:tc>
        <w:tc>
          <w:tcPr>
            <w:tcW w:w="6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A9095">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支持设定未来的支付日期（如合同约定的付款日），系统将在指定日期自动执行支付指令</w:t>
            </w:r>
          </w:p>
        </w:tc>
      </w:tr>
      <w:tr w14:paraId="530294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3" w:hRule="atLeast"/>
        </w:trPr>
        <w:tc>
          <w:tcPr>
            <w:tcW w:w="9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742D4">
            <w:pPr>
              <w:keepNext w:val="0"/>
              <w:keepLines w:val="0"/>
              <w:pageBreakBefore w:val="0"/>
              <w:kinsoku/>
              <w:wordWrap/>
              <w:overflowPunct/>
              <w:topLinePunct w:val="0"/>
              <w:autoSpaceDE/>
              <w:autoSpaceDN/>
              <w:bidi w:val="0"/>
              <w:adjustRightInd w:val="0"/>
              <w:snapToGrid w:val="0"/>
              <w:spacing w:line="360" w:lineRule="auto"/>
              <w:jc w:val="center"/>
              <w:rPr>
                <w:rFonts w:hint="eastAsia" w:ascii="宋体" w:hAnsi="宋体" w:eastAsia="宋体" w:cs="宋体"/>
                <w:i w:val="0"/>
                <w:iCs w:val="0"/>
                <w:color w:val="000000"/>
                <w:sz w:val="21"/>
                <w:szCs w:val="21"/>
                <w:highlight w:val="none"/>
                <w:u w:val="none"/>
              </w:rPr>
            </w:pP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33D6D">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付款记录查询</w:t>
            </w:r>
          </w:p>
        </w:tc>
        <w:tc>
          <w:tcPr>
            <w:tcW w:w="6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9BD38">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可按时间、账户、付款状态、经办人等条件组合查询历史付款记录，并支持导出。每一笔付款的电子回单应可在线查看和下载</w:t>
            </w:r>
          </w:p>
        </w:tc>
      </w:tr>
      <w:tr w14:paraId="67B413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4" w:hRule="atLeast"/>
        </w:trPr>
        <w:tc>
          <w:tcPr>
            <w:tcW w:w="974" w:type="dxa"/>
            <w:vMerge w:val="restart"/>
            <w:tcBorders>
              <w:top w:val="single" w:color="000000" w:sz="4" w:space="0"/>
              <w:left w:val="single" w:color="000000" w:sz="4" w:space="0"/>
              <w:bottom w:val="nil"/>
              <w:right w:val="single" w:color="000000" w:sz="4" w:space="0"/>
            </w:tcBorders>
            <w:shd w:val="clear" w:color="auto" w:fill="auto"/>
            <w:noWrap/>
            <w:vAlign w:val="center"/>
          </w:tcPr>
          <w:p w14:paraId="52819ABC">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资金监控与对账</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A0BED">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实时余额查询</w:t>
            </w:r>
          </w:p>
        </w:tc>
        <w:tc>
          <w:tcPr>
            <w:tcW w:w="6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E4DEE">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一键查询所有账户的实时余额和可用余额，无需切换多个网银U盾</w:t>
            </w:r>
          </w:p>
        </w:tc>
      </w:tr>
      <w:tr w14:paraId="16DFE4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3" w:hRule="atLeast"/>
        </w:trPr>
        <w:tc>
          <w:tcPr>
            <w:tcW w:w="974" w:type="dxa"/>
            <w:vMerge w:val="continue"/>
            <w:tcBorders>
              <w:top w:val="single" w:color="000000" w:sz="4" w:space="0"/>
              <w:left w:val="single" w:color="000000" w:sz="4" w:space="0"/>
              <w:bottom w:val="nil"/>
              <w:right w:val="single" w:color="000000" w:sz="4" w:space="0"/>
            </w:tcBorders>
            <w:shd w:val="clear" w:color="auto" w:fill="auto"/>
            <w:noWrap/>
            <w:vAlign w:val="center"/>
          </w:tcPr>
          <w:p w14:paraId="0B1EBB52">
            <w:pPr>
              <w:keepNext w:val="0"/>
              <w:keepLines w:val="0"/>
              <w:pageBreakBefore w:val="0"/>
              <w:kinsoku/>
              <w:wordWrap/>
              <w:overflowPunct/>
              <w:topLinePunct w:val="0"/>
              <w:autoSpaceDE/>
              <w:autoSpaceDN/>
              <w:bidi w:val="0"/>
              <w:adjustRightInd w:val="0"/>
              <w:snapToGrid w:val="0"/>
              <w:spacing w:line="360" w:lineRule="auto"/>
              <w:jc w:val="center"/>
              <w:rPr>
                <w:rFonts w:hint="eastAsia" w:ascii="宋体" w:hAnsi="宋体" w:eastAsia="宋体" w:cs="宋体"/>
                <w:i w:val="0"/>
                <w:iCs w:val="0"/>
                <w:color w:val="000000"/>
                <w:sz w:val="21"/>
                <w:szCs w:val="21"/>
                <w:highlight w:val="none"/>
                <w:u w:val="none"/>
              </w:rPr>
            </w:pP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04524">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交易明细查询</w:t>
            </w:r>
          </w:p>
        </w:tc>
        <w:tc>
          <w:tcPr>
            <w:tcW w:w="6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61E1E">
            <w:pPr>
              <w:keepNext w:val="0"/>
              <w:keepLines w:val="0"/>
              <w:pageBreakBefore w:val="0"/>
              <w:widowControl/>
              <w:suppressLineNumbers w:val="0"/>
              <w:kinsoku/>
              <w:wordWrap/>
              <w:overflowPunct/>
              <w:topLinePunct w:val="0"/>
              <w:autoSpaceDE/>
              <w:autoSpaceDN/>
              <w:bidi w:val="0"/>
              <w:adjustRightInd w:val="0"/>
              <w:snapToGrid w:val="0"/>
              <w:spacing w:after="180" w:afterAutospacing="0"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查询指定账户在任何时间范围内的详细流水，内容与银行对账单完全一致</w:t>
            </w:r>
          </w:p>
        </w:tc>
      </w:tr>
      <w:tr w14:paraId="23F9A5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trPr>
        <w:tc>
          <w:tcPr>
            <w:tcW w:w="974" w:type="dxa"/>
            <w:vMerge w:val="continue"/>
            <w:tcBorders>
              <w:top w:val="single" w:color="000000" w:sz="4" w:space="0"/>
              <w:left w:val="single" w:color="000000" w:sz="4" w:space="0"/>
              <w:bottom w:val="nil"/>
              <w:right w:val="single" w:color="000000" w:sz="4" w:space="0"/>
            </w:tcBorders>
            <w:shd w:val="clear" w:color="auto" w:fill="auto"/>
            <w:noWrap/>
            <w:vAlign w:val="center"/>
          </w:tcPr>
          <w:p w14:paraId="62807349">
            <w:pPr>
              <w:keepNext w:val="0"/>
              <w:keepLines w:val="0"/>
              <w:pageBreakBefore w:val="0"/>
              <w:kinsoku/>
              <w:wordWrap/>
              <w:overflowPunct/>
              <w:topLinePunct w:val="0"/>
              <w:autoSpaceDE/>
              <w:autoSpaceDN/>
              <w:bidi w:val="0"/>
              <w:adjustRightInd w:val="0"/>
              <w:snapToGrid w:val="0"/>
              <w:spacing w:line="360" w:lineRule="auto"/>
              <w:jc w:val="center"/>
              <w:rPr>
                <w:rFonts w:hint="eastAsia" w:ascii="宋体" w:hAnsi="宋体" w:eastAsia="宋体" w:cs="宋体"/>
                <w:i w:val="0"/>
                <w:iCs w:val="0"/>
                <w:color w:val="000000"/>
                <w:sz w:val="21"/>
                <w:szCs w:val="21"/>
                <w:highlight w:val="none"/>
                <w:u w:val="none"/>
              </w:rPr>
            </w:pP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4A0EF">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智能对账</w:t>
            </w:r>
          </w:p>
        </w:tc>
        <w:tc>
          <w:tcPr>
            <w:tcW w:w="6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DAB69">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核心功能：系统每日自动从银行下载对账单，财务核算系统账务进行自动勾对。自动标识差异（如单边账），并生成余额调节表和异常报告</w:t>
            </w:r>
          </w:p>
        </w:tc>
      </w:tr>
      <w:tr w14:paraId="7A87AC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0" w:hRule="atLeast"/>
        </w:trPr>
        <w:tc>
          <w:tcPr>
            <w:tcW w:w="974" w:type="dxa"/>
            <w:vMerge w:val="continue"/>
            <w:tcBorders>
              <w:top w:val="single" w:color="000000" w:sz="4" w:space="0"/>
              <w:left w:val="single" w:color="000000" w:sz="4" w:space="0"/>
              <w:bottom w:val="nil"/>
              <w:right w:val="single" w:color="000000" w:sz="4" w:space="0"/>
            </w:tcBorders>
            <w:shd w:val="clear" w:color="auto" w:fill="auto"/>
            <w:noWrap/>
            <w:vAlign w:val="center"/>
          </w:tcPr>
          <w:p w14:paraId="4F3E32D6">
            <w:pPr>
              <w:keepNext w:val="0"/>
              <w:keepLines w:val="0"/>
              <w:pageBreakBefore w:val="0"/>
              <w:kinsoku/>
              <w:wordWrap/>
              <w:overflowPunct/>
              <w:topLinePunct w:val="0"/>
              <w:autoSpaceDE/>
              <w:autoSpaceDN/>
              <w:bidi w:val="0"/>
              <w:adjustRightInd w:val="0"/>
              <w:snapToGrid w:val="0"/>
              <w:spacing w:line="360" w:lineRule="auto"/>
              <w:jc w:val="center"/>
              <w:rPr>
                <w:rFonts w:hint="eastAsia" w:ascii="宋体" w:hAnsi="宋体" w:eastAsia="宋体" w:cs="宋体"/>
                <w:i w:val="0"/>
                <w:iCs w:val="0"/>
                <w:color w:val="000000"/>
                <w:sz w:val="21"/>
                <w:szCs w:val="21"/>
                <w:highlight w:val="none"/>
                <w:u w:val="none"/>
              </w:rPr>
            </w:pP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A696B">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电子回单 &amp; 凭证</w:t>
            </w:r>
          </w:p>
        </w:tc>
        <w:tc>
          <w:tcPr>
            <w:tcW w:w="6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8927F">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凭证管理&gt; 电子回单查询/打印、自动生成记账凭证。支付成功后，系统应自动获取并存储银行的电子回单。更高级的需求是，根据业务类型（如药品付款、差旅报销）预设凭证模板，支付完成后自动在财务核算系统中生成记账凭证。</w:t>
            </w:r>
          </w:p>
        </w:tc>
      </w:tr>
      <w:tr w14:paraId="200B22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1" w:hRule="atLeast"/>
        </w:trPr>
        <w:tc>
          <w:tcPr>
            <w:tcW w:w="97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7E647">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安全与权限</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BDA07">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用户与角色管理</w:t>
            </w:r>
          </w:p>
        </w:tc>
        <w:tc>
          <w:tcPr>
            <w:tcW w:w="6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5D9E6">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实现基于角色的权限控制（三员管理），可精细设置每个角色或用户的功能权限（如制单、审核、查询）和数据权限（如只能操作指定科室的预算</w:t>
            </w:r>
          </w:p>
        </w:tc>
      </w:tr>
      <w:tr w14:paraId="3760B5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trPr>
        <w:tc>
          <w:tcPr>
            <w:tcW w:w="9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D79C5">
            <w:pPr>
              <w:keepNext w:val="0"/>
              <w:keepLines w:val="0"/>
              <w:pageBreakBefore w:val="0"/>
              <w:kinsoku/>
              <w:wordWrap/>
              <w:overflowPunct/>
              <w:topLinePunct w:val="0"/>
              <w:autoSpaceDE/>
              <w:autoSpaceDN/>
              <w:bidi w:val="0"/>
              <w:adjustRightInd w:val="0"/>
              <w:snapToGrid w:val="0"/>
              <w:spacing w:line="360" w:lineRule="auto"/>
              <w:jc w:val="center"/>
              <w:rPr>
                <w:rFonts w:hint="eastAsia" w:ascii="宋体" w:hAnsi="宋体" w:eastAsia="宋体" w:cs="宋体"/>
                <w:i w:val="0"/>
                <w:iCs w:val="0"/>
                <w:color w:val="000000"/>
                <w:sz w:val="21"/>
                <w:szCs w:val="21"/>
                <w:highlight w:val="none"/>
                <w:u w:val="none"/>
              </w:rPr>
            </w:pP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89DB4">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 xml:space="preserve"> </w:t>
            </w:r>
            <w:r>
              <w:rPr>
                <w:rFonts w:hint="eastAsia" w:ascii="宋体" w:hAnsi="宋体" w:eastAsia="宋体" w:cs="宋体"/>
                <w:i w:val="0"/>
                <w:iCs w:val="0"/>
                <w:color w:val="000000"/>
                <w:kern w:val="0"/>
                <w:sz w:val="21"/>
                <w:szCs w:val="21"/>
                <w:highlight w:val="none"/>
                <w:u w:val="none"/>
                <w:lang w:val="en-US" w:eastAsia="zh-CN" w:bidi="ar"/>
              </w:rPr>
              <w:br w:type="textWrapping"/>
            </w:r>
            <w:r>
              <w:rPr>
                <w:rFonts w:hint="eastAsia" w:ascii="宋体" w:hAnsi="宋体" w:eastAsia="宋体" w:cs="宋体"/>
                <w:i w:val="0"/>
                <w:iCs w:val="0"/>
                <w:color w:val="000000"/>
                <w:kern w:val="0"/>
                <w:sz w:val="21"/>
                <w:szCs w:val="21"/>
                <w:highlight w:val="none"/>
                <w:u w:val="none"/>
                <w:lang w:val="en-US" w:eastAsia="zh-CN" w:bidi="ar"/>
              </w:rPr>
              <w:t>操作日志</w:t>
            </w:r>
          </w:p>
        </w:tc>
        <w:tc>
          <w:tcPr>
            <w:tcW w:w="6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1FBFD">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系统记录所有关键操作（登录、查询、制单、审核、修改）的详细日志，包括操作人、时间、IP地址、具体内容，满足审计溯源要求</w:t>
            </w:r>
          </w:p>
        </w:tc>
      </w:tr>
      <w:tr w14:paraId="27FA7D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 w:hRule="atLeast"/>
        </w:trPr>
        <w:tc>
          <w:tcPr>
            <w:tcW w:w="97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E9CBF">
            <w:pPr>
              <w:keepNext w:val="0"/>
              <w:keepLines w:val="0"/>
              <w:pageBreakBefore w:val="0"/>
              <w:kinsoku/>
              <w:wordWrap/>
              <w:overflowPunct/>
              <w:topLinePunct w:val="0"/>
              <w:autoSpaceDE/>
              <w:autoSpaceDN/>
              <w:bidi w:val="0"/>
              <w:adjustRightInd w:val="0"/>
              <w:snapToGrid w:val="0"/>
              <w:spacing w:line="360" w:lineRule="auto"/>
              <w:jc w:val="center"/>
              <w:rPr>
                <w:rFonts w:hint="eastAsia" w:ascii="宋体" w:hAnsi="宋体" w:eastAsia="宋体" w:cs="宋体"/>
                <w:i w:val="0"/>
                <w:iCs w:val="0"/>
                <w:color w:val="000000"/>
                <w:sz w:val="21"/>
                <w:szCs w:val="21"/>
                <w:highlight w:val="none"/>
                <w:u w:val="none"/>
              </w:rPr>
            </w:pP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F11A7">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双因子认证</w:t>
            </w:r>
          </w:p>
        </w:tc>
        <w:tc>
          <w:tcPr>
            <w:tcW w:w="66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AC2E7">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关键操作（如大额支付审核）除密码外，需结合数字证书（UKey）或动态令牌进行验证，确保安全</w:t>
            </w:r>
          </w:p>
        </w:tc>
      </w:tr>
    </w:tbl>
    <w:p w14:paraId="25505CC2">
      <w:pPr>
        <w:keepNext w:val="0"/>
        <w:keepLines w:val="0"/>
        <w:widowControl/>
        <w:numPr>
          <w:ilvl w:val="0"/>
          <w:numId w:val="0"/>
        </w:numPr>
        <w:suppressLineNumbers w:val="0"/>
        <w:spacing w:line="360" w:lineRule="auto"/>
        <w:ind w:left="-420" w:leftChars="-200" w:firstLine="0" w:firstLineChars="0"/>
        <w:jc w:val="left"/>
        <w:rPr>
          <w:rFonts w:hint="eastAsia" w:ascii="宋体" w:hAnsi="宋体" w:eastAsia="宋体" w:cs="宋体"/>
          <w:b/>
          <w:bCs w:val="0"/>
          <w:kern w:val="0"/>
          <w:sz w:val="24"/>
          <w:szCs w:val="24"/>
          <w:highlight w:val="none"/>
          <w:lang w:val="en-US" w:eastAsia="zh-CN" w:bidi="ar"/>
        </w:rPr>
      </w:pPr>
    </w:p>
    <w:p w14:paraId="481BFF74">
      <w:pPr>
        <w:rPr>
          <w:rFonts w:hint="default" w:eastAsiaTheme="minorEastAsia"/>
          <w:highlight w:val="none"/>
          <w:lang w:val="en-US" w:eastAsia="zh-CN"/>
        </w:rPr>
      </w:pPr>
    </w:p>
    <w:p w14:paraId="5C0562E0">
      <w:pPr>
        <w:pStyle w:val="4"/>
        <w:bidi w:val="0"/>
        <w:rPr>
          <w:rFonts w:hint="eastAsia"/>
        </w:rPr>
      </w:pPr>
      <w:bookmarkStart w:id="174" w:name="_Toc11165"/>
      <w:bookmarkStart w:id="175" w:name="_Toc26571"/>
      <w:bookmarkStart w:id="176" w:name="_Toc7095"/>
      <w:bookmarkStart w:id="177" w:name="_Toc28351"/>
      <w:bookmarkStart w:id="178" w:name="_Toc25370"/>
      <w:r>
        <w:rPr>
          <w:rFonts w:hint="eastAsia"/>
          <w:lang w:val="en-US" w:eastAsia="zh-CN"/>
        </w:rPr>
        <w:t>预问诊与诊前管理</w:t>
      </w:r>
      <w:bookmarkEnd w:id="174"/>
      <w:bookmarkEnd w:id="175"/>
      <w:bookmarkEnd w:id="176"/>
      <w:bookmarkEnd w:id="177"/>
      <w:bookmarkEnd w:id="178"/>
    </w:p>
    <w:tbl>
      <w:tblPr>
        <w:tblStyle w:val="46"/>
        <w:tblW w:w="10038"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3"/>
        <w:gridCol w:w="1165"/>
        <w:gridCol w:w="7080"/>
      </w:tblGrid>
      <w:tr w14:paraId="0A3F2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793" w:type="dxa"/>
            <w:noWrap w:val="0"/>
            <w:vAlign w:val="center"/>
          </w:tcPr>
          <w:p w14:paraId="10A07F0E">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需求名称</w:t>
            </w:r>
          </w:p>
        </w:tc>
        <w:tc>
          <w:tcPr>
            <w:tcW w:w="1165" w:type="dxa"/>
            <w:noWrap w:val="0"/>
            <w:vAlign w:val="center"/>
          </w:tcPr>
          <w:p w14:paraId="3D7C95B6">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序号</w:t>
            </w:r>
          </w:p>
        </w:tc>
        <w:tc>
          <w:tcPr>
            <w:tcW w:w="7080" w:type="dxa"/>
            <w:noWrap w:val="0"/>
            <w:vAlign w:val="center"/>
          </w:tcPr>
          <w:p w14:paraId="7A75BEA7">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需求描述</w:t>
            </w:r>
          </w:p>
        </w:tc>
      </w:tr>
      <w:tr w14:paraId="5E3B4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38" w:type="dxa"/>
            <w:gridSpan w:val="3"/>
            <w:noWrap w:val="0"/>
            <w:vAlign w:val="center"/>
          </w:tcPr>
          <w:p w14:paraId="5174096C">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功能需求：</w:t>
            </w:r>
          </w:p>
        </w:tc>
      </w:tr>
      <w:tr w14:paraId="36F7A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1793" w:type="dxa"/>
            <w:vMerge w:val="restart"/>
            <w:noWrap w:val="0"/>
            <w:vAlign w:val="center"/>
          </w:tcPr>
          <w:p w14:paraId="028C1751">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sz w:val="21"/>
                <w:szCs w:val="21"/>
                <w:highlight w:val="none"/>
              </w:rPr>
              <w:t>诊前</w:t>
            </w:r>
            <w:r>
              <w:rPr>
                <w:rFonts w:hint="eastAsia" w:ascii="宋体" w:hAnsi="宋体" w:eastAsia="宋体" w:cs="宋体"/>
                <w:color w:val="auto"/>
                <w:kern w:val="0"/>
                <w:sz w:val="21"/>
                <w:szCs w:val="21"/>
                <w:highlight w:val="none"/>
              </w:rPr>
              <w:t>管理</w:t>
            </w:r>
          </w:p>
        </w:tc>
        <w:tc>
          <w:tcPr>
            <w:tcW w:w="1165" w:type="dxa"/>
            <w:noWrap w:val="0"/>
            <w:vAlign w:val="center"/>
          </w:tcPr>
          <w:p w14:paraId="36BAF1C3">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1.1</w:t>
            </w:r>
          </w:p>
        </w:tc>
        <w:tc>
          <w:tcPr>
            <w:tcW w:w="7080" w:type="dxa"/>
            <w:noWrap w:val="0"/>
            <w:vAlign w:val="center"/>
          </w:tcPr>
          <w:p w14:paraId="3B7F60B3">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Cs/>
                <w:color w:val="auto"/>
                <w:sz w:val="21"/>
                <w:szCs w:val="21"/>
                <w:highlight w:val="none"/>
              </w:rPr>
              <w:t>提供门诊日志模式，前置诊疗流程，在医生接诊患者前，提供预问诊流程</w:t>
            </w:r>
          </w:p>
        </w:tc>
      </w:tr>
      <w:tr w14:paraId="6FC0E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793" w:type="dxa"/>
            <w:vMerge w:val="continue"/>
            <w:noWrap w:val="0"/>
            <w:vAlign w:val="center"/>
          </w:tcPr>
          <w:p w14:paraId="049EB5E9">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color w:val="auto"/>
                <w:kern w:val="0"/>
                <w:sz w:val="21"/>
                <w:szCs w:val="21"/>
                <w:highlight w:val="none"/>
              </w:rPr>
            </w:pPr>
          </w:p>
        </w:tc>
        <w:tc>
          <w:tcPr>
            <w:tcW w:w="1165" w:type="dxa"/>
            <w:noWrap w:val="0"/>
            <w:vAlign w:val="center"/>
          </w:tcPr>
          <w:p w14:paraId="1556E0F9">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1.2</w:t>
            </w:r>
          </w:p>
        </w:tc>
        <w:tc>
          <w:tcPr>
            <w:tcW w:w="7080" w:type="dxa"/>
            <w:noWrap w:val="0"/>
            <w:vAlign w:val="center"/>
          </w:tcPr>
          <w:p w14:paraId="3B39DC96">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门诊程序入口：支持通过二维码扫码、PAD、微信公众号和第三方APP集成方式进入程序</w:t>
            </w:r>
            <w:r>
              <w:rPr>
                <w:rFonts w:hint="eastAsia" w:ascii="宋体" w:hAnsi="宋体" w:eastAsia="宋体" w:cs="宋体"/>
                <w:color w:val="auto"/>
                <w:sz w:val="21"/>
                <w:szCs w:val="21"/>
                <w:highlight w:val="none"/>
                <w:lang w:eastAsia="zh-CN"/>
              </w:rPr>
              <w:t>；若涉及硬件终端，需明确兼容性标准与维护责任边界。</w:t>
            </w:r>
          </w:p>
        </w:tc>
      </w:tr>
      <w:tr w14:paraId="0124D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793" w:type="dxa"/>
            <w:vMerge w:val="continue"/>
            <w:noWrap w:val="0"/>
            <w:vAlign w:val="center"/>
          </w:tcPr>
          <w:p w14:paraId="3BF10CC2">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color w:val="auto"/>
                <w:kern w:val="0"/>
                <w:sz w:val="21"/>
                <w:szCs w:val="21"/>
                <w:highlight w:val="none"/>
              </w:rPr>
            </w:pPr>
          </w:p>
        </w:tc>
        <w:tc>
          <w:tcPr>
            <w:tcW w:w="1165" w:type="dxa"/>
            <w:noWrap w:val="0"/>
            <w:vAlign w:val="center"/>
          </w:tcPr>
          <w:p w14:paraId="3B6E6E84">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1.3</w:t>
            </w:r>
          </w:p>
        </w:tc>
        <w:tc>
          <w:tcPr>
            <w:tcW w:w="7080" w:type="dxa"/>
            <w:noWrap w:val="0"/>
            <w:vAlign w:val="center"/>
          </w:tcPr>
          <w:p w14:paraId="528D04EE">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问诊模板选择：支持按照院级、科室级、个人，指定模板等方式灵活指定相应的模板。</w:t>
            </w:r>
          </w:p>
        </w:tc>
      </w:tr>
      <w:tr w14:paraId="201EA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3" w:hRule="atLeast"/>
        </w:trPr>
        <w:tc>
          <w:tcPr>
            <w:tcW w:w="1793" w:type="dxa"/>
            <w:vMerge w:val="continue"/>
            <w:noWrap w:val="0"/>
            <w:vAlign w:val="center"/>
          </w:tcPr>
          <w:p w14:paraId="36E03704">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color w:val="auto"/>
                <w:kern w:val="0"/>
                <w:sz w:val="21"/>
                <w:szCs w:val="21"/>
                <w:highlight w:val="none"/>
              </w:rPr>
            </w:pPr>
          </w:p>
        </w:tc>
        <w:tc>
          <w:tcPr>
            <w:tcW w:w="1165" w:type="dxa"/>
            <w:noWrap w:val="0"/>
            <w:vAlign w:val="center"/>
          </w:tcPr>
          <w:p w14:paraId="6ED4CDFA">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1.4</w:t>
            </w:r>
          </w:p>
        </w:tc>
        <w:tc>
          <w:tcPr>
            <w:tcW w:w="7080" w:type="dxa"/>
            <w:noWrap w:val="0"/>
            <w:vAlign w:val="center"/>
          </w:tcPr>
          <w:p w14:paraId="1103A025">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多轮问诊：支持基于大模型的医疗复杂语言理解能力、多轮主动与被动交互能力对患者描述的病情信息进行人性化个性化多轮问诊，采集患者病情信息</w:t>
            </w:r>
            <w:r>
              <w:rPr>
                <w:rFonts w:hint="eastAsia" w:ascii="宋体" w:hAnsi="宋体" w:eastAsia="宋体" w:cs="宋体"/>
                <w:color w:val="auto"/>
                <w:sz w:val="21"/>
                <w:szCs w:val="21"/>
                <w:highlight w:val="none"/>
                <w:lang w:eastAsia="zh-CN"/>
              </w:rPr>
              <w:t>：</w:t>
            </w:r>
            <w:r>
              <w:rPr>
                <w:rFonts w:hint="eastAsia" w:ascii="宋体" w:hAnsi="宋体" w:eastAsia="宋体" w:cs="宋体"/>
                <w:i w:val="0"/>
                <w:iCs w:val="0"/>
                <w:caps w:val="0"/>
                <w:color w:val="000000"/>
                <w:spacing w:val="0"/>
                <w:sz w:val="21"/>
                <w:szCs w:val="21"/>
                <w:highlight w:val="none"/>
                <w:shd w:val="clear" w:color="auto" w:fill="FFFFFF"/>
              </w:rPr>
              <w:t>必须覆盖且不限于：主诉、现病史、既往史（疾病史、手术史）、过敏史、用药史、个人史、家族史</w:t>
            </w:r>
            <w:r>
              <w:rPr>
                <w:rFonts w:hint="eastAsia" w:ascii="宋体" w:hAnsi="宋体" w:eastAsia="宋体" w:cs="宋体"/>
                <w:i w:val="0"/>
                <w:iCs w:val="0"/>
                <w:caps w:val="0"/>
                <w:color w:val="000000"/>
                <w:spacing w:val="0"/>
                <w:sz w:val="21"/>
                <w:szCs w:val="21"/>
                <w:highlight w:val="none"/>
                <w:shd w:val="clear" w:color="auto" w:fill="FFFFFF"/>
                <w:lang w:eastAsia="zh-CN"/>
              </w:rPr>
              <w:t>、</w:t>
            </w:r>
            <w:r>
              <w:rPr>
                <w:rFonts w:hint="eastAsia" w:ascii="宋体" w:hAnsi="宋体" w:eastAsia="宋体" w:cs="宋体"/>
                <w:i w:val="0"/>
                <w:iCs w:val="0"/>
                <w:caps w:val="0"/>
                <w:color w:val="000000"/>
                <w:spacing w:val="0"/>
                <w:sz w:val="21"/>
                <w:szCs w:val="21"/>
                <w:highlight w:val="none"/>
                <w:shd w:val="clear" w:color="auto" w:fill="FFFFFF"/>
                <w:lang w:val="en-US" w:eastAsia="zh-CN"/>
              </w:rPr>
              <w:t>生育史</w:t>
            </w:r>
            <w:r>
              <w:rPr>
                <w:rFonts w:hint="eastAsia" w:ascii="宋体" w:hAnsi="宋体" w:eastAsia="宋体" w:cs="宋体"/>
                <w:i w:val="0"/>
                <w:iCs w:val="0"/>
                <w:caps w:val="0"/>
                <w:color w:val="000000"/>
                <w:spacing w:val="0"/>
                <w:sz w:val="21"/>
                <w:szCs w:val="21"/>
                <w:highlight w:val="none"/>
                <w:shd w:val="clear" w:color="auto" w:fill="FFFFFF"/>
              </w:rPr>
              <w:t>等。</w:t>
            </w:r>
          </w:p>
        </w:tc>
      </w:tr>
      <w:tr w14:paraId="482E3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793" w:type="dxa"/>
            <w:vMerge w:val="continue"/>
            <w:noWrap w:val="0"/>
            <w:vAlign w:val="center"/>
          </w:tcPr>
          <w:p w14:paraId="7598DB72">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color w:val="auto"/>
                <w:kern w:val="0"/>
                <w:sz w:val="21"/>
                <w:szCs w:val="21"/>
                <w:highlight w:val="none"/>
              </w:rPr>
            </w:pPr>
          </w:p>
        </w:tc>
        <w:tc>
          <w:tcPr>
            <w:tcW w:w="1165" w:type="dxa"/>
            <w:noWrap w:val="0"/>
            <w:vAlign w:val="center"/>
          </w:tcPr>
          <w:p w14:paraId="689C2BF8">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1.5</w:t>
            </w:r>
          </w:p>
        </w:tc>
        <w:tc>
          <w:tcPr>
            <w:tcW w:w="7080" w:type="dxa"/>
            <w:noWrap w:val="0"/>
            <w:vAlign w:val="center"/>
          </w:tcPr>
          <w:p w14:paraId="79339C57">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多模态输入方式：支持患者通过文字、语音输入的方式，描述自己不舒服的症状或疾病。</w:t>
            </w:r>
            <w:r>
              <w:rPr>
                <w:rFonts w:hint="eastAsia" w:ascii="宋体" w:hAnsi="宋体" w:eastAsia="宋体" w:cs="宋体"/>
                <w:b w:val="0"/>
                <w:i w:val="0"/>
                <w:iCs w:val="0"/>
                <w:caps w:val="0"/>
                <w:color w:val="08090C"/>
                <w:spacing w:val="0"/>
                <w:kern w:val="0"/>
                <w:sz w:val="21"/>
                <w:szCs w:val="21"/>
                <w:highlight w:val="none"/>
                <w:lang w:val="en-US" w:eastAsia="zh-CN" w:bidi="ar"/>
              </w:rPr>
              <w:t>提供方言识别支持，提升语音输入的准确率；医学术语及意图理解准确率需</w:t>
            </w:r>
            <w:r>
              <w:rPr>
                <w:rFonts w:hint="default" w:ascii="Arial" w:hAnsi="Arial" w:eastAsia="宋体" w:cs="Arial"/>
                <w:b w:val="0"/>
                <w:i w:val="0"/>
                <w:iCs w:val="0"/>
                <w:caps w:val="0"/>
                <w:color w:val="08090C"/>
                <w:spacing w:val="0"/>
                <w:kern w:val="0"/>
                <w:sz w:val="21"/>
                <w:szCs w:val="21"/>
                <w:highlight w:val="none"/>
                <w:lang w:val="en-US" w:eastAsia="zh-CN" w:bidi="ar"/>
              </w:rPr>
              <w:t>≥</w:t>
            </w:r>
            <w:r>
              <w:rPr>
                <w:rFonts w:hint="eastAsia" w:ascii="宋体" w:hAnsi="宋体" w:eastAsia="宋体" w:cs="宋体"/>
                <w:b w:val="0"/>
                <w:i w:val="0"/>
                <w:iCs w:val="0"/>
                <w:caps w:val="0"/>
                <w:color w:val="08090C"/>
                <w:spacing w:val="0"/>
                <w:kern w:val="0"/>
                <w:sz w:val="21"/>
                <w:szCs w:val="21"/>
                <w:highlight w:val="none"/>
                <w:lang w:val="en-US" w:eastAsia="zh-CN" w:bidi="ar"/>
              </w:rPr>
              <w:t>95%。</w:t>
            </w:r>
          </w:p>
        </w:tc>
      </w:tr>
      <w:tr w14:paraId="34E87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793" w:type="dxa"/>
            <w:vMerge w:val="continue"/>
            <w:noWrap w:val="0"/>
            <w:vAlign w:val="center"/>
          </w:tcPr>
          <w:p w14:paraId="4F9E7ACB">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color w:val="auto"/>
                <w:kern w:val="0"/>
                <w:sz w:val="21"/>
                <w:szCs w:val="21"/>
                <w:highlight w:val="none"/>
              </w:rPr>
            </w:pPr>
          </w:p>
        </w:tc>
        <w:tc>
          <w:tcPr>
            <w:tcW w:w="1165" w:type="dxa"/>
            <w:noWrap w:val="0"/>
            <w:vAlign w:val="center"/>
          </w:tcPr>
          <w:p w14:paraId="5E398C1E">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1.6</w:t>
            </w:r>
          </w:p>
        </w:tc>
        <w:tc>
          <w:tcPr>
            <w:tcW w:w="7080" w:type="dxa"/>
            <w:noWrap w:val="0"/>
            <w:vAlign w:val="center"/>
          </w:tcPr>
          <w:p w14:paraId="40017995">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 xml:space="preserve">结构化输入：支持对日期、时间等内容有单选、多选等结构化点选和输入方式。 </w:t>
            </w:r>
          </w:p>
        </w:tc>
      </w:tr>
      <w:tr w14:paraId="0BB07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1793" w:type="dxa"/>
            <w:vMerge w:val="continue"/>
            <w:noWrap w:val="0"/>
            <w:vAlign w:val="center"/>
          </w:tcPr>
          <w:p w14:paraId="51531DF2">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color w:val="auto"/>
                <w:kern w:val="0"/>
                <w:sz w:val="21"/>
                <w:szCs w:val="21"/>
                <w:highlight w:val="none"/>
              </w:rPr>
            </w:pPr>
          </w:p>
        </w:tc>
        <w:tc>
          <w:tcPr>
            <w:tcW w:w="1165" w:type="dxa"/>
            <w:noWrap w:val="0"/>
            <w:vAlign w:val="center"/>
          </w:tcPr>
          <w:p w14:paraId="26ED245A">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1.7</w:t>
            </w:r>
          </w:p>
        </w:tc>
        <w:tc>
          <w:tcPr>
            <w:tcW w:w="7080" w:type="dxa"/>
            <w:noWrap w:val="0"/>
            <w:vAlign w:val="center"/>
          </w:tcPr>
          <w:p w14:paraId="36BE3913">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单条消息语音播报：病史采集的多轮问诊过程中系统提问单条问题支持语音播报。</w:t>
            </w:r>
          </w:p>
        </w:tc>
      </w:tr>
      <w:tr w14:paraId="1A279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2" w:hRule="atLeast"/>
        </w:trPr>
        <w:tc>
          <w:tcPr>
            <w:tcW w:w="1793" w:type="dxa"/>
            <w:vMerge w:val="continue"/>
            <w:noWrap w:val="0"/>
            <w:vAlign w:val="center"/>
          </w:tcPr>
          <w:p w14:paraId="6B6B1EDC">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color w:val="auto"/>
                <w:kern w:val="0"/>
                <w:sz w:val="21"/>
                <w:szCs w:val="21"/>
                <w:highlight w:val="none"/>
              </w:rPr>
            </w:pPr>
          </w:p>
        </w:tc>
        <w:tc>
          <w:tcPr>
            <w:tcW w:w="1165" w:type="dxa"/>
            <w:noWrap w:val="0"/>
            <w:vAlign w:val="center"/>
          </w:tcPr>
          <w:p w14:paraId="774A872B">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1.8</w:t>
            </w:r>
          </w:p>
        </w:tc>
        <w:tc>
          <w:tcPr>
            <w:tcW w:w="7080" w:type="dxa"/>
            <w:noWrap w:val="0"/>
            <w:vAlign w:val="center"/>
          </w:tcPr>
          <w:p w14:paraId="4C30E34B">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全局语音自动播报：支持患者在使用病史采集时设置全局语音自动语音播报，自动播报系统问诊内容。</w:t>
            </w:r>
            <w:r>
              <w:rPr>
                <w:rFonts w:hint="eastAsia" w:ascii="宋体" w:hAnsi="宋体" w:eastAsia="宋体" w:cs="宋体"/>
                <w:b w:val="0"/>
                <w:i w:val="0"/>
                <w:iCs w:val="0"/>
                <w:caps w:val="0"/>
                <w:color w:val="08090C"/>
                <w:spacing w:val="0"/>
                <w:kern w:val="0"/>
                <w:sz w:val="21"/>
                <w:szCs w:val="21"/>
                <w:highlight w:val="none"/>
                <w:lang w:val="en-US" w:eastAsia="zh-CN" w:bidi="ar"/>
              </w:rPr>
              <w:t>除了语音播报，可支持语音指令控制（如“暂停播报”“重复问题”“跳转到…”）。</w:t>
            </w:r>
            <w:r>
              <w:rPr>
                <w:rFonts w:hint="eastAsia" w:ascii="宋体" w:hAnsi="宋体" w:eastAsia="宋体" w:cs="宋体"/>
                <w:b w:val="0"/>
                <w:i w:val="0"/>
                <w:iCs w:val="0"/>
                <w:caps w:val="0"/>
                <w:color w:val="08090C"/>
                <w:spacing w:val="0"/>
                <w:kern w:val="0"/>
                <w:sz w:val="21"/>
                <w:szCs w:val="21"/>
                <w:highlight w:val="none"/>
                <w:lang w:val="en-US" w:eastAsia="zh-CN" w:bidi="ar"/>
              </w:rPr>
              <w:br w:type="textWrapping"/>
            </w:r>
          </w:p>
        </w:tc>
      </w:tr>
      <w:tr w14:paraId="0391F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1793" w:type="dxa"/>
            <w:vMerge w:val="continue"/>
            <w:noWrap w:val="0"/>
            <w:vAlign w:val="center"/>
          </w:tcPr>
          <w:p w14:paraId="53F6A08A">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color w:val="auto"/>
                <w:kern w:val="0"/>
                <w:sz w:val="21"/>
                <w:szCs w:val="21"/>
                <w:highlight w:val="none"/>
              </w:rPr>
            </w:pPr>
          </w:p>
        </w:tc>
        <w:tc>
          <w:tcPr>
            <w:tcW w:w="1165" w:type="dxa"/>
            <w:noWrap w:val="0"/>
            <w:vAlign w:val="center"/>
          </w:tcPr>
          <w:p w14:paraId="0B87AAC2">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1.9</w:t>
            </w:r>
          </w:p>
        </w:tc>
        <w:tc>
          <w:tcPr>
            <w:tcW w:w="7080" w:type="dxa"/>
            <w:noWrap w:val="0"/>
            <w:vAlign w:val="center"/>
          </w:tcPr>
          <w:p w14:paraId="7AFF39A5">
            <w:pPr>
              <w:keepNext w:val="0"/>
              <w:keepLines w:val="0"/>
              <w:pageBreakBefore w:val="0"/>
              <w:numPr>
                <w:ilvl w:val="0"/>
                <w:numId w:val="0"/>
              </w:numPr>
              <w:tabs>
                <w:tab w:val="left" w:pos="525"/>
                <w:tab w:val="left" w:pos="630"/>
              </w:tabs>
              <w:kinsoku/>
              <w:wordWrap/>
              <w:overflowPunct/>
              <w:topLinePunct w:val="0"/>
              <w:autoSpaceDE/>
              <w:autoSpaceDN/>
              <w:bidi w:val="0"/>
              <w:adjustRightInd w:val="0"/>
              <w:snapToGrid w:val="0"/>
              <w:spacing w:beforeAutospacing="0" w:afterAutospacing="0" w:line="360" w:lineRule="auto"/>
              <w:ind w:left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描述性内容：针对专业术语选项，可进行口语化描述性内容展示，帮助用户理解。</w:t>
            </w:r>
          </w:p>
        </w:tc>
      </w:tr>
      <w:tr w14:paraId="6EA6E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1793" w:type="dxa"/>
            <w:vMerge w:val="continue"/>
            <w:noWrap w:val="0"/>
            <w:vAlign w:val="center"/>
          </w:tcPr>
          <w:p w14:paraId="6EF8AB78">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color w:val="auto"/>
                <w:kern w:val="0"/>
                <w:sz w:val="21"/>
                <w:szCs w:val="21"/>
                <w:highlight w:val="none"/>
              </w:rPr>
            </w:pPr>
          </w:p>
        </w:tc>
        <w:tc>
          <w:tcPr>
            <w:tcW w:w="1165" w:type="dxa"/>
            <w:noWrap w:val="0"/>
            <w:vAlign w:val="center"/>
          </w:tcPr>
          <w:p w14:paraId="3C713E69">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1.10</w:t>
            </w:r>
          </w:p>
        </w:tc>
        <w:tc>
          <w:tcPr>
            <w:tcW w:w="7080" w:type="dxa"/>
            <w:noWrap w:val="0"/>
            <w:vAlign w:val="center"/>
          </w:tcPr>
          <w:p w14:paraId="3B4761EB">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拍照上传：支持对医疗报告拍照或选择本地照片上传。</w:t>
            </w:r>
          </w:p>
        </w:tc>
      </w:tr>
      <w:tr w14:paraId="4929A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793" w:type="dxa"/>
            <w:vMerge w:val="continue"/>
            <w:noWrap w:val="0"/>
            <w:vAlign w:val="center"/>
          </w:tcPr>
          <w:p w14:paraId="77AD9F8F">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color w:val="auto"/>
                <w:kern w:val="0"/>
                <w:sz w:val="21"/>
                <w:szCs w:val="21"/>
                <w:highlight w:val="none"/>
              </w:rPr>
            </w:pPr>
          </w:p>
        </w:tc>
        <w:tc>
          <w:tcPr>
            <w:tcW w:w="1165" w:type="dxa"/>
            <w:noWrap w:val="0"/>
            <w:vAlign w:val="center"/>
          </w:tcPr>
          <w:p w14:paraId="754063C9">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1.11</w:t>
            </w:r>
          </w:p>
        </w:tc>
        <w:tc>
          <w:tcPr>
            <w:tcW w:w="7080" w:type="dxa"/>
            <w:noWrap w:val="0"/>
            <w:vAlign w:val="center"/>
          </w:tcPr>
          <w:p w14:paraId="4BA134E1">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辅助选择工具：在问诊中提供提问选择器、疼痛程度选择器、颜色选择器等辅助描述病情的选择工具。</w:t>
            </w:r>
          </w:p>
        </w:tc>
      </w:tr>
      <w:tr w14:paraId="3B565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1793" w:type="dxa"/>
            <w:vMerge w:val="continue"/>
            <w:noWrap w:val="0"/>
            <w:vAlign w:val="center"/>
          </w:tcPr>
          <w:p w14:paraId="143C34CB">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color w:val="auto"/>
                <w:kern w:val="0"/>
                <w:sz w:val="21"/>
                <w:szCs w:val="21"/>
                <w:highlight w:val="none"/>
              </w:rPr>
            </w:pPr>
          </w:p>
        </w:tc>
        <w:tc>
          <w:tcPr>
            <w:tcW w:w="1165" w:type="dxa"/>
            <w:noWrap w:val="0"/>
            <w:vAlign w:val="center"/>
          </w:tcPr>
          <w:p w14:paraId="3A1997F5">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1.12</w:t>
            </w:r>
          </w:p>
        </w:tc>
        <w:tc>
          <w:tcPr>
            <w:tcW w:w="7080" w:type="dxa"/>
            <w:noWrap w:val="0"/>
            <w:vAlign w:val="center"/>
          </w:tcPr>
          <w:p w14:paraId="335EA10C">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图形化选择：在问诊中提供提问选择器、疼痛程度选择器、颜色选择器等辅助描述病情的选择工具</w:t>
            </w:r>
          </w:p>
        </w:tc>
      </w:tr>
      <w:tr w14:paraId="35B7A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1793" w:type="dxa"/>
            <w:vMerge w:val="continue"/>
            <w:noWrap w:val="0"/>
            <w:vAlign w:val="center"/>
          </w:tcPr>
          <w:p w14:paraId="350BEF8A">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color w:val="auto"/>
                <w:kern w:val="0"/>
                <w:sz w:val="21"/>
                <w:szCs w:val="21"/>
                <w:highlight w:val="none"/>
              </w:rPr>
            </w:pPr>
          </w:p>
        </w:tc>
        <w:tc>
          <w:tcPr>
            <w:tcW w:w="1165" w:type="dxa"/>
            <w:noWrap w:val="0"/>
            <w:vAlign w:val="center"/>
          </w:tcPr>
          <w:p w14:paraId="68940249">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1.13</w:t>
            </w:r>
          </w:p>
        </w:tc>
        <w:tc>
          <w:tcPr>
            <w:tcW w:w="7080" w:type="dxa"/>
            <w:noWrap w:val="0"/>
            <w:vAlign w:val="center"/>
          </w:tcPr>
          <w:p w14:paraId="63E6D8BD">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病史智能生成：支持基于大模型的医疗专业文书生成能力根据患者回答的病情内容自动生成结构化病史信息</w:t>
            </w:r>
            <w:r>
              <w:rPr>
                <w:rFonts w:hint="eastAsia" w:ascii="宋体" w:hAnsi="宋体" w:eastAsia="宋体" w:cs="宋体"/>
                <w:color w:val="auto"/>
                <w:sz w:val="21"/>
                <w:szCs w:val="21"/>
                <w:highlight w:val="none"/>
                <w:lang w:eastAsia="zh-CN"/>
              </w:rPr>
              <w:t>；增加危急重症预警提示，并支持将数据自动同步至医院电子病历（EMR）系统</w:t>
            </w:r>
            <w:r>
              <w:rPr>
                <w:rFonts w:hint="eastAsia" w:ascii="宋体" w:hAnsi="宋体" w:eastAsia="宋体" w:cs="宋体"/>
                <w:color w:val="auto"/>
                <w:sz w:val="21"/>
                <w:szCs w:val="21"/>
                <w:highlight w:val="none"/>
              </w:rPr>
              <w:t>。</w:t>
            </w:r>
          </w:p>
        </w:tc>
      </w:tr>
      <w:tr w14:paraId="5D6F0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1793" w:type="dxa"/>
            <w:vMerge w:val="continue"/>
            <w:noWrap w:val="0"/>
            <w:vAlign w:val="center"/>
          </w:tcPr>
          <w:p w14:paraId="740D6C87">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color w:val="auto"/>
                <w:kern w:val="0"/>
                <w:sz w:val="21"/>
                <w:szCs w:val="21"/>
                <w:highlight w:val="none"/>
              </w:rPr>
            </w:pPr>
          </w:p>
        </w:tc>
        <w:tc>
          <w:tcPr>
            <w:tcW w:w="1165" w:type="dxa"/>
            <w:noWrap w:val="0"/>
            <w:vAlign w:val="center"/>
          </w:tcPr>
          <w:p w14:paraId="65EB5EA1">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1.14</w:t>
            </w:r>
          </w:p>
        </w:tc>
        <w:tc>
          <w:tcPr>
            <w:tcW w:w="7080" w:type="dxa"/>
            <w:noWrap w:val="0"/>
            <w:vAlign w:val="center"/>
          </w:tcPr>
          <w:p w14:paraId="073FA2FA">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修改已回答的问题：预问诊过程中，可重新回答已回答的问题。</w:t>
            </w:r>
          </w:p>
        </w:tc>
      </w:tr>
      <w:tr w14:paraId="57057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793" w:type="dxa"/>
            <w:vMerge w:val="continue"/>
            <w:noWrap w:val="0"/>
            <w:vAlign w:val="center"/>
          </w:tcPr>
          <w:p w14:paraId="459D5B2E">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color w:val="auto"/>
                <w:kern w:val="0"/>
                <w:sz w:val="21"/>
                <w:szCs w:val="21"/>
                <w:highlight w:val="none"/>
              </w:rPr>
            </w:pPr>
          </w:p>
        </w:tc>
        <w:tc>
          <w:tcPr>
            <w:tcW w:w="1165" w:type="dxa"/>
            <w:noWrap w:val="0"/>
            <w:vAlign w:val="center"/>
          </w:tcPr>
          <w:p w14:paraId="63F979B3">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1.15</w:t>
            </w:r>
          </w:p>
        </w:tc>
        <w:tc>
          <w:tcPr>
            <w:tcW w:w="7080" w:type="dxa"/>
            <w:noWrap w:val="0"/>
            <w:vAlign w:val="center"/>
          </w:tcPr>
          <w:p w14:paraId="7ECC6F5D">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修改病史：预问诊结束后，支持编辑修改病史信息</w:t>
            </w:r>
          </w:p>
        </w:tc>
      </w:tr>
      <w:tr w14:paraId="6141F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793" w:type="dxa"/>
            <w:vMerge w:val="continue"/>
            <w:noWrap w:val="0"/>
            <w:vAlign w:val="center"/>
          </w:tcPr>
          <w:p w14:paraId="78141DC5">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color w:val="auto"/>
                <w:kern w:val="0"/>
                <w:sz w:val="21"/>
                <w:szCs w:val="21"/>
                <w:highlight w:val="none"/>
              </w:rPr>
            </w:pPr>
          </w:p>
        </w:tc>
        <w:tc>
          <w:tcPr>
            <w:tcW w:w="1165" w:type="dxa"/>
            <w:noWrap w:val="0"/>
            <w:vAlign w:val="center"/>
          </w:tcPr>
          <w:p w14:paraId="73C984CC">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1.16</w:t>
            </w:r>
          </w:p>
        </w:tc>
        <w:tc>
          <w:tcPr>
            <w:tcW w:w="7080" w:type="dxa"/>
            <w:noWrap w:val="0"/>
            <w:vAlign w:val="center"/>
          </w:tcPr>
          <w:p w14:paraId="48BE8326">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下载病史信息图片 ：支持下载病史信息图片。</w:t>
            </w:r>
          </w:p>
        </w:tc>
      </w:tr>
      <w:tr w14:paraId="1CA1C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1793" w:type="dxa"/>
            <w:vMerge w:val="continue"/>
            <w:noWrap w:val="0"/>
            <w:vAlign w:val="center"/>
          </w:tcPr>
          <w:p w14:paraId="741E88F1">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color w:val="auto"/>
                <w:kern w:val="0"/>
                <w:sz w:val="21"/>
                <w:szCs w:val="21"/>
                <w:highlight w:val="none"/>
              </w:rPr>
            </w:pPr>
          </w:p>
        </w:tc>
        <w:tc>
          <w:tcPr>
            <w:tcW w:w="1165" w:type="dxa"/>
            <w:noWrap w:val="0"/>
            <w:vAlign w:val="center"/>
          </w:tcPr>
          <w:p w14:paraId="62705E78">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1.17</w:t>
            </w:r>
          </w:p>
        </w:tc>
        <w:tc>
          <w:tcPr>
            <w:tcW w:w="7080" w:type="dxa"/>
            <w:noWrap w:val="0"/>
            <w:vAlign w:val="center"/>
          </w:tcPr>
          <w:p w14:paraId="0B5C6482">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文字识别功能（OCR） ：可根据上传的检查/检验报告图片，自动识别转码成可编码文字，方便用户便捷输入。</w:t>
            </w:r>
          </w:p>
        </w:tc>
      </w:tr>
      <w:tr w14:paraId="7BC0C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1793" w:type="dxa"/>
            <w:vMerge w:val="continue"/>
            <w:noWrap w:val="0"/>
            <w:vAlign w:val="center"/>
          </w:tcPr>
          <w:p w14:paraId="51DC9FDB">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color w:val="auto"/>
                <w:kern w:val="0"/>
                <w:sz w:val="21"/>
                <w:szCs w:val="21"/>
                <w:highlight w:val="none"/>
              </w:rPr>
            </w:pPr>
          </w:p>
        </w:tc>
        <w:tc>
          <w:tcPr>
            <w:tcW w:w="1165" w:type="dxa"/>
            <w:noWrap w:val="0"/>
            <w:vAlign w:val="center"/>
          </w:tcPr>
          <w:p w14:paraId="43895EC4">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1.18</w:t>
            </w:r>
          </w:p>
        </w:tc>
        <w:tc>
          <w:tcPr>
            <w:tcW w:w="7080" w:type="dxa"/>
            <w:noWrap w:val="0"/>
            <w:vAlign w:val="center"/>
          </w:tcPr>
          <w:p w14:paraId="0734BA13">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病史采集说明：主页面展示病史采集使用说明卡片，用户可点击进入查看病史采集的使用说明。</w:t>
            </w:r>
          </w:p>
        </w:tc>
      </w:tr>
      <w:tr w14:paraId="3B730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793" w:type="dxa"/>
            <w:vMerge w:val="continue"/>
            <w:noWrap w:val="0"/>
            <w:vAlign w:val="center"/>
          </w:tcPr>
          <w:p w14:paraId="746FAA77">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color w:val="auto"/>
                <w:kern w:val="0"/>
                <w:sz w:val="21"/>
                <w:szCs w:val="21"/>
                <w:highlight w:val="none"/>
              </w:rPr>
            </w:pPr>
          </w:p>
        </w:tc>
        <w:tc>
          <w:tcPr>
            <w:tcW w:w="1165" w:type="dxa"/>
            <w:noWrap w:val="0"/>
            <w:vAlign w:val="center"/>
          </w:tcPr>
          <w:p w14:paraId="3A841650">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1.19</w:t>
            </w:r>
          </w:p>
        </w:tc>
        <w:tc>
          <w:tcPr>
            <w:tcW w:w="7080" w:type="dxa"/>
            <w:noWrap w:val="0"/>
            <w:vAlign w:val="center"/>
          </w:tcPr>
          <w:p w14:paraId="1E17DA67">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既往病史信息展示：对于复诊患者，支持展示已采集过的过往病史页。</w:t>
            </w:r>
          </w:p>
        </w:tc>
      </w:tr>
      <w:tr w14:paraId="14123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1793" w:type="dxa"/>
            <w:vMerge w:val="continue"/>
            <w:noWrap w:val="0"/>
            <w:vAlign w:val="center"/>
          </w:tcPr>
          <w:p w14:paraId="5CD6535F">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color w:val="auto"/>
                <w:kern w:val="0"/>
                <w:sz w:val="21"/>
                <w:szCs w:val="21"/>
                <w:highlight w:val="none"/>
              </w:rPr>
            </w:pPr>
          </w:p>
        </w:tc>
        <w:tc>
          <w:tcPr>
            <w:tcW w:w="1165" w:type="dxa"/>
            <w:noWrap w:val="0"/>
            <w:vAlign w:val="center"/>
          </w:tcPr>
          <w:p w14:paraId="05132180">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1.20</w:t>
            </w:r>
          </w:p>
        </w:tc>
        <w:tc>
          <w:tcPr>
            <w:tcW w:w="7080" w:type="dxa"/>
            <w:noWrap w:val="0"/>
            <w:vAlign w:val="center"/>
          </w:tcPr>
          <w:p w14:paraId="3E93B623">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病史采集进度展示：支持病史采集过程中，实时显示病史采集的进度条。</w:t>
            </w:r>
          </w:p>
        </w:tc>
      </w:tr>
      <w:tr w14:paraId="78FE1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4" w:hRule="atLeast"/>
        </w:trPr>
        <w:tc>
          <w:tcPr>
            <w:tcW w:w="1793" w:type="dxa"/>
            <w:vMerge w:val="continue"/>
            <w:noWrap w:val="0"/>
            <w:vAlign w:val="center"/>
          </w:tcPr>
          <w:p w14:paraId="0DC1B72F">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color w:val="auto"/>
                <w:kern w:val="0"/>
                <w:sz w:val="21"/>
                <w:szCs w:val="21"/>
                <w:highlight w:val="none"/>
              </w:rPr>
            </w:pPr>
          </w:p>
        </w:tc>
        <w:tc>
          <w:tcPr>
            <w:tcW w:w="1165" w:type="dxa"/>
            <w:noWrap w:val="0"/>
            <w:vAlign w:val="center"/>
          </w:tcPr>
          <w:p w14:paraId="006EB50F">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1.21</w:t>
            </w:r>
          </w:p>
        </w:tc>
        <w:tc>
          <w:tcPr>
            <w:tcW w:w="7080" w:type="dxa"/>
            <w:noWrap w:val="0"/>
            <w:vAlign w:val="center"/>
          </w:tcPr>
          <w:p w14:paraId="5F987864">
            <w:pPr>
              <w:pStyle w:val="40"/>
              <w:keepNext w:val="0"/>
              <w:keepLines w:val="0"/>
              <w:pageBreakBefore w:val="0"/>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i w:val="0"/>
                <w:iCs w:val="0"/>
                <w:caps w:val="0"/>
                <w:color w:val="auto"/>
                <w:spacing w:val="0"/>
                <w:kern w:val="2"/>
                <w:sz w:val="21"/>
                <w:szCs w:val="21"/>
                <w:highlight w:val="none"/>
                <w:shd w:val="clear" w:color="auto" w:fill="auto"/>
              </w:rPr>
            </w:pPr>
            <w:r>
              <w:rPr>
                <w:rFonts w:hint="eastAsia" w:ascii="宋体" w:hAnsi="宋体" w:eastAsia="宋体" w:cs="宋体"/>
                <w:color w:val="auto"/>
                <w:sz w:val="21"/>
                <w:szCs w:val="21"/>
                <w:highlight w:val="none"/>
              </w:rPr>
              <w:t>后台管理</w:t>
            </w:r>
            <w:r>
              <w:rPr>
                <w:rFonts w:hint="eastAsia" w:ascii="宋体" w:hAnsi="宋体" w:eastAsia="宋体" w:cs="宋体"/>
                <w:color w:val="auto"/>
                <w:sz w:val="21"/>
                <w:szCs w:val="21"/>
                <w:highlight w:val="none"/>
                <w:lang w:eastAsia="zh-CN"/>
              </w:rPr>
              <w:t>：</w:t>
            </w:r>
            <w:r>
              <w:rPr>
                <w:rStyle w:val="49"/>
                <w:rFonts w:hint="eastAsia" w:ascii="宋体" w:hAnsi="宋体" w:eastAsia="宋体" w:cs="宋体"/>
                <w:b w:val="0"/>
                <w:bCs w:val="0"/>
                <w:i w:val="0"/>
                <w:iCs w:val="0"/>
                <w:caps w:val="0"/>
                <w:color w:val="auto"/>
                <w:spacing w:val="0"/>
                <w:kern w:val="2"/>
                <w:sz w:val="21"/>
                <w:szCs w:val="21"/>
                <w:highlight w:val="none"/>
                <w:shd w:val="clear" w:color="auto" w:fill="auto"/>
              </w:rPr>
              <w:t>效率统计：</w:t>
            </w:r>
            <w:r>
              <w:rPr>
                <w:rFonts w:hint="eastAsia" w:ascii="宋体" w:hAnsi="宋体" w:eastAsia="宋体" w:cs="宋体"/>
                <w:i w:val="0"/>
                <w:iCs w:val="0"/>
                <w:caps w:val="0"/>
                <w:color w:val="auto"/>
                <w:spacing w:val="0"/>
                <w:kern w:val="2"/>
                <w:sz w:val="21"/>
                <w:szCs w:val="21"/>
                <w:highlight w:val="none"/>
                <w:shd w:val="clear" w:color="auto" w:fill="auto"/>
              </w:rPr>
              <w:t>医生可查看使用本系统后节省的时间、书写病历效率提升等数据。</w:t>
            </w:r>
          </w:p>
          <w:p w14:paraId="24A4F1D9">
            <w:pPr>
              <w:pStyle w:val="40"/>
              <w:keepNext w:val="0"/>
              <w:keepLines w:val="0"/>
              <w:pageBreakBefore w:val="0"/>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i w:val="0"/>
                <w:iCs w:val="0"/>
                <w:caps w:val="0"/>
                <w:color w:val="0F1115"/>
                <w:spacing w:val="0"/>
                <w:sz w:val="21"/>
                <w:szCs w:val="21"/>
                <w:highlight w:val="none"/>
                <w:shd w:val="clear" w:color="auto" w:fill="FFFFFF"/>
              </w:rPr>
            </w:pPr>
            <w:r>
              <w:rPr>
                <w:rStyle w:val="49"/>
                <w:rFonts w:hint="eastAsia" w:ascii="宋体" w:hAnsi="宋体" w:eastAsia="宋体" w:cs="宋体"/>
                <w:b w:val="0"/>
                <w:bCs w:val="0"/>
                <w:i w:val="0"/>
                <w:iCs w:val="0"/>
                <w:caps w:val="0"/>
                <w:color w:val="0F1115"/>
                <w:spacing w:val="0"/>
                <w:sz w:val="21"/>
                <w:szCs w:val="21"/>
                <w:highlight w:val="none"/>
                <w:shd w:val="clear" w:color="auto" w:fill="FFFFFF"/>
              </w:rPr>
              <w:t>知识库管理：</w:t>
            </w:r>
            <w:r>
              <w:rPr>
                <w:rFonts w:hint="eastAsia" w:ascii="宋体" w:hAnsi="宋体" w:eastAsia="宋体" w:cs="宋体"/>
                <w:i w:val="0"/>
                <w:iCs w:val="0"/>
                <w:caps w:val="0"/>
                <w:color w:val="0F1115"/>
                <w:spacing w:val="0"/>
                <w:sz w:val="21"/>
                <w:szCs w:val="21"/>
                <w:highlight w:val="none"/>
                <w:shd w:val="clear" w:color="auto" w:fill="FFFFFF"/>
              </w:rPr>
              <w:t>提供后台工具，允许医院医学专家参与优化问诊逻辑、更新疾病知识库、管理宣教内容。</w:t>
            </w:r>
          </w:p>
          <w:p w14:paraId="36BC60AA">
            <w:pPr>
              <w:pStyle w:val="40"/>
              <w:keepNext w:val="0"/>
              <w:keepLines w:val="0"/>
              <w:pageBreakBefore w:val="0"/>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color w:val="auto"/>
                <w:kern w:val="0"/>
                <w:sz w:val="21"/>
                <w:szCs w:val="21"/>
                <w:highlight w:val="none"/>
                <w:lang w:val="en-US" w:eastAsia="zh-CN"/>
              </w:rPr>
            </w:pPr>
            <w:r>
              <w:rPr>
                <w:rStyle w:val="49"/>
                <w:rFonts w:hint="eastAsia" w:ascii="宋体" w:hAnsi="宋体" w:eastAsia="宋体" w:cs="宋体"/>
                <w:b w:val="0"/>
                <w:bCs w:val="0"/>
                <w:i w:val="0"/>
                <w:iCs w:val="0"/>
                <w:caps w:val="0"/>
                <w:color w:val="0F1115"/>
                <w:spacing w:val="0"/>
                <w:sz w:val="21"/>
                <w:szCs w:val="21"/>
                <w:highlight w:val="none"/>
                <w:shd w:val="clear" w:color="auto" w:fill="FFFFFF"/>
              </w:rPr>
              <w:t>系统配置：</w:t>
            </w:r>
            <w:r>
              <w:rPr>
                <w:rFonts w:hint="eastAsia" w:ascii="宋体" w:hAnsi="宋体" w:eastAsia="宋体" w:cs="宋体"/>
                <w:i w:val="0"/>
                <w:iCs w:val="0"/>
                <w:caps w:val="0"/>
                <w:color w:val="0F1115"/>
                <w:spacing w:val="0"/>
                <w:sz w:val="21"/>
                <w:szCs w:val="21"/>
                <w:highlight w:val="none"/>
                <w:shd w:val="clear" w:color="auto" w:fill="FFFFFF"/>
              </w:rPr>
              <w:t>支持根据不同科室、不同疾病的特点，定制差异化的问诊模板与流程</w:t>
            </w:r>
            <w:r>
              <w:rPr>
                <w:rFonts w:hint="eastAsia" w:ascii="宋体" w:hAnsi="宋体" w:eastAsia="宋体" w:cs="宋体"/>
                <w:i w:val="0"/>
                <w:iCs w:val="0"/>
                <w:caps w:val="0"/>
                <w:color w:val="0F1115"/>
                <w:spacing w:val="0"/>
                <w:sz w:val="21"/>
                <w:szCs w:val="21"/>
                <w:highlight w:val="none"/>
                <w:shd w:val="clear" w:color="auto" w:fill="FFFFFF"/>
                <w:lang w:eastAsia="zh-CN"/>
              </w:rPr>
              <w:t>；需支持医学专家对 AI 问诊路径的逻辑审核与干预锁定，确保临床路径合规</w:t>
            </w:r>
            <w:r>
              <w:rPr>
                <w:rFonts w:hint="eastAsia" w:ascii="宋体" w:hAnsi="宋体" w:eastAsia="宋体" w:cs="宋体"/>
                <w:i w:val="0"/>
                <w:iCs w:val="0"/>
                <w:caps w:val="0"/>
                <w:color w:val="0F1115"/>
                <w:spacing w:val="0"/>
                <w:sz w:val="21"/>
                <w:szCs w:val="21"/>
                <w:highlight w:val="none"/>
                <w:shd w:val="clear" w:color="auto" w:fill="FFFFFF"/>
              </w:rPr>
              <w:t>。</w:t>
            </w:r>
          </w:p>
        </w:tc>
      </w:tr>
      <w:tr w14:paraId="54BCF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793" w:type="dxa"/>
            <w:vMerge w:val="continue"/>
            <w:noWrap w:val="0"/>
            <w:vAlign w:val="center"/>
          </w:tcPr>
          <w:p w14:paraId="44C31B60">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color w:val="auto"/>
                <w:kern w:val="0"/>
                <w:sz w:val="21"/>
                <w:szCs w:val="21"/>
                <w:highlight w:val="none"/>
              </w:rPr>
            </w:pPr>
          </w:p>
        </w:tc>
        <w:tc>
          <w:tcPr>
            <w:tcW w:w="1165" w:type="dxa"/>
            <w:noWrap w:val="0"/>
            <w:vAlign w:val="center"/>
          </w:tcPr>
          <w:p w14:paraId="6BD338E4">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1.22</w:t>
            </w:r>
          </w:p>
        </w:tc>
        <w:tc>
          <w:tcPr>
            <w:tcW w:w="7080" w:type="dxa"/>
            <w:noWrap w:val="0"/>
            <w:vAlign w:val="center"/>
          </w:tcPr>
          <w:p w14:paraId="4E398EA5">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模板管理：支持医院级、科室级、个人3个维度模板管理。</w:t>
            </w:r>
            <w:r>
              <w:rPr>
                <w:rStyle w:val="49"/>
                <w:rFonts w:hint="eastAsia" w:ascii="宋体" w:hAnsi="宋体" w:eastAsia="宋体" w:cs="宋体"/>
                <w:b w:val="0"/>
                <w:bCs w:val="0"/>
                <w:i w:val="0"/>
                <w:iCs w:val="0"/>
                <w:caps w:val="0"/>
                <w:color w:val="0F1115"/>
                <w:spacing w:val="0"/>
                <w:sz w:val="21"/>
                <w:szCs w:val="21"/>
                <w:highlight w:val="none"/>
                <w:shd w:val="clear" w:color="auto" w:fill="FFFFFF"/>
              </w:rPr>
              <w:t>全院/科室级数据看板：</w:t>
            </w:r>
            <w:r>
              <w:rPr>
                <w:rFonts w:hint="eastAsia" w:ascii="宋体" w:hAnsi="宋体" w:eastAsia="宋体" w:cs="宋体"/>
                <w:i w:val="0"/>
                <w:iCs w:val="0"/>
                <w:caps w:val="0"/>
                <w:color w:val="0F1115"/>
                <w:spacing w:val="0"/>
                <w:sz w:val="21"/>
                <w:szCs w:val="21"/>
                <w:highlight w:val="none"/>
                <w:shd w:val="clear" w:color="auto" w:fill="FFFFFF"/>
              </w:rPr>
              <w:t>实时展示预问诊使用人次、覆盖率、平均完成时间、信息完整率、医生采纳率</w:t>
            </w:r>
            <w:r>
              <w:rPr>
                <w:rFonts w:hint="eastAsia" w:ascii="宋体" w:hAnsi="宋体" w:eastAsia="宋体" w:cs="宋体"/>
                <w:i w:val="0"/>
                <w:iCs w:val="0"/>
                <w:caps w:val="0"/>
                <w:color w:val="0F1115"/>
                <w:spacing w:val="0"/>
                <w:sz w:val="21"/>
                <w:szCs w:val="21"/>
                <w:highlight w:val="none"/>
                <w:shd w:val="clear" w:color="auto" w:fill="FFFFFF"/>
                <w:lang w:eastAsia="zh-CN"/>
              </w:rPr>
              <w:t>、门诊等待时长缩短比例</w:t>
            </w:r>
            <w:r>
              <w:rPr>
                <w:rFonts w:hint="eastAsia" w:ascii="宋体" w:hAnsi="宋体" w:eastAsia="宋体" w:cs="宋体"/>
                <w:i w:val="0"/>
                <w:iCs w:val="0"/>
                <w:caps w:val="0"/>
                <w:color w:val="0F1115"/>
                <w:spacing w:val="0"/>
                <w:sz w:val="21"/>
                <w:szCs w:val="21"/>
                <w:highlight w:val="none"/>
                <w:shd w:val="clear" w:color="auto" w:fill="FFFFFF"/>
              </w:rPr>
              <w:t>等</w:t>
            </w:r>
            <w:r>
              <w:rPr>
                <w:rFonts w:hint="eastAsia" w:ascii="宋体" w:hAnsi="宋体" w:eastAsia="宋体" w:cs="宋体"/>
                <w:i w:val="0"/>
                <w:iCs w:val="0"/>
                <w:caps w:val="0"/>
                <w:color w:val="0F1115"/>
                <w:spacing w:val="0"/>
                <w:sz w:val="21"/>
                <w:szCs w:val="21"/>
                <w:highlight w:val="none"/>
                <w:shd w:val="clear" w:color="auto" w:fill="FFFFFF"/>
                <w:lang w:val="en-US" w:eastAsia="zh-CN"/>
              </w:rPr>
              <w:t>管理</w:t>
            </w:r>
            <w:r>
              <w:rPr>
                <w:rFonts w:hint="eastAsia" w:ascii="宋体" w:hAnsi="宋体" w:eastAsia="宋体" w:cs="宋体"/>
                <w:i w:val="0"/>
                <w:iCs w:val="0"/>
                <w:caps w:val="0"/>
                <w:color w:val="0F1115"/>
                <w:spacing w:val="0"/>
                <w:sz w:val="21"/>
                <w:szCs w:val="21"/>
                <w:highlight w:val="none"/>
                <w:shd w:val="clear" w:color="auto" w:fill="FFFFFF"/>
              </w:rPr>
              <w:t>核心指标</w:t>
            </w:r>
            <w:r>
              <w:rPr>
                <w:rFonts w:hint="eastAsia" w:ascii="宋体" w:hAnsi="宋体" w:eastAsia="宋体" w:cs="宋体"/>
                <w:i w:val="0"/>
                <w:iCs w:val="0"/>
                <w:caps w:val="0"/>
                <w:color w:val="0F1115"/>
                <w:spacing w:val="0"/>
                <w:sz w:val="21"/>
                <w:szCs w:val="21"/>
                <w:highlight w:val="none"/>
                <w:shd w:val="clear" w:color="auto" w:fill="FFFFFF"/>
                <w:lang w:val="en-US" w:eastAsia="zh-CN"/>
              </w:rPr>
              <w:t>及其</w:t>
            </w:r>
            <w:r>
              <w:rPr>
                <w:rFonts w:hint="eastAsia" w:ascii="宋体" w:hAnsi="宋体" w:eastAsia="宋体" w:cs="宋体"/>
                <w:i w:val="0"/>
                <w:iCs w:val="0"/>
                <w:caps w:val="0"/>
                <w:color w:val="0F1115"/>
                <w:spacing w:val="0"/>
                <w:sz w:val="21"/>
                <w:szCs w:val="21"/>
                <w:highlight w:val="none"/>
                <w:shd w:val="clear" w:color="auto" w:fill="FFFFFF"/>
              </w:rPr>
              <w:t>统计功能。</w:t>
            </w:r>
          </w:p>
        </w:tc>
      </w:tr>
      <w:tr w14:paraId="73B02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793" w:type="dxa"/>
            <w:vMerge w:val="continue"/>
            <w:noWrap w:val="0"/>
            <w:vAlign w:val="center"/>
          </w:tcPr>
          <w:p w14:paraId="2C6B013D">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color w:val="auto"/>
                <w:kern w:val="0"/>
                <w:sz w:val="21"/>
                <w:szCs w:val="21"/>
                <w:highlight w:val="none"/>
              </w:rPr>
            </w:pPr>
          </w:p>
        </w:tc>
        <w:tc>
          <w:tcPr>
            <w:tcW w:w="1165" w:type="dxa"/>
            <w:noWrap w:val="0"/>
            <w:vAlign w:val="center"/>
          </w:tcPr>
          <w:p w14:paraId="1398EA7F">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1.23</w:t>
            </w:r>
          </w:p>
        </w:tc>
        <w:tc>
          <w:tcPr>
            <w:tcW w:w="7080" w:type="dxa"/>
            <w:noWrap w:val="0"/>
            <w:vAlign w:val="center"/>
          </w:tcPr>
          <w:p w14:paraId="79BB834C">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智能体管理：支持管理问诊智能体和病历生成智能体。</w:t>
            </w:r>
          </w:p>
        </w:tc>
      </w:tr>
      <w:tr w14:paraId="5AE48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2" w:hRule="atLeast"/>
        </w:trPr>
        <w:tc>
          <w:tcPr>
            <w:tcW w:w="1793" w:type="dxa"/>
            <w:vMerge w:val="continue"/>
            <w:noWrap w:val="0"/>
            <w:vAlign w:val="center"/>
          </w:tcPr>
          <w:p w14:paraId="0DDDFB31">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color w:val="auto"/>
                <w:kern w:val="0"/>
                <w:sz w:val="21"/>
                <w:szCs w:val="21"/>
                <w:highlight w:val="none"/>
              </w:rPr>
            </w:pPr>
          </w:p>
        </w:tc>
        <w:tc>
          <w:tcPr>
            <w:tcW w:w="1165" w:type="dxa"/>
            <w:noWrap w:val="0"/>
            <w:vAlign w:val="center"/>
          </w:tcPr>
          <w:p w14:paraId="75AC5BD9">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1.24</w:t>
            </w:r>
          </w:p>
        </w:tc>
        <w:tc>
          <w:tcPr>
            <w:tcW w:w="7080" w:type="dxa"/>
            <w:noWrap w:val="0"/>
            <w:vAlign w:val="center"/>
          </w:tcPr>
          <w:p w14:paraId="204DBE4B">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模板编辑器：可以简单、方便、可视化操作设计模板。支持病历段落章节、问题、问题组内容属性的维护。可视化的问题间逻辑关系操作方式。可维护需要生成的结构化病历内容。</w:t>
            </w:r>
          </w:p>
        </w:tc>
      </w:tr>
      <w:tr w14:paraId="629EC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1793" w:type="dxa"/>
            <w:vMerge w:val="continue"/>
            <w:noWrap w:val="0"/>
            <w:vAlign w:val="center"/>
          </w:tcPr>
          <w:p w14:paraId="6517F36C">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color w:val="auto"/>
                <w:kern w:val="0"/>
                <w:sz w:val="21"/>
                <w:szCs w:val="21"/>
                <w:highlight w:val="none"/>
              </w:rPr>
            </w:pPr>
          </w:p>
        </w:tc>
        <w:tc>
          <w:tcPr>
            <w:tcW w:w="1165" w:type="dxa"/>
            <w:noWrap w:val="0"/>
            <w:vAlign w:val="center"/>
          </w:tcPr>
          <w:p w14:paraId="21981B1E">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1.25</w:t>
            </w:r>
          </w:p>
        </w:tc>
        <w:tc>
          <w:tcPr>
            <w:tcW w:w="7080" w:type="dxa"/>
            <w:noWrap w:val="0"/>
            <w:vAlign w:val="center"/>
          </w:tcPr>
          <w:p w14:paraId="24C9D9E6">
            <w:pPr>
              <w:pStyle w:val="40"/>
              <w:keepNext w:val="0"/>
              <w:keepLines w:val="0"/>
              <w:pageBreakBefore w:val="0"/>
              <w:tabs>
                <w:tab w:val="left" w:pos="720"/>
              </w:tabs>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i w:val="0"/>
                <w:iCs w:val="0"/>
                <w:caps w:val="0"/>
                <w:color w:val="0F1115"/>
                <w:spacing w:val="0"/>
                <w:sz w:val="21"/>
                <w:szCs w:val="21"/>
                <w:highlight w:val="none"/>
                <w:shd w:val="clear" w:color="auto" w:fill="FFFFFF"/>
                <w:lang w:eastAsia="zh-CN"/>
              </w:rPr>
            </w:pPr>
            <w:r>
              <w:rPr>
                <w:rFonts w:hint="eastAsia" w:ascii="宋体" w:hAnsi="宋体" w:eastAsia="宋体" w:cs="宋体"/>
                <w:i w:val="0"/>
                <w:iCs w:val="0"/>
                <w:caps w:val="0"/>
                <w:color w:val="000000"/>
                <w:spacing w:val="0"/>
                <w:sz w:val="21"/>
                <w:szCs w:val="21"/>
                <w:highlight w:val="none"/>
                <w:shd w:val="clear" w:color="auto" w:fill="FFFFFF"/>
              </w:rPr>
              <w:t>医生可对AI生成的病历草稿进行高效审核、一键采纳、快速修改、补充诊断与体格检查记录、完善处置意见等</w:t>
            </w:r>
            <w:r>
              <w:rPr>
                <w:rFonts w:hint="eastAsia" w:ascii="宋体" w:hAnsi="宋体" w:eastAsia="宋体" w:cs="宋体"/>
                <w:i w:val="0"/>
                <w:iCs w:val="0"/>
                <w:caps w:val="0"/>
                <w:color w:val="000000"/>
                <w:spacing w:val="0"/>
                <w:sz w:val="21"/>
                <w:szCs w:val="21"/>
                <w:highlight w:val="none"/>
                <w:shd w:val="clear" w:color="auto" w:fill="FFFFFF"/>
                <w:lang w:eastAsia="zh-CN"/>
              </w:rPr>
              <w:t>。</w:t>
            </w:r>
            <w:r>
              <w:rPr>
                <w:rFonts w:hint="eastAsia" w:ascii="宋体" w:hAnsi="宋体" w:eastAsia="宋体" w:cs="宋体"/>
                <w:i w:val="0"/>
                <w:iCs w:val="0"/>
                <w:caps w:val="0"/>
                <w:color w:val="000000"/>
                <w:spacing w:val="0"/>
                <w:sz w:val="21"/>
                <w:szCs w:val="21"/>
                <w:highlight w:val="none"/>
                <w:shd w:val="clear" w:color="auto" w:fill="FFFFFF"/>
              </w:rPr>
              <w:t>。</w:t>
            </w:r>
          </w:p>
        </w:tc>
      </w:tr>
      <w:tr w14:paraId="5C4EA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1793" w:type="dxa"/>
            <w:vMerge w:val="continue"/>
            <w:noWrap w:val="0"/>
            <w:vAlign w:val="center"/>
          </w:tcPr>
          <w:p w14:paraId="50A7E3C9">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color w:val="auto"/>
                <w:kern w:val="0"/>
                <w:sz w:val="21"/>
                <w:szCs w:val="21"/>
                <w:highlight w:val="none"/>
              </w:rPr>
            </w:pPr>
          </w:p>
        </w:tc>
        <w:tc>
          <w:tcPr>
            <w:tcW w:w="1165" w:type="dxa"/>
            <w:noWrap w:val="0"/>
            <w:vAlign w:val="center"/>
          </w:tcPr>
          <w:p w14:paraId="78A469DF">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1.26</w:t>
            </w:r>
          </w:p>
        </w:tc>
        <w:tc>
          <w:tcPr>
            <w:tcW w:w="7080" w:type="dxa"/>
            <w:noWrap w:val="0"/>
            <w:vAlign w:val="center"/>
          </w:tcPr>
          <w:p w14:paraId="01CDAE11">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医学量表：可针对患者自身主观情况进行医学量表评测或问卷采集，最终得出评测结果，并同步给医生使用和参考。</w:t>
            </w:r>
          </w:p>
        </w:tc>
      </w:tr>
      <w:tr w14:paraId="197C6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793" w:type="dxa"/>
            <w:vMerge w:val="continue"/>
            <w:noWrap w:val="0"/>
            <w:vAlign w:val="center"/>
          </w:tcPr>
          <w:p w14:paraId="64DFC424">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color w:val="auto"/>
                <w:kern w:val="0"/>
                <w:sz w:val="21"/>
                <w:szCs w:val="21"/>
                <w:highlight w:val="none"/>
              </w:rPr>
            </w:pPr>
          </w:p>
        </w:tc>
        <w:tc>
          <w:tcPr>
            <w:tcW w:w="1165" w:type="dxa"/>
            <w:noWrap w:val="0"/>
            <w:vAlign w:val="center"/>
          </w:tcPr>
          <w:p w14:paraId="3F3477BD">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1.27</w:t>
            </w:r>
          </w:p>
        </w:tc>
        <w:tc>
          <w:tcPr>
            <w:tcW w:w="7080" w:type="dxa"/>
            <w:noWrap w:val="0"/>
            <w:vAlign w:val="center"/>
          </w:tcPr>
          <w:p w14:paraId="435909D8">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sz w:val="21"/>
                <w:szCs w:val="21"/>
                <w:highlight w:val="none"/>
              </w:rPr>
              <w:t>统计报表：可针对采集病历数、采集设备、模板使用量等维度进行图形化报表展示。可按照科室、日期等条件输出相关统计报表。</w:t>
            </w:r>
            <w:r>
              <w:rPr>
                <w:rFonts w:hint="eastAsia" w:ascii="宋体" w:hAnsi="宋体" w:eastAsia="宋体" w:cs="宋体"/>
                <w:bCs/>
                <w:color w:val="auto"/>
                <w:sz w:val="21"/>
                <w:szCs w:val="21"/>
                <w:highlight w:val="none"/>
              </w:rPr>
              <w:t>对患者基本病情进行了解</w:t>
            </w:r>
            <w:r>
              <w:rPr>
                <w:rFonts w:hint="eastAsia" w:ascii="宋体" w:hAnsi="宋体" w:eastAsia="宋体" w:cs="宋体"/>
                <w:bCs/>
                <w:color w:val="auto"/>
                <w:sz w:val="21"/>
                <w:szCs w:val="21"/>
                <w:highlight w:val="none"/>
                <w:lang w:eastAsia="zh-CN"/>
              </w:rPr>
              <w:t>。</w:t>
            </w:r>
          </w:p>
        </w:tc>
      </w:tr>
      <w:tr w14:paraId="27B52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1793" w:type="dxa"/>
            <w:vMerge w:val="continue"/>
            <w:noWrap w:val="0"/>
            <w:vAlign w:val="center"/>
          </w:tcPr>
          <w:p w14:paraId="39C1CC35">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color w:val="auto"/>
                <w:kern w:val="0"/>
                <w:sz w:val="21"/>
                <w:szCs w:val="21"/>
                <w:highlight w:val="none"/>
              </w:rPr>
            </w:pPr>
          </w:p>
        </w:tc>
        <w:tc>
          <w:tcPr>
            <w:tcW w:w="1165" w:type="dxa"/>
            <w:noWrap w:val="0"/>
            <w:vAlign w:val="center"/>
          </w:tcPr>
          <w:p w14:paraId="488AAD03">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1.28</w:t>
            </w:r>
          </w:p>
        </w:tc>
        <w:tc>
          <w:tcPr>
            <w:tcW w:w="7080" w:type="dxa"/>
            <w:noWrap w:val="0"/>
            <w:vAlign w:val="center"/>
          </w:tcPr>
          <w:p w14:paraId="1F1B62CA">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Cs/>
                <w:color w:val="auto"/>
                <w:sz w:val="21"/>
                <w:szCs w:val="21"/>
                <w:highlight w:val="none"/>
              </w:rPr>
              <w:t>支持对接体征采集设备的对接，采集患者体征，并在病历创建时自动引用体征数据，方便医生获取患者就诊信息</w:t>
            </w:r>
          </w:p>
        </w:tc>
      </w:tr>
      <w:tr w14:paraId="05F64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793" w:type="dxa"/>
            <w:vMerge w:val="continue"/>
            <w:noWrap w:val="0"/>
            <w:vAlign w:val="center"/>
          </w:tcPr>
          <w:p w14:paraId="24515578">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color w:val="auto"/>
                <w:kern w:val="0"/>
                <w:sz w:val="21"/>
                <w:szCs w:val="21"/>
                <w:highlight w:val="none"/>
              </w:rPr>
            </w:pPr>
          </w:p>
        </w:tc>
        <w:tc>
          <w:tcPr>
            <w:tcW w:w="1165" w:type="dxa"/>
            <w:noWrap w:val="0"/>
            <w:vAlign w:val="center"/>
          </w:tcPr>
          <w:p w14:paraId="3ADD1E3F">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1.29</w:t>
            </w:r>
          </w:p>
        </w:tc>
        <w:tc>
          <w:tcPr>
            <w:tcW w:w="7080" w:type="dxa"/>
            <w:noWrap w:val="0"/>
            <w:vAlign w:val="center"/>
          </w:tcPr>
          <w:p w14:paraId="560C2CA0">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bCs/>
                <w:color w:val="auto"/>
                <w:sz w:val="21"/>
                <w:szCs w:val="21"/>
                <w:highlight w:val="none"/>
              </w:rPr>
              <w:t>提供生命体征页面，既可以查看已采集的患者体征数据，也可手动补充体征数据；针对血糖、血酮提供趋势图分析患者体征数据变化情况</w:t>
            </w:r>
            <w:r>
              <w:rPr>
                <w:rFonts w:hint="eastAsia" w:ascii="宋体" w:hAnsi="宋体" w:eastAsia="宋体" w:cs="宋体"/>
                <w:bCs/>
                <w:color w:val="auto"/>
                <w:sz w:val="21"/>
                <w:szCs w:val="21"/>
                <w:highlight w:val="none"/>
                <w:lang w:eastAsia="zh-CN"/>
              </w:rPr>
              <w:t>。</w:t>
            </w:r>
          </w:p>
        </w:tc>
      </w:tr>
      <w:tr w14:paraId="34664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793" w:type="dxa"/>
            <w:vMerge w:val="continue"/>
            <w:noWrap w:val="0"/>
            <w:vAlign w:val="center"/>
          </w:tcPr>
          <w:p w14:paraId="0A544E2E">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color w:val="auto"/>
                <w:kern w:val="0"/>
                <w:sz w:val="21"/>
                <w:szCs w:val="21"/>
                <w:highlight w:val="none"/>
              </w:rPr>
            </w:pPr>
          </w:p>
        </w:tc>
        <w:tc>
          <w:tcPr>
            <w:tcW w:w="1165" w:type="dxa"/>
            <w:noWrap w:val="0"/>
            <w:vAlign w:val="center"/>
          </w:tcPr>
          <w:p w14:paraId="6ED7E969">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1.30</w:t>
            </w:r>
          </w:p>
        </w:tc>
        <w:tc>
          <w:tcPr>
            <w:tcW w:w="7080" w:type="dxa"/>
            <w:noWrap w:val="0"/>
            <w:vAlign w:val="center"/>
          </w:tcPr>
          <w:p w14:paraId="3839BE0F">
            <w:pPr>
              <w:keepNext w:val="0"/>
              <w:keepLines w:val="0"/>
              <w:pageBreakBefore w:val="0"/>
              <w:numPr>
                <w:ilvl w:val="0"/>
                <w:numId w:val="0"/>
              </w:numPr>
              <w:tabs>
                <w:tab w:val="left" w:pos="525"/>
                <w:tab w:val="left" w:pos="630"/>
              </w:tabs>
              <w:kinsoku/>
              <w:wordWrap/>
              <w:overflowPunct/>
              <w:topLinePunct w:val="0"/>
              <w:autoSpaceDE/>
              <w:autoSpaceDN/>
              <w:bidi w:val="0"/>
              <w:adjustRightInd w:val="0"/>
              <w:snapToGrid w:val="0"/>
              <w:spacing w:beforeAutospacing="0" w:afterAutospacing="0" w:line="360" w:lineRule="auto"/>
              <w:ind w:leftChars="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Cs/>
                <w:color w:val="auto"/>
                <w:sz w:val="21"/>
                <w:szCs w:val="21"/>
                <w:highlight w:val="none"/>
              </w:rPr>
              <w:t>支持发热患者自动触发发热病人登记。</w:t>
            </w:r>
          </w:p>
        </w:tc>
      </w:tr>
      <w:tr w14:paraId="0AB8F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4" w:hRule="atLeast"/>
        </w:trPr>
        <w:tc>
          <w:tcPr>
            <w:tcW w:w="1793" w:type="dxa"/>
            <w:vMerge w:val="continue"/>
            <w:noWrap w:val="0"/>
            <w:vAlign w:val="center"/>
          </w:tcPr>
          <w:p w14:paraId="3C589ACE">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color w:val="auto"/>
                <w:kern w:val="0"/>
                <w:sz w:val="21"/>
                <w:szCs w:val="21"/>
                <w:highlight w:val="none"/>
              </w:rPr>
            </w:pPr>
          </w:p>
        </w:tc>
        <w:tc>
          <w:tcPr>
            <w:tcW w:w="1165" w:type="dxa"/>
            <w:noWrap w:val="0"/>
            <w:vAlign w:val="center"/>
          </w:tcPr>
          <w:p w14:paraId="21933AB6">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1.31</w:t>
            </w:r>
          </w:p>
        </w:tc>
        <w:tc>
          <w:tcPr>
            <w:tcW w:w="7080" w:type="dxa"/>
            <w:noWrap w:val="0"/>
            <w:vAlign w:val="center"/>
          </w:tcPr>
          <w:p w14:paraId="793926C0">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bCs/>
                <w:color w:val="auto"/>
                <w:sz w:val="21"/>
                <w:szCs w:val="21"/>
                <w:highlight w:val="none"/>
              </w:rPr>
              <w:t>由医院协调互联网医院厂商提供接口，在互联网医院厂商配合的前提下，实现内嵌互联网医院的功能，增加互联网患者队列，出诊医师登录医生工作站默认开启线上问诊模式，在医生工作站能同步接诊互联网患者，内嵌互联网医院的问诊功能，实现医生工作站能同步接诊线上以及线下的患者。</w:t>
            </w:r>
          </w:p>
        </w:tc>
      </w:tr>
      <w:tr w14:paraId="0132C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793" w:type="dxa"/>
            <w:vMerge w:val="continue"/>
            <w:noWrap w:val="0"/>
            <w:vAlign w:val="center"/>
          </w:tcPr>
          <w:p w14:paraId="30F4A616">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color w:val="auto"/>
                <w:kern w:val="0"/>
                <w:sz w:val="21"/>
                <w:szCs w:val="21"/>
                <w:highlight w:val="none"/>
              </w:rPr>
            </w:pPr>
          </w:p>
        </w:tc>
        <w:tc>
          <w:tcPr>
            <w:tcW w:w="1165" w:type="dxa"/>
            <w:noWrap w:val="0"/>
            <w:vAlign w:val="center"/>
          </w:tcPr>
          <w:p w14:paraId="7D668BCF">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1.32</w:t>
            </w:r>
          </w:p>
        </w:tc>
        <w:tc>
          <w:tcPr>
            <w:tcW w:w="7080" w:type="dxa"/>
            <w:noWrap w:val="0"/>
            <w:vAlign w:val="center"/>
          </w:tcPr>
          <w:p w14:paraId="5B2E975D">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bCs/>
                <w:color w:val="auto"/>
                <w:sz w:val="21"/>
                <w:szCs w:val="21"/>
                <w:highlight w:val="none"/>
              </w:rPr>
            </w:pPr>
            <w:r>
              <w:rPr>
                <w:rStyle w:val="49"/>
                <w:rFonts w:hint="eastAsia" w:ascii="宋体" w:hAnsi="宋体" w:eastAsia="宋体" w:cs="宋体"/>
                <w:b w:val="0"/>
                <w:bCs/>
                <w:i w:val="0"/>
                <w:iCs w:val="0"/>
                <w:caps w:val="0"/>
                <w:color w:val="08090C"/>
                <w:spacing w:val="0"/>
                <w:kern w:val="0"/>
                <w:sz w:val="21"/>
                <w:szCs w:val="21"/>
                <w:highlight w:val="none"/>
                <w:lang w:val="en-US" w:eastAsia="zh-CN" w:bidi="ar"/>
              </w:rPr>
              <w:t>界面与引导：</w:t>
            </w:r>
            <w:r>
              <w:rPr>
                <w:rFonts w:hint="eastAsia" w:ascii="宋体" w:hAnsi="宋体" w:eastAsia="宋体" w:cs="宋体"/>
                <w:b w:val="0"/>
                <w:i w:val="0"/>
                <w:iCs w:val="0"/>
                <w:caps w:val="0"/>
                <w:color w:val="08090C"/>
                <w:spacing w:val="0"/>
                <w:kern w:val="0"/>
                <w:sz w:val="21"/>
                <w:szCs w:val="21"/>
                <w:highlight w:val="none"/>
                <w:lang w:val="en-US" w:eastAsia="zh-CN" w:bidi="ar"/>
              </w:rPr>
              <w:t>首次使用时应提供更直观的引导教程或动画演示，尤其是对老年患者。界面应支持字体大小调节、高对比度模式，支持一键切换“大字体/高对比度”模式，并具备全流程数字导诊员语音引导，提升无障碍访问能力。</w:t>
            </w:r>
          </w:p>
        </w:tc>
      </w:tr>
      <w:tr w14:paraId="6BFE6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1793" w:type="dxa"/>
            <w:vMerge w:val="continue"/>
            <w:noWrap w:val="0"/>
            <w:vAlign w:val="center"/>
          </w:tcPr>
          <w:p w14:paraId="162382F8">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color w:val="auto"/>
                <w:kern w:val="0"/>
                <w:sz w:val="21"/>
                <w:szCs w:val="21"/>
                <w:highlight w:val="none"/>
              </w:rPr>
            </w:pPr>
          </w:p>
        </w:tc>
        <w:tc>
          <w:tcPr>
            <w:tcW w:w="1165" w:type="dxa"/>
            <w:noWrap w:val="0"/>
            <w:vAlign w:val="center"/>
          </w:tcPr>
          <w:p w14:paraId="10BE9710">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1.33</w:t>
            </w:r>
          </w:p>
        </w:tc>
        <w:tc>
          <w:tcPr>
            <w:tcW w:w="7080" w:type="dxa"/>
            <w:noWrap w:val="0"/>
            <w:vAlign w:val="center"/>
          </w:tcPr>
          <w:p w14:paraId="153CB303">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bCs/>
                <w:color w:val="auto"/>
                <w:sz w:val="21"/>
                <w:szCs w:val="21"/>
                <w:highlight w:val="none"/>
              </w:rPr>
            </w:pPr>
            <w:r>
              <w:rPr>
                <w:rStyle w:val="49"/>
                <w:rFonts w:hint="eastAsia" w:ascii="宋体" w:hAnsi="宋体" w:eastAsia="宋体" w:cs="宋体"/>
                <w:b w:val="0"/>
                <w:bCs/>
                <w:i w:val="0"/>
                <w:iCs w:val="0"/>
                <w:caps w:val="0"/>
                <w:color w:val="08090C"/>
                <w:spacing w:val="0"/>
                <w:kern w:val="0"/>
                <w:sz w:val="21"/>
                <w:szCs w:val="21"/>
                <w:highlight w:val="none"/>
                <w:lang w:val="en-US" w:eastAsia="zh-CN" w:bidi="ar"/>
              </w:rPr>
              <w:t>隐私与安全感：</w:t>
            </w:r>
            <w:r>
              <w:rPr>
                <w:rFonts w:hint="eastAsia" w:ascii="宋体" w:hAnsi="宋体" w:eastAsia="宋体" w:cs="宋体"/>
                <w:b w:val="0"/>
                <w:i w:val="0"/>
                <w:iCs w:val="0"/>
                <w:caps w:val="0"/>
                <w:color w:val="08090C"/>
                <w:spacing w:val="0"/>
                <w:kern w:val="0"/>
                <w:sz w:val="21"/>
                <w:szCs w:val="21"/>
                <w:highlight w:val="none"/>
                <w:lang w:val="en-US" w:eastAsia="zh-CN" w:bidi="ar"/>
              </w:rPr>
              <w:t>在问诊开始前明确告知患者数据用途、存储方式和隐私保护措施，显著标注“AI 生成内容仅供参考，不作为诊断依据”免责声明，并由患者勾选确认。</w:t>
            </w:r>
          </w:p>
        </w:tc>
      </w:tr>
      <w:tr w14:paraId="659C3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793" w:type="dxa"/>
            <w:vMerge w:val="continue"/>
            <w:noWrap w:val="0"/>
            <w:vAlign w:val="center"/>
          </w:tcPr>
          <w:p w14:paraId="078A3C99">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color w:val="auto"/>
                <w:kern w:val="0"/>
                <w:sz w:val="21"/>
                <w:szCs w:val="21"/>
                <w:highlight w:val="none"/>
              </w:rPr>
            </w:pPr>
          </w:p>
        </w:tc>
        <w:tc>
          <w:tcPr>
            <w:tcW w:w="1165" w:type="dxa"/>
            <w:noWrap w:val="0"/>
            <w:vAlign w:val="center"/>
          </w:tcPr>
          <w:p w14:paraId="15CE2718">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1.34</w:t>
            </w:r>
          </w:p>
        </w:tc>
        <w:tc>
          <w:tcPr>
            <w:tcW w:w="7080" w:type="dxa"/>
            <w:noWrap w:val="0"/>
            <w:vAlign w:val="center"/>
          </w:tcPr>
          <w:p w14:paraId="2CA5E55C">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bCs/>
                <w:color w:val="auto"/>
                <w:sz w:val="21"/>
                <w:szCs w:val="21"/>
                <w:highlight w:val="none"/>
              </w:rPr>
            </w:pPr>
            <w:r>
              <w:rPr>
                <w:rStyle w:val="49"/>
                <w:rFonts w:hint="eastAsia" w:ascii="宋体" w:hAnsi="宋体" w:eastAsia="宋体" w:cs="宋体"/>
                <w:b w:val="0"/>
                <w:bCs/>
                <w:i w:val="0"/>
                <w:iCs w:val="0"/>
                <w:caps w:val="0"/>
                <w:color w:val="08090C"/>
                <w:spacing w:val="0"/>
                <w:kern w:val="0"/>
                <w:sz w:val="21"/>
                <w:szCs w:val="21"/>
                <w:highlight w:val="none"/>
                <w:lang w:val="en-US" w:eastAsia="zh-CN" w:bidi="ar"/>
              </w:rPr>
              <w:t>反馈机制：</w:t>
            </w:r>
            <w:r>
              <w:rPr>
                <w:rFonts w:hint="eastAsia" w:ascii="宋体" w:hAnsi="宋体" w:eastAsia="宋体" w:cs="宋体"/>
                <w:b w:val="0"/>
                <w:i w:val="0"/>
                <w:iCs w:val="0"/>
                <w:caps w:val="0"/>
                <w:color w:val="08090C"/>
                <w:spacing w:val="0"/>
                <w:kern w:val="0"/>
                <w:sz w:val="21"/>
                <w:szCs w:val="21"/>
                <w:highlight w:val="none"/>
                <w:lang w:val="en-US" w:eastAsia="zh-CN" w:bidi="ar"/>
              </w:rPr>
              <w:t>问诊结束后邀请患者对本次预问诊体验进行评价，便于持续优化。提供“一键求助”入口，如遇到系统问题可直接联系客服。</w:t>
            </w:r>
          </w:p>
        </w:tc>
      </w:tr>
      <w:tr w14:paraId="07572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1793" w:type="dxa"/>
            <w:vMerge w:val="continue"/>
            <w:noWrap w:val="0"/>
            <w:vAlign w:val="center"/>
          </w:tcPr>
          <w:p w14:paraId="472F9F26">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color w:val="auto"/>
                <w:kern w:val="0"/>
                <w:sz w:val="21"/>
                <w:szCs w:val="21"/>
                <w:highlight w:val="none"/>
              </w:rPr>
            </w:pPr>
          </w:p>
        </w:tc>
        <w:tc>
          <w:tcPr>
            <w:tcW w:w="1165" w:type="dxa"/>
            <w:noWrap w:val="0"/>
            <w:vAlign w:val="center"/>
          </w:tcPr>
          <w:p w14:paraId="1A61670B">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1.35</w:t>
            </w:r>
          </w:p>
        </w:tc>
        <w:tc>
          <w:tcPr>
            <w:tcW w:w="7080" w:type="dxa"/>
            <w:noWrap w:val="0"/>
            <w:vAlign w:val="center"/>
          </w:tcPr>
          <w:p w14:paraId="352CDBBD">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bCs/>
                <w:color w:val="auto"/>
                <w:sz w:val="21"/>
                <w:szCs w:val="21"/>
                <w:highlight w:val="none"/>
              </w:rPr>
            </w:pPr>
            <w:r>
              <w:rPr>
                <w:rStyle w:val="49"/>
                <w:rFonts w:hint="eastAsia" w:ascii="宋体" w:hAnsi="宋体" w:eastAsia="宋体" w:cs="宋体"/>
                <w:b w:val="0"/>
                <w:bCs/>
                <w:i w:val="0"/>
                <w:iCs w:val="0"/>
                <w:caps w:val="0"/>
                <w:color w:val="08090C"/>
                <w:spacing w:val="0"/>
                <w:kern w:val="0"/>
                <w:sz w:val="21"/>
                <w:szCs w:val="21"/>
                <w:highlight w:val="none"/>
                <w:lang w:val="en-US" w:eastAsia="zh-CN" w:bidi="ar"/>
              </w:rPr>
              <w:t>离线支持：</w:t>
            </w:r>
            <w:r>
              <w:rPr>
                <w:rFonts w:hint="eastAsia" w:ascii="宋体" w:hAnsi="宋体" w:eastAsia="宋体" w:cs="宋体"/>
                <w:b w:val="0"/>
                <w:i w:val="0"/>
                <w:iCs w:val="0"/>
                <w:caps w:val="0"/>
                <w:color w:val="08090C"/>
                <w:spacing w:val="0"/>
                <w:kern w:val="0"/>
                <w:sz w:val="21"/>
                <w:szCs w:val="21"/>
                <w:highlight w:val="none"/>
                <w:lang w:val="en-US" w:eastAsia="zh-CN" w:bidi="ar"/>
              </w:rPr>
              <w:t>允许部分功能在弱网环境下使用（如下载模板、查看历史记录）。</w:t>
            </w:r>
          </w:p>
        </w:tc>
      </w:tr>
      <w:tr w14:paraId="2CC32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1793" w:type="dxa"/>
            <w:vMerge w:val="continue"/>
            <w:noWrap w:val="0"/>
            <w:vAlign w:val="center"/>
          </w:tcPr>
          <w:p w14:paraId="73BEAC80">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color w:val="auto"/>
                <w:kern w:val="0"/>
                <w:sz w:val="21"/>
                <w:szCs w:val="21"/>
                <w:highlight w:val="none"/>
              </w:rPr>
            </w:pPr>
          </w:p>
        </w:tc>
        <w:tc>
          <w:tcPr>
            <w:tcW w:w="1165" w:type="dxa"/>
            <w:noWrap w:val="0"/>
            <w:vAlign w:val="center"/>
          </w:tcPr>
          <w:p w14:paraId="781A420C">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1.36</w:t>
            </w:r>
          </w:p>
        </w:tc>
        <w:tc>
          <w:tcPr>
            <w:tcW w:w="7080" w:type="dxa"/>
            <w:noWrap w:val="0"/>
            <w:vAlign w:val="center"/>
          </w:tcPr>
          <w:p w14:paraId="0C02BF55">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bCs/>
                <w:color w:val="auto"/>
                <w:sz w:val="21"/>
                <w:szCs w:val="21"/>
                <w:highlight w:val="none"/>
              </w:rPr>
            </w:pPr>
            <w:r>
              <w:rPr>
                <w:rStyle w:val="49"/>
                <w:rFonts w:hint="eastAsia" w:ascii="宋体" w:hAnsi="宋体" w:eastAsia="宋体" w:cs="宋体"/>
                <w:b w:val="0"/>
                <w:bCs/>
                <w:i w:val="0"/>
                <w:iCs w:val="0"/>
                <w:caps w:val="0"/>
                <w:color w:val="08090C"/>
                <w:spacing w:val="0"/>
                <w:kern w:val="0"/>
                <w:sz w:val="21"/>
                <w:szCs w:val="21"/>
                <w:highlight w:val="none"/>
                <w:lang w:val="en-US" w:eastAsia="zh-CN" w:bidi="ar"/>
              </w:rPr>
              <w:t>家庭账号支持：</w:t>
            </w:r>
            <w:r>
              <w:rPr>
                <w:rFonts w:hint="eastAsia" w:ascii="宋体" w:hAnsi="宋体" w:eastAsia="宋体" w:cs="宋体"/>
                <w:b w:val="0"/>
                <w:i w:val="0"/>
                <w:iCs w:val="0"/>
                <w:caps w:val="0"/>
                <w:color w:val="08090C"/>
                <w:spacing w:val="0"/>
                <w:kern w:val="0"/>
                <w:sz w:val="21"/>
                <w:szCs w:val="21"/>
                <w:highlight w:val="none"/>
                <w:lang w:val="en-US" w:eastAsia="zh-CN" w:bidi="ar"/>
              </w:rPr>
              <w:t>支持为老人或儿童创建家庭账号，由家属协助完成预问诊。</w:t>
            </w:r>
          </w:p>
        </w:tc>
      </w:tr>
      <w:tr w14:paraId="7423F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1793" w:type="dxa"/>
            <w:vMerge w:val="continue"/>
            <w:noWrap w:val="0"/>
            <w:vAlign w:val="center"/>
          </w:tcPr>
          <w:p w14:paraId="3EB4E421">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color w:val="auto"/>
                <w:kern w:val="0"/>
                <w:sz w:val="21"/>
                <w:szCs w:val="21"/>
                <w:highlight w:val="none"/>
              </w:rPr>
            </w:pPr>
          </w:p>
        </w:tc>
        <w:tc>
          <w:tcPr>
            <w:tcW w:w="1165" w:type="dxa"/>
            <w:noWrap w:val="0"/>
            <w:vAlign w:val="center"/>
          </w:tcPr>
          <w:p w14:paraId="432C8193">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1.37</w:t>
            </w:r>
          </w:p>
        </w:tc>
        <w:tc>
          <w:tcPr>
            <w:tcW w:w="7080" w:type="dxa"/>
            <w:noWrap w:val="0"/>
            <w:vAlign w:val="center"/>
          </w:tcPr>
          <w:p w14:paraId="5C3A394B">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bCs/>
                <w:color w:val="auto"/>
                <w:sz w:val="21"/>
                <w:szCs w:val="21"/>
                <w:highlight w:val="none"/>
              </w:rPr>
            </w:pPr>
            <w:r>
              <w:rPr>
                <w:rStyle w:val="49"/>
                <w:rFonts w:hint="eastAsia" w:ascii="宋体" w:hAnsi="宋体" w:eastAsia="宋体" w:cs="宋体"/>
                <w:b w:val="0"/>
                <w:bCs/>
                <w:i w:val="0"/>
                <w:iCs w:val="0"/>
                <w:caps w:val="0"/>
                <w:color w:val="08090C"/>
                <w:spacing w:val="0"/>
                <w:kern w:val="0"/>
                <w:sz w:val="21"/>
                <w:szCs w:val="21"/>
                <w:highlight w:val="none"/>
                <w:lang w:val="en-US" w:eastAsia="zh-CN" w:bidi="ar"/>
              </w:rPr>
              <w:t>多语言支持：</w:t>
            </w:r>
            <w:r>
              <w:rPr>
                <w:rFonts w:hint="eastAsia" w:ascii="宋体" w:hAnsi="宋体" w:eastAsia="宋体" w:cs="宋体"/>
                <w:b w:val="0"/>
                <w:i w:val="0"/>
                <w:iCs w:val="0"/>
                <w:caps w:val="0"/>
                <w:color w:val="08090C"/>
                <w:spacing w:val="0"/>
                <w:kern w:val="0"/>
                <w:sz w:val="21"/>
                <w:szCs w:val="21"/>
                <w:highlight w:val="none"/>
                <w:lang w:val="en-US" w:eastAsia="zh-CN" w:bidi="ar"/>
              </w:rPr>
              <w:t>针对外籍患者或少数民族患者，提供多语言问诊界面和语音支持。</w:t>
            </w:r>
          </w:p>
        </w:tc>
      </w:tr>
      <w:tr w14:paraId="4CDDA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1793" w:type="dxa"/>
            <w:vMerge w:val="continue"/>
            <w:noWrap w:val="0"/>
            <w:vAlign w:val="center"/>
          </w:tcPr>
          <w:p w14:paraId="2F4A8FC5">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color w:val="auto"/>
                <w:kern w:val="0"/>
                <w:sz w:val="21"/>
                <w:szCs w:val="21"/>
                <w:highlight w:val="none"/>
              </w:rPr>
            </w:pPr>
          </w:p>
        </w:tc>
        <w:tc>
          <w:tcPr>
            <w:tcW w:w="1165" w:type="dxa"/>
            <w:shd w:val="clear" w:color="auto" w:fill="auto"/>
            <w:noWrap w:val="0"/>
            <w:vAlign w:val="center"/>
          </w:tcPr>
          <w:p w14:paraId="7077CDFC">
            <w:pPr>
              <w:widowControl/>
              <w:jc w:val="left"/>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1.38</w:t>
            </w:r>
          </w:p>
        </w:tc>
        <w:tc>
          <w:tcPr>
            <w:tcW w:w="7080" w:type="dxa"/>
            <w:shd w:val="clear" w:color="auto" w:fill="auto"/>
            <w:noWrap w:val="0"/>
            <w:vAlign w:val="center"/>
          </w:tcPr>
          <w:p w14:paraId="39C545D4">
            <w:pPr>
              <w:widowControl/>
              <w:rPr>
                <w:rFonts w:hint="eastAsia" w:ascii="宋体" w:hAnsi="宋体" w:eastAsia="宋体" w:cs="宋体"/>
                <w:b w:val="0"/>
                <w:bCs/>
                <w:i w:val="0"/>
                <w:iCs w:val="0"/>
                <w:caps w:val="0"/>
                <w:color w:val="08090C"/>
                <w:spacing w:val="0"/>
                <w:kern w:val="0"/>
                <w:sz w:val="21"/>
                <w:szCs w:val="21"/>
                <w:highlight w:val="none"/>
                <w:lang w:val="en-US" w:eastAsia="zh-CN" w:bidi="ar"/>
              </w:rPr>
            </w:pPr>
            <w:r>
              <w:rPr>
                <w:rStyle w:val="49"/>
                <w:rFonts w:hint="eastAsia" w:ascii="宋体" w:hAnsi="宋体" w:eastAsia="宋体" w:cs="宋体"/>
                <w:b w:val="0"/>
                <w:bCs/>
                <w:i w:val="0"/>
                <w:iCs w:val="0"/>
                <w:caps w:val="0"/>
                <w:color w:val="08090C"/>
                <w:spacing w:val="0"/>
                <w:kern w:val="0"/>
                <w:sz w:val="21"/>
                <w:szCs w:val="21"/>
                <w:highlight w:val="none"/>
                <w:lang w:val="en-US" w:eastAsia="zh-CN" w:bidi="ar"/>
              </w:rPr>
              <w:t>并发处理：支持至少500人同时在线问诊，系统响应延迟</w:t>
            </w:r>
            <w:r>
              <w:rPr>
                <w:rStyle w:val="49"/>
                <w:rFonts w:hint="default" w:ascii="Arial" w:hAnsi="Arial" w:eastAsia="宋体" w:cs="Arial"/>
                <w:b w:val="0"/>
                <w:bCs/>
                <w:i w:val="0"/>
                <w:iCs w:val="0"/>
                <w:caps w:val="0"/>
                <w:color w:val="08090C"/>
                <w:spacing w:val="0"/>
                <w:kern w:val="0"/>
                <w:sz w:val="21"/>
                <w:szCs w:val="21"/>
                <w:highlight w:val="none"/>
                <w:lang w:val="en-US" w:eastAsia="zh-CN" w:bidi="ar"/>
              </w:rPr>
              <w:t>≤</w:t>
            </w:r>
            <w:r>
              <w:rPr>
                <w:rStyle w:val="49"/>
                <w:rFonts w:hint="eastAsia" w:ascii="宋体" w:hAnsi="宋体" w:eastAsia="宋体" w:cs="宋体"/>
                <w:b w:val="0"/>
                <w:bCs/>
                <w:i w:val="0"/>
                <w:iCs w:val="0"/>
                <w:caps w:val="0"/>
                <w:color w:val="08090C"/>
                <w:spacing w:val="0"/>
                <w:kern w:val="0"/>
                <w:sz w:val="21"/>
                <w:szCs w:val="21"/>
                <w:highlight w:val="none"/>
                <w:lang w:val="en-US" w:eastAsia="zh-CN" w:bidi="ar"/>
              </w:rPr>
              <w:t>2秒。</w:t>
            </w:r>
          </w:p>
        </w:tc>
      </w:tr>
      <w:tr w14:paraId="109C6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1793" w:type="dxa"/>
            <w:vMerge w:val="continue"/>
            <w:noWrap w:val="0"/>
            <w:vAlign w:val="center"/>
          </w:tcPr>
          <w:p w14:paraId="1565FA23">
            <w:pPr>
              <w:keepNext w:val="0"/>
              <w:keepLines w:val="0"/>
              <w:pageBreakBefore w:val="0"/>
              <w:widowControl/>
              <w:kinsoku/>
              <w:wordWrap/>
              <w:overflowPunct/>
              <w:topLinePunct w:val="0"/>
              <w:autoSpaceDE/>
              <w:autoSpaceDN/>
              <w:bidi w:val="0"/>
              <w:adjustRightInd w:val="0"/>
              <w:snapToGrid w:val="0"/>
              <w:spacing w:beforeAutospacing="0" w:afterAutospacing="0" w:line="360" w:lineRule="auto"/>
              <w:jc w:val="left"/>
              <w:textAlignment w:val="auto"/>
              <w:rPr>
                <w:rFonts w:hint="eastAsia" w:ascii="宋体" w:hAnsi="宋体" w:eastAsia="宋体" w:cs="宋体"/>
                <w:color w:val="auto"/>
                <w:kern w:val="0"/>
                <w:sz w:val="21"/>
                <w:szCs w:val="21"/>
                <w:highlight w:val="none"/>
              </w:rPr>
            </w:pPr>
          </w:p>
        </w:tc>
        <w:tc>
          <w:tcPr>
            <w:tcW w:w="1165" w:type="dxa"/>
            <w:shd w:val="clear" w:color="auto" w:fill="auto"/>
            <w:noWrap w:val="0"/>
            <w:vAlign w:val="center"/>
          </w:tcPr>
          <w:p w14:paraId="429F33CC">
            <w:pPr>
              <w:widowControl/>
              <w:jc w:val="left"/>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1.39</w:t>
            </w:r>
          </w:p>
        </w:tc>
        <w:tc>
          <w:tcPr>
            <w:tcW w:w="7080" w:type="dxa"/>
            <w:shd w:val="clear" w:color="auto" w:fill="auto"/>
            <w:noWrap w:val="0"/>
            <w:vAlign w:val="center"/>
          </w:tcPr>
          <w:p w14:paraId="522D1BCD">
            <w:pPr>
              <w:widowControl/>
              <w:rPr>
                <w:rFonts w:hint="eastAsia" w:ascii="宋体" w:hAnsi="宋体" w:eastAsia="宋体" w:cs="宋体"/>
                <w:b w:val="0"/>
                <w:bCs/>
                <w:i w:val="0"/>
                <w:iCs w:val="0"/>
                <w:caps w:val="0"/>
                <w:color w:val="08090C"/>
                <w:spacing w:val="0"/>
                <w:kern w:val="0"/>
                <w:sz w:val="21"/>
                <w:szCs w:val="21"/>
                <w:highlight w:val="none"/>
                <w:lang w:val="en-US" w:eastAsia="zh-CN" w:bidi="ar"/>
              </w:rPr>
            </w:pPr>
            <w:r>
              <w:rPr>
                <w:rStyle w:val="49"/>
                <w:rFonts w:hint="eastAsia" w:ascii="宋体" w:hAnsi="宋体" w:eastAsia="宋体" w:cs="宋体"/>
                <w:b w:val="0"/>
                <w:bCs/>
                <w:i w:val="0"/>
                <w:iCs w:val="0"/>
                <w:caps w:val="0"/>
                <w:color w:val="08090C"/>
                <w:spacing w:val="0"/>
                <w:kern w:val="0"/>
                <w:sz w:val="21"/>
                <w:szCs w:val="21"/>
                <w:highlight w:val="none"/>
                <w:lang w:val="en-US" w:eastAsia="zh-CN" w:bidi="ar"/>
              </w:rPr>
              <w:t>数据安全：支持医院内网私有化部署，系统架构需符合国家网络安全等级保护三级（等保三级）标准。</w:t>
            </w:r>
          </w:p>
        </w:tc>
      </w:tr>
      <w:tr w14:paraId="189A0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1793" w:type="dxa"/>
            <w:vMerge w:val="restart"/>
            <w:shd w:val="clear" w:color="auto" w:fill="auto"/>
            <w:noWrap w:val="0"/>
            <w:vAlign w:val="center"/>
          </w:tcPr>
          <w:p w14:paraId="7ADCD01D">
            <w:pPr>
              <w:widowControl/>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其他技术需求</w:t>
            </w:r>
          </w:p>
        </w:tc>
        <w:tc>
          <w:tcPr>
            <w:tcW w:w="1165" w:type="dxa"/>
            <w:shd w:val="clear" w:color="auto" w:fill="auto"/>
            <w:noWrap w:val="0"/>
            <w:vAlign w:val="center"/>
          </w:tcPr>
          <w:p w14:paraId="6566F4D1">
            <w:pPr>
              <w:widowControl/>
              <w:jc w:val="left"/>
              <w:rPr>
                <w:rFonts w:hint="default"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2.1</w:t>
            </w:r>
          </w:p>
        </w:tc>
        <w:tc>
          <w:tcPr>
            <w:tcW w:w="7080" w:type="dxa"/>
            <w:shd w:val="clear" w:color="auto" w:fill="auto"/>
            <w:noWrap w:val="0"/>
            <w:vAlign w:val="center"/>
          </w:tcPr>
          <w:p w14:paraId="787B3D56">
            <w:pPr>
              <w:rPr>
                <w:rFonts w:hint="eastAsia" w:ascii="宋体" w:hAnsi="宋体" w:eastAsia="宋体" w:cs="宋体"/>
                <w:color w:val="08090C"/>
                <w:kern w:val="0"/>
                <w:sz w:val="21"/>
                <w:szCs w:val="21"/>
                <w:highlight w:val="none"/>
                <w:lang w:bidi="ar"/>
              </w:rPr>
            </w:pPr>
            <w:r>
              <w:rPr>
                <w:rFonts w:hint="eastAsia" w:ascii="宋体" w:hAnsi="宋体" w:eastAsia="宋体" w:cs="宋体"/>
                <w:color w:val="08090C"/>
                <w:kern w:val="0"/>
                <w:sz w:val="21"/>
                <w:szCs w:val="21"/>
                <w:highlight w:val="none"/>
                <w:lang w:val="en-US" w:eastAsia="zh-CN" w:bidi="ar"/>
              </w:rPr>
              <w:t>对接门诊医生站、公众号、自助机及EMR系统</w:t>
            </w:r>
            <w:r>
              <w:rPr>
                <w:rFonts w:hint="eastAsia" w:ascii="宋体" w:hAnsi="宋体" w:eastAsia="宋体" w:cs="宋体"/>
                <w:color w:val="08090C"/>
                <w:kern w:val="0"/>
                <w:sz w:val="21"/>
                <w:szCs w:val="21"/>
                <w:highlight w:val="none"/>
                <w:lang w:bidi="ar"/>
              </w:rPr>
              <w:t>。</w:t>
            </w:r>
          </w:p>
          <w:p w14:paraId="3FA7FDD8">
            <w:pPr>
              <w:widowControl/>
              <w:rPr>
                <w:rFonts w:hint="eastAsia" w:ascii="宋体" w:hAnsi="宋体" w:eastAsia="宋体" w:cs="宋体"/>
                <w:i w:val="0"/>
                <w:iCs w:val="0"/>
                <w:caps w:val="0"/>
                <w:color w:val="08090C"/>
                <w:spacing w:val="0"/>
                <w:kern w:val="0"/>
                <w:sz w:val="21"/>
                <w:szCs w:val="21"/>
                <w:highlight w:val="none"/>
                <w:shd w:val="clear" w:color="auto" w:fill="auto"/>
                <w:lang w:bidi="ar"/>
              </w:rPr>
            </w:pPr>
            <w:r>
              <w:rPr>
                <w:rStyle w:val="49"/>
                <w:rFonts w:hint="eastAsia" w:ascii="宋体" w:hAnsi="宋体" w:eastAsia="宋体" w:cs="宋体"/>
                <w:b w:val="0"/>
                <w:bCs w:val="0"/>
                <w:i w:val="0"/>
                <w:iCs w:val="0"/>
                <w:caps w:val="0"/>
                <w:color w:val="08090C"/>
                <w:spacing w:val="0"/>
                <w:kern w:val="0"/>
                <w:sz w:val="21"/>
                <w:szCs w:val="21"/>
                <w:highlight w:val="none"/>
                <w:shd w:val="clear" w:color="auto" w:fill="auto"/>
                <w:lang w:bidi="ar"/>
              </w:rPr>
              <w:t>患者统一主索引：</w:t>
            </w:r>
            <w:r>
              <w:rPr>
                <w:rFonts w:hint="eastAsia" w:ascii="宋体" w:hAnsi="宋体" w:eastAsia="宋体" w:cs="宋体"/>
                <w:i w:val="0"/>
                <w:iCs w:val="0"/>
                <w:caps w:val="0"/>
                <w:color w:val="08090C"/>
                <w:spacing w:val="0"/>
                <w:kern w:val="0"/>
                <w:sz w:val="21"/>
                <w:szCs w:val="21"/>
                <w:highlight w:val="none"/>
                <w:shd w:val="clear" w:color="auto" w:fill="auto"/>
                <w:lang w:bidi="ar"/>
              </w:rPr>
              <w:t>确保患者身份唯一识别。</w:t>
            </w:r>
          </w:p>
          <w:p w14:paraId="70BD4979">
            <w:pPr>
              <w:widowControl/>
              <w:rPr>
                <w:rStyle w:val="49"/>
                <w:rFonts w:hint="eastAsia" w:ascii="宋体" w:hAnsi="宋体" w:eastAsia="宋体" w:cs="宋体"/>
                <w:b w:val="0"/>
                <w:bCs/>
                <w:i w:val="0"/>
                <w:iCs w:val="0"/>
                <w:caps w:val="0"/>
                <w:color w:val="08090C"/>
                <w:spacing w:val="0"/>
                <w:kern w:val="0"/>
                <w:sz w:val="21"/>
                <w:szCs w:val="21"/>
                <w:highlight w:val="none"/>
                <w:lang w:val="en-US" w:eastAsia="zh-CN" w:bidi="ar"/>
              </w:rPr>
            </w:pPr>
            <w:r>
              <w:rPr>
                <w:rStyle w:val="49"/>
                <w:rFonts w:hint="eastAsia" w:ascii="宋体" w:hAnsi="宋体" w:eastAsia="宋体" w:cs="宋体"/>
                <w:b w:val="0"/>
                <w:bCs w:val="0"/>
                <w:i w:val="0"/>
                <w:iCs w:val="0"/>
                <w:caps w:val="0"/>
                <w:color w:val="08090C"/>
                <w:spacing w:val="0"/>
                <w:kern w:val="0"/>
                <w:sz w:val="21"/>
                <w:szCs w:val="21"/>
                <w:highlight w:val="none"/>
                <w:shd w:val="clear" w:color="auto" w:fill="auto"/>
                <w:lang w:bidi="ar"/>
              </w:rPr>
              <w:t>单点登录系统：</w:t>
            </w:r>
            <w:r>
              <w:rPr>
                <w:rFonts w:hint="eastAsia" w:ascii="宋体" w:hAnsi="宋体" w:eastAsia="宋体" w:cs="宋体"/>
                <w:i w:val="0"/>
                <w:iCs w:val="0"/>
                <w:caps w:val="0"/>
                <w:color w:val="08090C"/>
                <w:spacing w:val="0"/>
                <w:kern w:val="0"/>
                <w:sz w:val="21"/>
                <w:szCs w:val="21"/>
                <w:highlight w:val="none"/>
                <w:shd w:val="clear" w:color="auto" w:fill="auto"/>
                <w:lang w:bidi="ar"/>
              </w:rPr>
              <w:t>实现医生一站式登录。</w:t>
            </w:r>
          </w:p>
        </w:tc>
      </w:tr>
      <w:tr w14:paraId="0EC1E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1793" w:type="dxa"/>
            <w:vMerge w:val="continue"/>
            <w:shd w:val="clear" w:color="auto" w:fill="auto"/>
            <w:noWrap w:val="0"/>
            <w:vAlign w:val="center"/>
          </w:tcPr>
          <w:p w14:paraId="7227EB1C">
            <w:pPr>
              <w:widowControl/>
              <w:rPr>
                <w:rFonts w:hint="eastAsia" w:ascii="宋体" w:hAnsi="宋体" w:eastAsia="宋体" w:cs="宋体"/>
                <w:color w:val="auto"/>
                <w:kern w:val="0"/>
                <w:sz w:val="21"/>
                <w:szCs w:val="21"/>
                <w:highlight w:val="none"/>
              </w:rPr>
            </w:pPr>
          </w:p>
        </w:tc>
        <w:tc>
          <w:tcPr>
            <w:tcW w:w="1165" w:type="dxa"/>
            <w:shd w:val="clear" w:color="auto" w:fill="auto"/>
            <w:noWrap w:val="0"/>
            <w:vAlign w:val="center"/>
          </w:tcPr>
          <w:p w14:paraId="4AAB7190">
            <w:pPr>
              <w:widowControl/>
              <w:jc w:val="left"/>
              <w:rPr>
                <w:rFonts w:hint="default"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rPr>
              <w:t>2.2</w:t>
            </w:r>
          </w:p>
        </w:tc>
        <w:tc>
          <w:tcPr>
            <w:tcW w:w="7080" w:type="dxa"/>
            <w:shd w:val="clear" w:color="auto" w:fill="auto"/>
            <w:noWrap w:val="0"/>
            <w:vAlign w:val="center"/>
          </w:tcPr>
          <w:p w14:paraId="0FED6EED">
            <w:pPr>
              <w:widowControl/>
              <w:rPr>
                <w:rFonts w:hint="eastAsia" w:ascii="宋体" w:hAnsi="宋体" w:eastAsia="宋体" w:cs="宋体"/>
                <w:b w:val="0"/>
                <w:bCs/>
                <w:i w:val="0"/>
                <w:iCs w:val="0"/>
                <w:caps w:val="0"/>
                <w:color w:val="08090C"/>
                <w:spacing w:val="0"/>
                <w:kern w:val="0"/>
                <w:sz w:val="21"/>
                <w:szCs w:val="21"/>
                <w:highlight w:val="none"/>
                <w:lang w:val="en-US" w:eastAsia="zh-CN" w:bidi="ar"/>
              </w:rPr>
            </w:pPr>
            <w:r>
              <w:rPr>
                <w:rFonts w:hint="eastAsia" w:ascii="宋体" w:hAnsi="宋体" w:eastAsia="宋体" w:cs="宋体"/>
                <w:color w:val="auto"/>
                <w:kern w:val="0"/>
                <w:sz w:val="21"/>
                <w:szCs w:val="21"/>
                <w:highlight w:val="none"/>
              </w:rPr>
              <w:t>提供至少2轮全院医生操作培训，并安排技术人员在上线</w:t>
            </w:r>
            <w:r>
              <w:rPr>
                <w:rFonts w:hint="eastAsia" w:ascii="宋体" w:hAnsi="宋体" w:eastAsia="宋体" w:cs="宋体"/>
                <w:color w:val="auto"/>
                <w:kern w:val="0"/>
                <w:sz w:val="21"/>
                <w:szCs w:val="21"/>
                <w:highlight w:val="none"/>
                <w:lang w:val="en-US" w:eastAsia="zh-CN"/>
              </w:rPr>
              <w:t>期间</w:t>
            </w:r>
            <w:r>
              <w:rPr>
                <w:rFonts w:hint="eastAsia" w:ascii="宋体" w:hAnsi="宋体" w:eastAsia="宋体" w:cs="宋体"/>
                <w:color w:val="auto"/>
                <w:kern w:val="0"/>
                <w:sz w:val="21"/>
                <w:szCs w:val="21"/>
                <w:highlight w:val="none"/>
              </w:rPr>
              <w:t>进行现场驻场支持。</w:t>
            </w:r>
          </w:p>
        </w:tc>
      </w:tr>
    </w:tbl>
    <w:p w14:paraId="618C377E">
      <w:pPr>
        <w:pStyle w:val="58"/>
        <w:ind w:firstLine="0" w:firstLineChars="0"/>
        <w:rPr>
          <w:rFonts w:hint="eastAsia" w:ascii="宋体" w:hAnsi="宋体" w:eastAsia="宋体" w:cs="宋体"/>
          <w:b/>
          <w:bCs/>
          <w:kern w:val="0"/>
          <w:sz w:val="28"/>
          <w:szCs w:val="28"/>
          <w:lang w:val="en-US" w:eastAsia="zh-CN" w:bidi="ar-SA"/>
        </w:rPr>
      </w:pPr>
    </w:p>
    <w:p w14:paraId="36CF0210">
      <w:pPr>
        <w:rPr>
          <w:rFonts w:hint="default"/>
          <w:b/>
          <w:bCs/>
          <w:lang w:val="en-US" w:eastAsia="zh-CN"/>
        </w:rPr>
      </w:pPr>
    </w:p>
    <w:p w14:paraId="086D839D">
      <w:pPr>
        <w:pStyle w:val="4"/>
        <w:bidi w:val="0"/>
      </w:pPr>
      <w:bookmarkStart w:id="179" w:name="_Toc2788"/>
      <w:bookmarkStart w:id="180" w:name="_Toc25893"/>
      <w:bookmarkStart w:id="181" w:name="_Toc9010"/>
      <w:bookmarkStart w:id="182" w:name="_Toc1678"/>
      <w:bookmarkStart w:id="183" w:name="_Toc23084"/>
      <w:r>
        <w:rPr>
          <w:rFonts w:hint="eastAsia"/>
        </w:rPr>
        <w:t>医技与治疗预约系统</w:t>
      </w:r>
      <w:bookmarkEnd w:id="179"/>
      <w:bookmarkEnd w:id="180"/>
      <w:bookmarkEnd w:id="181"/>
      <w:bookmarkEnd w:id="182"/>
      <w:bookmarkEnd w:id="183"/>
    </w:p>
    <w:tbl>
      <w:tblPr>
        <w:tblStyle w:val="46"/>
        <w:tblW w:w="9678" w:type="dxa"/>
        <w:jc w:val="center"/>
        <w:tblLayout w:type="fixed"/>
        <w:tblCellMar>
          <w:top w:w="0" w:type="dxa"/>
          <w:left w:w="108" w:type="dxa"/>
          <w:bottom w:w="0" w:type="dxa"/>
          <w:right w:w="108" w:type="dxa"/>
        </w:tblCellMar>
      </w:tblPr>
      <w:tblGrid>
        <w:gridCol w:w="1056"/>
        <w:gridCol w:w="1403"/>
        <w:gridCol w:w="7219"/>
      </w:tblGrid>
      <w:tr w14:paraId="05AB0B24">
        <w:tblPrEx>
          <w:tblCellMar>
            <w:top w:w="0" w:type="dxa"/>
            <w:left w:w="108" w:type="dxa"/>
            <w:bottom w:w="0" w:type="dxa"/>
            <w:right w:w="108" w:type="dxa"/>
          </w:tblCellMar>
        </w:tblPrEx>
        <w:trPr>
          <w:trHeight w:val="768" w:hRule="atLeast"/>
          <w:jc w:val="center"/>
        </w:trPr>
        <w:tc>
          <w:tcPr>
            <w:tcW w:w="1056" w:type="dxa"/>
            <w:vMerge w:val="restart"/>
            <w:tcBorders>
              <w:top w:val="single" w:color="000000" w:sz="8" w:space="0"/>
              <w:left w:val="single" w:color="000000" w:sz="4" w:space="0"/>
              <w:right w:val="single" w:color="000000" w:sz="4" w:space="0"/>
            </w:tcBorders>
            <w:shd w:val="clear" w:color="auto" w:fill="auto"/>
            <w:vAlign w:val="center"/>
          </w:tcPr>
          <w:p w14:paraId="3ED1D8AC">
            <w:pPr>
              <w:widowControl/>
              <w:textAlignment w:val="center"/>
              <w:rPr>
                <w:rFonts w:ascii="宋体" w:hAnsi="宋体" w:eastAsia="宋体" w:cs="宋体"/>
                <w:color w:val="000000" w:themeColor="text1"/>
                <w:kern w:val="0"/>
                <w:sz w:val="21"/>
                <w:szCs w:val="21"/>
                <w:lang w:bidi="ar"/>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 xml:space="preserve">1.1 </w:t>
            </w:r>
          </w:p>
          <w:p w14:paraId="643824CB">
            <w:pPr>
              <w:widowControl/>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总体要求</w:t>
            </w:r>
          </w:p>
        </w:tc>
        <w:tc>
          <w:tcPr>
            <w:tcW w:w="1403"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3DC955F5">
            <w:pPr>
              <w:widowControl/>
              <w:textAlignment w:val="bottom"/>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数据集成</w:t>
            </w:r>
          </w:p>
        </w:tc>
        <w:tc>
          <w:tcPr>
            <w:tcW w:w="7219" w:type="dxa"/>
            <w:tcBorders>
              <w:top w:val="single" w:color="000000" w:sz="8" w:space="0"/>
              <w:left w:val="single" w:color="000000" w:sz="4" w:space="0"/>
              <w:bottom w:val="single" w:color="000000" w:sz="4" w:space="0"/>
              <w:right w:val="single" w:color="000000" w:sz="8" w:space="0"/>
            </w:tcBorders>
            <w:shd w:val="clear" w:color="auto" w:fill="auto"/>
            <w:vAlign w:val="center"/>
          </w:tcPr>
          <w:p w14:paraId="5A27BC8F">
            <w:pPr>
              <w:widowControl/>
              <w:textAlignment w:val="center"/>
              <w:rPr>
                <w:rFonts w:hint="default" w:asciiTheme="minorHAnsi" w:hAnsiTheme="minorHAnsi" w:eastAsiaTheme="minorEastAsia" w:cstheme="minorBidi"/>
                <w:color w:val="000000" w:themeColor="text1"/>
                <w:sz w:val="21"/>
                <w:szCs w:val="21"/>
                <w:lang w:bidi="ar"/>
                <w14:textFill>
                  <w14:solidFill>
                    <w14:schemeClr w14:val="tx1"/>
                  </w14:solidFill>
                </w14:textFill>
              </w:rPr>
            </w:pPr>
            <w:r>
              <w:rPr>
                <w:rFonts w:hint="default" w:ascii="宋体" w:hAnsi="宋体" w:eastAsia="宋体" w:cs="宋体"/>
                <w:color w:val="000000" w:themeColor="text1"/>
                <w:sz w:val="21"/>
                <w:szCs w:val="21"/>
                <w:u w:val="none"/>
                <w:lang w:bidi="ar"/>
                <w14:textFill>
                  <w14:solidFill>
                    <w14:schemeClr w14:val="tx1"/>
                  </w14:solidFill>
                </w14:textFill>
              </w:rPr>
              <w:t>集成医技与治疗的预约数据基础资源，以智慧预约规则知识库为核心，为临床医生、护士及患者提供查询、预约、报到、排队等相关服务。</w:t>
            </w:r>
          </w:p>
          <w:p w14:paraId="69C092A2">
            <w:pPr>
              <w:widowControl/>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w:t>
            </w:r>
            <w:r>
              <w:rPr>
                <w:rFonts w:hint="default" w:ascii="宋体" w:hAnsi="宋体" w:eastAsia="宋体" w:cs="宋体"/>
                <w:color w:val="000000" w:themeColor="text1"/>
                <w:sz w:val="21"/>
                <w:szCs w:val="21"/>
                <w:u w:val="none"/>
                <w:lang w:bidi="ar"/>
                <w14:textFill>
                  <w14:solidFill>
                    <w14:schemeClr w14:val="tx1"/>
                  </w14:solidFill>
                </w14:textFill>
              </w:rPr>
              <w:t>以下所有要求都包括医技与治疗。</w:t>
            </w:r>
          </w:p>
        </w:tc>
      </w:tr>
      <w:tr w14:paraId="49E4CFF7">
        <w:tblPrEx>
          <w:tblCellMar>
            <w:top w:w="0" w:type="dxa"/>
            <w:left w:w="108" w:type="dxa"/>
            <w:bottom w:w="0" w:type="dxa"/>
            <w:right w:w="108" w:type="dxa"/>
          </w:tblCellMar>
        </w:tblPrEx>
        <w:trPr>
          <w:trHeight w:val="760" w:hRule="atLeast"/>
          <w:jc w:val="center"/>
        </w:trPr>
        <w:tc>
          <w:tcPr>
            <w:tcW w:w="1056" w:type="dxa"/>
            <w:vMerge w:val="continue"/>
            <w:tcBorders>
              <w:left w:val="single" w:color="000000" w:sz="4" w:space="0"/>
              <w:right w:val="single" w:color="000000" w:sz="4" w:space="0"/>
            </w:tcBorders>
            <w:shd w:val="clear" w:color="auto" w:fill="auto"/>
            <w:vAlign w:val="center"/>
          </w:tcPr>
          <w:p w14:paraId="32FD71C4">
            <w:pPr>
              <w:rPr>
                <w:rFonts w:ascii="宋体" w:hAnsi="宋体" w:eastAsia="宋体" w:cs="宋体"/>
                <w:color w:val="000000" w:themeColor="text1"/>
                <w:sz w:val="21"/>
                <w:szCs w:val="21"/>
                <w14:textFill>
                  <w14:solidFill>
                    <w14:schemeClr w14:val="tx1"/>
                  </w14:solidFill>
                </w14:textFill>
              </w:rPr>
            </w:pP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36CA7">
            <w:pPr>
              <w:widowControl/>
              <w:textAlignment w:val="bottom"/>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统一资源管理</w:t>
            </w:r>
          </w:p>
        </w:tc>
        <w:tc>
          <w:tcPr>
            <w:tcW w:w="7219" w:type="dxa"/>
            <w:tcBorders>
              <w:top w:val="single" w:color="000000" w:sz="4" w:space="0"/>
              <w:left w:val="single" w:color="000000" w:sz="4" w:space="0"/>
              <w:bottom w:val="single" w:color="000000" w:sz="4" w:space="0"/>
              <w:right w:val="single" w:color="000000" w:sz="8" w:space="0"/>
            </w:tcBorders>
            <w:shd w:val="clear" w:color="auto" w:fill="auto"/>
            <w:vAlign w:val="center"/>
          </w:tcPr>
          <w:p w14:paraId="54C769F3">
            <w:pPr>
              <w:widowControl/>
              <w:textAlignment w:val="center"/>
              <w:rPr>
                <w:rFonts w:ascii="宋体" w:hAnsi="宋体" w:eastAsia="宋体" w:cs="宋体"/>
                <w:color w:val="000000" w:themeColor="text1"/>
                <w:sz w:val="21"/>
                <w:szCs w:val="21"/>
                <w14:textFill>
                  <w14:solidFill>
                    <w14:schemeClr w14:val="tx1"/>
                  </w14:solidFill>
                </w14:textFill>
              </w:rPr>
            </w:pPr>
            <w:r>
              <w:rPr>
                <w:rFonts w:hint="default" w:ascii="宋体" w:hAnsi="宋体" w:eastAsia="宋体" w:cs="宋体"/>
                <w:color w:val="000000" w:themeColor="text1"/>
                <w:sz w:val="21"/>
                <w:szCs w:val="21"/>
                <w:u w:val="none"/>
                <w:lang w:bidi="ar"/>
                <w14:textFill>
                  <w14:solidFill>
                    <w14:schemeClr w14:val="tx1"/>
                  </w14:solidFill>
                </w14:textFill>
              </w:rPr>
              <w:t>通过统一预约平台的建设实现放射、超声、内镜、心电图、脑电图等医技检查和其他科室治疗项目、床位资源的统一预约登记和安排，建立统一的预约资源池并进行管理。</w:t>
            </w:r>
          </w:p>
        </w:tc>
      </w:tr>
      <w:tr w14:paraId="7EDF9BE3">
        <w:tblPrEx>
          <w:tblCellMar>
            <w:top w:w="0" w:type="dxa"/>
            <w:left w:w="108" w:type="dxa"/>
            <w:bottom w:w="0" w:type="dxa"/>
            <w:right w:w="108" w:type="dxa"/>
          </w:tblCellMar>
        </w:tblPrEx>
        <w:trPr>
          <w:trHeight w:val="526" w:hRule="atLeast"/>
          <w:jc w:val="center"/>
        </w:trPr>
        <w:tc>
          <w:tcPr>
            <w:tcW w:w="1056" w:type="dxa"/>
            <w:vMerge w:val="continue"/>
            <w:tcBorders>
              <w:left w:val="single" w:color="000000" w:sz="4" w:space="0"/>
              <w:right w:val="single" w:color="000000" w:sz="4" w:space="0"/>
            </w:tcBorders>
            <w:shd w:val="clear" w:color="auto" w:fill="auto"/>
            <w:vAlign w:val="center"/>
          </w:tcPr>
          <w:p w14:paraId="6692888A">
            <w:pPr>
              <w:rPr>
                <w:rFonts w:ascii="宋体" w:hAnsi="宋体" w:eastAsia="宋体" w:cs="宋体"/>
                <w:color w:val="000000" w:themeColor="text1"/>
                <w:sz w:val="21"/>
                <w:szCs w:val="21"/>
                <w14:textFill>
                  <w14:solidFill>
                    <w14:schemeClr w14:val="tx1"/>
                  </w14:solidFill>
                </w14:textFill>
              </w:rPr>
            </w:pP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29D08">
            <w:pPr>
              <w:widowControl/>
              <w:textAlignment w:val="bottom"/>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预约范围</w:t>
            </w:r>
          </w:p>
        </w:tc>
        <w:tc>
          <w:tcPr>
            <w:tcW w:w="7219" w:type="dxa"/>
            <w:tcBorders>
              <w:top w:val="single" w:color="000000" w:sz="4" w:space="0"/>
              <w:left w:val="single" w:color="000000" w:sz="4" w:space="0"/>
              <w:bottom w:val="single" w:color="000000" w:sz="4" w:space="0"/>
              <w:right w:val="single" w:color="000000" w:sz="8" w:space="0"/>
            </w:tcBorders>
            <w:shd w:val="clear" w:color="auto" w:fill="auto"/>
            <w:vAlign w:val="center"/>
          </w:tcPr>
          <w:p w14:paraId="6438D8A1">
            <w:pPr>
              <w:widowControl/>
              <w:textAlignment w:val="center"/>
              <w:rPr>
                <w:rFonts w:ascii="宋体" w:hAnsi="宋体" w:eastAsia="宋体" w:cs="宋体"/>
                <w:color w:val="000000" w:themeColor="text1"/>
                <w:sz w:val="21"/>
                <w:szCs w:val="21"/>
                <w14:textFill>
                  <w14:solidFill>
                    <w14:schemeClr w14:val="tx1"/>
                  </w14:solidFill>
                </w14:textFill>
              </w:rPr>
            </w:pPr>
            <w:r>
              <w:rPr>
                <w:rFonts w:hint="default" w:ascii="宋体" w:hAnsi="宋体" w:eastAsia="宋体" w:cs="宋体"/>
                <w:color w:val="000000" w:themeColor="text1"/>
                <w:sz w:val="21"/>
                <w:szCs w:val="21"/>
                <w:u w:val="none"/>
                <w:lang w:bidi="ar"/>
                <w14:textFill>
                  <w14:solidFill>
                    <w14:schemeClr w14:val="tx1"/>
                  </w14:solidFill>
                </w14:textFill>
              </w:rPr>
              <w:t>支持各个医技检查（门诊、住院</w:t>
            </w:r>
            <w:r>
              <w:rPr>
                <w:rFonts w:hint="eastAsia" w:ascii="宋体" w:hAnsi="宋体" w:eastAsia="宋体" w:cs="宋体"/>
                <w:color w:val="000000" w:themeColor="text1"/>
                <w:sz w:val="21"/>
                <w:szCs w:val="21"/>
                <w:u w:val="none"/>
                <w:lang w:bidi="ar"/>
                <w14:textFill>
                  <w14:solidFill>
                    <w14:schemeClr w14:val="tx1"/>
                  </w14:solidFill>
                </w14:textFill>
              </w:rPr>
              <w:t>、</w:t>
            </w:r>
            <w:r>
              <w:rPr>
                <w:rFonts w:hint="eastAsia" w:ascii="宋体" w:hAnsi="宋体" w:eastAsia="宋体" w:cs="宋体"/>
                <w:color w:val="auto"/>
                <w:sz w:val="21"/>
                <w:szCs w:val="21"/>
                <w:u w:val="none"/>
                <w:lang w:bidi="ar"/>
              </w:rPr>
              <w:t>急诊</w:t>
            </w:r>
            <w:r>
              <w:rPr>
                <w:rFonts w:hint="eastAsia" w:ascii="宋体" w:hAnsi="宋体" w:eastAsia="宋体" w:cs="宋体"/>
                <w:color w:val="auto"/>
                <w:sz w:val="21"/>
                <w:szCs w:val="21"/>
                <w:u w:val="none"/>
                <w:lang w:eastAsia="zh-CN" w:bidi="ar"/>
              </w:rPr>
              <w:t>、体检</w:t>
            </w:r>
            <w:r>
              <w:rPr>
                <w:rFonts w:hint="default" w:ascii="宋体" w:hAnsi="宋体" w:eastAsia="宋体" w:cs="宋体"/>
                <w:color w:val="auto"/>
                <w:sz w:val="21"/>
                <w:szCs w:val="21"/>
                <w:u w:val="none"/>
                <w:lang w:bidi="ar"/>
              </w:rPr>
              <w:t>）、治疗预约</w:t>
            </w:r>
            <w:r>
              <w:rPr>
                <w:rFonts w:hint="eastAsia" w:ascii="宋体" w:hAnsi="宋体" w:eastAsia="宋体" w:cs="宋体"/>
                <w:color w:val="auto"/>
                <w:sz w:val="21"/>
                <w:szCs w:val="21"/>
                <w:u w:val="none"/>
                <w:lang w:bidi="ar"/>
              </w:rPr>
              <w:t>、检验预约</w:t>
            </w:r>
            <w:r>
              <w:rPr>
                <w:rFonts w:hint="default" w:ascii="宋体" w:hAnsi="宋体" w:eastAsia="宋体" w:cs="宋体"/>
                <w:color w:val="000000" w:themeColor="text1"/>
                <w:sz w:val="21"/>
                <w:szCs w:val="21"/>
                <w:u w:val="none"/>
                <w:lang w:bidi="ar"/>
                <w14:textFill>
                  <w14:solidFill>
                    <w14:schemeClr w14:val="tx1"/>
                  </w14:solidFill>
                </w14:textFill>
              </w:rPr>
              <w:t>。</w:t>
            </w:r>
          </w:p>
        </w:tc>
      </w:tr>
      <w:tr w14:paraId="1DE6CF52">
        <w:tblPrEx>
          <w:tblCellMar>
            <w:top w:w="0" w:type="dxa"/>
            <w:left w:w="108" w:type="dxa"/>
            <w:bottom w:w="0" w:type="dxa"/>
            <w:right w:w="108" w:type="dxa"/>
          </w:tblCellMar>
        </w:tblPrEx>
        <w:trPr>
          <w:trHeight w:val="526" w:hRule="atLeast"/>
          <w:jc w:val="center"/>
        </w:trPr>
        <w:tc>
          <w:tcPr>
            <w:tcW w:w="1056" w:type="dxa"/>
            <w:vMerge w:val="continue"/>
            <w:tcBorders>
              <w:left w:val="single" w:color="000000" w:sz="4" w:space="0"/>
              <w:right w:val="single" w:color="000000" w:sz="4" w:space="0"/>
            </w:tcBorders>
            <w:shd w:val="clear" w:color="auto" w:fill="auto"/>
            <w:vAlign w:val="center"/>
          </w:tcPr>
          <w:p w14:paraId="37DCA48C">
            <w:pPr>
              <w:rPr>
                <w:rFonts w:ascii="宋体" w:hAnsi="宋体" w:eastAsia="宋体" w:cs="宋体"/>
                <w:color w:val="000000" w:themeColor="text1"/>
                <w:sz w:val="21"/>
                <w:szCs w:val="21"/>
                <w14:textFill>
                  <w14:solidFill>
                    <w14:schemeClr w14:val="tx1"/>
                  </w14:solidFill>
                </w14:textFill>
              </w:rPr>
            </w:pP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6F25D">
            <w:pPr>
              <w:widowControl/>
              <w:textAlignment w:val="bottom"/>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预约结果共享</w:t>
            </w:r>
          </w:p>
        </w:tc>
        <w:tc>
          <w:tcPr>
            <w:tcW w:w="7219" w:type="dxa"/>
            <w:tcBorders>
              <w:top w:val="single" w:color="000000" w:sz="4" w:space="0"/>
              <w:left w:val="single" w:color="000000" w:sz="4" w:space="0"/>
              <w:bottom w:val="single" w:color="000000" w:sz="4" w:space="0"/>
              <w:right w:val="single" w:color="000000" w:sz="8" w:space="0"/>
            </w:tcBorders>
            <w:shd w:val="clear" w:color="auto" w:fill="auto"/>
            <w:vAlign w:val="center"/>
          </w:tcPr>
          <w:p w14:paraId="11EFAB1D">
            <w:pPr>
              <w:widowControl/>
              <w:textAlignment w:val="center"/>
              <w:rPr>
                <w:rFonts w:ascii="宋体" w:hAnsi="宋体" w:eastAsia="宋体" w:cs="宋体"/>
                <w:color w:val="000000" w:themeColor="text1"/>
                <w:sz w:val="21"/>
                <w:szCs w:val="21"/>
                <w14:textFill>
                  <w14:solidFill>
                    <w14:schemeClr w14:val="tx1"/>
                  </w14:solidFill>
                </w14:textFill>
              </w:rPr>
            </w:pPr>
            <w:r>
              <w:rPr>
                <w:rFonts w:hint="default" w:ascii="宋体" w:hAnsi="宋体" w:eastAsia="宋体" w:cs="宋体"/>
                <w:color w:val="000000" w:themeColor="text1"/>
                <w:sz w:val="21"/>
                <w:szCs w:val="21"/>
                <w:u w:val="none"/>
                <w:lang w:bidi="ar"/>
                <w14:textFill>
                  <w14:solidFill>
                    <w14:schemeClr w14:val="tx1"/>
                  </w14:solidFill>
                </w14:textFill>
              </w:rPr>
              <w:t>与医院信息平台互联互通，向其他系统共享患者的预约结果数据，包括检查提醒、检查注意事项的推送和预约结果返回，检查需求提醒。</w:t>
            </w:r>
          </w:p>
        </w:tc>
      </w:tr>
      <w:tr w14:paraId="26E1945F">
        <w:tblPrEx>
          <w:tblCellMar>
            <w:top w:w="0" w:type="dxa"/>
            <w:left w:w="108" w:type="dxa"/>
            <w:bottom w:w="0" w:type="dxa"/>
            <w:right w:w="108" w:type="dxa"/>
          </w:tblCellMar>
        </w:tblPrEx>
        <w:trPr>
          <w:trHeight w:val="526" w:hRule="atLeast"/>
          <w:jc w:val="center"/>
        </w:trPr>
        <w:tc>
          <w:tcPr>
            <w:tcW w:w="1056" w:type="dxa"/>
            <w:vMerge w:val="continue"/>
            <w:tcBorders>
              <w:left w:val="single" w:color="000000" w:sz="4" w:space="0"/>
              <w:right w:val="single" w:color="000000" w:sz="4" w:space="0"/>
            </w:tcBorders>
            <w:shd w:val="clear" w:color="auto" w:fill="auto"/>
            <w:vAlign w:val="center"/>
          </w:tcPr>
          <w:p w14:paraId="7E5A3FF7">
            <w:pPr>
              <w:rPr>
                <w:rFonts w:ascii="宋体" w:hAnsi="宋体" w:eastAsia="宋体" w:cs="宋体"/>
                <w:color w:val="000000" w:themeColor="text1"/>
                <w:sz w:val="21"/>
                <w:szCs w:val="21"/>
                <w14:textFill>
                  <w14:solidFill>
                    <w14:schemeClr w14:val="tx1"/>
                  </w14:solidFill>
                </w14:textFill>
              </w:rPr>
            </w:pP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4D5E8">
            <w:pPr>
              <w:widowControl/>
              <w:textAlignment w:val="bottom"/>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标准规范</w:t>
            </w:r>
          </w:p>
        </w:tc>
        <w:tc>
          <w:tcPr>
            <w:tcW w:w="7219" w:type="dxa"/>
            <w:tcBorders>
              <w:top w:val="single" w:color="000000" w:sz="4" w:space="0"/>
              <w:left w:val="single" w:color="000000" w:sz="4" w:space="0"/>
              <w:bottom w:val="single" w:color="000000" w:sz="4" w:space="0"/>
              <w:right w:val="single" w:color="000000" w:sz="8" w:space="0"/>
            </w:tcBorders>
            <w:shd w:val="clear" w:color="auto" w:fill="auto"/>
            <w:vAlign w:val="center"/>
          </w:tcPr>
          <w:p w14:paraId="27BB7133">
            <w:pPr>
              <w:widowControl/>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▲预约规则符合相关标准，参与调研人人具有影像设备检查部位分类代码标准编制经验，提供该标准前言中具有的证明材料。</w:t>
            </w:r>
          </w:p>
        </w:tc>
      </w:tr>
      <w:tr w14:paraId="5D80866A">
        <w:tblPrEx>
          <w:tblCellMar>
            <w:top w:w="0" w:type="dxa"/>
            <w:left w:w="108" w:type="dxa"/>
            <w:bottom w:w="0" w:type="dxa"/>
            <w:right w:w="108" w:type="dxa"/>
          </w:tblCellMar>
        </w:tblPrEx>
        <w:trPr>
          <w:trHeight w:val="526" w:hRule="atLeast"/>
          <w:jc w:val="center"/>
        </w:trPr>
        <w:tc>
          <w:tcPr>
            <w:tcW w:w="1056" w:type="dxa"/>
            <w:vMerge w:val="continue"/>
            <w:tcBorders>
              <w:left w:val="single" w:color="000000" w:sz="4" w:space="0"/>
              <w:right w:val="single" w:color="000000" w:sz="4" w:space="0"/>
            </w:tcBorders>
            <w:shd w:val="clear" w:color="auto" w:fill="auto"/>
            <w:vAlign w:val="center"/>
          </w:tcPr>
          <w:p w14:paraId="04E6D03F">
            <w:pPr>
              <w:rPr>
                <w:rFonts w:ascii="宋体" w:hAnsi="宋体" w:eastAsia="宋体" w:cs="宋体"/>
                <w:color w:val="000000" w:themeColor="text1"/>
                <w:sz w:val="21"/>
                <w:szCs w:val="21"/>
                <w14:textFill>
                  <w14:solidFill>
                    <w14:schemeClr w14:val="tx1"/>
                  </w14:solidFill>
                </w14:textFill>
              </w:rPr>
            </w:pP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66C0F">
            <w:pPr>
              <w:widowControl/>
              <w:textAlignment w:val="bottom"/>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电子病历评级标准</w:t>
            </w:r>
          </w:p>
        </w:tc>
        <w:tc>
          <w:tcPr>
            <w:tcW w:w="7219" w:type="dxa"/>
            <w:tcBorders>
              <w:top w:val="single" w:color="000000" w:sz="4" w:space="0"/>
              <w:left w:val="single" w:color="000000" w:sz="4" w:space="0"/>
              <w:bottom w:val="single" w:color="000000" w:sz="4" w:space="0"/>
              <w:right w:val="single" w:color="000000" w:sz="8" w:space="0"/>
            </w:tcBorders>
            <w:shd w:val="clear" w:color="auto" w:fill="auto"/>
            <w:vAlign w:val="center"/>
          </w:tcPr>
          <w:p w14:paraId="2F7954D1">
            <w:pPr>
              <w:widowControl/>
              <w:textAlignment w:val="center"/>
              <w:rPr>
                <w:rFonts w:ascii="宋体" w:hAnsi="宋体" w:eastAsia="宋体" w:cs="宋体"/>
                <w:color w:val="000000" w:themeColor="text1"/>
                <w:sz w:val="21"/>
                <w:szCs w:val="21"/>
                <w14:textFill>
                  <w14:solidFill>
                    <w14:schemeClr w14:val="tx1"/>
                  </w14:solidFill>
                </w14:textFill>
              </w:rPr>
            </w:pPr>
            <w:r>
              <w:rPr>
                <w:rFonts w:hint="default" w:ascii="宋体" w:hAnsi="宋体" w:eastAsia="宋体" w:cs="宋体"/>
                <w:color w:val="000000" w:themeColor="text1"/>
                <w:sz w:val="21"/>
                <w:szCs w:val="21"/>
                <w:u w:val="none"/>
                <w:lang w:bidi="ar"/>
                <w14:textFill>
                  <w14:solidFill>
                    <w14:schemeClr w14:val="tx1"/>
                  </w14:solidFill>
                </w14:textFill>
              </w:rPr>
              <w:t>产品支持与医院影像集成与共享平台、确保影像共享平台检查部位的一致性，符合电子病历系统应用水平分级六级评价标准。</w:t>
            </w:r>
          </w:p>
        </w:tc>
      </w:tr>
      <w:tr w14:paraId="4979C960">
        <w:tblPrEx>
          <w:tblCellMar>
            <w:top w:w="0" w:type="dxa"/>
            <w:left w:w="108" w:type="dxa"/>
            <w:bottom w:w="0" w:type="dxa"/>
            <w:right w:w="108" w:type="dxa"/>
          </w:tblCellMar>
        </w:tblPrEx>
        <w:trPr>
          <w:trHeight w:val="760" w:hRule="atLeast"/>
          <w:jc w:val="center"/>
        </w:trPr>
        <w:tc>
          <w:tcPr>
            <w:tcW w:w="1056" w:type="dxa"/>
            <w:vMerge w:val="continue"/>
            <w:tcBorders>
              <w:left w:val="single" w:color="000000" w:sz="4" w:space="0"/>
              <w:right w:val="single" w:color="000000" w:sz="4" w:space="0"/>
            </w:tcBorders>
            <w:shd w:val="clear" w:color="auto" w:fill="auto"/>
            <w:vAlign w:val="center"/>
          </w:tcPr>
          <w:p w14:paraId="7E31960D">
            <w:pPr>
              <w:rPr>
                <w:rFonts w:ascii="宋体" w:hAnsi="宋体" w:eastAsia="宋体" w:cs="宋体"/>
                <w:color w:val="000000" w:themeColor="text1"/>
                <w:sz w:val="21"/>
                <w:szCs w:val="21"/>
                <w14:textFill>
                  <w14:solidFill>
                    <w14:schemeClr w14:val="tx1"/>
                  </w14:solidFill>
                </w14:textFill>
              </w:rPr>
            </w:pP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6B920">
            <w:pPr>
              <w:widowControl/>
              <w:textAlignment w:val="bottom"/>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刷卡类型要求</w:t>
            </w:r>
          </w:p>
        </w:tc>
        <w:tc>
          <w:tcPr>
            <w:tcW w:w="7219" w:type="dxa"/>
            <w:tcBorders>
              <w:top w:val="single" w:color="000000" w:sz="4" w:space="0"/>
              <w:left w:val="single" w:color="000000" w:sz="4" w:space="0"/>
              <w:bottom w:val="single" w:color="000000" w:sz="4" w:space="0"/>
              <w:right w:val="single" w:color="000000" w:sz="8" w:space="0"/>
            </w:tcBorders>
            <w:shd w:val="clear" w:color="auto" w:fill="auto"/>
            <w:vAlign w:val="center"/>
          </w:tcPr>
          <w:p w14:paraId="5E02DDBB">
            <w:pPr>
              <w:widowControl/>
              <w:textAlignment w:val="center"/>
              <w:rPr>
                <w:rFonts w:ascii="宋体" w:hAnsi="宋体" w:eastAsia="宋体" w:cs="宋体"/>
                <w:color w:val="000000" w:themeColor="text1"/>
                <w:sz w:val="21"/>
                <w:szCs w:val="21"/>
                <w14:textFill>
                  <w14:solidFill>
                    <w14:schemeClr w14:val="tx1"/>
                  </w14:solidFill>
                </w14:textFill>
              </w:rPr>
            </w:pPr>
            <w:r>
              <w:rPr>
                <w:rFonts w:hint="default" w:ascii="宋体" w:hAnsi="宋体" w:eastAsia="宋体" w:cs="宋体"/>
                <w:color w:val="000000" w:themeColor="text1"/>
                <w:sz w:val="21"/>
                <w:szCs w:val="21"/>
                <w:u w:val="none"/>
                <w:lang w:bidi="ar"/>
                <w14:textFill>
                  <w14:solidFill>
                    <w14:schemeClr w14:val="tx1"/>
                  </w14:solidFill>
                </w14:textFill>
              </w:rPr>
              <w:t>支持使用社保电子凭证作为患者预约主索引，可自动校验本院信息并予以统一，支持检查预约、床位预约与电子医保健康码的绑定，实现预约与费用支付的一体化。</w:t>
            </w:r>
          </w:p>
        </w:tc>
      </w:tr>
      <w:tr w14:paraId="2435723C">
        <w:tblPrEx>
          <w:tblCellMar>
            <w:top w:w="0" w:type="dxa"/>
            <w:left w:w="108" w:type="dxa"/>
            <w:bottom w:w="0" w:type="dxa"/>
            <w:right w:w="108" w:type="dxa"/>
          </w:tblCellMar>
        </w:tblPrEx>
        <w:trPr>
          <w:trHeight w:val="760" w:hRule="atLeast"/>
          <w:jc w:val="center"/>
        </w:trPr>
        <w:tc>
          <w:tcPr>
            <w:tcW w:w="1056" w:type="dxa"/>
            <w:vMerge w:val="continue"/>
            <w:tcBorders>
              <w:left w:val="single" w:color="000000" w:sz="4" w:space="0"/>
              <w:right w:val="single" w:color="000000" w:sz="4" w:space="0"/>
            </w:tcBorders>
            <w:shd w:val="clear" w:color="auto" w:fill="auto"/>
            <w:vAlign w:val="center"/>
          </w:tcPr>
          <w:p w14:paraId="1C475FE5">
            <w:pPr>
              <w:rPr>
                <w:rFonts w:ascii="宋体" w:hAnsi="宋体" w:eastAsia="宋体" w:cs="宋体"/>
                <w:color w:val="000000" w:themeColor="text1"/>
                <w:sz w:val="21"/>
                <w:szCs w:val="21"/>
                <w14:textFill>
                  <w14:solidFill>
                    <w14:schemeClr w14:val="tx1"/>
                  </w14:solidFill>
                </w14:textFill>
              </w:rPr>
            </w:pP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3D3CD">
            <w:pPr>
              <w:widowControl/>
              <w:textAlignment w:val="bottom"/>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多种卡类型扫码登记</w:t>
            </w:r>
          </w:p>
        </w:tc>
        <w:tc>
          <w:tcPr>
            <w:tcW w:w="7219" w:type="dxa"/>
            <w:tcBorders>
              <w:top w:val="single" w:color="000000" w:sz="4" w:space="0"/>
              <w:left w:val="single" w:color="000000" w:sz="4" w:space="0"/>
              <w:bottom w:val="single" w:color="000000" w:sz="4" w:space="0"/>
              <w:right w:val="single" w:color="000000" w:sz="8" w:space="0"/>
            </w:tcBorders>
            <w:shd w:val="clear" w:color="auto" w:fill="auto"/>
            <w:vAlign w:val="center"/>
          </w:tcPr>
          <w:p w14:paraId="2F6FA35D">
            <w:pPr>
              <w:widowControl/>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系统支持通过社保卡、患者ID、电子健康卡、</w:t>
            </w:r>
            <w:r>
              <w:rPr>
                <w:rFonts w:hint="eastAsia" w:ascii="宋体" w:hAnsi="宋体" w:eastAsia="宋体" w:cs="宋体"/>
                <w:color w:val="000000" w:themeColor="text1"/>
                <w:kern w:val="0"/>
                <w:sz w:val="21"/>
                <w:szCs w:val="21"/>
                <w:lang w:eastAsia="zh-CN" w:bidi="ar"/>
                <w14:textFill>
                  <w14:solidFill>
                    <w14:schemeClr w14:val="tx1"/>
                  </w14:solidFill>
                </w14:textFill>
              </w:rPr>
              <w:t>体检编号、</w:t>
            </w:r>
            <w:r>
              <w:rPr>
                <w:rFonts w:hint="eastAsia" w:ascii="宋体" w:hAnsi="宋体" w:eastAsia="宋体" w:cs="宋体"/>
                <w:color w:val="000000" w:themeColor="text1"/>
                <w:kern w:val="0"/>
                <w:sz w:val="21"/>
                <w:szCs w:val="21"/>
                <w:lang w:bidi="ar"/>
                <w14:textFill>
                  <w14:solidFill>
                    <w14:schemeClr w14:val="tx1"/>
                  </w14:solidFill>
                </w14:textFill>
              </w:rPr>
              <w:t>申请单条码或扫描方式获取患者相关检查、入院申请信息。</w:t>
            </w:r>
          </w:p>
        </w:tc>
      </w:tr>
      <w:tr w14:paraId="225DDB71">
        <w:tblPrEx>
          <w:tblCellMar>
            <w:top w:w="0" w:type="dxa"/>
            <w:left w:w="108" w:type="dxa"/>
            <w:bottom w:w="0" w:type="dxa"/>
            <w:right w:w="108" w:type="dxa"/>
          </w:tblCellMar>
        </w:tblPrEx>
        <w:trPr>
          <w:trHeight w:val="526" w:hRule="atLeast"/>
          <w:jc w:val="center"/>
        </w:trPr>
        <w:tc>
          <w:tcPr>
            <w:tcW w:w="1056" w:type="dxa"/>
            <w:vMerge w:val="continue"/>
            <w:tcBorders>
              <w:left w:val="single" w:color="000000" w:sz="4" w:space="0"/>
              <w:right w:val="single" w:color="000000" w:sz="4" w:space="0"/>
            </w:tcBorders>
            <w:shd w:val="clear" w:color="auto" w:fill="auto"/>
            <w:vAlign w:val="center"/>
          </w:tcPr>
          <w:p w14:paraId="614E4078">
            <w:pPr>
              <w:rPr>
                <w:rFonts w:ascii="宋体" w:hAnsi="宋体" w:eastAsia="宋体" w:cs="宋体"/>
                <w:color w:val="000000" w:themeColor="text1"/>
                <w:sz w:val="21"/>
                <w:szCs w:val="21"/>
                <w14:textFill>
                  <w14:solidFill>
                    <w14:schemeClr w14:val="tx1"/>
                  </w14:solidFill>
                </w14:textFill>
              </w:rPr>
            </w:pP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3F9B2">
            <w:pPr>
              <w:widowControl/>
              <w:textAlignment w:val="bottom"/>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预约渠道</w:t>
            </w:r>
          </w:p>
        </w:tc>
        <w:tc>
          <w:tcPr>
            <w:tcW w:w="7219" w:type="dxa"/>
            <w:tcBorders>
              <w:top w:val="single" w:color="000000" w:sz="4" w:space="0"/>
              <w:left w:val="single" w:color="000000" w:sz="4" w:space="0"/>
              <w:bottom w:val="single" w:color="000000" w:sz="4" w:space="0"/>
              <w:right w:val="single" w:color="000000" w:sz="8" w:space="0"/>
            </w:tcBorders>
            <w:shd w:val="clear" w:color="auto" w:fill="auto"/>
            <w:vAlign w:val="center"/>
          </w:tcPr>
          <w:p w14:paraId="13EEA29A">
            <w:pPr>
              <w:widowControl/>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支持集中预约、诊间（住院、门诊、急诊</w:t>
            </w:r>
            <w:r>
              <w:rPr>
                <w:rFonts w:hint="eastAsia" w:ascii="宋体" w:hAnsi="宋体" w:eastAsia="宋体" w:cs="宋体"/>
                <w:color w:val="000000" w:themeColor="text1"/>
                <w:kern w:val="0"/>
                <w:sz w:val="21"/>
                <w:szCs w:val="21"/>
                <w:lang w:eastAsia="zh-CN" w:bidi="ar"/>
                <w14:textFill>
                  <w14:solidFill>
                    <w14:schemeClr w14:val="tx1"/>
                  </w14:solidFill>
                </w14:textFill>
              </w:rPr>
              <w:t>、体检</w:t>
            </w:r>
            <w:r>
              <w:rPr>
                <w:rFonts w:hint="eastAsia" w:ascii="宋体" w:hAnsi="宋体" w:eastAsia="宋体" w:cs="宋体"/>
                <w:color w:val="000000" w:themeColor="text1"/>
                <w:kern w:val="0"/>
                <w:sz w:val="21"/>
                <w:szCs w:val="21"/>
                <w:lang w:bidi="ar"/>
                <w14:textFill>
                  <w14:solidFill>
                    <w14:schemeClr w14:val="tx1"/>
                  </w14:solidFill>
                </w14:textFill>
              </w:rPr>
              <w:t>）预约、医技科室预约、自助机预约、移动预约、微信预约等多种渠道。</w:t>
            </w:r>
          </w:p>
        </w:tc>
      </w:tr>
      <w:tr w14:paraId="163106C4">
        <w:tblPrEx>
          <w:tblCellMar>
            <w:top w:w="0" w:type="dxa"/>
            <w:left w:w="108" w:type="dxa"/>
            <w:bottom w:w="0" w:type="dxa"/>
            <w:right w:w="108" w:type="dxa"/>
          </w:tblCellMar>
        </w:tblPrEx>
        <w:trPr>
          <w:trHeight w:val="526" w:hRule="atLeast"/>
          <w:jc w:val="center"/>
        </w:trPr>
        <w:tc>
          <w:tcPr>
            <w:tcW w:w="1056" w:type="dxa"/>
            <w:vMerge w:val="continue"/>
            <w:tcBorders>
              <w:left w:val="single" w:color="000000" w:sz="4" w:space="0"/>
              <w:right w:val="single" w:color="000000" w:sz="4" w:space="0"/>
            </w:tcBorders>
            <w:shd w:val="clear" w:color="auto" w:fill="auto"/>
            <w:vAlign w:val="center"/>
          </w:tcPr>
          <w:p w14:paraId="25A304E7">
            <w:pPr>
              <w:rPr>
                <w:rFonts w:ascii="宋体" w:hAnsi="宋体" w:eastAsia="宋体" w:cs="宋体"/>
                <w:color w:val="000000" w:themeColor="text1"/>
                <w:sz w:val="21"/>
                <w:szCs w:val="21"/>
                <w14:textFill>
                  <w14:solidFill>
                    <w14:schemeClr w14:val="tx1"/>
                  </w14:solidFill>
                </w14:textFill>
              </w:rPr>
            </w:pPr>
          </w:p>
        </w:tc>
        <w:tc>
          <w:tcPr>
            <w:tcW w:w="1403" w:type="dxa"/>
            <w:tcBorders>
              <w:top w:val="single" w:color="000000" w:sz="4" w:space="0"/>
              <w:left w:val="single" w:color="000000" w:sz="4" w:space="0"/>
              <w:bottom w:val="nil"/>
              <w:right w:val="single" w:color="000000" w:sz="4" w:space="0"/>
            </w:tcBorders>
            <w:shd w:val="clear" w:color="auto" w:fill="auto"/>
            <w:noWrap/>
            <w:vAlign w:val="center"/>
          </w:tcPr>
          <w:p w14:paraId="0FAC3063">
            <w:pPr>
              <w:widowControl/>
              <w:textAlignment w:val="bottom"/>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状态跟踪</w:t>
            </w:r>
          </w:p>
        </w:tc>
        <w:tc>
          <w:tcPr>
            <w:tcW w:w="7219" w:type="dxa"/>
            <w:tcBorders>
              <w:top w:val="single" w:color="000000" w:sz="4" w:space="0"/>
              <w:left w:val="single" w:color="000000" w:sz="4" w:space="0"/>
              <w:bottom w:val="nil"/>
              <w:right w:val="single" w:color="000000" w:sz="8" w:space="0"/>
            </w:tcBorders>
            <w:shd w:val="clear" w:color="auto" w:fill="auto"/>
            <w:vAlign w:val="center"/>
          </w:tcPr>
          <w:p w14:paraId="56B7949A">
            <w:pPr>
              <w:widowControl/>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通过预约平台可查看各个预约申请单的状态</w:t>
            </w:r>
          </w:p>
        </w:tc>
      </w:tr>
      <w:tr w14:paraId="2EF9A1D5">
        <w:tblPrEx>
          <w:tblCellMar>
            <w:top w:w="0" w:type="dxa"/>
            <w:left w:w="108" w:type="dxa"/>
            <w:bottom w:w="0" w:type="dxa"/>
            <w:right w:w="108" w:type="dxa"/>
          </w:tblCellMar>
        </w:tblPrEx>
        <w:trPr>
          <w:trHeight w:val="526" w:hRule="atLeast"/>
          <w:jc w:val="center"/>
        </w:trPr>
        <w:tc>
          <w:tcPr>
            <w:tcW w:w="1056" w:type="dxa"/>
            <w:vMerge w:val="continue"/>
            <w:tcBorders>
              <w:left w:val="single" w:color="000000" w:sz="4" w:space="0"/>
              <w:bottom w:val="single" w:color="000000" w:sz="4" w:space="0"/>
              <w:right w:val="single" w:color="000000" w:sz="4" w:space="0"/>
            </w:tcBorders>
            <w:shd w:val="clear" w:color="auto" w:fill="auto"/>
            <w:vAlign w:val="center"/>
          </w:tcPr>
          <w:p w14:paraId="7D0E85BC">
            <w:pPr>
              <w:rPr>
                <w:rFonts w:ascii="宋体" w:hAnsi="宋体" w:eastAsia="宋体" w:cs="宋体"/>
                <w:color w:val="000000" w:themeColor="text1"/>
                <w:sz w:val="21"/>
                <w:szCs w:val="21"/>
                <w14:textFill>
                  <w14:solidFill>
                    <w14:schemeClr w14:val="tx1"/>
                  </w14:solidFill>
                </w14:textFill>
              </w:rPr>
            </w:pPr>
          </w:p>
        </w:tc>
        <w:tc>
          <w:tcPr>
            <w:tcW w:w="1403" w:type="dxa"/>
            <w:tcBorders>
              <w:top w:val="single" w:color="000000" w:sz="4" w:space="0"/>
              <w:left w:val="single" w:color="000000" w:sz="4" w:space="0"/>
              <w:bottom w:val="nil"/>
              <w:right w:val="single" w:color="000000" w:sz="4" w:space="0"/>
            </w:tcBorders>
            <w:shd w:val="clear" w:color="auto" w:fill="auto"/>
            <w:noWrap/>
            <w:vAlign w:val="center"/>
          </w:tcPr>
          <w:p w14:paraId="76218580">
            <w:pPr>
              <w:widowControl/>
              <w:textAlignment w:val="bottom"/>
              <w:rPr>
                <w:rFonts w:hint="eastAsia" w:ascii="宋体" w:hAnsi="宋体" w:eastAsia="宋体" w:cs="宋体"/>
                <w:color w:val="000000" w:themeColor="text1"/>
                <w:kern w:val="0"/>
                <w:sz w:val="21"/>
                <w:szCs w:val="21"/>
                <w:lang w:bidi="ar"/>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患者主索引接口</w:t>
            </w:r>
          </w:p>
        </w:tc>
        <w:tc>
          <w:tcPr>
            <w:tcW w:w="7219" w:type="dxa"/>
            <w:tcBorders>
              <w:top w:val="single" w:color="000000" w:sz="4" w:space="0"/>
              <w:left w:val="single" w:color="000000" w:sz="4" w:space="0"/>
              <w:bottom w:val="nil"/>
              <w:right w:val="single" w:color="000000" w:sz="8" w:space="0"/>
            </w:tcBorders>
            <w:shd w:val="clear" w:color="auto" w:fill="auto"/>
            <w:vAlign w:val="center"/>
          </w:tcPr>
          <w:p w14:paraId="1E7A875E">
            <w:pPr>
              <w:widowControl/>
              <w:textAlignment w:val="center"/>
              <w:rPr>
                <w:rFonts w:hint="eastAsia" w:ascii="宋体" w:hAnsi="宋体" w:eastAsia="宋体" w:cs="宋体"/>
                <w:color w:val="000000" w:themeColor="text1"/>
                <w:kern w:val="0"/>
                <w:sz w:val="21"/>
                <w:szCs w:val="21"/>
                <w:lang w:bidi="ar"/>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对接集成平台患者主索引信息，包括患者唯一标识、基本信息等，支持调取集成平台的患者身份标识，实现各业务系统间患者信息的共享和关联。</w:t>
            </w:r>
          </w:p>
        </w:tc>
      </w:tr>
      <w:tr w14:paraId="70A14555">
        <w:tblPrEx>
          <w:tblCellMar>
            <w:top w:w="0" w:type="dxa"/>
            <w:left w:w="108" w:type="dxa"/>
            <w:bottom w:w="0" w:type="dxa"/>
            <w:right w:w="108" w:type="dxa"/>
          </w:tblCellMar>
        </w:tblPrEx>
        <w:trPr>
          <w:trHeight w:val="534" w:hRule="atLeast"/>
          <w:jc w:val="center"/>
        </w:trPr>
        <w:tc>
          <w:tcPr>
            <w:tcW w:w="1056"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6DA65F89">
            <w:pPr>
              <w:widowControl/>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1.2 基本功能</w:t>
            </w:r>
          </w:p>
        </w:tc>
        <w:tc>
          <w:tcPr>
            <w:tcW w:w="1403"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582A6125">
            <w:pPr>
              <w:widowControl/>
              <w:textAlignment w:val="bottom"/>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临床预约集成</w:t>
            </w:r>
          </w:p>
        </w:tc>
        <w:tc>
          <w:tcPr>
            <w:tcW w:w="7219" w:type="dxa"/>
            <w:tcBorders>
              <w:top w:val="single" w:color="000000" w:sz="8" w:space="0"/>
              <w:left w:val="single" w:color="000000" w:sz="4" w:space="0"/>
              <w:bottom w:val="single" w:color="000000" w:sz="4" w:space="0"/>
              <w:right w:val="single" w:color="000000" w:sz="8" w:space="0"/>
            </w:tcBorders>
            <w:shd w:val="clear" w:color="auto" w:fill="auto"/>
            <w:vAlign w:val="center"/>
          </w:tcPr>
          <w:p w14:paraId="6D4174B0">
            <w:pPr>
              <w:widowControl/>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预约平台支持与临床医生开单系统界面集成，医生给患者开立医嘱或申请单完成以后，在HIS系统直接给患者进行预约。</w:t>
            </w:r>
          </w:p>
        </w:tc>
      </w:tr>
      <w:tr w14:paraId="223D5871">
        <w:tblPrEx>
          <w:tblCellMar>
            <w:top w:w="0" w:type="dxa"/>
            <w:left w:w="108" w:type="dxa"/>
            <w:bottom w:w="0" w:type="dxa"/>
            <w:right w:w="108" w:type="dxa"/>
          </w:tblCellMar>
        </w:tblPrEx>
        <w:trPr>
          <w:trHeight w:val="768" w:hRule="atLeast"/>
          <w:jc w:val="center"/>
        </w:trPr>
        <w:tc>
          <w:tcPr>
            <w:tcW w:w="1056"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3F2FB620">
            <w:pPr>
              <w:rPr>
                <w:rFonts w:ascii="宋体" w:hAnsi="宋体" w:eastAsia="宋体" w:cs="宋体"/>
                <w:color w:val="000000" w:themeColor="text1"/>
                <w:sz w:val="21"/>
                <w:szCs w:val="21"/>
                <w14:textFill>
                  <w14:solidFill>
                    <w14:schemeClr w14:val="tx1"/>
                  </w14:solidFill>
                </w14:textFill>
              </w:rPr>
            </w:pP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8A331">
            <w:pPr>
              <w:widowControl/>
              <w:textAlignment w:val="bottom"/>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多科室一键预约</w:t>
            </w:r>
          </w:p>
        </w:tc>
        <w:tc>
          <w:tcPr>
            <w:tcW w:w="7219" w:type="dxa"/>
            <w:tcBorders>
              <w:top w:val="single" w:color="000000" w:sz="4" w:space="0"/>
              <w:left w:val="single" w:color="000000" w:sz="4" w:space="0"/>
              <w:bottom w:val="single" w:color="000000" w:sz="4" w:space="0"/>
              <w:right w:val="single" w:color="000000" w:sz="8" w:space="0"/>
            </w:tcBorders>
            <w:shd w:val="clear" w:color="auto" w:fill="auto"/>
            <w:vAlign w:val="center"/>
          </w:tcPr>
          <w:p w14:paraId="4135B194">
            <w:pPr>
              <w:widowControl/>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系统通过接口获取患者的电子申请单信息，并可以在预约系统界面查询和显示可预约资源，实现多个跨科室项目的一键智能预约，预约安排完全符合设置的规则，保证预约结果的合理性。</w:t>
            </w:r>
          </w:p>
        </w:tc>
      </w:tr>
      <w:tr w14:paraId="0B59B9F5">
        <w:tblPrEx>
          <w:tblCellMar>
            <w:top w:w="0" w:type="dxa"/>
            <w:left w:w="108" w:type="dxa"/>
            <w:bottom w:w="0" w:type="dxa"/>
            <w:right w:w="108" w:type="dxa"/>
          </w:tblCellMar>
        </w:tblPrEx>
        <w:trPr>
          <w:trHeight w:val="534" w:hRule="atLeast"/>
          <w:jc w:val="center"/>
        </w:trPr>
        <w:tc>
          <w:tcPr>
            <w:tcW w:w="1056"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38ADB21A">
            <w:pPr>
              <w:rPr>
                <w:rFonts w:ascii="宋体" w:hAnsi="宋体" w:eastAsia="宋体" w:cs="宋体"/>
                <w:color w:val="000000" w:themeColor="text1"/>
                <w:sz w:val="21"/>
                <w:szCs w:val="21"/>
                <w14:textFill>
                  <w14:solidFill>
                    <w14:schemeClr w14:val="tx1"/>
                  </w14:solidFill>
                </w14:textFill>
              </w:rPr>
            </w:pP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255B9">
            <w:pPr>
              <w:widowControl/>
              <w:textAlignment w:val="bottom"/>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推荐最早预约</w:t>
            </w:r>
          </w:p>
        </w:tc>
        <w:tc>
          <w:tcPr>
            <w:tcW w:w="7219" w:type="dxa"/>
            <w:tcBorders>
              <w:top w:val="single" w:color="000000" w:sz="4" w:space="0"/>
              <w:left w:val="single" w:color="000000" w:sz="4" w:space="0"/>
              <w:bottom w:val="single" w:color="000000" w:sz="4" w:space="0"/>
              <w:right w:val="single" w:color="000000" w:sz="8" w:space="0"/>
            </w:tcBorders>
            <w:shd w:val="clear" w:color="auto" w:fill="auto"/>
            <w:vAlign w:val="center"/>
          </w:tcPr>
          <w:p w14:paraId="76AFB0F1">
            <w:pPr>
              <w:widowControl/>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▲支持一键对多个检查项目推荐预约在最快时间进行检查，且将不同检查项目约在不同时段。</w:t>
            </w:r>
          </w:p>
        </w:tc>
      </w:tr>
      <w:tr w14:paraId="2A44F028">
        <w:tblPrEx>
          <w:tblCellMar>
            <w:top w:w="0" w:type="dxa"/>
            <w:left w:w="108" w:type="dxa"/>
            <w:bottom w:w="0" w:type="dxa"/>
            <w:right w:w="108" w:type="dxa"/>
          </w:tblCellMar>
        </w:tblPrEx>
        <w:trPr>
          <w:trHeight w:val="534" w:hRule="atLeast"/>
          <w:jc w:val="center"/>
        </w:trPr>
        <w:tc>
          <w:tcPr>
            <w:tcW w:w="1056"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00A98960">
            <w:pPr>
              <w:rPr>
                <w:rFonts w:ascii="宋体" w:hAnsi="宋体" w:eastAsia="宋体" w:cs="宋体"/>
                <w:color w:val="000000" w:themeColor="text1"/>
                <w:sz w:val="21"/>
                <w:szCs w:val="21"/>
                <w14:textFill>
                  <w14:solidFill>
                    <w14:schemeClr w14:val="tx1"/>
                  </w14:solidFill>
                </w14:textFill>
              </w:rPr>
            </w:pP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C4C24">
            <w:pPr>
              <w:widowControl/>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字典维护</w:t>
            </w:r>
          </w:p>
        </w:tc>
        <w:tc>
          <w:tcPr>
            <w:tcW w:w="7219" w:type="dxa"/>
            <w:tcBorders>
              <w:top w:val="single" w:color="000000" w:sz="4" w:space="0"/>
              <w:left w:val="single" w:color="000000" w:sz="4" w:space="0"/>
              <w:bottom w:val="single" w:color="000000" w:sz="4" w:space="0"/>
              <w:right w:val="single" w:color="000000" w:sz="8" w:space="0"/>
            </w:tcBorders>
            <w:shd w:val="clear" w:color="auto" w:fill="auto"/>
            <w:vAlign w:val="center"/>
          </w:tcPr>
          <w:p w14:paraId="557B2914">
            <w:pPr>
              <w:widowControl/>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cs="宋体" w:eastAsiaTheme="minorEastAsia"/>
                <w:color w:val="000000"/>
                <w:kern w:val="0"/>
                <w:sz w:val="21"/>
                <w:szCs w:val="21"/>
              </w:rPr>
              <w:t>统一全院科室字典，包括系统用户、临床科室、检查项目、检查设备、预约分类、检查方式、注意事项。</w:t>
            </w:r>
          </w:p>
        </w:tc>
      </w:tr>
      <w:tr w14:paraId="48478175">
        <w:tblPrEx>
          <w:tblCellMar>
            <w:top w:w="0" w:type="dxa"/>
            <w:left w:w="108" w:type="dxa"/>
            <w:bottom w:w="0" w:type="dxa"/>
            <w:right w:w="108" w:type="dxa"/>
          </w:tblCellMar>
        </w:tblPrEx>
        <w:trPr>
          <w:trHeight w:val="534" w:hRule="atLeast"/>
          <w:jc w:val="center"/>
        </w:trPr>
        <w:tc>
          <w:tcPr>
            <w:tcW w:w="1056"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497BD761">
            <w:pPr>
              <w:rPr>
                <w:rFonts w:ascii="宋体" w:hAnsi="宋体" w:eastAsia="宋体" w:cs="宋体"/>
                <w:color w:val="000000" w:themeColor="text1"/>
                <w:sz w:val="21"/>
                <w:szCs w:val="21"/>
                <w14:textFill>
                  <w14:solidFill>
                    <w14:schemeClr w14:val="tx1"/>
                  </w14:solidFill>
                </w14:textFill>
              </w:rPr>
            </w:pP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94244">
            <w:pPr>
              <w:widowControl/>
              <w:textAlignment w:val="bottom"/>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推荐同天预约</w:t>
            </w:r>
          </w:p>
        </w:tc>
        <w:tc>
          <w:tcPr>
            <w:tcW w:w="7219" w:type="dxa"/>
            <w:tcBorders>
              <w:top w:val="single" w:color="000000" w:sz="4" w:space="0"/>
              <w:left w:val="single" w:color="000000" w:sz="4" w:space="0"/>
              <w:bottom w:val="single" w:color="000000" w:sz="4" w:space="0"/>
              <w:right w:val="single" w:color="000000" w:sz="8" w:space="0"/>
            </w:tcBorders>
            <w:shd w:val="clear" w:color="auto" w:fill="auto"/>
            <w:vAlign w:val="center"/>
          </w:tcPr>
          <w:p w14:paraId="61F382C5">
            <w:pPr>
              <w:widowControl/>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▲支持一键将多个检查项目预约在同一天进行检查，且将不同检查项目约在不同时段。提供软件截图证明。</w:t>
            </w:r>
          </w:p>
        </w:tc>
      </w:tr>
      <w:tr w14:paraId="7555CF6D">
        <w:tblPrEx>
          <w:tblCellMar>
            <w:top w:w="0" w:type="dxa"/>
            <w:left w:w="108" w:type="dxa"/>
            <w:bottom w:w="0" w:type="dxa"/>
            <w:right w:w="108" w:type="dxa"/>
          </w:tblCellMar>
        </w:tblPrEx>
        <w:trPr>
          <w:trHeight w:val="534" w:hRule="atLeast"/>
          <w:jc w:val="center"/>
        </w:trPr>
        <w:tc>
          <w:tcPr>
            <w:tcW w:w="1056"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34852537">
            <w:pPr>
              <w:rPr>
                <w:rFonts w:ascii="宋体" w:hAnsi="宋体" w:eastAsia="宋体" w:cs="宋体"/>
                <w:color w:val="000000" w:themeColor="text1"/>
                <w:sz w:val="21"/>
                <w:szCs w:val="21"/>
                <w14:textFill>
                  <w14:solidFill>
                    <w14:schemeClr w14:val="tx1"/>
                  </w14:solidFill>
                </w14:textFill>
              </w:rPr>
            </w:pP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D6AB9">
            <w:pPr>
              <w:widowControl/>
              <w:textAlignment w:val="bottom"/>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智能推荐预约时间</w:t>
            </w:r>
          </w:p>
        </w:tc>
        <w:tc>
          <w:tcPr>
            <w:tcW w:w="7219" w:type="dxa"/>
            <w:tcBorders>
              <w:top w:val="single" w:color="000000" w:sz="4" w:space="0"/>
              <w:left w:val="single" w:color="000000" w:sz="4" w:space="0"/>
              <w:bottom w:val="single" w:color="000000" w:sz="4" w:space="0"/>
              <w:right w:val="single" w:color="000000" w:sz="8" w:space="0"/>
            </w:tcBorders>
            <w:shd w:val="clear" w:color="auto" w:fill="auto"/>
            <w:vAlign w:val="center"/>
          </w:tcPr>
          <w:p w14:paraId="3A6F4654">
            <w:pPr>
              <w:widowControl/>
              <w:textAlignment w:val="center"/>
              <w:rPr>
                <w:rFonts w:ascii="宋体" w:hAnsi="宋体" w:eastAsia="宋体" w:cs="宋体"/>
                <w:color w:val="000000" w:themeColor="text1"/>
                <w:sz w:val="21"/>
                <w:szCs w:val="21"/>
                <w14:textFill>
                  <w14:solidFill>
                    <w14:schemeClr w14:val="tx1"/>
                  </w14:solidFill>
                </w14:textFill>
              </w:rPr>
            </w:pPr>
            <w:r>
              <w:rPr>
                <w:rFonts w:hint="default" w:ascii="宋体" w:hAnsi="宋体" w:eastAsia="宋体" w:cs="宋体"/>
                <w:color w:val="000000" w:themeColor="text1"/>
                <w:sz w:val="21"/>
                <w:szCs w:val="21"/>
                <w:u w:val="none"/>
                <w:lang w:bidi="ar"/>
                <w14:textFill>
                  <w14:solidFill>
                    <w14:schemeClr w14:val="tx1"/>
                  </w14:solidFill>
                </w14:textFill>
              </w:rPr>
              <w:t>系统支持智能推荐时间，按照不同检查项目的预约规则合理智能化推荐时间供参考。</w:t>
            </w:r>
          </w:p>
        </w:tc>
      </w:tr>
      <w:tr w14:paraId="048D0CE9">
        <w:tblPrEx>
          <w:tblCellMar>
            <w:top w:w="0" w:type="dxa"/>
            <w:left w:w="108" w:type="dxa"/>
            <w:bottom w:w="0" w:type="dxa"/>
            <w:right w:w="108" w:type="dxa"/>
          </w:tblCellMar>
        </w:tblPrEx>
        <w:trPr>
          <w:trHeight w:val="534" w:hRule="atLeast"/>
          <w:jc w:val="center"/>
        </w:trPr>
        <w:tc>
          <w:tcPr>
            <w:tcW w:w="1056"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70AA1DC3">
            <w:pPr>
              <w:rPr>
                <w:rFonts w:ascii="宋体" w:hAnsi="宋体" w:eastAsia="宋体" w:cs="宋体"/>
                <w:color w:val="000000" w:themeColor="text1"/>
                <w:sz w:val="21"/>
                <w:szCs w:val="21"/>
                <w14:textFill>
                  <w14:solidFill>
                    <w14:schemeClr w14:val="tx1"/>
                  </w14:solidFill>
                </w14:textFill>
              </w:rPr>
            </w:pP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EDB39">
            <w:pPr>
              <w:widowControl/>
              <w:textAlignment w:val="bottom"/>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合并预约</w:t>
            </w:r>
          </w:p>
        </w:tc>
        <w:tc>
          <w:tcPr>
            <w:tcW w:w="7219" w:type="dxa"/>
            <w:tcBorders>
              <w:top w:val="single" w:color="000000" w:sz="4" w:space="0"/>
              <w:left w:val="single" w:color="000000" w:sz="4" w:space="0"/>
              <w:bottom w:val="single" w:color="000000" w:sz="4" w:space="0"/>
              <w:right w:val="single" w:color="000000" w:sz="8" w:space="0"/>
            </w:tcBorders>
            <w:shd w:val="clear" w:color="auto" w:fill="auto"/>
            <w:vAlign w:val="center"/>
          </w:tcPr>
          <w:p w14:paraId="29714441">
            <w:pPr>
              <w:widowControl/>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支持将多个检查申请单进行合并预约，智能推荐最佳检查时间，一键预约，如果患者多个检查项目在同一检查室检查，可同时约在同一时段进行检查。</w:t>
            </w:r>
          </w:p>
        </w:tc>
      </w:tr>
      <w:tr w14:paraId="3E345D82">
        <w:tblPrEx>
          <w:tblCellMar>
            <w:top w:w="0" w:type="dxa"/>
            <w:left w:w="108" w:type="dxa"/>
            <w:bottom w:w="0" w:type="dxa"/>
            <w:right w:w="108" w:type="dxa"/>
          </w:tblCellMar>
        </w:tblPrEx>
        <w:trPr>
          <w:trHeight w:val="534" w:hRule="atLeast"/>
          <w:jc w:val="center"/>
        </w:trPr>
        <w:tc>
          <w:tcPr>
            <w:tcW w:w="1056"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65655AA0">
            <w:pPr>
              <w:rPr>
                <w:rFonts w:ascii="宋体" w:hAnsi="宋体" w:eastAsia="宋体" w:cs="宋体"/>
                <w:color w:val="000000" w:themeColor="text1"/>
                <w:sz w:val="21"/>
                <w:szCs w:val="21"/>
                <w14:textFill>
                  <w14:solidFill>
                    <w14:schemeClr w14:val="tx1"/>
                  </w14:solidFill>
                </w14:textFill>
              </w:rPr>
            </w:pP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303ED">
            <w:pPr>
              <w:widowControl/>
              <w:textAlignment w:val="bottom"/>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分散与集中预约</w:t>
            </w:r>
          </w:p>
        </w:tc>
        <w:tc>
          <w:tcPr>
            <w:tcW w:w="7219" w:type="dxa"/>
            <w:tcBorders>
              <w:top w:val="single" w:color="000000" w:sz="4" w:space="0"/>
              <w:left w:val="single" w:color="000000" w:sz="4" w:space="0"/>
              <w:bottom w:val="single" w:color="000000" w:sz="4" w:space="0"/>
              <w:right w:val="single" w:color="000000" w:sz="8" w:space="0"/>
            </w:tcBorders>
            <w:shd w:val="clear" w:color="auto" w:fill="auto"/>
            <w:vAlign w:val="center"/>
          </w:tcPr>
          <w:p w14:paraId="5B6A920D">
            <w:pPr>
              <w:widowControl/>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系统利用权限控制可进行按医技科室分散预约，也可进行多科室集中预约。</w:t>
            </w:r>
          </w:p>
        </w:tc>
      </w:tr>
      <w:tr w14:paraId="3187BF79">
        <w:tblPrEx>
          <w:tblCellMar>
            <w:top w:w="0" w:type="dxa"/>
            <w:left w:w="108" w:type="dxa"/>
            <w:bottom w:w="0" w:type="dxa"/>
            <w:right w:w="108" w:type="dxa"/>
          </w:tblCellMar>
        </w:tblPrEx>
        <w:trPr>
          <w:trHeight w:val="534" w:hRule="atLeast"/>
          <w:jc w:val="center"/>
        </w:trPr>
        <w:tc>
          <w:tcPr>
            <w:tcW w:w="1056"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1E47C088">
            <w:pPr>
              <w:rPr>
                <w:rFonts w:ascii="宋体" w:hAnsi="宋体" w:eastAsia="宋体" w:cs="宋体"/>
                <w:color w:val="000000" w:themeColor="text1"/>
                <w:sz w:val="21"/>
                <w:szCs w:val="21"/>
                <w14:textFill>
                  <w14:solidFill>
                    <w14:schemeClr w14:val="tx1"/>
                  </w14:solidFill>
                </w14:textFill>
              </w:rPr>
            </w:pP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75A4E">
            <w:pPr>
              <w:widowControl/>
              <w:textAlignment w:val="bottom"/>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预约科室权限控制</w:t>
            </w:r>
          </w:p>
        </w:tc>
        <w:tc>
          <w:tcPr>
            <w:tcW w:w="7219" w:type="dxa"/>
            <w:tcBorders>
              <w:top w:val="single" w:color="000000" w:sz="4" w:space="0"/>
              <w:left w:val="single" w:color="000000" w:sz="4" w:space="0"/>
              <w:bottom w:val="single" w:color="000000" w:sz="4" w:space="0"/>
              <w:right w:val="single" w:color="000000" w:sz="8" w:space="0"/>
            </w:tcBorders>
            <w:shd w:val="clear" w:color="auto" w:fill="auto"/>
            <w:vAlign w:val="center"/>
          </w:tcPr>
          <w:p w14:paraId="50C80044">
            <w:pPr>
              <w:widowControl/>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系统支持人工预约操作界面，并为用户分配不同的权限。供各检查科室使用，仅为本科室项目进行预约操作，支持集中预约中心的跨科室预约操作。</w:t>
            </w:r>
          </w:p>
        </w:tc>
      </w:tr>
      <w:tr w14:paraId="3B8C612D">
        <w:tblPrEx>
          <w:tblCellMar>
            <w:top w:w="0" w:type="dxa"/>
            <w:left w:w="108" w:type="dxa"/>
            <w:bottom w:w="0" w:type="dxa"/>
            <w:right w:w="108" w:type="dxa"/>
          </w:tblCellMar>
        </w:tblPrEx>
        <w:trPr>
          <w:trHeight w:val="534" w:hRule="atLeast"/>
          <w:jc w:val="center"/>
        </w:trPr>
        <w:tc>
          <w:tcPr>
            <w:tcW w:w="1056"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50BE28FA">
            <w:pPr>
              <w:rPr>
                <w:rFonts w:ascii="宋体" w:hAnsi="宋体" w:eastAsia="宋体" w:cs="宋体"/>
                <w:color w:val="000000" w:themeColor="text1"/>
                <w:sz w:val="21"/>
                <w:szCs w:val="21"/>
                <w14:textFill>
                  <w14:solidFill>
                    <w14:schemeClr w14:val="tx1"/>
                  </w14:solidFill>
                </w14:textFill>
              </w:rPr>
            </w:pP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765EA">
            <w:pPr>
              <w:widowControl/>
              <w:textAlignment w:val="bottom"/>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预约资源展示</w:t>
            </w:r>
          </w:p>
        </w:tc>
        <w:tc>
          <w:tcPr>
            <w:tcW w:w="7219" w:type="dxa"/>
            <w:tcBorders>
              <w:top w:val="single" w:color="000000" w:sz="4" w:space="0"/>
              <w:left w:val="single" w:color="000000" w:sz="4" w:space="0"/>
              <w:bottom w:val="single" w:color="000000" w:sz="4" w:space="0"/>
              <w:right w:val="single" w:color="000000" w:sz="8" w:space="0"/>
            </w:tcBorders>
            <w:shd w:val="clear" w:color="auto" w:fill="auto"/>
            <w:vAlign w:val="center"/>
          </w:tcPr>
          <w:p w14:paraId="0F1E6BBA">
            <w:pPr>
              <w:widowControl/>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在系统预约时，预约界面可以展示资源预约情况、患者基本信息、患者检查项目。</w:t>
            </w:r>
          </w:p>
        </w:tc>
      </w:tr>
      <w:tr w14:paraId="2FEBADA9">
        <w:tblPrEx>
          <w:tblCellMar>
            <w:top w:w="0" w:type="dxa"/>
            <w:left w:w="108" w:type="dxa"/>
            <w:bottom w:w="0" w:type="dxa"/>
            <w:right w:w="108" w:type="dxa"/>
          </w:tblCellMar>
        </w:tblPrEx>
        <w:trPr>
          <w:trHeight w:val="1268" w:hRule="atLeast"/>
          <w:jc w:val="center"/>
        </w:trPr>
        <w:tc>
          <w:tcPr>
            <w:tcW w:w="1056"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14522478">
            <w:pPr>
              <w:rPr>
                <w:rFonts w:ascii="宋体" w:hAnsi="宋体" w:eastAsia="宋体" w:cs="宋体"/>
                <w:color w:val="000000" w:themeColor="text1"/>
                <w:sz w:val="21"/>
                <w:szCs w:val="21"/>
                <w14:textFill>
                  <w14:solidFill>
                    <w14:schemeClr w14:val="tx1"/>
                  </w14:solidFill>
                </w14:textFill>
              </w:rPr>
            </w:pP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C067E">
            <w:pPr>
              <w:widowControl/>
              <w:textAlignment w:val="bottom"/>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检查时间修改冲突提示</w:t>
            </w:r>
          </w:p>
        </w:tc>
        <w:tc>
          <w:tcPr>
            <w:tcW w:w="7219" w:type="dxa"/>
            <w:tcBorders>
              <w:top w:val="single" w:color="000000" w:sz="4" w:space="0"/>
              <w:left w:val="single" w:color="000000" w:sz="4" w:space="0"/>
              <w:bottom w:val="single" w:color="000000" w:sz="4" w:space="0"/>
              <w:right w:val="single" w:color="000000" w:sz="8" w:space="0"/>
            </w:tcBorders>
            <w:shd w:val="clear" w:color="auto" w:fill="auto"/>
            <w:vAlign w:val="center"/>
          </w:tcPr>
          <w:p w14:paraId="2F64B266">
            <w:pPr>
              <w:widowControl/>
              <w:textAlignment w:val="center"/>
              <w:rPr>
                <w:rFonts w:ascii="宋体" w:hAnsi="宋体" w:eastAsia="宋体" w:cs="宋体"/>
                <w:color w:val="000000" w:themeColor="text1"/>
                <w:sz w:val="21"/>
                <w:szCs w:val="21"/>
                <w14:textFill>
                  <w14:solidFill>
                    <w14:schemeClr w14:val="tx1"/>
                  </w14:solidFill>
                </w14:textFill>
              </w:rPr>
            </w:pPr>
            <w:r>
              <w:rPr>
                <w:rFonts w:hint="default" w:ascii="宋体" w:hAnsi="宋体" w:eastAsia="宋体" w:cs="宋体"/>
                <w:color w:val="000000" w:themeColor="text1"/>
                <w:sz w:val="21"/>
                <w:szCs w:val="21"/>
                <w:u w:val="none"/>
                <w:lang w:bidi="ar"/>
                <w14:textFill>
                  <w14:solidFill>
                    <w14:schemeClr w14:val="tx1"/>
                  </w14:solidFill>
                </w14:textFill>
              </w:rPr>
              <w:t>通过预约界面，系统操作员可以为患者修改检查时间，支持在修改检查时间时，进行规则智能判断，如果与其他检查项目时间相冲突，则对操作者进行提示，操作者可以选择继续进行预约。</w:t>
            </w:r>
            <w:r>
              <w:rPr>
                <w:rFonts w:hint="default" w:ascii="宋体" w:hAnsi="宋体" w:eastAsia="宋体" w:cs="宋体"/>
                <w:color w:val="000000" w:themeColor="text1"/>
                <w:sz w:val="21"/>
                <w:szCs w:val="21"/>
                <w:u w:val="none"/>
                <w:lang w:bidi="ar"/>
                <w14:textFill>
                  <w14:solidFill>
                    <w14:schemeClr w14:val="tx1"/>
                  </w14:solidFill>
                </w14:textFill>
              </w:rPr>
              <w:br w:type="textWrapping"/>
            </w:r>
            <w:r>
              <w:rPr>
                <w:rFonts w:hint="default" w:ascii="宋体" w:hAnsi="宋体" w:eastAsia="宋体" w:cs="宋体"/>
                <w:color w:val="000000" w:themeColor="text1"/>
                <w:sz w:val="21"/>
                <w:szCs w:val="21"/>
                <w:u w:val="none"/>
                <w:lang w:bidi="ar"/>
                <w14:textFill>
                  <w14:solidFill>
                    <w14:schemeClr w14:val="tx1"/>
                  </w14:solidFill>
                </w14:textFill>
              </w:rPr>
              <w:t>通过预约界面，系统操作员可以为患者修改入院时间，并同步进行患者端信息提醒。</w:t>
            </w:r>
          </w:p>
        </w:tc>
      </w:tr>
      <w:tr w14:paraId="1FD5C8DB">
        <w:tblPrEx>
          <w:tblCellMar>
            <w:top w:w="0" w:type="dxa"/>
            <w:left w:w="108" w:type="dxa"/>
            <w:bottom w:w="0" w:type="dxa"/>
            <w:right w:w="108" w:type="dxa"/>
          </w:tblCellMar>
        </w:tblPrEx>
        <w:trPr>
          <w:trHeight w:val="534" w:hRule="atLeast"/>
          <w:jc w:val="center"/>
        </w:trPr>
        <w:tc>
          <w:tcPr>
            <w:tcW w:w="1056"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5437CC0B">
            <w:pPr>
              <w:rPr>
                <w:rFonts w:ascii="宋体" w:hAnsi="宋体" w:eastAsia="宋体" w:cs="宋体"/>
                <w:color w:val="000000" w:themeColor="text1"/>
                <w:sz w:val="21"/>
                <w:szCs w:val="21"/>
                <w14:textFill>
                  <w14:solidFill>
                    <w14:schemeClr w14:val="tx1"/>
                  </w14:solidFill>
                </w14:textFill>
              </w:rPr>
            </w:pP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0A1F6">
            <w:pPr>
              <w:widowControl/>
              <w:textAlignment w:val="bottom"/>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实际预约数量展示</w:t>
            </w:r>
          </w:p>
        </w:tc>
        <w:tc>
          <w:tcPr>
            <w:tcW w:w="7219" w:type="dxa"/>
            <w:tcBorders>
              <w:top w:val="single" w:color="000000" w:sz="4" w:space="0"/>
              <w:left w:val="single" w:color="000000" w:sz="4" w:space="0"/>
              <w:bottom w:val="single" w:color="000000" w:sz="4" w:space="0"/>
              <w:right w:val="single" w:color="000000" w:sz="8" w:space="0"/>
            </w:tcBorders>
            <w:shd w:val="clear" w:color="auto" w:fill="auto"/>
            <w:vAlign w:val="center"/>
          </w:tcPr>
          <w:p w14:paraId="5ADD4563">
            <w:pPr>
              <w:widowControl/>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在预约界面，可按检查项目显示预约资源，并可以统计显示各时间段可预约数量和已经预约数量;且对不同状态的预约资源分颜色显示。</w:t>
            </w:r>
          </w:p>
        </w:tc>
      </w:tr>
      <w:tr w14:paraId="4652CBC0">
        <w:tblPrEx>
          <w:tblCellMar>
            <w:top w:w="0" w:type="dxa"/>
            <w:left w:w="108" w:type="dxa"/>
            <w:bottom w:w="0" w:type="dxa"/>
            <w:right w:w="108" w:type="dxa"/>
          </w:tblCellMar>
        </w:tblPrEx>
        <w:trPr>
          <w:trHeight w:val="534" w:hRule="atLeast"/>
          <w:jc w:val="center"/>
        </w:trPr>
        <w:tc>
          <w:tcPr>
            <w:tcW w:w="1056"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3E7C0573">
            <w:pPr>
              <w:rPr>
                <w:rFonts w:ascii="宋体" w:hAnsi="宋体" w:eastAsia="宋体" w:cs="宋体"/>
                <w:color w:val="000000" w:themeColor="text1"/>
                <w:sz w:val="21"/>
                <w:szCs w:val="21"/>
                <w14:textFill>
                  <w14:solidFill>
                    <w14:schemeClr w14:val="tx1"/>
                  </w14:solidFill>
                </w14:textFill>
              </w:rPr>
            </w:pP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CFAD2">
            <w:pPr>
              <w:widowControl/>
              <w:textAlignment w:val="bottom"/>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系统内置多规则</w:t>
            </w:r>
          </w:p>
        </w:tc>
        <w:tc>
          <w:tcPr>
            <w:tcW w:w="7219" w:type="dxa"/>
            <w:tcBorders>
              <w:top w:val="single" w:color="000000" w:sz="4" w:space="0"/>
              <w:left w:val="single" w:color="000000" w:sz="4" w:space="0"/>
              <w:bottom w:val="single" w:color="000000" w:sz="4" w:space="0"/>
              <w:right w:val="single" w:color="000000" w:sz="8" w:space="0"/>
            </w:tcBorders>
            <w:shd w:val="clear" w:color="auto" w:fill="auto"/>
            <w:vAlign w:val="center"/>
          </w:tcPr>
          <w:p w14:paraId="3FF4CE21">
            <w:pPr>
              <w:widowControl/>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系统内置各个医技科室预约资源规则配置,预约规则可以进行自定义以满足科室业务需求。</w:t>
            </w:r>
          </w:p>
        </w:tc>
      </w:tr>
      <w:tr w14:paraId="55D2BD5D">
        <w:tblPrEx>
          <w:tblCellMar>
            <w:top w:w="0" w:type="dxa"/>
            <w:left w:w="108" w:type="dxa"/>
            <w:bottom w:w="0" w:type="dxa"/>
            <w:right w:w="108" w:type="dxa"/>
          </w:tblCellMar>
        </w:tblPrEx>
        <w:trPr>
          <w:trHeight w:val="534" w:hRule="atLeast"/>
          <w:jc w:val="center"/>
        </w:trPr>
        <w:tc>
          <w:tcPr>
            <w:tcW w:w="1056"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55B9AD62">
            <w:pPr>
              <w:rPr>
                <w:rFonts w:ascii="宋体" w:hAnsi="宋体" w:eastAsia="宋体" w:cs="宋体"/>
                <w:color w:val="000000" w:themeColor="text1"/>
                <w:sz w:val="21"/>
                <w:szCs w:val="21"/>
                <w14:textFill>
                  <w14:solidFill>
                    <w14:schemeClr w14:val="tx1"/>
                  </w14:solidFill>
                </w14:textFill>
              </w:rPr>
            </w:pP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ADD4A">
            <w:pPr>
              <w:widowControl/>
              <w:textAlignment w:val="bottom"/>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检查部位时长</w:t>
            </w:r>
          </w:p>
        </w:tc>
        <w:tc>
          <w:tcPr>
            <w:tcW w:w="7219" w:type="dxa"/>
            <w:tcBorders>
              <w:top w:val="single" w:color="000000" w:sz="4" w:space="0"/>
              <w:left w:val="single" w:color="000000" w:sz="4" w:space="0"/>
              <w:bottom w:val="single" w:color="000000" w:sz="4" w:space="0"/>
              <w:right w:val="single" w:color="000000" w:sz="8" w:space="0"/>
            </w:tcBorders>
            <w:shd w:val="clear" w:color="auto" w:fill="auto"/>
            <w:vAlign w:val="center"/>
          </w:tcPr>
          <w:p w14:paraId="3BB061C2">
            <w:pPr>
              <w:widowControl/>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cs="宋体" w:eastAsiaTheme="minorEastAsia"/>
                <w:color w:val="000000"/>
                <w:kern w:val="0"/>
                <w:sz w:val="21"/>
                <w:szCs w:val="21"/>
              </w:rPr>
              <w:t>支持维护检查部位的时长。规则引擎可以根据时长检查时间，指定预约时间。</w:t>
            </w:r>
          </w:p>
        </w:tc>
      </w:tr>
      <w:tr w14:paraId="46B5CB16">
        <w:tblPrEx>
          <w:tblCellMar>
            <w:top w:w="0" w:type="dxa"/>
            <w:left w:w="108" w:type="dxa"/>
            <w:bottom w:w="0" w:type="dxa"/>
            <w:right w:w="108" w:type="dxa"/>
          </w:tblCellMar>
        </w:tblPrEx>
        <w:trPr>
          <w:trHeight w:val="1018" w:hRule="atLeast"/>
          <w:jc w:val="center"/>
        </w:trPr>
        <w:tc>
          <w:tcPr>
            <w:tcW w:w="1056"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354F407C">
            <w:pPr>
              <w:rPr>
                <w:rFonts w:ascii="宋体" w:hAnsi="宋体" w:eastAsia="宋体" w:cs="宋体"/>
                <w:color w:val="000000" w:themeColor="text1"/>
                <w:sz w:val="21"/>
                <w:szCs w:val="21"/>
                <w14:textFill>
                  <w14:solidFill>
                    <w14:schemeClr w14:val="tx1"/>
                  </w14:solidFill>
                </w14:textFill>
              </w:rPr>
            </w:pP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EC624">
            <w:pPr>
              <w:widowControl/>
              <w:textAlignment w:val="bottom"/>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按就诊类别获取检查预约信息</w:t>
            </w:r>
          </w:p>
        </w:tc>
        <w:tc>
          <w:tcPr>
            <w:tcW w:w="7219" w:type="dxa"/>
            <w:tcBorders>
              <w:top w:val="single" w:color="000000" w:sz="4" w:space="0"/>
              <w:left w:val="single" w:color="000000" w:sz="4" w:space="0"/>
              <w:bottom w:val="single" w:color="000000" w:sz="4" w:space="0"/>
              <w:right w:val="single" w:color="000000" w:sz="8" w:space="0"/>
            </w:tcBorders>
            <w:shd w:val="clear" w:color="auto" w:fill="auto"/>
            <w:vAlign w:val="center"/>
          </w:tcPr>
          <w:p w14:paraId="299967FF">
            <w:pPr>
              <w:widowControl/>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系统支持按就诊类别（门诊，住院</w:t>
            </w:r>
            <w:r>
              <w:rPr>
                <w:rFonts w:hint="eastAsia" w:ascii="宋体" w:hAnsi="宋体" w:eastAsia="宋体" w:cs="宋体"/>
                <w:color w:val="000000" w:themeColor="text1"/>
                <w:kern w:val="0"/>
                <w:sz w:val="21"/>
                <w:szCs w:val="21"/>
                <w:lang w:eastAsia="zh-CN" w:bidi="ar"/>
                <w14:textFill>
                  <w14:solidFill>
                    <w14:schemeClr w14:val="tx1"/>
                  </w14:solidFill>
                </w14:textFill>
              </w:rPr>
              <w:t>，急诊，体检</w:t>
            </w:r>
            <w:r>
              <w:rPr>
                <w:rFonts w:hint="eastAsia" w:ascii="宋体" w:hAnsi="宋体" w:eastAsia="宋体" w:cs="宋体"/>
                <w:color w:val="000000" w:themeColor="text1"/>
                <w:kern w:val="0"/>
                <w:sz w:val="21"/>
                <w:szCs w:val="21"/>
                <w:lang w:bidi="ar"/>
                <w14:textFill>
                  <w14:solidFill>
                    <w14:schemeClr w14:val="tx1"/>
                  </w14:solidFill>
                </w14:textFill>
              </w:rPr>
              <w:t>等）进行预约并获取患者相关检查信息，搜索指定时间段预约信息(包括己预约或未预约)。</w:t>
            </w:r>
          </w:p>
        </w:tc>
      </w:tr>
      <w:tr w14:paraId="48DB897F">
        <w:tblPrEx>
          <w:tblCellMar>
            <w:top w:w="0" w:type="dxa"/>
            <w:left w:w="108" w:type="dxa"/>
            <w:bottom w:w="0" w:type="dxa"/>
            <w:right w:w="108" w:type="dxa"/>
          </w:tblCellMar>
        </w:tblPrEx>
        <w:trPr>
          <w:trHeight w:val="1268" w:hRule="atLeast"/>
          <w:jc w:val="center"/>
        </w:trPr>
        <w:tc>
          <w:tcPr>
            <w:tcW w:w="1056"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1B73B24C">
            <w:pPr>
              <w:rPr>
                <w:rFonts w:ascii="宋体" w:hAnsi="宋体" w:eastAsia="宋体" w:cs="宋体"/>
                <w:color w:val="000000" w:themeColor="text1"/>
                <w:sz w:val="21"/>
                <w:szCs w:val="21"/>
                <w14:textFill>
                  <w14:solidFill>
                    <w14:schemeClr w14:val="tx1"/>
                  </w14:solidFill>
                </w14:textFill>
              </w:rPr>
            </w:pP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003F8">
            <w:pPr>
              <w:widowControl/>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检查注意事项智能关联、一键打印指引单</w:t>
            </w:r>
          </w:p>
        </w:tc>
        <w:tc>
          <w:tcPr>
            <w:tcW w:w="7219" w:type="dxa"/>
            <w:tcBorders>
              <w:top w:val="single" w:color="000000" w:sz="4" w:space="0"/>
              <w:left w:val="single" w:color="000000" w:sz="4" w:space="0"/>
              <w:bottom w:val="single" w:color="000000" w:sz="4" w:space="0"/>
              <w:right w:val="single" w:color="000000" w:sz="8" w:space="0"/>
            </w:tcBorders>
            <w:shd w:val="clear" w:color="auto" w:fill="auto"/>
            <w:vAlign w:val="center"/>
          </w:tcPr>
          <w:p w14:paraId="42A522B3">
            <w:pPr>
              <w:widowControl/>
              <w:textAlignment w:val="center"/>
              <w:rPr>
                <w:rFonts w:ascii="宋体" w:hAnsi="宋体" w:eastAsia="宋体" w:cs="宋体"/>
                <w:color w:val="000000" w:themeColor="text1"/>
                <w:sz w:val="21"/>
                <w:szCs w:val="21"/>
                <w14:textFill>
                  <w14:solidFill>
                    <w14:schemeClr w14:val="tx1"/>
                  </w14:solidFill>
                </w14:textFill>
              </w:rPr>
            </w:pPr>
            <w:r>
              <w:rPr>
                <w:rFonts w:hint="default" w:ascii="宋体" w:hAnsi="宋体" w:eastAsia="宋体" w:cs="宋体"/>
                <w:color w:val="000000" w:themeColor="text1"/>
                <w:sz w:val="21"/>
                <w:szCs w:val="21"/>
                <w:u w:val="none"/>
                <w:lang w:bidi="ar"/>
                <w14:textFill>
                  <w14:solidFill>
                    <w14:schemeClr w14:val="tx1"/>
                  </w14:solidFill>
                </w14:textFill>
              </w:rPr>
              <w:t>支持根据检查项目设定检查注意事项、入院注意事项，预约成功后自动打印检查须知、注意事项、检查地点等信息。</w:t>
            </w:r>
          </w:p>
        </w:tc>
      </w:tr>
      <w:tr w14:paraId="67DFFA97">
        <w:tblPrEx>
          <w:tblCellMar>
            <w:top w:w="0" w:type="dxa"/>
            <w:left w:w="108" w:type="dxa"/>
            <w:bottom w:w="0" w:type="dxa"/>
            <w:right w:w="108" w:type="dxa"/>
          </w:tblCellMar>
        </w:tblPrEx>
        <w:trPr>
          <w:trHeight w:val="90" w:hRule="atLeast"/>
          <w:jc w:val="center"/>
        </w:trPr>
        <w:tc>
          <w:tcPr>
            <w:tcW w:w="1056"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7936CA60">
            <w:pPr>
              <w:rPr>
                <w:rFonts w:ascii="宋体" w:hAnsi="宋体" w:eastAsia="宋体" w:cs="宋体"/>
                <w:color w:val="000000" w:themeColor="text1"/>
                <w:sz w:val="21"/>
                <w:szCs w:val="21"/>
                <w14:textFill>
                  <w14:solidFill>
                    <w14:schemeClr w14:val="tx1"/>
                  </w14:solidFill>
                </w14:textFill>
              </w:rPr>
            </w:pPr>
          </w:p>
        </w:tc>
        <w:tc>
          <w:tcPr>
            <w:tcW w:w="1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BE705">
            <w:pPr>
              <w:widowControl/>
              <w:textAlignment w:val="center"/>
              <w:rPr>
                <w:rFonts w:hint="eastAsia"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cs="宋体"/>
                <w:color w:val="000000" w:themeColor="text1"/>
                <w:kern w:val="0"/>
                <w:sz w:val="21"/>
                <w:szCs w:val="21"/>
                <w:lang w:val="en-US" w:eastAsia="zh-CN" w:bidi="ar"/>
                <w14:textFill>
                  <w14:solidFill>
                    <w14:schemeClr w14:val="tx1"/>
                  </w14:solidFill>
                </w14:textFill>
              </w:rPr>
              <w:t>消息提醒</w:t>
            </w:r>
          </w:p>
        </w:tc>
        <w:tc>
          <w:tcPr>
            <w:tcW w:w="7219" w:type="dxa"/>
            <w:tcBorders>
              <w:top w:val="single" w:color="000000" w:sz="4" w:space="0"/>
              <w:left w:val="single" w:color="000000" w:sz="4" w:space="0"/>
              <w:bottom w:val="single" w:color="000000" w:sz="4" w:space="0"/>
              <w:right w:val="single" w:color="000000" w:sz="8" w:space="0"/>
            </w:tcBorders>
            <w:shd w:val="clear" w:color="auto" w:fill="auto"/>
            <w:vAlign w:val="center"/>
          </w:tcPr>
          <w:p w14:paraId="5EA21770">
            <w:pPr>
              <w:widowControl/>
              <w:textAlignment w:val="center"/>
              <w:rPr>
                <w:rFonts w:hint="default" w:ascii="宋体" w:hAnsi="宋体" w:eastAsia="宋体" w:cs="宋体"/>
                <w:color w:val="000000" w:themeColor="text1"/>
                <w:sz w:val="21"/>
                <w:szCs w:val="21"/>
                <w:u w:val="none"/>
                <w:lang w:bidi="ar"/>
                <w14:textFill>
                  <w14:solidFill>
                    <w14:schemeClr w14:val="tx1"/>
                  </w14:solidFill>
                </w14:textFill>
              </w:rPr>
            </w:pPr>
            <w:r>
              <w:rPr>
                <w:rFonts w:hint="default" w:ascii="宋体" w:hAnsi="宋体" w:eastAsia="宋体" w:cs="宋体"/>
                <w:color w:val="000000" w:themeColor="text1"/>
                <w:sz w:val="21"/>
                <w:szCs w:val="21"/>
                <w:u w:val="none"/>
                <w:lang w:bidi="ar"/>
                <w14:textFill>
                  <w14:solidFill>
                    <w14:schemeClr w14:val="tx1"/>
                  </w14:solidFill>
                </w14:textFill>
              </w:rPr>
              <w:t>对已预约患者来检前进行短信息/微信提醒（提醒时间、短信模板可自由配置，如，检查前一天、检查前30分钟），并附上检查注意事项，以便患者及时到位检查（住院患者检查及门诊患者检查）</w:t>
            </w:r>
          </w:p>
        </w:tc>
      </w:tr>
      <w:tr w14:paraId="7FF143BB">
        <w:tblPrEx>
          <w:tblCellMar>
            <w:top w:w="0" w:type="dxa"/>
            <w:left w:w="108" w:type="dxa"/>
            <w:bottom w:w="0" w:type="dxa"/>
            <w:right w:w="108" w:type="dxa"/>
          </w:tblCellMar>
        </w:tblPrEx>
        <w:trPr>
          <w:trHeight w:val="534" w:hRule="atLeast"/>
          <w:jc w:val="center"/>
        </w:trPr>
        <w:tc>
          <w:tcPr>
            <w:tcW w:w="1056"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748A95EF">
            <w:pPr>
              <w:rPr>
                <w:rFonts w:ascii="宋体" w:hAnsi="宋体" w:eastAsia="宋体" w:cs="宋体"/>
                <w:color w:val="000000" w:themeColor="text1"/>
                <w:sz w:val="21"/>
                <w:szCs w:val="21"/>
                <w14:textFill>
                  <w14:solidFill>
                    <w14:schemeClr w14:val="tx1"/>
                  </w14:solidFill>
                </w14:textFill>
              </w:rPr>
            </w:pP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DD1D5">
            <w:pPr>
              <w:widowControl/>
              <w:textAlignment w:val="bottom"/>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日志管理</w:t>
            </w:r>
          </w:p>
        </w:tc>
        <w:tc>
          <w:tcPr>
            <w:tcW w:w="7219" w:type="dxa"/>
            <w:tcBorders>
              <w:top w:val="single" w:color="000000" w:sz="4" w:space="0"/>
              <w:left w:val="single" w:color="000000" w:sz="4" w:space="0"/>
              <w:bottom w:val="single" w:color="000000" w:sz="4" w:space="0"/>
              <w:right w:val="single" w:color="000000" w:sz="8" w:space="0"/>
            </w:tcBorders>
            <w:shd w:val="clear" w:color="auto" w:fill="auto"/>
            <w:vAlign w:val="center"/>
          </w:tcPr>
          <w:p w14:paraId="0A688FED">
            <w:pPr>
              <w:widowControl/>
              <w:textAlignment w:val="center"/>
              <w:rPr>
                <w:rFonts w:ascii="宋体" w:hAnsi="宋体" w:eastAsia="宋体" w:cs="宋体"/>
                <w:color w:val="000000" w:themeColor="text1"/>
                <w:sz w:val="21"/>
                <w:szCs w:val="21"/>
                <w14:textFill>
                  <w14:solidFill>
                    <w14:schemeClr w14:val="tx1"/>
                  </w14:solidFill>
                </w14:textFill>
              </w:rPr>
            </w:pPr>
            <w:r>
              <w:rPr>
                <w:rFonts w:hint="default" w:ascii="宋体" w:hAnsi="宋体" w:eastAsia="宋体" w:cs="宋体"/>
                <w:color w:val="000000" w:themeColor="text1"/>
                <w:sz w:val="21"/>
                <w:szCs w:val="21"/>
                <w:u w:val="none"/>
                <w:lang w:bidi="ar"/>
                <w14:textFill>
                  <w14:solidFill>
                    <w14:schemeClr w14:val="tx1"/>
                  </w14:solidFill>
                </w14:textFill>
              </w:rPr>
              <w:t>系统支持日志管理,详细跟踪检查预约记录。</w:t>
            </w:r>
          </w:p>
        </w:tc>
      </w:tr>
      <w:tr w14:paraId="72482259">
        <w:tblPrEx>
          <w:tblCellMar>
            <w:top w:w="0" w:type="dxa"/>
            <w:left w:w="108" w:type="dxa"/>
            <w:bottom w:w="0" w:type="dxa"/>
            <w:right w:w="108" w:type="dxa"/>
          </w:tblCellMar>
        </w:tblPrEx>
        <w:trPr>
          <w:trHeight w:val="1018" w:hRule="atLeast"/>
          <w:jc w:val="center"/>
        </w:trPr>
        <w:tc>
          <w:tcPr>
            <w:tcW w:w="1056"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749BE940">
            <w:pPr>
              <w:rPr>
                <w:rFonts w:ascii="宋体" w:hAnsi="宋体" w:eastAsia="宋体" w:cs="宋体"/>
                <w:color w:val="000000" w:themeColor="text1"/>
                <w:sz w:val="21"/>
                <w:szCs w:val="21"/>
                <w14:textFill>
                  <w14:solidFill>
                    <w14:schemeClr w14:val="tx1"/>
                  </w14:solidFill>
                </w14:textFill>
              </w:rPr>
            </w:pP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FB808">
            <w:pPr>
              <w:widowControl/>
              <w:textAlignment w:val="bottom"/>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科室独立号源设置</w:t>
            </w:r>
          </w:p>
        </w:tc>
        <w:tc>
          <w:tcPr>
            <w:tcW w:w="7219" w:type="dxa"/>
            <w:tcBorders>
              <w:top w:val="single" w:color="000000" w:sz="4" w:space="0"/>
              <w:left w:val="single" w:color="000000" w:sz="4" w:space="0"/>
              <w:bottom w:val="single" w:color="000000" w:sz="4" w:space="0"/>
              <w:right w:val="single" w:color="000000" w:sz="8" w:space="0"/>
            </w:tcBorders>
            <w:shd w:val="clear" w:color="auto" w:fill="auto"/>
            <w:vAlign w:val="center"/>
          </w:tcPr>
          <w:p w14:paraId="40DDBE86">
            <w:pPr>
              <w:widowControl/>
              <w:textAlignment w:val="center"/>
              <w:rPr>
                <w:rFonts w:ascii="宋体" w:hAnsi="宋体" w:eastAsia="宋体" w:cs="宋体"/>
                <w:color w:val="000000" w:themeColor="text1"/>
                <w:sz w:val="21"/>
                <w:szCs w:val="21"/>
                <w14:textFill>
                  <w14:solidFill>
                    <w14:schemeClr w14:val="tx1"/>
                  </w14:solidFill>
                </w14:textFill>
              </w:rPr>
            </w:pPr>
            <w:r>
              <w:rPr>
                <w:rFonts w:hint="default" w:ascii="宋体" w:hAnsi="宋体" w:eastAsia="宋体" w:cs="宋体"/>
                <w:color w:val="000000" w:themeColor="text1"/>
                <w:sz w:val="21"/>
                <w:szCs w:val="21"/>
                <w:u w:val="none"/>
                <w:lang w:bidi="ar"/>
                <w14:textFill>
                  <w14:solidFill>
                    <w14:schemeClr w14:val="tx1"/>
                  </w14:solidFill>
                </w14:textFill>
              </w:rPr>
              <w:t>系统支持各医技科室分别设置号源时段，设置科室总体号源、各检查室号源、各检查项目号源分别设置。床位资源同上设置。特殊人群可以设置优先就诊排序（例如急诊、VIP患者等），各类人群可以自定义新增。有完整的数据访问控制体系，支持指定用户、指定病人、指定检查的访问控制。</w:t>
            </w:r>
          </w:p>
        </w:tc>
      </w:tr>
      <w:tr w14:paraId="3ABF348A">
        <w:tblPrEx>
          <w:tblCellMar>
            <w:top w:w="0" w:type="dxa"/>
            <w:left w:w="108" w:type="dxa"/>
            <w:bottom w:w="0" w:type="dxa"/>
            <w:right w:w="108" w:type="dxa"/>
          </w:tblCellMar>
        </w:tblPrEx>
        <w:trPr>
          <w:trHeight w:val="768" w:hRule="atLeast"/>
          <w:jc w:val="center"/>
        </w:trPr>
        <w:tc>
          <w:tcPr>
            <w:tcW w:w="1056"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5CE9908B">
            <w:pPr>
              <w:rPr>
                <w:rFonts w:ascii="宋体" w:hAnsi="宋体" w:eastAsia="宋体" w:cs="宋体"/>
                <w:color w:val="000000" w:themeColor="text1"/>
                <w:sz w:val="21"/>
                <w:szCs w:val="21"/>
                <w14:textFill>
                  <w14:solidFill>
                    <w14:schemeClr w14:val="tx1"/>
                  </w14:solidFill>
                </w14:textFill>
              </w:rPr>
            </w:pP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8CD26">
            <w:pPr>
              <w:widowControl/>
              <w:textAlignment w:val="bottom"/>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特殊时间段号源设置</w:t>
            </w:r>
          </w:p>
        </w:tc>
        <w:tc>
          <w:tcPr>
            <w:tcW w:w="7219" w:type="dxa"/>
            <w:tcBorders>
              <w:top w:val="single" w:color="000000" w:sz="4" w:space="0"/>
              <w:left w:val="single" w:color="000000" w:sz="4" w:space="0"/>
              <w:bottom w:val="single" w:color="000000" w:sz="4" w:space="0"/>
              <w:right w:val="single" w:color="000000" w:sz="8" w:space="0"/>
            </w:tcBorders>
            <w:shd w:val="clear" w:color="auto" w:fill="auto"/>
            <w:vAlign w:val="center"/>
          </w:tcPr>
          <w:p w14:paraId="60650042">
            <w:pPr>
              <w:widowControl/>
              <w:textAlignment w:val="center"/>
              <w:rPr>
                <w:rFonts w:ascii="宋体" w:hAnsi="宋体" w:eastAsia="宋体" w:cs="宋体"/>
                <w:color w:val="000000" w:themeColor="text1"/>
                <w:sz w:val="21"/>
                <w:szCs w:val="21"/>
                <w14:textFill>
                  <w14:solidFill>
                    <w14:schemeClr w14:val="tx1"/>
                  </w14:solidFill>
                </w14:textFill>
              </w:rPr>
            </w:pPr>
            <w:r>
              <w:rPr>
                <w:rFonts w:hint="default" w:ascii="宋体" w:hAnsi="宋体" w:eastAsia="宋体" w:cs="宋体"/>
                <w:color w:val="000000" w:themeColor="text1"/>
                <w:sz w:val="21"/>
                <w:szCs w:val="21"/>
                <w:u w:val="none"/>
                <w:lang w:bidi="ar"/>
                <w14:textFill>
                  <w14:solidFill>
                    <w14:schemeClr w14:val="tx1"/>
                  </w14:solidFill>
                </w14:textFill>
              </w:rPr>
              <w:t>对特殊时间段或日期的检查号源分别进行设置。</w:t>
            </w:r>
          </w:p>
        </w:tc>
      </w:tr>
      <w:tr w14:paraId="6534EFC1">
        <w:tblPrEx>
          <w:tblCellMar>
            <w:top w:w="0" w:type="dxa"/>
            <w:left w:w="108" w:type="dxa"/>
            <w:bottom w:w="0" w:type="dxa"/>
            <w:right w:w="108" w:type="dxa"/>
          </w:tblCellMar>
        </w:tblPrEx>
        <w:trPr>
          <w:trHeight w:val="534" w:hRule="atLeast"/>
          <w:jc w:val="center"/>
        </w:trPr>
        <w:tc>
          <w:tcPr>
            <w:tcW w:w="1056"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35D06B0D">
            <w:pPr>
              <w:rPr>
                <w:rFonts w:ascii="宋体" w:hAnsi="宋体" w:eastAsia="宋体" w:cs="宋体"/>
                <w:color w:val="000000" w:themeColor="text1"/>
                <w:sz w:val="21"/>
                <w:szCs w:val="21"/>
                <w14:textFill>
                  <w14:solidFill>
                    <w14:schemeClr w14:val="tx1"/>
                  </w14:solidFill>
                </w14:textFill>
              </w:rPr>
            </w:pP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1D6D2">
            <w:pPr>
              <w:widowControl/>
              <w:textAlignment w:val="bottom"/>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检查排班设置</w:t>
            </w:r>
          </w:p>
        </w:tc>
        <w:tc>
          <w:tcPr>
            <w:tcW w:w="7219" w:type="dxa"/>
            <w:tcBorders>
              <w:top w:val="single" w:color="000000" w:sz="4" w:space="0"/>
              <w:left w:val="single" w:color="000000" w:sz="4" w:space="0"/>
              <w:bottom w:val="single" w:color="000000" w:sz="4" w:space="0"/>
              <w:right w:val="single" w:color="000000" w:sz="8" w:space="0"/>
            </w:tcBorders>
            <w:shd w:val="clear" w:color="auto" w:fill="auto"/>
            <w:vAlign w:val="center"/>
          </w:tcPr>
          <w:p w14:paraId="11E10BDB">
            <w:pPr>
              <w:widowControl/>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系统支持检查排班灵活调整，包括时间、时间段、是否启用等信息。</w:t>
            </w:r>
          </w:p>
        </w:tc>
      </w:tr>
      <w:tr w14:paraId="65EB5E82">
        <w:tblPrEx>
          <w:tblCellMar>
            <w:top w:w="0" w:type="dxa"/>
            <w:left w:w="108" w:type="dxa"/>
            <w:bottom w:w="0" w:type="dxa"/>
            <w:right w:w="108" w:type="dxa"/>
          </w:tblCellMar>
        </w:tblPrEx>
        <w:trPr>
          <w:trHeight w:val="534" w:hRule="atLeast"/>
          <w:jc w:val="center"/>
        </w:trPr>
        <w:tc>
          <w:tcPr>
            <w:tcW w:w="1056"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017258EF">
            <w:pPr>
              <w:rPr>
                <w:rFonts w:ascii="宋体" w:hAnsi="宋体" w:eastAsia="宋体" w:cs="宋体"/>
                <w:color w:val="000000" w:themeColor="text1"/>
                <w:sz w:val="21"/>
                <w:szCs w:val="21"/>
                <w14:textFill>
                  <w14:solidFill>
                    <w14:schemeClr w14:val="tx1"/>
                  </w14:solidFill>
                </w14:textFill>
              </w:rPr>
            </w:pP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435B5">
            <w:pPr>
              <w:widowControl/>
              <w:textAlignment w:val="bottom"/>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时段号源精准设置</w:t>
            </w:r>
          </w:p>
        </w:tc>
        <w:tc>
          <w:tcPr>
            <w:tcW w:w="7219" w:type="dxa"/>
            <w:tcBorders>
              <w:top w:val="single" w:color="000000" w:sz="4" w:space="0"/>
              <w:left w:val="single" w:color="000000" w:sz="4" w:space="0"/>
              <w:bottom w:val="single" w:color="000000" w:sz="4" w:space="0"/>
              <w:right w:val="single" w:color="000000" w:sz="8" w:space="0"/>
            </w:tcBorders>
            <w:shd w:val="clear" w:color="auto" w:fill="auto"/>
            <w:vAlign w:val="center"/>
          </w:tcPr>
          <w:p w14:paraId="58DEA37E">
            <w:pPr>
              <w:widowControl/>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系统支持将全天的检查时间划分为不同时段，并设置时段的号源数量,时段长度可精确到30分钟;不同检查类别自定义不同的预约时长。</w:t>
            </w:r>
          </w:p>
        </w:tc>
      </w:tr>
      <w:tr w14:paraId="30737631">
        <w:tblPrEx>
          <w:tblCellMar>
            <w:top w:w="0" w:type="dxa"/>
            <w:left w:w="108" w:type="dxa"/>
            <w:bottom w:w="0" w:type="dxa"/>
            <w:right w:w="108" w:type="dxa"/>
          </w:tblCellMar>
        </w:tblPrEx>
        <w:trPr>
          <w:trHeight w:val="1018" w:hRule="atLeast"/>
          <w:jc w:val="center"/>
        </w:trPr>
        <w:tc>
          <w:tcPr>
            <w:tcW w:w="1056"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114CF894">
            <w:pPr>
              <w:rPr>
                <w:rFonts w:ascii="宋体" w:hAnsi="宋体" w:eastAsia="宋体" w:cs="宋体"/>
                <w:color w:val="000000" w:themeColor="text1"/>
                <w:sz w:val="21"/>
                <w:szCs w:val="21"/>
                <w14:textFill>
                  <w14:solidFill>
                    <w14:schemeClr w14:val="tx1"/>
                  </w14:solidFill>
                </w14:textFill>
              </w:rPr>
            </w:pP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9F082">
            <w:pPr>
              <w:widowControl/>
              <w:textAlignment w:val="bottom"/>
              <w:rPr>
                <w:rFonts w:ascii="宋体" w:hAnsi="宋体" w:eastAsia="宋体" w:cs="宋体"/>
                <w:color w:val="auto"/>
                <w:sz w:val="21"/>
                <w:szCs w:val="21"/>
              </w:rPr>
            </w:pPr>
            <w:r>
              <w:rPr>
                <w:rFonts w:hint="eastAsia" w:ascii="宋体" w:hAnsi="宋体" w:eastAsia="宋体" w:cs="宋体"/>
                <w:color w:val="auto"/>
                <w:sz w:val="21"/>
                <w:szCs w:val="21"/>
              </w:rPr>
              <w:t>采血预约</w:t>
            </w:r>
          </w:p>
        </w:tc>
        <w:tc>
          <w:tcPr>
            <w:tcW w:w="7219" w:type="dxa"/>
            <w:tcBorders>
              <w:top w:val="single" w:color="000000" w:sz="4" w:space="0"/>
              <w:left w:val="single" w:color="000000" w:sz="4" w:space="0"/>
              <w:bottom w:val="single" w:color="000000" w:sz="4" w:space="0"/>
              <w:right w:val="single" w:color="000000" w:sz="8" w:space="0"/>
            </w:tcBorders>
            <w:shd w:val="clear" w:color="auto" w:fill="auto"/>
            <w:vAlign w:val="center"/>
          </w:tcPr>
          <w:p w14:paraId="36C369E6">
            <w:pPr>
              <w:widowControl/>
              <w:textAlignment w:val="center"/>
              <w:rPr>
                <w:rFonts w:ascii="宋体" w:hAnsi="宋体" w:eastAsia="宋体" w:cs="宋体"/>
                <w:color w:val="auto"/>
                <w:sz w:val="21"/>
                <w:szCs w:val="21"/>
              </w:rPr>
            </w:pPr>
            <w:r>
              <w:rPr>
                <w:rFonts w:hint="eastAsia" w:ascii="宋体" w:hAnsi="宋体" w:eastAsia="宋体" w:cs="宋体"/>
                <w:color w:val="auto"/>
                <w:kern w:val="0"/>
                <w:sz w:val="21"/>
                <w:szCs w:val="21"/>
                <w:lang w:bidi="ar"/>
              </w:rPr>
              <w:t>新增采血预约功能，</w:t>
            </w:r>
            <w:r>
              <w:rPr>
                <w:rFonts w:hint="eastAsia" w:ascii="宋体" w:hAnsi="宋体" w:eastAsia="宋体" w:cs="宋体"/>
                <w:color w:val="auto"/>
                <w:kern w:val="0"/>
                <w:sz w:val="21"/>
                <w:szCs w:val="21"/>
                <w:lang w:eastAsia="zh-CN" w:bidi="ar"/>
              </w:rPr>
              <w:t>提供对外接口</w:t>
            </w:r>
            <w:r>
              <w:rPr>
                <w:rFonts w:hint="eastAsia" w:ascii="宋体" w:hAnsi="宋体" w:eastAsia="宋体" w:cs="宋体"/>
                <w:color w:val="auto"/>
                <w:kern w:val="0"/>
                <w:sz w:val="21"/>
                <w:szCs w:val="21"/>
                <w:lang w:bidi="ar"/>
              </w:rPr>
              <w:t>支持患者通过医院线上渠道（公众号、小程序、APP）及线下渠道（自助机、采血窗口），自主选择采血日期与时段完成预约，患者凭预约信息在预约时段内到采血窗口取号，可享受优先采血服务，实现采血分时段错峰</w:t>
            </w:r>
            <w:r>
              <w:rPr>
                <w:rFonts w:hint="eastAsia" w:ascii="宋体" w:hAnsi="宋体" w:eastAsia="宋体" w:cs="宋体"/>
                <w:color w:val="auto"/>
                <w:kern w:val="0"/>
                <w:sz w:val="21"/>
                <w:szCs w:val="21"/>
                <w:lang w:eastAsia="zh-CN" w:bidi="ar"/>
              </w:rPr>
              <w:t>，免费对接第三方系统</w:t>
            </w:r>
            <w:r>
              <w:rPr>
                <w:rFonts w:hint="eastAsia" w:ascii="宋体" w:hAnsi="宋体" w:eastAsia="宋体" w:cs="宋体"/>
                <w:color w:val="auto"/>
                <w:kern w:val="0"/>
                <w:sz w:val="21"/>
                <w:szCs w:val="21"/>
                <w:lang w:bidi="ar"/>
              </w:rPr>
              <w:t>。</w:t>
            </w:r>
          </w:p>
        </w:tc>
      </w:tr>
      <w:tr w14:paraId="248ED9D4">
        <w:tblPrEx>
          <w:tblCellMar>
            <w:top w:w="0" w:type="dxa"/>
            <w:left w:w="108" w:type="dxa"/>
            <w:bottom w:w="0" w:type="dxa"/>
            <w:right w:w="108" w:type="dxa"/>
          </w:tblCellMar>
        </w:tblPrEx>
        <w:trPr>
          <w:trHeight w:val="534" w:hRule="atLeast"/>
          <w:jc w:val="center"/>
        </w:trPr>
        <w:tc>
          <w:tcPr>
            <w:tcW w:w="1056"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229D1936">
            <w:pPr>
              <w:rPr>
                <w:rFonts w:ascii="宋体" w:hAnsi="宋体" w:eastAsia="宋体" w:cs="宋体"/>
                <w:color w:val="000000" w:themeColor="text1"/>
                <w:sz w:val="21"/>
                <w:szCs w:val="21"/>
                <w14:textFill>
                  <w14:solidFill>
                    <w14:schemeClr w14:val="tx1"/>
                  </w14:solidFill>
                </w14:textFill>
              </w:rPr>
            </w:pP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2C993">
            <w:pPr>
              <w:widowControl/>
              <w:textAlignment w:val="bottom"/>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队列预约</w:t>
            </w:r>
          </w:p>
        </w:tc>
        <w:tc>
          <w:tcPr>
            <w:tcW w:w="7219" w:type="dxa"/>
            <w:tcBorders>
              <w:top w:val="single" w:color="000000" w:sz="4" w:space="0"/>
              <w:left w:val="single" w:color="000000" w:sz="4" w:space="0"/>
              <w:bottom w:val="single" w:color="000000" w:sz="4" w:space="0"/>
              <w:right w:val="single" w:color="000000" w:sz="8" w:space="0"/>
            </w:tcBorders>
            <w:shd w:val="clear" w:color="auto" w:fill="auto"/>
            <w:vAlign w:val="center"/>
          </w:tcPr>
          <w:p w14:paraId="6B1BD23A">
            <w:pPr>
              <w:widowControl/>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▲支持队列预约，预约时按照设置的队列进行预约不需要在预约时将患者分配到检查室；支持将检查室分配到相应的检查队列。</w:t>
            </w:r>
          </w:p>
        </w:tc>
      </w:tr>
      <w:tr w14:paraId="164D1162">
        <w:tblPrEx>
          <w:tblCellMar>
            <w:top w:w="0" w:type="dxa"/>
            <w:left w:w="108" w:type="dxa"/>
            <w:bottom w:w="0" w:type="dxa"/>
            <w:right w:w="108" w:type="dxa"/>
          </w:tblCellMar>
        </w:tblPrEx>
        <w:trPr>
          <w:trHeight w:val="1018" w:hRule="atLeast"/>
          <w:jc w:val="center"/>
        </w:trPr>
        <w:tc>
          <w:tcPr>
            <w:tcW w:w="1056"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5FC3CFE4">
            <w:pPr>
              <w:rPr>
                <w:rFonts w:ascii="宋体" w:hAnsi="宋体" w:eastAsia="宋体" w:cs="宋体"/>
                <w:color w:val="000000" w:themeColor="text1"/>
                <w:sz w:val="21"/>
                <w:szCs w:val="21"/>
                <w14:textFill>
                  <w14:solidFill>
                    <w14:schemeClr w14:val="tx1"/>
                  </w14:solidFill>
                </w14:textFill>
              </w:rPr>
            </w:pP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ED183">
            <w:pPr>
              <w:widowControl/>
              <w:textAlignment w:val="bottom"/>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预约资源自动回收</w:t>
            </w:r>
          </w:p>
        </w:tc>
        <w:tc>
          <w:tcPr>
            <w:tcW w:w="7219" w:type="dxa"/>
            <w:tcBorders>
              <w:top w:val="single" w:color="000000" w:sz="4" w:space="0"/>
              <w:left w:val="single" w:color="000000" w:sz="4" w:space="0"/>
              <w:bottom w:val="single" w:color="000000" w:sz="4" w:space="0"/>
              <w:right w:val="single" w:color="000000" w:sz="8" w:space="0"/>
            </w:tcBorders>
            <w:shd w:val="clear" w:color="auto" w:fill="auto"/>
            <w:vAlign w:val="center"/>
          </w:tcPr>
          <w:p w14:paraId="0A79D2CA">
            <w:pPr>
              <w:widowControl/>
              <w:textAlignment w:val="center"/>
              <w:rPr>
                <w:rFonts w:ascii="宋体" w:hAnsi="宋体" w:eastAsia="宋体" w:cs="宋体"/>
                <w:color w:val="000000" w:themeColor="text1"/>
                <w:sz w:val="21"/>
                <w:szCs w:val="21"/>
                <w14:textFill>
                  <w14:solidFill>
                    <w14:schemeClr w14:val="tx1"/>
                  </w14:solidFill>
                </w14:textFill>
              </w:rPr>
            </w:pPr>
            <w:r>
              <w:rPr>
                <w:rFonts w:hint="default" w:ascii="宋体" w:hAnsi="宋体" w:eastAsia="宋体" w:cs="宋体"/>
                <w:color w:val="000000" w:themeColor="text1"/>
                <w:sz w:val="21"/>
                <w:szCs w:val="21"/>
                <w:u w:val="none"/>
                <w:lang w:bidi="ar"/>
                <w14:textFill>
                  <w14:solidFill>
                    <w14:schemeClr w14:val="tx1"/>
                  </w14:solidFill>
                </w14:textFill>
              </w:rPr>
              <w:t>系统支持缴费时间超时时，预约号源自动回收。如果患者在指定时间内未完成缴费，系统自动取消本次预约，并释放资源用于重新预约，且缴费限时可进行自定义设置。</w:t>
            </w:r>
            <w:r>
              <w:rPr>
                <w:rFonts w:hint="default" w:ascii="宋体" w:hAnsi="宋体" w:eastAsia="宋体" w:cs="宋体"/>
                <w:color w:val="000000" w:themeColor="text1"/>
                <w:sz w:val="21"/>
                <w:szCs w:val="21"/>
                <w:u w:val="none"/>
                <w:lang w:bidi="ar"/>
                <w14:textFill>
                  <w14:solidFill>
                    <w14:schemeClr w14:val="tx1"/>
                  </w14:solidFill>
                </w14:textFill>
              </w:rPr>
              <w:br w:type="textWrapping"/>
            </w:r>
            <w:r>
              <w:rPr>
                <w:rFonts w:hint="default" w:ascii="宋体" w:hAnsi="宋体" w:eastAsia="宋体" w:cs="宋体"/>
                <w:color w:val="000000" w:themeColor="text1"/>
                <w:sz w:val="21"/>
                <w:szCs w:val="21"/>
                <w:u w:val="none"/>
                <w:lang w:bidi="ar"/>
                <w14:textFill>
                  <w14:solidFill>
                    <w14:schemeClr w14:val="tx1"/>
                  </w14:solidFill>
                </w14:textFill>
              </w:rPr>
              <w:t>系统支持入院时间超时时，预约床位资源自动回收。</w:t>
            </w:r>
          </w:p>
        </w:tc>
      </w:tr>
      <w:tr w14:paraId="03F8FED8">
        <w:tblPrEx>
          <w:tblCellMar>
            <w:top w:w="0" w:type="dxa"/>
            <w:left w:w="108" w:type="dxa"/>
            <w:bottom w:w="0" w:type="dxa"/>
            <w:right w:w="108" w:type="dxa"/>
          </w:tblCellMar>
        </w:tblPrEx>
        <w:trPr>
          <w:trHeight w:val="534" w:hRule="atLeast"/>
          <w:jc w:val="center"/>
        </w:trPr>
        <w:tc>
          <w:tcPr>
            <w:tcW w:w="1056"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79C8B2FD">
            <w:pPr>
              <w:rPr>
                <w:rFonts w:ascii="宋体" w:hAnsi="宋体" w:eastAsia="宋体" w:cs="宋体"/>
                <w:color w:val="000000" w:themeColor="text1"/>
                <w:sz w:val="21"/>
                <w:szCs w:val="21"/>
                <w14:textFill>
                  <w14:solidFill>
                    <w14:schemeClr w14:val="tx1"/>
                  </w14:solidFill>
                </w14:textFill>
              </w:rPr>
            </w:pP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6776C">
            <w:pPr>
              <w:widowControl/>
              <w:textAlignment w:val="bottom"/>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多院区预约</w:t>
            </w:r>
          </w:p>
        </w:tc>
        <w:tc>
          <w:tcPr>
            <w:tcW w:w="7219" w:type="dxa"/>
            <w:tcBorders>
              <w:top w:val="single" w:color="000000" w:sz="4" w:space="0"/>
              <w:left w:val="single" w:color="000000" w:sz="4" w:space="0"/>
              <w:bottom w:val="single" w:color="000000" w:sz="4" w:space="0"/>
              <w:right w:val="single" w:color="000000" w:sz="8" w:space="0"/>
            </w:tcBorders>
            <w:shd w:val="clear" w:color="auto" w:fill="auto"/>
            <w:vAlign w:val="center"/>
          </w:tcPr>
          <w:p w14:paraId="40ADCD76">
            <w:pPr>
              <w:widowControl/>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支持对多院区的预约，从而提高效率，实现患者检查满意度的提高。</w:t>
            </w:r>
          </w:p>
        </w:tc>
      </w:tr>
      <w:tr w14:paraId="4CB22D26">
        <w:tblPrEx>
          <w:tblCellMar>
            <w:top w:w="0" w:type="dxa"/>
            <w:left w:w="108" w:type="dxa"/>
            <w:bottom w:w="0" w:type="dxa"/>
            <w:right w:w="108" w:type="dxa"/>
          </w:tblCellMar>
        </w:tblPrEx>
        <w:trPr>
          <w:trHeight w:val="768" w:hRule="atLeast"/>
          <w:jc w:val="center"/>
        </w:trPr>
        <w:tc>
          <w:tcPr>
            <w:tcW w:w="1056"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6C1C98C1">
            <w:pPr>
              <w:rPr>
                <w:rFonts w:ascii="宋体" w:hAnsi="宋体" w:eastAsia="宋体" w:cs="宋体"/>
                <w:color w:val="000000" w:themeColor="text1"/>
                <w:sz w:val="21"/>
                <w:szCs w:val="21"/>
                <w14:textFill>
                  <w14:solidFill>
                    <w14:schemeClr w14:val="tx1"/>
                  </w14:solidFill>
                </w14:textFill>
              </w:rPr>
            </w:pPr>
          </w:p>
        </w:tc>
        <w:tc>
          <w:tcPr>
            <w:tcW w:w="1403" w:type="dxa"/>
            <w:tcBorders>
              <w:top w:val="single" w:color="000000" w:sz="4" w:space="0"/>
              <w:left w:val="single" w:color="000000" w:sz="4" w:space="0"/>
              <w:bottom w:val="nil"/>
              <w:right w:val="single" w:color="000000" w:sz="4" w:space="0"/>
            </w:tcBorders>
            <w:shd w:val="clear" w:color="auto" w:fill="auto"/>
            <w:noWrap/>
            <w:vAlign w:val="center"/>
          </w:tcPr>
          <w:p w14:paraId="723F3ECE">
            <w:pPr>
              <w:widowControl/>
              <w:textAlignment w:val="bottom"/>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医技治疗登记台预约</w:t>
            </w:r>
          </w:p>
        </w:tc>
        <w:tc>
          <w:tcPr>
            <w:tcW w:w="7219" w:type="dxa"/>
            <w:tcBorders>
              <w:top w:val="single" w:color="000000" w:sz="4" w:space="0"/>
              <w:left w:val="single" w:color="000000" w:sz="4" w:space="0"/>
              <w:bottom w:val="nil"/>
              <w:right w:val="single" w:color="000000" w:sz="8" w:space="0"/>
            </w:tcBorders>
            <w:shd w:val="clear" w:color="auto" w:fill="auto"/>
            <w:vAlign w:val="center"/>
          </w:tcPr>
          <w:p w14:paraId="75FD6C26">
            <w:pPr>
              <w:widowControl/>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支持在医技、治疗科室进行预约，针对一些特殊检查项目进行预约，医技科室可根据实际情况临时决定增加号源、调整号源预约时段等。</w:t>
            </w:r>
          </w:p>
        </w:tc>
      </w:tr>
      <w:tr w14:paraId="71A39654">
        <w:tblPrEx>
          <w:tblCellMar>
            <w:top w:w="0" w:type="dxa"/>
            <w:left w:w="108" w:type="dxa"/>
            <w:bottom w:w="0" w:type="dxa"/>
            <w:right w:w="108" w:type="dxa"/>
          </w:tblCellMar>
        </w:tblPrEx>
        <w:trPr>
          <w:trHeight w:val="768" w:hRule="atLeast"/>
          <w:jc w:val="center"/>
        </w:trPr>
        <w:tc>
          <w:tcPr>
            <w:tcW w:w="1056"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44DF97C4">
            <w:pPr>
              <w:widowControl/>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预约分配</w:t>
            </w:r>
          </w:p>
        </w:tc>
        <w:tc>
          <w:tcPr>
            <w:tcW w:w="1403"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3F2FC1FE">
            <w:pPr>
              <w:widowControl/>
              <w:textAlignment w:val="bottom"/>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单项目预约和一键预约</w:t>
            </w:r>
          </w:p>
        </w:tc>
        <w:tc>
          <w:tcPr>
            <w:tcW w:w="7219" w:type="dxa"/>
            <w:tcBorders>
              <w:top w:val="single" w:color="000000" w:sz="8" w:space="0"/>
              <w:left w:val="single" w:color="000000" w:sz="4" w:space="0"/>
              <w:bottom w:val="single" w:color="000000" w:sz="4" w:space="0"/>
              <w:right w:val="single" w:color="000000" w:sz="8" w:space="0"/>
            </w:tcBorders>
            <w:shd w:val="clear" w:color="auto" w:fill="auto"/>
            <w:vAlign w:val="center"/>
          </w:tcPr>
          <w:p w14:paraId="21C50D29">
            <w:pPr>
              <w:widowControl/>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系统支持获取患者的所有检查电子申请单，并可以在同界面查询电子申请单和显示可预约的资源，操作人员预约时可单个项目进行预约，也可全部检查项目实现-键预约。</w:t>
            </w:r>
          </w:p>
        </w:tc>
      </w:tr>
      <w:tr w14:paraId="0693934F">
        <w:tblPrEx>
          <w:tblCellMar>
            <w:top w:w="0" w:type="dxa"/>
            <w:left w:w="108" w:type="dxa"/>
            <w:bottom w:w="0" w:type="dxa"/>
            <w:right w:w="108" w:type="dxa"/>
          </w:tblCellMar>
        </w:tblPrEx>
        <w:trPr>
          <w:trHeight w:val="534" w:hRule="atLeast"/>
          <w:jc w:val="center"/>
        </w:trPr>
        <w:tc>
          <w:tcPr>
            <w:tcW w:w="1056"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6D24424F">
            <w:pPr>
              <w:rPr>
                <w:rFonts w:ascii="宋体" w:hAnsi="宋体" w:eastAsia="宋体" w:cs="宋体"/>
                <w:color w:val="000000" w:themeColor="text1"/>
                <w:sz w:val="21"/>
                <w:szCs w:val="21"/>
                <w14:textFill>
                  <w14:solidFill>
                    <w14:schemeClr w14:val="tx1"/>
                  </w14:solidFill>
                </w14:textFill>
              </w:rPr>
            </w:pP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0D858">
            <w:pPr>
              <w:widowControl/>
              <w:textAlignment w:val="bottom"/>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人工预约</w:t>
            </w:r>
          </w:p>
        </w:tc>
        <w:tc>
          <w:tcPr>
            <w:tcW w:w="7219" w:type="dxa"/>
            <w:tcBorders>
              <w:top w:val="single" w:color="000000" w:sz="4" w:space="0"/>
              <w:left w:val="single" w:color="000000" w:sz="4" w:space="0"/>
              <w:bottom w:val="single" w:color="000000" w:sz="4" w:space="0"/>
              <w:right w:val="single" w:color="000000" w:sz="8" w:space="0"/>
            </w:tcBorders>
            <w:shd w:val="clear" w:color="auto" w:fill="auto"/>
            <w:vAlign w:val="center"/>
          </w:tcPr>
          <w:p w14:paraId="272C0F50">
            <w:pPr>
              <w:widowControl/>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支持医技科室人员和预约服务中心人员使用本系统人工预约，允许为科室人员置高权限，在任意时段进行加号操作。</w:t>
            </w:r>
          </w:p>
        </w:tc>
      </w:tr>
      <w:tr w14:paraId="35351948">
        <w:tblPrEx>
          <w:tblCellMar>
            <w:top w:w="0" w:type="dxa"/>
            <w:left w:w="108" w:type="dxa"/>
            <w:bottom w:w="0" w:type="dxa"/>
            <w:right w:w="108" w:type="dxa"/>
          </w:tblCellMar>
        </w:tblPrEx>
        <w:trPr>
          <w:trHeight w:val="1018" w:hRule="atLeast"/>
          <w:jc w:val="center"/>
        </w:trPr>
        <w:tc>
          <w:tcPr>
            <w:tcW w:w="1056"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139FD3E3">
            <w:pPr>
              <w:rPr>
                <w:rFonts w:ascii="宋体" w:hAnsi="宋体" w:eastAsia="宋体" w:cs="宋体"/>
                <w:color w:val="000000" w:themeColor="text1"/>
                <w:sz w:val="21"/>
                <w:szCs w:val="21"/>
                <w14:textFill>
                  <w14:solidFill>
                    <w14:schemeClr w14:val="tx1"/>
                  </w14:solidFill>
                </w14:textFill>
              </w:rPr>
            </w:pP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E1F2D">
            <w:pPr>
              <w:widowControl/>
              <w:textAlignment w:val="bottom"/>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智能优化预约预约资源最大化</w:t>
            </w:r>
          </w:p>
        </w:tc>
        <w:tc>
          <w:tcPr>
            <w:tcW w:w="7219" w:type="dxa"/>
            <w:tcBorders>
              <w:top w:val="single" w:color="000000" w:sz="4" w:space="0"/>
              <w:left w:val="single" w:color="000000" w:sz="4" w:space="0"/>
              <w:bottom w:val="single" w:color="000000" w:sz="4" w:space="0"/>
              <w:right w:val="single" w:color="000000" w:sz="8" w:space="0"/>
            </w:tcBorders>
            <w:shd w:val="clear" w:color="auto" w:fill="auto"/>
            <w:vAlign w:val="center"/>
          </w:tcPr>
          <w:p w14:paraId="4C045C1F">
            <w:pPr>
              <w:widowControl/>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系统支持对检查申请单包含多个部位、多个检查方法系统自动根据检查耗时占用更多预约资源数量。</w:t>
            </w:r>
          </w:p>
        </w:tc>
      </w:tr>
      <w:tr w14:paraId="2CE7E66F">
        <w:tblPrEx>
          <w:tblCellMar>
            <w:top w:w="0" w:type="dxa"/>
            <w:left w:w="108" w:type="dxa"/>
            <w:bottom w:w="0" w:type="dxa"/>
            <w:right w:w="108" w:type="dxa"/>
          </w:tblCellMar>
        </w:tblPrEx>
        <w:trPr>
          <w:trHeight w:val="768" w:hRule="atLeast"/>
          <w:jc w:val="center"/>
        </w:trPr>
        <w:tc>
          <w:tcPr>
            <w:tcW w:w="1056"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214B6518">
            <w:pPr>
              <w:rPr>
                <w:rFonts w:ascii="宋体" w:hAnsi="宋体" w:eastAsia="宋体" w:cs="宋体"/>
                <w:color w:val="000000" w:themeColor="text1"/>
                <w:sz w:val="21"/>
                <w:szCs w:val="21"/>
                <w14:textFill>
                  <w14:solidFill>
                    <w14:schemeClr w14:val="tx1"/>
                  </w14:solidFill>
                </w14:textFill>
              </w:rPr>
            </w:pP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909E9">
            <w:pPr>
              <w:widowControl/>
              <w:textAlignment w:val="bottom"/>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多条件查询预约和修改</w:t>
            </w:r>
          </w:p>
        </w:tc>
        <w:tc>
          <w:tcPr>
            <w:tcW w:w="7219" w:type="dxa"/>
            <w:tcBorders>
              <w:top w:val="single" w:color="000000" w:sz="4" w:space="0"/>
              <w:left w:val="single" w:color="000000" w:sz="4" w:space="0"/>
              <w:bottom w:val="single" w:color="000000" w:sz="4" w:space="0"/>
              <w:right w:val="single" w:color="000000" w:sz="8" w:space="0"/>
            </w:tcBorders>
            <w:shd w:val="clear" w:color="auto" w:fill="auto"/>
            <w:vAlign w:val="center"/>
          </w:tcPr>
          <w:p w14:paraId="46E30A7B">
            <w:pPr>
              <w:widowControl/>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系统支持预约信息查询，可以根据科室、检查类型、时间、患者姓名等信息查询预约情况，并支持编辑和取消预约信息，修改或取消的预约信息能通过反馈HIS及医技、治疗系统。</w:t>
            </w:r>
          </w:p>
        </w:tc>
      </w:tr>
      <w:tr w14:paraId="7EA10CAF">
        <w:tblPrEx>
          <w:tblCellMar>
            <w:top w:w="0" w:type="dxa"/>
            <w:left w:w="108" w:type="dxa"/>
            <w:bottom w:w="0" w:type="dxa"/>
            <w:right w:w="108" w:type="dxa"/>
          </w:tblCellMar>
        </w:tblPrEx>
        <w:trPr>
          <w:trHeight w:val="534" w:hRule="atLeast"/>
          <w:jc w:val="center"/>
        </w:trPr>
        <w:tc>
          <w:tcPr>
            <w:tcW w:w="1056"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297E0EE9">
            <w:pPr>
              <w:rPr>
                <w:rFonts w:ascii="宋体" w:hAnsi="宋体" w:eastAsia="宋体" w:cs="宋体"/>
                <w:color w:val="000000" w:themeColor="text1"/>
                <w:sz w:val="21"/>
                <w:szCs w:val="21"/>
                <w14:textFill>
                  <w14:solidFill>
                    <w14:schemeClr w14:val="tx1"/>
                  </w14:solidFill>
                </w14:textFill>
              </w:rPr>
            </w:pP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01C24">
            <w:pPr>
              <w:widowControl/>
              <w:textAlignment w:val="bottom"/>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传染病预警提示</w:t>
            </w:r>
          </w:p>
        </w:tc>
        <w:tc>
          <w:tcPr>
            <w:tcW w:w="7219" w:type="dxa"/>
            <w:tcBorders>
              <w:top w:val="single" w:color="000000" w:sz="4" w:space="0"/>
              <w:left w:val="single" w:color="000000" w:sz="4" w:space="0"/>
              <w:bottom w:val="single" w:color="000000" w:sz="4" w:space="0"/>
              <w:right w:val="single" w:color="000000" w:sz="8" w:space="0"/>
            </w:tcBorders>
            <w:shd w:val="clear" w:color="auto" w:fill="auto"/>
            <w:vAlign w:val="center"/>
          </w:tcPr>
          <w:p w14:paraId="142E4982">
            <w:pPr>
              <w:widowControl/>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支持预约时进行患者传染病预警提示。</w:t>
            </w:r>
          </w:p>
        </w:tc>
      </w:tr>
      <w:tr w14:paraId="054F0DF9">
        <w:tblPrEx>
          <w:tblCellMar>
            <w:top w:w="0" w:type="dxa"/>
            <w:left w:w="108" w:type="dxa"/>
            <w:bottom w:w="0" w:type="dxa"/>
            <w:right w:w="108" w:type="dxa"/>
          </w:tblCellMar>
        </w:tblPrEx>
        <w:trPr>
          <w:trHeight w:val="534" w:hRule="atLeast"/>
          <w:jc w:val="center"/>
        </w:trPr>
        <w:tc>
          <w:tcPr>
            <w:tcW w:w="1056"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7E723BC1">
            <w:pPr>
              <w:rPr>
                <w:rFonts w:ascii="宋体" w:hAnsi="宋体" w:eastAsia="宋体" w:cs="宋体"/>
                <w:color w:val="000000" w:themeColor="text1"/>
                <w:sz w:val="21"/>
                <w:szCs w:val="21"/>
                <w14:textFill>
                  <w14:solidFill>
                    <w14:schemeClr w14:val="tx1"/>
                  </w14:solidFill>
                </w14:textFill>
              </w:rPr>
            </w:pPr>
          </w:p>
        </w:tc>
        <w:tc>
          <w:tcPr>
            <w:tcW w:w="1403" w:type="dxa"/>
            <w:tcBorders>
              <w:top w:val="single" w:color="000000" w:sz="4" w:space="0"/>
              <w:left w:val="single" w:color="000000" w:sz="4" w:space="0"/>
              <w:bottom w:val="nil"/>
              <w:right w:val="single" w:color="000000" w:sz="4" w:space="0"/>
            </w:tcBorders>
            <w:shd w:val="clear" w:color="auto" w:fill="auto"/>
            <w:noWrap/>
            <w:vAlign w:val="center"/>
          </w:tcPr>
          <w:p w14:paraId="254D85F4">
            <w:pPr>
              <w:widowControl/>
              <w:textAlignment w:val="bottom"/>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黑名单管理</w:t>
            </w:r>
          </w:p>
        </w:tc>
        <w:tc>
          <w:tcPr>
            <w:tcW w:w="7219" w:type="dxa"/>
            <w:tcBorders>
              <w:top w:val="single" w:color="000000" w:sz="4" w:space="0"/>
              <w:left w:val="single" w:color="000000" w:sz="4" w:space="0"/>
              <w:bottom w:val="nil"/>
              <w:right w:val="single" w:color="000000" w:sz="8" w:space="0"/>
            </w:tcBorders>
            <w:shd w:val="clear" w:color="auto" w:fill="auto"/>
            <w:vAlign w:val="center"/>
          </w:tcPr>
          <w:p w14:paraId="5D3C8AAF">
            <w:pPr>
              <w:widowControl/>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支持对违约行为进行定义与管理、对黑名单违约次数、黑名单列表进行管理，黑名单列表支持手工拉入黑名单列表，并支持录入拉入黑名单原因。</w:t>
            </w:r>
          </w:p>
        </w:tc>
      </w:tr>
      <w:tr w14:paraId="2887883F">
        <w:tblPrEx>
          <w:tblCellMar>
            <w:top w:w="0" w:type="dxa"/>
            <w:left w:w="108" w:type="dxa"/>
            <w:bottom w:w="0" w:type="dxa"/>
            <w:right w:w="108" w:type="dxa"/>
          </w:tblCellMar>
        </w:tblPrEx>
        <w:trPr>
          <w:trHeight w:val="768" w:hRule="atLeast"/>
          <w:jc w:val="center"/>
        </w:trPr>
        <w:tc>
          <w:tcPr>
            <w:tcW w:w="1056"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25428153">
            <w:pPr>
              <w:widowControl/>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智慧预约规则知识库</w:t>
            </w:r>
          </w:p>
        </w:tc>
        <w:tc>
          <w:tcPr>
            <w:tcW w:w="1403"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3624986E">
            <w:pPr>
              <w:widowControl/>
              <w:textAlignment w:val="bottom"/>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特殊条件约束</w:t>
            </w:r>
          </w:p>
        </w:tc>
        <w:tc>
          <w:tcPr>
            <w:tcW w:w="7219" w:type="dxa"/>
            <w:tcBorders>
              <w:top w:val="single" w:color="000000" w:sz="8" w:space="0"/>
              <w:left w:val="single" w:color="000000" w:sz="4" w:space="0"/>
              <w:bottom w:val="single" w:color="000000" w:sz="4" w:space="0"/>
              <w:right w:val="single" w:color="000000" w:sz="8" w:space="0"/>
            </w:tcBorders>
            <w:shd w:val="clear" w:color="auto" w:fill="auto"/>
            <w:vAlign w:val="center"/>
          </w:tcPr>
          <w:p w14:paraId="5EB2FB9D">
            <w:pPr>
              <w:widowControl/>
              <w:textAlignment w:val="center"/>
              <w:rPr>
                <w:rFonts w:ascii="宋体" w:hAnsi="宋体" w:eastAsia="宋体" w:cs="宋体"/>
                <w:color w:val="000000" w:themeColor="text1"/>
                <w:sz w:val="21"/>
                <w:szCs w:val="21"/>
                <w14:textFill>
                  <w14:solidFill>
                    <w14:schemeClr w14:val="tx1"/>
                  </w14:solidFill>
                </w14:textFill>
              </w:rPr>
            </w:pPr>
            <w:r>
              <w:rPr>
                <w:rFonts w:hint="default" w:ascii="宋体" w:hAnsi="宋体" w:eastAsia="宋体" w:cs="宋体"/>
                <w:color w:val="000000" w:themeColor="text1"/>
                <w:sz w:val="21"/>
                <w:szCs w:val="21"/>
                <w:u w:val="none"/>
                <w:lang w:bidi="ar"/>
                <w14:textFill>
                  <w14:solidFill>
                    <w14:schemeClr w14:val="tx1"/>
                  </w14:solidFill>
                </w14:textFill>
              </w:rPr>
              <w:t>系统支持检查项目之间的检查规则，用户自定义各类规则，规则设置中，需要以申请单字段为触发条件,在满足特定条件下不同检查项目预约触发指定条件。对是否为增强检查、孕周设定等特殊事宜标记。</w:t>
            </w:r>
          </w:p>
        </w:tc>
      </w:tr>
      <w:tr w14:paraId="270326C2">
        <w:tblPrEx>
          <w:tblCellMar>
            <w:top w:w="0" w:type="dxa"/>
            <w:left w:w="108" w:type="dxa"/>
            <w:bottom w:w="0" w:type="dxa"/>
            <w:right w:w="108" w:type="dxa"/>
          </w:tblCellMar>
        </w:tblPrEx>
        <w:trPr>
          <w:trHeight w:val="534" w:hRule="atLeast"/>
          <w:jc w:val="center"/>
        </w:trPr>
        <w:tc>
          <w:tcPr>
            <w:tcW w:w="1056"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6AB3F2CF">
            <w:pPr>
              <w:rPr>
                <w:rFonts w:ascii="宋体" w:hAnsi="宋体" w:eastAsia="宋体" w:cs="宋体"/>
                <w:color w:val="000000" w:themeColor="text1"/>
                <w:sz w:val="21"/>
                <w:szCs w:val="21"/>
                <w14:textFill>
                  <w14:solidFill>
                    <w14:schemeClr w14:val="tx1"/>
                  </w14:solidFill>
                </w14:textFill>
              </w:rPr>
            </w:pP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32F9C">
            <w:pPr>
              <w:widowControl/>
              <w:textAlignment w:val="bottom"/>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检查时间间隔约束</w:t>
            </w:r>
          </w:p>
        </w:tc>
        <w:tc>
          <w:tcPr>
            <w:tcW w:w="7219" w:type="dxa"/>
            <w:tcBorders>
              <w:top w:val="single" w:color="000000" w:sz="4" w:space="0"/>
              <w:left w:val="single" w:color="000000" w:sz="4" w:space="0"/>
              <w:bottom w:val="single" w:color="000000" w:sz="4" w:space="0"/>
              <w:right w:val="single" w:color="000000" w:sz="8" w:space="0"/>
            </w:tcBorders>
            <w:shd w:val="clear" w:color="auto" w:fill="auto"/>
            <w:vAlign w:val="center"/>
          </w:tcPr>
          <w:p w14:paraId="1856A8B3">
            <w:pPr>
              <w:widowControl/>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系统支持的规则应该包括至少下列类型规则，两项检查间时间间隔要求、某类患者是否可以优先、某类患者是否需要排后检查。</w:t>
            </w:r>
          </w:p>
        </w:tc>
      </w:tr>
      <w:tr w14:paraId="42790E4B">
        <w:tblPrEx>
          <w:tblCellMar>
            <w:top w:w="0" w:type="dxa"/>
            <w:left w:w="108" w:type="dxa"/>
            <w:bottom w:w="0" w:type="dxa"/>
            <w:right w:w="108" w:type="dxa"/>
          </w:tblCellMar>
        </w:tblPrEx>
        <w:trPr>
          <w:trHeight w:val="768" w:hRule="atLeast"/>
          <w:jc w:val="center"/>
        </w:trPr>
        <w:tc>
          <w:tcPr>
            <w:tcW w:w="1056"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4CF61D7B">
            <w:pPr>
              <w:rPr>
                <w:rFonts w:ascii="宋体" w:hAnsi="宋体" w:eastAsia="宋体" w:cs="宋体"/>
                <w:color w:val="000000" w:themeColor="text1"/>
                <w:sz w:val="21"/>
                <w:szCs w:val="21"/>
                <w14:textFill>
                  <w14:solidFill>
                    <w14:schemeClr w14:val="tx1"/>
                  </w14:solidFill>
                </w14:textFill>
              </w:rPr>
            </w:pP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353F3">
            <w:pPr>
              <w:widowControl/>
              <w:textAlignment w:val="bottom"/>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检查项目限制</w:t>
            </w:r>
          </w:p>
        </w:tc>
        <w:tc>
          <w:tcPr>
            <w:tcW w:w="7219" w:type="dxa"/>
            <w:tcBorders>
              <w:top w:val="single" w:color="000000" w:sz="4" w:space="0"/>
              <w:left w:val="single" w:color="000000" w:sz="4" w:space="0"/>
              <w:bottom w:val="single" w:color="000000" w:sz="4" w:space="0"/>
              <w:right w:val="single" w:color="000000" w:sz="8" w:space="0"/>
            </w:tcBorders>
            <w:shd w:val="clear" w:color="auto" w:fill="auto"/>
            <w:vAlign w:val="center"/>
          </w:tcPr>
          <w:p w14:paraId="5A1D5CC5">
            <w:pPr>
              <w:widowControl/>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系统支持不同检查项目检查时间的限制，实现不同检查项目的检查时间段限制、诊室限制，例如系统可把MRI检查使用相同线圈的患者预约在相同检查室的同一时段进行检查。</w:t>
            </w:r>
          </w:p>
        </w:tc>
      </w:tr>
      <w:tr w14:paraId="3660E7CE">
        <w:tblPrEx>
          <w:tblCellMar>
            <w:top w:w="0" w:type="dxa"/>
            <w:left w:w="108" w:type="dxa"/>
            <w:bottom w:w="0" w:type="dxa"/>
            <w:right w:w="108" w:type="dxa"/>
          </w:tblCellMar>
        </w:tblPrEx>
        <w:trPr>
          <w:trHeight w:val="534" w:hRule="atLeast"/>
          <w:jc w:val="center"/>
        </w:trPr>
        <w:tc>
          <w:tcPr>
            <w:tcW w:w="1056"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5A2600E0">
            <w:pPr>
              <w:rPr>
                <w:rFonts w:ascii="宋体" w:hAnsi="宋体" w:eastAsia="宋体" w:cs="宋体"/>
                <w:color w:val="000000" w:themeColor="text1"/>
                <w:sz w:val="21"/>
                <w:szCs w:val="21"/>
                <w14:textFill>
                  <w14:solidFill>
                    <w14:schemeClr w14:val="tx1"/>
                  </w14:solidFill>
                </w14:textFill>
              </w:rPr>
            </w:pP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CD7CD">
            <w:pPr>
              <w:widowControl/>
              <w:textAlignment w:val="bottom"/>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诊室限制</w:t>
            </w:r>
          </w:p>
        </w:tc>
        <w:tc>
          <w:tcPr>
            <w:tcW w:w="7219" w:type="dxa"/>
            <w:tcBorders>
              <w:top w:val="single" w:color="000000" w:sz="4" w:space="0"/>
              <w:left w:val="single" w:color="000000" w:sz="4" w:space="0"/>
              <w:bottom w:val="single" w:color="000000" w:sz="4" w:space="0"/>
              <w:right w:val="single" w:color="000000" w:sz="8" w:space="0"/>
            </w:tcBorders>
            <w:shd w:val="clear" w:color="auto" w:fill="auto"/>
            <w:vAlign w:val="center"/>
          </w:tcPr>
          <w:p w14:paraId="41A58A71">
            <w:pPr>
              <w:widowControl/>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系统支持不同类型患者、不同检查项目、不同检查方法进行诊室限制设置。</w:t>
            </w:r>
          </w:p>
        </w:tc>
      </w:tr>
      <w:tr w14:paraId="22DEB937">
        <w:tblPrEx>
          <w:tblCellMar>
            <w:top w:w="0" w:type="dxa"/>
            <w:left w:w="108" w:type="dxa"/>
            <w:bottom w:w="0" w:type="dxa"/>
            <w:right w:w="108" w:type="dxa"/>
          </w:tblCellMar>
        </w:tblPrEx>
        <w:trPr>
          <w:trHeight w:val="768" w:hRule="atLeast"/>
          <w:jc w:val="center"/>
        </w:trPr>
        <w:tc>
          <w:tcPr>
            <w:tcW w:w="1056"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58A26961">
            <w:pPr>
              <w:rPr>
                <w:rFonts w:ascii="宋体" w:hAnsi="宋体" w:eastAsia="宋体" w:cs="宋体"/>
                <w:color w:val="000000" w:themeColor="text1"/>
                <w:sz w:val="21"/>
                <w:szCs w:val="21"/>
                <w14:textFill>
                  <w14:solidFill>
                    <w14:schemeClr w14:val="tx1"/>
                  </w14:solidFill>
                </w14:textFill>
              </w:rPr>
            </w:pP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05664">
            <w:pPr>
              <w:widowControl/>
              <w:textAlignment w:val="bottom"/>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多部位优先级智能调整</w:t>
            </w:r>
          </w:p>
        </w:tc>
        <w:tc>
          <w:tcPr>
            <w:tcW w:w="7219" w:type="dxa"/>
            <w:tcBorders>
              <w:top w:val="single" w:color="000000" w:sz="4" w:space="0"/>
              <w:left w:val="single" w:color="000000" w:sz="4" w:space="0"/>
              <w:bottom w:val="single" w:color="000000" w:sz="4" w:space="0"/>
              <w:right w:val="single" w:color="000000" w:sz="8" w:space="0"/>
            </w:tcBorders>
            <w:shd w:val="clear" w:color="auto" w:fill="auto"/>
            <w:vAlign w:val="center"/>
          </w:tcPr>
          <w:p w14:paraId="2A9A9A0F">
            <w:pPr>
              <w:widowControl/>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系统支持同一个检查申请单包含多个部位、多个方法时，允许配置部位优先级、方法优先级。系统应按照优先级顺序高的部位、方法进行预约的操作。</w:t>
            </w:r>
          </w:p>
        </w:tc>
      </w:tr>
      <w:tr w14:paraId="3A987F3F">
        <w:tblPrEx>
          <w:tblCellMar>
            <w:top w:w="0" w:type="dxa"/>
            <w:left w:w="108" w:type="dxa"/>
            <w:bottom w:w="0" w:type="dxa"/>
            <w:right w:w="108" w:type="dxa"/>
          </w:tblCellMar>
        </w:tblPrEx>
        <w:trPr>
          <w:trHeight w:val="534" w:hRule="atLeast"/>
          <w:jc w:val="center"/>
        </w:trPr>
        <w:tc>
          <w:tcPr>
            <w:tcW w:w="1056"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6458C995">
            <w:pPr>
              <w:rPr>
                <w:rFonts w:ascii="宋体" w:hAnsi="宋体" w:eastAsia="宋体" w:cs="宋体"/>
                <w:color w:val="000000" w:themeColor="text1"/>
                <w:sz w:val="21"/>
                <w:szCs w:val="21"/>
                <w14:textFill>
                  <w14:solidFill>
                    <w14:schemeClr w14:val="tx1"/>
                  </w14:solidFill>
                </w14:textFill>
              </w:rPr>
            </w:pP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AD3A1">
            <w:pPr>
              <w:widowControl/>
              <w:textAlignment w:val="bottom"/>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项目要求设置</w:t>
            </w:r>
          </w:p>
        </w:tc>
        <w:tc>
          <w:tcPr>
            <w:tcW w:w="7219" w:type="dxa"/>
            <w:tcBorders>
              <w:top w:val="single" w:color="000000" w:sz="4" w:space="0"/>
              <w:left w:val="single" w:color="000000" w:sz="4" w:space="0"/>
              <w:bottom w:val="single" w:color="000000" w:sz="4" w:space="0"/>
              <w:right w:val="single" w:color="000000" w:sz="8" w:space="0"/>
            </w:tcBorders>
            <w:shd w:val="clear" w:color="auto" w:fill="auto"/>
            <w:vAlign w:val="center"/>
          </w:tcPr>
          <w:p w14:paraId="01B49973">
            <w:pPr>
              <w:widowControl/>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系统支持检查治疗要求设置。如项目是否空腹/憋尿。</w:t>
            </w:r>
          </w:p>
        </w:tc>
      </w:tr>
      <w:tr w14:paraId="56BCD912">
        <w:tblPrEx>
          <w:tblCellMar>
            <w:top w:w="0" w:type="dxa"/>
            <w:left w:w="108" w:type="dxa"/>
            <w:bottom w:w="0" w:type="dxa"/>
            <w:right w:w="108" w:type="dxa"/>
          </w:tblCellMar>
        </w:tblPrEx>
        <w:trPr>
          <w:trHeight w:val="768" w:hRule="atLeast"/>
          <w:jc w:val="center"/>
        </w:trPr>
        <w:tc>
          <w:tcPr>
            <w:tcW w:w="1056"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0C0DBA87">
            <w:pPr>
              <w:rPr>
                <w:rFonts w:ascii="宋体" w:hAnsi="宋体" w:eastAsia="宋体" w:cs="宋体"/>
                <w:color w:val="000000" w:themeColor="text1"/>
                <w:sz w:val="21"/>
                <w:szCs w:val="21"/>
                <w14:textFill>
                  <w14:solidFill>
                    <w14:schemeClr w14:val="tx1"/>
                  </w14:solidFill>
                </w14:textFill>
              </w:rPr>
            </w:pP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1B82D">
            <w:pPr>
              <w:widowControl/>
              <w:textAlignment w:val="bottom"/>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孕周规则</w:t>
            </w:r>
          </w:p>
        </w:tc>
        <w:tc>
          <w:tcPr>
            <w:tcW w:w="7219" w:type="dxa"/>
            <w:tcBorders>
              <w:top w:val="single" w:color="000000" w:sz="4" w:space="0"/>
              <w:left w:val="single" w:color="000000" w:sz="4" w:space="0"/>
              <w:bottom w:val="single" w:color="000000" w:sz="4" w:space="0"/>
              <w:right w:val="single" w:color="000000" w:sz="8" w:space="0"/>
            </w:tcBorders>
            <w:shd w:val="clear" w:color="auto" w:fill="auto"/>
            <w:vAlign w:val="center"/>
          </w:tcPr>
          <w:p w14:paraId="5F219B4A">
            <w:pPr>
              <w:widowControl/>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针对超声产前检查的孕妇，系统支持根据检查部位、产前类型、孕周范围，能够根据末次月经自动判断并推荐预约到最近的检查时间，并且在预约时也可以选择设置末次月经时间。</w:t>
            </w:r>
          </w:p>
        </w:tc>
      </w:tr>
      <w:tr w14:paraId="04329518">
        <w:tblPrEx>
          <w:tblCellMar>
            <w:top w:w="0" w:type="dxa"/>
            <w:left w:w="108" w:type="dxa"/>
            <w:bottom w:w="0" w:type="dxa"/>
            <w:right w:w="108" w:type="dxa"/>
          </w:tblCellMar>
        </w:tblPrEx>
        <w:trPr>
          <w:trHeight w:val="534" w:hRule="atLeast"/>
          <w:jc w:val="center"/>
        </w:trPr>
        <w:tc>
          <w:tcPr>
            <w:tcW w:w="1056"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7C8E6FB1">
            <w:pPr>
              <w:rPr>
                <w:rFonts w:ascii="宋体" w:hAnsi="宋体" w:eastAsia="宋体" w:cs="宋体"/>
                <w:color w:val="000000" w:themeColor="text1"/>
                <w:sz w:val="21"/>
                <w:szCs w:val="21"/>
                <w14:textFill>
                  <w14:solidFill>
                    <w14:schemeClr w14:val="tx1"/>
                  </w14:solidFill>
                </w14:textFill>
              </w:rPr>
            </w:pP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697F1">
            <w:pPr>
              <w:widowControl/>
              <w:textAlignment w:val="bottom"/>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占号规则</w:t>
            </w:r>
          </w:p>
        </w:tc>
        <w:tc>
          <w:tcPr>
            <w:tcW w:w="7219" w:type="dxa"/>
            <w:tcBorders>
              <w:top w:val="single" w:color="000000" w:sz="4" w:space="0"/>
              <w:left w:val="single" w:color="000000" w:sz="4" w:space="0"/>
              <w:bottom w:val="single" w:color="000000" w:sz="4" w:space="0"/>
              <w:right w:val="single" w:color="000000" w:sz="8" w:space="0"/>
            </w:tcBorders>
            <w:shd w:val="clear" w:color="auto" w:fill="auto"/>
            <w:vAlign w:val="center"/>
          </w:tcPr>
          <w:p w14:paraId="645E951E">
            <w:pPr>
              <w:widowControl/>
              <w:textAlignment w:val="center"/>
              <w:rPr>
                <w:rFonts w:ascii="宋体" w:hAnsi="宋体" w:eastAsia="宋体" w:cs="宋体"/>
                <w:color w:val="000000" w:themeColor="text1"/>
                <w:sz w:val="21"/>
                <w:szCs w:val="21"/>
                <w14:textFill>
                  <w14:solidFill>
                    <w14:schemeClr w14:val="tx1"/>
                  </w14:solidFill>
                </w14:textFill>
              </w:rPr>
            </w:pPr>
            <w:r>
              <w:rPr>
                <w:rFonts w:hint="default" w:ascii="宋体" w:hAnsi="宋体" w:eastAsia="宋体" w:cs="宋体"/>
                <w:color w:val="000000" w:themeColor="text1"/>
                <w:sz w:val="21"/>
                <w:szCs w:val="21"/>
                <w:u w:val="none"/>
                <w:lang w:bidi="ar"/>
                <w14:textFill>
                  <w14:solidFill>
                    <w14:schemeClr w14:val="tx1"/>
                  </w14:solidFill>
                </w14:textFill>
              </w:rPr>
              <w:t>支持针对某些特殊的患者，可提前进行锁定号源，在检查、入院当天，可将该号源给真实的检查单进行使用，提前锁定号源进行检查。</w:t>
            </w:r>
          </w:p>
        </w:tc>
      </w:tr>
      <w:tr w14:paraId="1925E109">
        <w:tblPrEx>
          <w:tblCellMar>
            <w:top w:w="0" w:type="dxa"/>
            <w:left w:w="108" w:type="dxa"/>
            <w:bottom w:w="0" w:type="dxa"/>
            <w:right w:w="108" w:type="dxa"/>
          </w:tblCellMar>
        </w:tblPrEx>
        <w:trPr>
          <w:trHeight w:val="534" w:hRule="atLeast"/>
          <w:jc w:val="center"/>
        </w:trPr>
        <w:tc>
          <w:tcPr>
            <w:tcW w:w="1056"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5B1E2DFB">
            <w:pPr>
              <w:rPr>
                <w:rFonts w:ascii="宋体" w:hAnsi="宋体" w:eastAsia="宋体" w:cs="宋体"/>
                <w:color w:val="000000" w:themeColor="text1"/>
                <w:sz w:val="21"/>
                <w:szCs w:val="21"/>
                <w14:textFill>
                  <w14:solidFill>
                    <w14:schemeClr w14:val="tx1"/>
                  </w14:solidFill>
                </w14:textFill>
              </w:rPr>
            </w:pP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49F76">
            <w:pPr>
              <w:widowControl/>
              <w:textAlignment w:val="bottom"/>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拒绝规则</w:t>
            </w:r>
          </w:p>
        </w:tc>
        <w:tc>
          <w:tcPr>
            <w:tcW w:w="7219" w:type="dxa"/>
            <w:tcBorders>
              <w:top w:val="single" w:color="000000" w:sz="4" w:space="0"/>
              <w:left w:val="single" w:color="000000" w:sz="4" w:space="0"/>
              <w:bottom w:val="single" w:color="000000" w:sz="4" w:space="0"/>
              <w:right w:val="single" w:color="000000" w:sz="8" w:space="0"/>
            </w:tcBorders>
            <w:shd w:val="clear" w:color="auto" w:fill="auto"/>
            <w:vAlign w:val="center"/>
          </w:tcPr>
          <w:p w14:paraId="3A9E234B">
            <w:pPr>
              <w:widowControl/>
              <w:textAlignment w:val="center"/>
              <w:rPr>
                <w:rFonts w:ascii="宋体" w:hAnsi="宋体" w:eastAsia="宋体" w:cs="宋体"/>
                <w:color w:val="000000" w:themeColor="text1"/>
                <w:sz w:val="21"/>
                <w:szCs w:val="21"/>
                <w14:textFill>
                  <w14:solidFill>
                    <w14:schemeClr w14:val="tx1"/>
                  </w14:solidFill>
                </w14:textFill>
              </w:rPr>
            </w:pPr>
            <w:r>
              <w:rPr>
                <w:rFonts w:hint="default" w:ascii="宋体" w:hAnsi="宋体" w:eastAsia="宋体" w:cs="宋体"/>
                <w:color w:val="000000" w:themeColor="text1"/>
                <w:sz w:val="21"/>
                <w:szCs w:val="21"/>
                <w:u w:val="none"/>
                <w:lang w:bidi="ar"/>
                <w14:textFill>
                  <w14:solidFill>
                    <w14:schemeClr w14:val="tx1"/>
                  </w14:solidFill>
                </w14:textFill>
              </w:rPr>
              <w:t>对孕妇、年龄、患者类型（急诊或门诊）等特殊条件，设置拒绝预约操作。</w:t>
            </w:r>
          </w:p>
        </w:tc>
      </w:tr>
      <w:tr w14:paraId="6826E7F5">
        <w:tblPrEx>
          <w:tblCellMar>
            <w:top w:w="0" w:type="dxa"/>
            <w:left w:w="108" w:type="dxa"/>
            <w:bottom w:w="0" w:type="dxa"/>
            <w:right w:w="108" w:type="dxa"/>
          </w:tblCellMar>
        </w:tblPrEx>
        <w:trPr>
          <w:trHeight w:val="534" w:hRule="atLeast"/>
          <w:jc w:val="center"/>
        </w:trPr>
        <w:tc>
          <w:tcPr>
            <w:tcW w:w="1056"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26042699">
            <w:pPr>
              <w:rPr>
                <w:rFonts w:ascii="宋体" w:hAnsi="宋体" w:eastAsia="宋体" w:cs="宋体"/>
                <w:color w:val="000000" w:themeColor="text1"/>
                <w:sz w:val="21"/>
                <w:szCs w:val="21"/>
                <w14:textFill>
                  <w14:solidFill>
                    <w14:schemeClr w14:val="tx1"/>
                  </w14:solidFill>
                </w14:textFill>
              </w:rPr>
            </w:pP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96BF4">
            <w:pPr>
              <w:widowControl/>
              <w:textAlignment w:val="bottom"/>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间隔规则</w:t>
            </w:r>
          </w:p>
        </w:tc>
        <w:tc>
          <w:tcPr>
            <w:tcW w:w="7219" w:type="dxa"/>
            <w:tcBorders>
              <w:top w:val="single" w:color="000000" w:sz="4" w:space="0"/>
              <w:left w:val="single" w:color="000000" w:sz="4" w:space="0"/>
              <w:bottom w:val="single" w:color="000000" w:sz="4" w:space="0"/>
              <w:right w:val="single" w:color="000000" w:sz="8" w:space="0"/>
            </w:tcBorders>
            <w:shd w:val="clear" w:color="auto" w:fill="auto"/>
            <w:vAlign w:val="center"/>
          </w:tcPr>
          <w:p w14:paraId="35344299">
            <w:pPr>
              <w:widowControl/>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不同类型医技检查冲突时，自动提醒时间间隔。特别针对已经完成的检查，当预约另一项检查时也可以触发间隔规则提醒。</w:t>
            </w:r>
          </w:p>
        </w:tc>
      </w:tr>
      <w:tr w14:paraId="20077870">
        <w:tblPrEx>
          <w:tblCellMar>
            <w:top w:w="0" w:type="dxa"/>
            <w:left w:w="108" w:type="dxa"/>
            <w:bottom w:w="0" w:type="dxa"/>
            <w:right w:w="108" w:type="dxa"/>
          </w:tblCellMar>
        </w:tblPrEx>
        <w:trPr>
          <w:trHeight w:val="534" w:hRule="atLeast"/>
          <w:jc w:val="center"/>
        </w:trPr>
        <w:tc>
          <w:tcPr>
            <w:tcW w:w="1056"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269CDB7E">
            <w:pPr>
              <w:rPr>
                <w:rFonts w:ascii="宋体" w:hAnsi="宋体" w:eastAsia="宋体" w:cs="宋体"/>
                <w:color w:val="000000" w:themeColor="text1"/>
                <w:sz w:val="21"/>
                <w:szCs w:val="21"/>
                <w14:textFill>
                  <w14:solidFill>
                    <w14:schemeClr w14:val="tx1"/>
                  </w14:solidFill>
                </w14:textFill>
              </w:rPr>
            </w:pP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02B34">
            <w:pPr>
              <w:widowControl/>
              <w:textAlignment w:val="bottom"/>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优先规则</w:t>
            </w:r>
          </w:p>
        </w:tc>
        <w:tc>
          <w:tcPr>
            <w:tcW w:w="7219" w:type="dxa"/>
            <w:tcBorders>
              <w:top w:val="single" w:color="000000" w:sz="4" w:space="0"/>
              <w:left w:val="single" w:color="000000" w:sz="4" w:space="0"/>
              <w:bottom w:val="single" w:color="000000" w:sz="4" w:space="0"/>
              <w:right w:val="single" w:color="000000" w:sz="8" w:space="0"/>
            </w:tcBorders>
            <w:shd w:val="clear" w:color="auto" w:fill="auto"/>
            <w:vAlign w:val="center"/>
          </w:tcPr>
          <w:p w14:paraId="1F62476F">
            <w:pPr>
              <w:widowControl/>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某类患者安排优先时段、某类患者排后时段。</w:t>
            </w:r>
          </w:p>
        </w:tc>
      </w:tr>
      <w:tr w14:paraId="2F3B05D3">
        <w:tblPrEx>
          <w:tblCellMar>
            <w:top w:w="0" w:type="dxa"/>
            <w:left w:w="108" w:type="dxa"/>
            <w:bottom w:w="0" w:type="dxa"/>
            <w:right w:w="108" w:type="dxa"/>
          </w:tblCellMar>
        </w:tblPrEx>
        <w:trPr>
          <w:trHeight w:val="534" w:hRule="atLeast"/>
          <w:jc w:val="center"/>
        </w:trPr>
        <w:tc>
          <w:tcPr>
            <w:tcW w:w="1056"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2A97AE42">
            <w:pPr>
              <w:rPr>
                <w:rFonts w:ascii="宋体" w:hAnsi="宋体" w:eastAsia="宋体" w:cs="宋体"/>
                <w:color w:val="000000" w:themeColor="text1"/>
                <w:sz w:val="21"/>
                <w:szCs w:val="21"/>
                <w14:textFill>
                  <w14:solidFill>
                    <w14:schemeClr w14:val="tx1"/>
                  </w14:solidFill>
                </w14:textFill>
              </w:rPr>
            </w:pP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CD077">
            <w:pPr>
              <w:widowControl/>
              <w:textAlignment w:val="bottom"/>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排序规则</w:t>
            </w:r>
          </w:p>
        </w:tc>
        <w:tc>
          <w:tcPr>
            <w:tcW w:w="7219" w:type="dxa"/>
            <w:tcBorders>
              <w:top w:val="single" w:color="000000" w:sz="4" w:space="0"/>
              <w:left w:val="single" w:color="000000" w:sz="4" w:space="0"/>
              <w:bottom w:val="single" w:color="000000" w:sz="4" w:space="0"/>
              <w:right w:val="single" w:color="000000" w:sz="8" w:space="0"/>
            </w:tcBorders>
            <w:shd w:val="clear" w:color="auto" w:fill="auto"/>
            <w:vAlign w:val="center"/>
          </w:tcPr>
          <w:p w14:paraId="3BA954B5">
            <w:pPr>
              <w:widowControl/>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实现对检查申请单包含多个部位、多个检查方法时，优先排列某些检查集中完成，节省资源。</w:t>
            </w:r>
          </w:p>
        </w:tc>
      </w:tr>
      <w:tr w14:paraId="79AC3F2C">
        <w:tblPrEx>
          <w:tblCellMar>
            <w:top w:w="0" w:type="dxa"/>
            <w:left w:w="108" w:type="dxa"/>
            <w:bottom w:w="0" w:type="dxa"/>
            <w:right w:w="108" w:type="dxa"/>
          </w:tblCellMar>
        </w:tblPrEx>
        <w:trPr>
          <w:trHeight w:val="534" w:hRule="atLeast"/>
          <w:jc w:val="center"/>
        </w:trPr>
        <w:tc>
          <w:tcPr>
            <w:tcW w:w="1056"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252D5646">
            <w:pPr>
              <w:rPr>
                <w:rFonts w:ascii="宋体" w:hAnsi="宋体" w:eastAsia="宋体" w:cs="宋体"/>
                <w:color w:val="000000" w:themeColor="text1"/>
                <w:sz w:val="21"/>
                <w:szCs w:val="21"/>
                <w14:textFill>
                  <w14:solidFill>
                    <w14:schemeClr w14:val="tx1"/>
                  </w14:solidFill>
                </w14:textFill>
              </w:rPr>
            </w:pP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4B887">
            <w:pPr>
              <w:widowControl/>
              <w:textAlignment w:val="bottom"/>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加号规则</w:t>
            </w:r>
          </w:p>
        </w:tc>
        <w:tc>
          <w:tcPr>
            <w:tcW w:w="7219" w:type="dxa"/>
            <w:tcBorders>
              <w:top w:val="single" w:color="000000" w:sz="4" w:space="0"/>
              <w:left w:val="single" w:color="000000" w:sz="4" w:space="0"/>
              <w:bottom w:val="single" w:color="000000" w:sz="4" w:space="0"/>
              <w:right w:val="single" w:color="000000" w:sz="8" w:space="0"/>
            </w:tcBorders>
            <w:shd w:val="clear" w:color="auto" w:fill="auto"/>
            <w:vAlign w:val="center"/>
          </w:tcPr>
          <w:p w14:paraId="302E66CD">
            <w:pPr>
              <w:widowControl/>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需通过授权，允许登记员手动添加额外号源。</w:t>
            </w:r>
          </w:p>
        </w:tc>
      </w:tr>
      <w:tr w14:paraId="419C44E9">
        <w:tblPrEx>
          <w:tblCellMar>
            <w:top w:w="0" w:type="dxa"/>
            <w:left w:w="108" w:type="dxa"/>
            <w:bottom w:w="0" w:type="dxa"/>
            <w:right w:w="108" w:type="dxa"/>
          </w:tblCellMar>
        </w:tblPrEx>
        <w:trPr>
          <w:trHeight w:val="534" w:hRule="atLeast"/>
          <w:jc w:val="center"/>
        </w:trPr>
        <w:tc>
          <w:tcPr>
            <w:tcW w:w="1056" w:type="dxa"/>
            <w:vMerge w:val="restart"/>
            <w:tcBorders>
              <w:top w:val="single" w:color="000000" w:sz="8" w:space="0"/>
              <w:left w:val="single" w:color="000000" w:sz="4" w:space="0"/>
              <w:right w:val="single" w:color="000000" w:sz="4" w:space="0"/>
            </w:tcBorders>
            <w:shd w:val="clear" w:color="auto" w:fill="auto"/>
            <w:vAlign w:val="center"/>
          </w:tcPr>
          <w:p w14:paraId="36901F7A">
            <w:pPr>
              <w:widowControl/>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预约管理工作站</w:t>
            </w:r>
          </w:p>
        </w:tc>
        <w:tc>
          <w:tcPr>
            <w:tcW w:w="1403"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142B1E2B">
            <w:pPr>
              <w:widowControl/>
              <w:textAlignment w:val="bottom"/>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预约登记台</w:t>
            </w:r>
          </w:p>
        </w:tc>
        <w:tc>
          <w:tcPr>
            <w:tcW w:w="7219" w:type="dxa"/>
            <w:tcBorders>
              <w:top w:val="single" w:color="000000" w:sz="8" w:space="0"/>
              <w:left w:val="single" w:color="000000" w:sz="4" w:space="0"/>
              <w:bottom w:val="single" w:color="000000" w:sz="4" w:space="0"/>
              <w:right w:val="single" w:color="000000" w:sz="8" w:space="0"/>
            </w:tcBorders>
            <w:shd w:val="clear" w:color="auto" w:fill="auto"/>
            <w:vAlign w:val="center"/>
          </w:tcPr>
          <w:p w14:paraId="551C2DBF">
            <w:pPr>
              <w:widowControl/>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支持按科室预约，包括绿色通道、取消预约、发送预约结果、黑名单管理。</w:t>
            </w:r>
          </w:p>
        </w:tc>
      </w:tr>
      <w:tr w14:paraId="2C8DFFF3">
        <w:tblPrEx>
          <w:tblCellMar>
            <w:top w:w="0" w:type="dxa"/>
            <w:left w:w="108" w:type="dxa"/>
            <w:bottom w:w="0" w:type="dxa"/>
            <w:right w:w="108" w:type="dxa"/>
          </w:tblCellMar>
        </w:tblPrEx>
        <w:trPr>
          <w:trHeight w:val="534" w:hRule="atLeast"/>
          <w:jc w:val="center"/>
        </w:trPr>
        <w:tc>
          <w:tcPr>
            <w:tcW w:w="1056" w:type="dxa"/>
            <w:vMerge w:val="continue"/>
            <w:tcBorders>
              <w:left w:val="single" w:color="000000" w:sz="4" w:space="0"/>
              <w:right w:val="single" w:color="000000" w:sz="4" w:space="0"/>
            </w:tcBorders>
            <w:shd w:val="clear" w:color="auto" w:fill="auto"/>
            <w:vAlign w:val="center"/>
          </w:tcPr>
          <w:p w14:paraId="334ECAA4">
            <w:pPr>
              <w:rPr>
                <w:rFonts w:ascii="宋体" w:hAnsi="宋体" w:eastAsia="宋体" w:cs="宋体"/>
                <w:color w:val="000000" w:themeColor="text1"/>
                <w:sz w:val="21"/>
                <w:szCs w:val="21"/>
                <w14:textFill>
                  <w14:solidFill>
                    <w14:schemeClr w14:val="tx1"/>
                  </w14:solidFill>
                </w14:textFill>
              </w:rPr>
            </w:pP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2A533">
            <w:pPr>
              <w:widowControl/>
              <w:textAlignment w:val="bottom"/>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诊间预约</w:t>
            </w:r>
          </w:p>
        </w:tc>
        <w:tc>
          <w:tcPr>
            <w:tcW w:w="7219" w:type="dxa"/>
            <w:tcBorders>
              <w:top w:val="single" w:color="000000" w:sz="4" w:space="0"/>
              <w:left w:val="single" w:color="000000" w:sz="4" w:space="0"/>
              <w:bottom w:val="single" w:color="000000" w:sz="4" w:space="0"/>
              <w:right w:val="single" w:color="000000" w:sz="8" w:space="0"/>
            </w:tcBorders>
            <w:shd w:val="clear" w:color="auto" w:fill="auto"/>
            <w:vAlign w:val="center"/>
          </w:tcPr>
          <w:p w14:paraId="3DAF583C">
            <w:pPr>
              <w:widowControl/>
              <w:textAlignment w:val="center"/>
              <w:rPr>
                <w:rFonts w:ascii="宋体" w:hAnsi="宋体" w:eastAsia="宋体" w:cs="宋体"/>
                <w:color w:val="000000" w:themeColor="text1"/>
                <w:sz w:val="21"/>
                <w:szCs w:val="21"/>
                <w14:textFill>
                  <w14:solidFill>
                    <w14:schemeClr w14:val="tx1"/>
                  </w14:solidFill>
                </w14:textFill>
              </w:rPr>
            </w:pPr>
            <w:r>
              <w:rPr>
                <w:rFonts w:hint="default" w:ascii="宋体" w:hAnsi="宋体" w:eastAsia="宋体" w:cs="宋体"/>
                <w:color w:val="000000" w:themeColor="text1"/>
                <w:sz w:val="21"/>
                <w:szCs w:val="21"/>
                <w:u w:val="none"/>
                <w:lang w:bidi="ar"/>
                <w14:textFill>
                  <w14:solidFill>
                    <w14:schemeClr w14:val="tx1"/>
                  </w14:solidFill>
                </w14:textFill>
              </w:rPr>
              <w:t>支持门诊、住院医生在开出检查、住院申请单后，及住院医生在下医嘱后医生可根据患者的个人体症、检查设备预约的情况协助患者完成预约。</w:t>
            </w:r>
          </w:p>
        </w:tc>
      </w:tr>
      <w:tr w14:paraId="48F6DE9C">
        <w:tblPrEx>
          <w:tblCellMar>
            <w:top w:w="0" w:type="dxa"/>
            <w:left w:w="108" w:type="dxa"/>
            <w:bottom w:w="0" w:type="dxa"/>
            <w:right w:w="108" w:type="dxa"/>
          </w:tblCellMar>
        </w:tblPrEx>
        <w:trPr>
          <w:trHeight w:val="1018" w:hRule="atLeast"/>
          <w:jc w:val="center"/>
        </w:trPr>
        <w:tc>
          <w:tcPr>
            <w:tcW w:w="1056" w:type="dxa"/>
            <w:vMerge w:val="continue"/>
            <w:tcBorders>
              <w:left w:val="single" w:color="000000" w:sz="4" w:space="0"/>
              <w:right w:val="single" w:color="000000" w:sz="4" w:space="0"/>
            </w:tcBorders>
            <w:shd w:val="clear" w:color="auto" w:fill="auto"/>
            <w:vAlign w:val="center"/>
          </w:tcPr>
          <w:p w14:paraId="1F4DDDD2">
            <w:pPr>
              <w:rPr>
                <w:rFonts w:ascii="宋体" w:hAnsi="宋体" w:eastAsia="宋体" w:cs="宋体"/>
                <w:color w:val="000000" w:themeColor="text1"/>
                <w:sz w:val="21"/>
                <w:szCs w:val="21"/>
                <w14:textFill>
                  <w14:solidFill>
                    <w14:schemeClr w14:val="tx1"/>
                  </w14:solidFill>
                </w14:textFill>
              </w:rPr>
            </w:pPr>
          </w:p>
        </w:tc>
        <w:tc>
          <w:tcPr>
            <w:tcW w:w="1403" w:type="dxa"/>
            <w:tcBorders>
              <w:top w:val="single" w:color="000000" w:sz="4" w:space="0"/>
              <w:left w:val="single" w:color="000000" w:sz="4" w:space="0"/>
              <w:bottom w:val="nil"/>
              <w:right w:val="single" w:color="000000" w:sz="4" w:space="0"/>
            </w:tcBorders>
            <w:shd w:val="clear" w:color="auto" w:fill="auto"/>
            <w:noWrap/>
            <w:vAlign w:val="center"/>
          </w:tcPr>
          <w:p w14:paraId="770ECBBB">
            <w:pPr>
              <w:widowControl/>
              <w:textAlignment w:val="bottom"/>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登记报到</w:t>
            </w:r>
          </w:p>
        </w:tc>
        <w:tc>
          <w:tcPr>
            <w:tcW w:w="7219" w:type="dxa"/>
            <w:tcBorders>
              <w:top w:val="single" w:color="000000" w:sz="4" w:space="0"/>
              <w:left w:val="single" w:color="000000" w:sz="4" w:space="0"/>
              <w:bottom w:val="nil"/>
              <w:right w:val="single" w:color="000000" w:sz="8" w:space="0"/>
            </w:tcBorders>
            <w:shd w:val="clear" w:color="auto" w:fill="auto"/>
            <w:vAlign w:val="center"/>
          </w:tcPr>
          <w:p w14:paraId="3A12147F">
            <w:pPr>
              <w:widowControl/>
              <w:textAlignment w:val="center"/>
              <w:rPr>
                <w:rFonts w:ascii="宋体" w:hAnsi="宋体" w:eastAsia="宋体" w:cs="宋体"/>
                <w:color w:val="000000" w:themeColor="text1"/>
                <w:sz w:val="21"/>
                <w:szCs w:val="21"/>
                <w14:textFill>
                  <w14:solidFill>
                    <w14:schemeClr w14:val="tx1"/>
                  </w14:solidFill>
                </w14:textFill>
              </w:rPr>
            </w:pPr>
            <w:r>
              <w:rPr>
                <w:rFonts w:hint="default" w:ascii="宋体" w:hAnsi="宋体" w:eastAsia="宋体" w:cs="宋体"/>
                <w:color w:val="000000" w:themeColor="text1"/>
                <w:sz w:val="21"/>
                <w:szCs w:val="21"/>
                <w:u w:val="none"/>
                <w:lang w:bidi="ar"/>
                <w14:textFill>
                  <w14:solidFill>
                    <w14:schemeClr w14:val="tx1"/>
                  </w14:solidFill>
                </w14:textFill>
              </w:rPr>
              <w:t>检查、入院前，已预约的患者到医技科室、住院科室报到时，对正常预约正常报到患者、迟到患者、加号患者设置不同排队号序列，并可以定义对迟到、加号患者的排队位置，如报到迟到的患者，将会自动排队到指定时间段检查、入院，系统支持通过医院的自助报到机实现检查、入院患者的预约到达确认。</w:t>
            </w:r>
          </w:p>
        </w:tc>
      </w:tr>
      <w:tr w14:paraId="3A94DB95">
        <w:tblPrEx>
          <w:tblCellMar>
            <w:top w:w="0" w:type="dxa"/>
            <w:left w:w="108" w:type="dxa"/>
            <w:bottom w:w="0" w:type="dxa"/>
            <w:right w:w="108" w:type="dxa"/>
          </w:tblCellMar>
        </w:tblPrEx>
        <w:trPr>
          <w:trHeight w:val="703" w:hRule="atLeast"/>
          <w:jc w:val="center"/>
        </w:trPr>
        <w:tc>
          <w:tcPr>
            <w:tcW w:w="1056" w:type="dxa"/>
            <w:vMerge w:val="continue"/>
            <w:tcBorders>
              <w:left w:val="single" w:color="000000" w:sz="4" w:space="0"/>
              <w:bottom w:val="single" w:color="000000" w:sz="4" w:space="0"/>
              <w:right w:val="single" w:color="000000" w:sz="4" w:space="0"/>
            </w:tcBorders>
            <w:shd w:val="clear" w:color="auto" w:fill="auto"/>
            <w:vAlign w:val="center"/>
          </w:tcPr>
          <w:p w14:paraId="16DA59FD">
            <w:pPr>
              <w:rPr>
                <w:rFonts w:ascii="宋体" w:hAnsi="宋体" w:eastAsia="宋体" w:cs="宋体"/>
                <w:color w:val="000000" w:themeColor="text1"/>
                <w:sz w:val="21"/>
                <w:szCs w:val="21"/>
                <w14:textFill>
                  <w14:solidFill>
                    <w14:schemeClr w14:val="tx1"/>
                  </w14:solidFill>
                </w14:textFill>
              </w:rPr>
            </w:pPr>
          </w:p>
        </w:tc>
        <w:tc>
          <w:tcPr>
            <w:tcW w:w="1403" w:type="dxa"/>
            <w:tcBorders>
              <w:top w:val="single" w:color="000000" w:sz="4" w:space="0"/>
              <w:left w:val="single" w:color="000000" w:sz="4" w:space="0"/>
              <w:bottom w:val="nil"/>
              <w:right w:val="single" w:color="000000" w:sz="4" w:space="0"/>
            </w:tcBorders>
            <w:shd w:val="clear" w:color="auto" w:fill="auto"/>
            <w:noWrap/>
            <w:vAlign w:val="center"/>
          </w:tcPr>
          <w:p w14:paraId="36A3E499">
            <w:pPr>
              <w:widowControl/>
              <w:textAlignment w:val="bottom"/>
              <w:rPr>
                <w:rFonts w:hint="default"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cs="宋体"/>
                <w:color w:val="000000" w:themeColor="text1"/>
                <w:kern w:val="0"/>
                <w:sz w:val="21"/>
                <w:szCs w:val="21"/>
                <w:lang w:val="en-US" w:eastAsia="zh-CN" w:bidi="ar"/>
                <w14:textFill>
                  <w14:solidFill>
                    <w14:schemeClr w14:val="tx1"/>
                  </w14:solidFill>
                </w14:textFill>
              </w:rPr>
              <w:t>检查叫号</w:t>
            </w:r>
          </w:p>
        </w:tc>
        <w:tc>
          <w:tcPr>
            <w:tcW w:w="7219" w:type="dxa"/>
            <w:tcBorders>
              <w:top w:val="single" w:color="000000" w:sz="4" w:space="0"/>
              <w:left w:val="single" w:color="000000" w:sz="4" w:space="0"/>
              <w:bottom w:val="nil"/>
              <w:right w:val="single" w:color="000000" w:sz="8" w:space="0"/>
            </w:tcBorders>
            <w:shd w:val="clear" w:color="auto" w:fill="auto"/>
            <w:vAlign w:val="center"/>
          </w:tcPr>
          <w:p w14:paraId="2F2BB0BD">
            <w:pPr>
              <w:widowControl/>
              <w:textAlignment w:val="center"/>
              <w:rPr>
                <w:rFonts w:hint="default" w:ascii="宋体" w:hAnsi="宋体" w:eastAsia="宋体" w:cs="宋体"/>
                <w:color w:val="000000" w:themeColor="text1"/>
                <w:sz w:val="21"/>
                <w:szCs w:val="21"/>
                <w:u w:val="none"/>
                <w:lang w:val="en-US" w:eastAsia="zh-CN" w:bidi="ar"/>
                <w14:textFill>
                  <w14:solidFill>
                    <w14:schemeClr w14:val="tx1"/>
                  </w14:solidFill>
                </w14:textFill>
              </w:rPr>
            </w:pPr>
            <w:r>
              <w:rPr>
                <w:rFonts w:hint="eastAsia" w:ascii="宋体" w:hAnsi="宋体" w:cs="宋体"/>
                <w:color w:val="000000" w:themeColor="text1"/>
                <w:sz w:val="21"/>
                <w:szCs w:val="21"/>
                <w:u w:val="none"/>
                <w:lang w:val="en-US" w:eastAsia="zh-CN" w:bidi="ar"/>
                <w14:textFill>
                  <w14:solidFill>
                    <w14:schemeClr w14:val="tx1"/>
                  </w14:solidFill>
                </w14:textFill>
              </w:rPr>
              <w:t>包括但不限于肌电图诱发电位检查、眼震视图室检查、心理评估室检查等检查叫号。</w:t>
            </w:r>
          </w:p>
        </w:tc>
      </w:tr>
      <w:tr w14:paraId="32FB39E1">
        <w:tblPrEx>
          <w:tblCellMar>
            <w:top w:w="0" w:type="dxa"/>
            <w:left w:w="108" w:type="dxa"/>
            <w:bottom w:w="0" w:type="dxa"/>
            <w:right w:w="108" w:type="dxa"/>
          </w:tblCellMar>
        </w:tblPrEx>
        <w:trPr>
          <w:trHeight w:val="534" w:hRule="atLeast"/>
          <w:jc w:val="center"/>
        </w:trPr>
        <w:tc>
          <w:tcPr>
            <w:tcW w:w="1056"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05E617AF">
            <w:pPr>
              <w:widowControl/>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自助预约</w:t>
            </w:r>
          </w:p>
        </w:tc>
        <w:tc>
          <w:tcPr>
            <w:tcW w:w="1403" w:type="dxa"/>
            <w:vMerge w:val="restart"/>
            <w:tcBorders>
              <w:top w:val="single" w:color="000000" w:sz="8" w:space="0"/>
              <w:left w:val="single" w:color="000000" w:sz="4" w:space="0"/>
              <w:bottom w:val="single" w:color="000000" w:sz="4" w:space="0"/>
              <w:right w:val="single" w:color="000000" w:sz="4" w:space="0"/>
            </w:tcBorders>
            <w:shd w:val="clear" w:color="auto" w:fill="auto"/>
            <w:noWrap/>
            <w:vAlign w:val="center"/>
          </w:tcPr>
          <w:p w14:paraId="68AFDDC3">
            <w:pPr>
              <w:widowControl/>
              <w:textAlignment w:val="bottom"/>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自助预约机</w:t>
            </w:r>
          </w:p>
        </w:tc>
        <w:tc>
          <w:tcPr>
            <w:tcW w:w="7219" w:type="dxa"/>
            <w:tcBorders>
              <w:top w:val="single" w:color="000000" w:sz="8" w:space="0"/>
              <w:left w:val="single" w:color="000000" w:sz="4" w:space="0"/>
              <w:bottom w:val="single" w:color="000000" w:sz="4" w:space="0"/>
              <w:right w:val="single" w:color="000000" w:sz="8" w:space="0"/>
            </w:tcBorders>
            <w:shd w:val="clear" w:color="auto" w:fill="auto"/>
            <w:vAlign w:val="center"/>
          </w:tcPr>
          <w:p w14:paraId="376C2003">
            <w:pPr>
              <w:widowControl/>
              <w:textAlignment w:val="center"/>
              <w:rPr>
                <w:rFonts w:ascii="宋体" w:hAnsi="宋体" w:eastAsia="宋体" w:cs="宋体"/>
                <w:color w:val="000000" w:themeColor="text1"/>
                <w:sz w:val="21"/>
                <w:szCs w:val="21"/>
                <w14:textFill>
                  <w14:solidFill>
                    <w14:schemeClr w14:val="tx1"/>
                  </w14:solidFill>
                </w14:textFill>
              </w:rPr>
            </w:pPr>
            <w:r>
              <w:rPr>
                <w:rFonts w:hint="default" w:ascii="宋体" w:hAnsi="宋体" w:eastAsia="宋体" w:cs="宋体"/>
                <w:color w:val="000000" w:themeColor="text1"/>
                <w:sz w:val="21"/>
                <w:szCs w:val="21"/>
                <w:u w:val="none"/>
                <w:lang w:bidi="ar"/>
                <w14:textFill>
                  <w14:solidFill>
                    <w14:schemeClr w14:val="tx1"/>
                  </w14:solidFill>
                </w14:textFill>
              </w:rPr>
              <w:t>患者使用自助预约机进行预约、查看、变更、取消、报到、打印预约单、排队号。</w:t>
            </w:r>
          </w:p>
        </w:tc>
      </w:tr>
      <w:tr w14:paraId="7AF3566D">
        <w:tblPrEx>
          <w:tblCellMar>
            <w:top w:w="0" w:type="dxa"/>
            <w:left w:w="108" w:type="dxa"/>
            <w:bottom w:w="0" w:type="dxa"/>
            <w:right w:w="108" w:type="dxa"/>
          </w:tblCellMar>
        </w:tblPrEx>
        <w:trPr>
          <w:trHeight w:val="534" w:hRule="atLeast"/>
          <w:jc w:val="center"/>
        </w:trPr>
        <w:tc>
          <w:tcPr>
            <w:tcW w:w="1056"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6BCAD82E">
            <w:pPr>
              <w:rPr>
                <w:rFonts w:ascii="宋体" w:hAnsi="宋体" w:eastAsia="宋体" w:cs="宋体"/>
                <w:color w:val="000000" w:themeColor="text1"/>
                <w:sz w:val="21"/>
                <w:szCs w:val="21"/>
                <w14:textFill>
                  <w14:solidFill>
                    <w14:schemeClr w14:val="tx1"/>
                  </w14:solidFill>
                </w14:textFill>
              </w:rPr>
            </w:pPr>
          </w:p>
        </w:tc>
        <w:tc>
          <w:tcPr>
            <w:tcW w:w="1403" w:type="dxa"/>
            <w:vMerge w:val="continue"/>
            <w:tcBorders>
              <w:top w:val="single" w:color="000000" w:sz="8" w:space="0"/>
              <w:left w:val="single" w:color="000000" w:sz="4" w:space="0"/>
              <w:bottom w:val="single" w:color="000000" w:sz="4" w:space="0"/>
              <w:right w:val="single" w:color="000000" w:sz="4" w:space="0"/>
            </w:tcBorders>
            <w:shd w:val="clear" w:color="auto" w:fill="auto"/>
            <w:noWrap/>
            <w:vAlign w:val="center"/>
          </w:tcPr>
          <w:p w14:paraId="5AD922E7">
            <w:pPr>
              <w:rPr>
                <w:rFonts w:ascii="宋体" w:hAnsi="宋体" w:eastAsia="宋体" w:cs="宋体"/>
                <w:color w:val="000000" w:themeColor="text1"/>
                <w:sz w:val="21"/>
                <w:szCs w:val="21"/>
                <w14:textFill>
                  <w14:solidFill>
                    <w14:schemeClr w14:val="tx1"/>
                  </w14:solidFill>
                </w14:textFill>
              </w:rPr>
            </w:pPr>
          </w:p>
        </w:tc>
        <w:tc>
          <w:tcPr>
            <w:tcW w:w="7219" w:type="dxa"/>
            <w:tcBorders>
              <w:top w:val="single" w:color="000000" w:sz="4" w:space="0"/>
              <w:left w:val="single" w:color="000000" w:sz="4" w:space="0"/>
              <w:bottom w:val="single" w:color="000000" w:sz="4" w:space="0"/>
              <w:right w:val="single" w:color="000000" w:sz="8" w:space="0"/>
            </w:tcBorders>
            <w:shd w:val="clear" w:color="auto" w:fill="auto"/>
            <w:vAlign w:val="center"/>
          </w:tcPr>
          <w:p w14:paraId="6ADFEB61">
            <w:pPr>
              <w:widowControl/>
              <w:textAlignment w:val="center"/>
              <w:rPr>
                <w:rFonts w:ascii="宋体" w:hAnsi="宋体" w:eastAsia="宋体" w:cs="宋体"/>
                <w:color w:val="000000" w:themeColor="text1"/>
                <w:sz w:val="21"/>
                <w:szCs w:val="21"/>
                <w14:textFill>
                  <w14:solidFill>
                    <w14:schemeClr w14:val="tx1"/>
                  </w14:solidFill>
                </w14:textFill>
              </w:rPr>
            </w:pPr>
            <w:r>
              <w:rPr>
                <w:rFonts w:hint="default" w:ascii="宋体" w:hAnsi="宋体" w:eastAsia="宋体" w:cs="宋体"/>
                <w:color w:val="000000" w:themeColor="text1"/>
                <w:sz w:val="21"/>
                <w:szCs w:val="21"/>
                <w:u w:val="none"/>
                <w:lang w:bidi="ar"/>
                <w14:textFill>
                  <w14:solidFill>
                    <w14:schemeClr w14:val="tx1"/>
                  </w14:solidFill>
                </w14:textFill>
              </w:rPr>
              <w:t>支持与医院信息平台对接，自动获取患者的检查治疗数据。</w:t>
            </w:r>
          </w:p>
        </w:tc>
      </w:tr>
      <w:tr w14:paraId="4EE2C4A2">
        <w:tblPrEx>
          <w:tblCellMar>
            <w:top w:w="0" w:type="dxa"/>
            <w:left w:w="108" w:type="dxa"/>
            <w:bottom w:w="0" w:type="dxa"/>
            <w:right w:w="108" w:type="dxa"/>
          </w:tblCellMar>
        </w:tblPrEx>
        <w:trPr>
          <w:trHeight w:val="534" w:hRule="atLeast"/>
          <w:jc w:val="center"/>
        </w:trPr>
        <w:tc>
          <w:tcPr>
            <w:tcW w:w="1056"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0376808D">
            <w:pPr>
              <w:rPr>
                <w:rFonts w:ascii="宋体" w:hAnsi="宋体" w:eastAsia="宋体" w:cs="宋体"/>
                <w:color w:val="000000" w:themeColor="text1"/>
                <w:sz w:val="21"/>
                <w:szCs w:val="21"/>
                <w14:textFill>
                  <w14:solidFill>
                    <w14:schemeClr w14:val="tx1"/>
                  </w14:solidFill>
                </w14:textFill>
              </w:rPr>
            </w:pPr>
          </w:p>
        </w:tc>
        <w:tc>
          <w:tcPr>
            <w:tcW w:w="1403" w:type="dxa"/>
            <w:vMerge w:val="continue"/>
            <w:tcBorders>
              <w:top w:val="single" w:color="000000" w:sz="8" w:space="0"/>
              <w:left w:val="single" w:color="000000" w:sz="4" w:space="0"/>
              <w:bottom w:val="single" w:color="000000" w:sz="4" w:space="0"/>
              <w:right w:val="single" w:color="000000" w:sz="4" w:space="0"/>
            </w:tcBorders>
            <w:shd w:val="clear" w:color="auto" w:fill="auto"/>
            <w:noWrap/>
            <w:vAlign w:val="center"/>
          </w:tcPr>
          <w:p w14:paraId="69E2C682">
            <w:pPr>
              <w:rPr>
                <w:rFonts w:ascii="宋体" w:hAnsi="宋体" w:eastAsia="宋体" w:cs="宋体"/>
                <w:color w:val="000000" w:themeColor="text1"/>
                <w:sz w:val="21"/>
                <w:szCs w:val="21"/>
                <w14:textFill>
                  <w14:solidFill>
                    <w14:schemeClr w14:val="tx1"/>
                  </w14:solidFill>
                </w14:textFill>
              </w:rPr>
            </w:pPr>
          </w:p>
        </w:tc>
        <w:tc>
          <w:tcPr>
            <w:tcW w:w="7219" w:type="dxa"/>
            <w:tcBorders>
              <w:top w:val="single" w:color="000000" w:sz="4" w:space="0"/>
              <w:left w:val="single" w:color="000000" w:sz="4" w:space="0"/>
              <w:bottom w:val="single" w:color="000000" w:sz="4" w:space="0"/>
              <w:right w:val="single" w:color="000000" w:sz="8" w:space="0"/>
            </w:tcBorders>
            <w:shd w:val="clear" w:color="auto" w:fill="auto"/>
            <w:vAlign w:val="center"/>
          </w:tcPr>
          <w:p w14:paraId="7CB4E2F6">
            <w:pPr>
              <w:widowControl/>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支持患者在自助机进行报到操作，报到后的排队信息与医技治疗系统的互联互通。</w:t>
            </w:r>
          </w:p>
        </w:tc>
      </w:tr>
      <w:tr w14:paraId="2BB54E4A">
        <w:tblPrEx>
          <w:tblCellMar>
            <w:top w:w="0" w:type="dxa"/>
            <w:left w:w="108" w:type="dxa"/>
            <w:bottom w:w="0" w:type="dxa"/>
            <w:right w:w="108" w:type="dxa"/>
          </w:tblCellMar>
        </w:tblPrEx>
        <w:trPr>
          <w:trHeight w:val="534" w:hRule="atLeast"/>
          <w:jc w:val="center"/>
        </w:trPr>
        <w:tc>
          <w:tcPr>
            <w:tcW w:w="1056"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57556A79">
            <w:pPr>
              <w:rPr>
                <w:rFonts w:ascii="宋体" w:hAnsi="宋体" w:eastAsia="宋体" w:cs="宋体"/>
                <w:color w:val="000000" w:themeColor="text1"/>
                <w:sz w:val="21"/>
                <w:szCs w:val="21"/>
                <w14:textFill>
                  <w14:solidFill>
                    <w14:schemeClr w14:val="tx1"/>
                  </w14:solidFill>
                </w14:textFill>
              </w:rPr>
            </w:pPr>
          </w:p>
        </w:tc>
        <w:tc>
          <w:tcPr>
            <w:tcW w:w="1403" w:type="dxa"/>
            <w:vMerge w:val="continue"/>
            <w:tcBorders>
              <w:top w:val="single" w:color="000000" w:sz="8" w:space="0"/>
              <w:left w:val="single" w:color="000000" w:sz="4" w:space="0"/>
              <w:bottom w:val="single" w:color="000000" w:sz="4" w:space="0"/>
              <w:right w:val="single" w:color="000000" w:sz="4" w:space="0"/>
            </w:tcBorders>
            <w:shd w:val="clear" w:color="auto" w:fill="auto"/>
            <w:noWrap/>
            <w:vAlign w:val="center"/>
          </w:tcPr>
          <w:p w14:paraId="57B5EC4C">
            <w:pPr>
              <w:rPr>
                <w:rFonts w:ascii="宋体" w:hAnsi="宋体" w:eastAsia="宋体" w:cs="宋体"/>
                <w:color w:val="000000" w:themeColor="text1"/>
                <w:sz w:val="21"/>
                <w:szCs w:val="21"/>
                <w14:textFill>
                  <w14:solidFill>
                    <w14:schemeClr w14:val="tx1"/>
                  </w14:solidFill>
                </w14:textFill>
              </w:rPr>
            </w:pPr>
          </w:p>
        </w:tc>
        <w:tc>
          <w:tcPr>
            <w:tcW w:w="7219" w:type="dxa"/>
            <w:tcBorders>
              <w:top w:val="single" w:color="000000" w:sz="4" w:space="0"/>
              <w:left w:val="single" w:color="000000" w:sz="4" w:space="0"/>
              <w:bottom w:val="single" w:color="000000" w:sz="4" w:space="0"/>
              <w:right w:val="single" w:color="000000" w:sz="8" w:space="0"/>
            </w:tcBorders>
            <w:shd w:val="clear" w:color="auto" w:fill="auto"/>
            <w:vAlign w:val="center"/>
          </w:tcPr>
          <w:p w14:paraId="2E51576C">
            <w:pPr>
              <w:widowControl/>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支持患者实现一键预约并报到功能。</w:t>
            </w:r>
          </w:p>
        </w:tc>
      </w:tr>
      <w:tr w14:paraId="2D981C10">
        <w:tblPrEx>
          <w:tblCellMar>
            <w:top w:w="0" w:type="dxa"/>
            <w:left w:w="108" w:type="dxa"/>
            <w:bottom w:w="0" w:type="dxa"/>
            <w:right w:w="108" w:type="dxa"/>
          </w:tblCellMar>
        </w:tblPrEx>
        <w:trPr>
          <w:trHeight w:val="534" w:hRule="atLeast"/>
          <w:jc w:val="center"/>
        </w:trPr>
        <w:tc>
          <w:tcPr>
            <w:tcW w:w="1056"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3EE5A331">
            <w:pPr>
              <w:rPr>
                <w:rFonts w:ascii="宋体" w:hAnsi="宋体" w:eastAsia="宋体" w:cs="宋体"/>
                <w:color w:val="000000" w:themeColor="text1"/>
                <w:sz w:val="21"/>
                <w:szCs w:val="21"/>
                <w14:textFill>
                  <w14:solidFill>
                    <w14:schemeClr w14:val="tx1"/>
                  </w14:solidFill>
                </w14:textFill>
              </w:rPr>
            </w:pPr>
          </w:p>
        </w:tc>
        <w:tc>
          <w:tcPr>
            <w:tcW w:w="1403" w:type="dxa"/>
            <w:vMerge w:val="continue"/>
            <w:tcBorders>
              <w:top w:val="single" w:color="000000" w:sz="8" w:space="0"/>
              <w:left w:val="single" w:color="000000" w:sz="4" w:space="0"/>
              <w:bottom w:val="single" w:color="000000" w:sz="4" w:space="0"/>
              <w:right w:val="single" w:color="000000" w:sz="4" w:space="0"/>
            </w:tcBorders>
            <w:shd w:val="clear" w:color="auto" w:fill="auto"/>
            <w:noWrap/>
            <w:vAlign w:val="center"/>
          </w:tcPr>
          <w:p w14:paraId="397D766A">
            <w:pPr>
              <w:rPr>
                <w:rFonts w:ascii="宋体" w:hAnsi="宋体" w:eastAsia="宋体" w:cs="宋体"/>
                <w:color w:val="000000" w:themeColor="text1"/>
                <w:sz w:val="21"/>
                <w:szCs w:val="21"/>
                <w14:textFill>
                  <w14:solidFill>
                    <w14:schemeClr w14:val="tx1"/>
                  </w14:solidFill>
                </w14:textFill>
              </w:rPr>
            </w:pPr>
          </w:p>
        </w:tc>
        <w:tc>
          <w:tcPr>
            <w:tcW w:w="7219" w:type="dxa"/>
            <w:tcBorders>
              <w:top w:val="single" w:color="000000" w:sz="4" w:space="0"/>
              <w:left w:val="single" w:color="000000" w:sz="4" w:space="0"/>
              <w:bottom w:val="single" w:color="000000" w:sz="4" w:space="0"/>
              <w:right w:val="single" w:color="000000" w:sz="8" w:space="0"/>
            </w:tcBorders>
            <w:shd w:val="clear" w:color="auto" w:fill="auto"/>
            <w:vAlign w:val="center"/>
          </w:tcPr>
          <w:p w14:paraId="1D3A9EB7">
            <w:pPr>
              <w:widowControl/>
              <w:textAlignment w:val="center"/>
              <w:rPr>
                <w:rFonts w:ascii="宋体" w:hAnsi="宋体" w:eastAsia="宋体" w:cs="宋体"/>
                <w:color w:val="000000" w:themeColor="text1"/>
                <w:sz w:val="21"/>
                <w:szCs w:val="21"/>
                <w14:textFill>
                  <w14:solidFill>
                    <w14:schemeClr w14:val="tx1"/>
                  </w14:solidFill>
                </w14:textFill>
              </w:rPr>
            </w:pPr>
            <w:r>
              <w:rPr>
                <w:rFonts w:hint="default" w:ascii="宋体" w:hAnsi="宋体" w:eastAsia="宋体" w:cs="宋体"/>
                <w:color w:val="000000" w:themeColor="text1"/>
                <w:sz w:val="21"/>
                <w:szCs w:val="21"/>
                <w:u w:val="none"/>
                <w:lang w:bidi="ar"/>
                <w14:textFill>
                  <w14:solidFill>
                    <w14:schemeClr w14:val="tx1"/>
                  </w14:solidFill>
                </w14:textFill>
              </w:rPr>
              <w:t>智能提示，包括自助机未开放预约项目、不能修改预约时间项目或者某科室某时段床位已约满等。</w:t>
            </w:r>
          </w:p>
        </w:tc>
      </w:tr>
      <w:tr w14:paraId="3FFB020F">
        <w:tblPrEx>
          <w:tblCellMar>
            <w:top w:w="0" w:type="dxa"/>
            <w:left w:w="108" w:type="dxa"/>
            <w:bottom w:w="0" w:type="dxa"/>
            <w:right w:w="108" w:type="dxa"/>
          </w:tblCellMar>
        </w:tblPrEx>
        <w:trPr>
          <w:trHeight w:val="534" w:hRule="atLeast"/>
          <w:jc w:val="center"/>
        </w:trPr>
        <w:tc>
          <w:tcPr>
            <w:tcW w:w="1056"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63081751">
            <w:pPr>
              <w:rPr>
                <w:rFonts w:ascii="宋体" w:hAnsi="宋体" w:eastAsia="宋体" w:cs="宋体"/>
                <w:color w:val="000000" w:themeColor="text1"/>
                <w:sz w:val="21"/>
                <w:szCs w:val="21"/>
                <w14:textFill>
                  <w14:solidFill>
                    <w14:schemeClr w14:val="tx1"/>
                  </w14:solidFill>
                </w14:textFill>
              </w:rPr>
            </w:pPr>
          </w:p>
        </w:tc>
        <w:tc>
          <w:tcPr>
            <w:tcW w:w="1403" w:type="dxa"/>
            <w:vMerge w:val="continue"/>
            <w:tcBorders>
              <w:top w:val="single" w:color="000000" w:sz="8" w:space="0"/>
              <w:left w:val="single" w:color="000000" w:sz="4" w:space="0"/>
              <w:bottom w:val="single" w:color="000000" w:sz="4" w:space="0"/>
              <w:right w:val="single" w:color="000000" w:sz="4" w:space="0"/>
            </w:tcBorders>
            <w:shd w:val="clear" w:color="auto" w:fill="auto"/>
            <w:noWrap/>
            <w:vAlign w:val="center"/>
          </w:tcPr>
          <w:p w14:paraId="67A9D9EF">
            <w:pPr>
              <w:rPr>
                <w:rFonts w:ascii="宋体" w:hAnsi="宋体" w:eastAsia="宋体" w:cs="宋体"/>
                <w:color w:val="000000" w:themeColor="text1"/>
                <w:sz w:val="21"/>
                <w:szCs w:val="21"/>
                <w14:textFill>
                  <w14:solidFill>
                    <w14:schemeClr w14:val="tx1"/>
                  </w14:solidFill>
                </w14:textFill>
              </w:rPr>
            </w:pPr>
          </w:p>
        </w:tc>
        <w:tc>
          <w:tcPr>
            <w:tcW w:w="7219" w:type="dxa"/>
            <w:tcBorders>
              <w:top w:val="single" w:color="000000" w:sz="4" w:space="0"/>
              <w:left w:val="single" w:color="000000" w:sz="4" w:space="0"/>
              <w:bottom w:val="single" w:color="000000" w:sz="4" w:space="0"/>
              <w:right w:val="single" w:color="000000" w:sz="8" w:space="0"/>
            </w:tcBorders>
            <w:shd w:val="clear" w:color="auto" w:fill="auto"/>
            <w:vAlign w:val="center"/>
          </w:tcPr>
          <w:p w14:paraId="7184DC36">
            <w:pPr>
              <w:widowControl/>
              <w:textAlignment w:val="center"/>
              <w:rPr>
                <w:rFonts w:ascii="宋体" w:hAnsi="宋体" w:eastAsia="宋体" w:cs="宋体"/>
                <w:color w:val="000000" w:themeColor="text1"/>
                <w:sz w:val="21"/>
                <w:szCs w:val="21"/>
                <w14:textFill>
                  <w14:solidFill>
                    <w14:schemeClr w14:val="tx1"/>
                  </w14:solidFill>
                </w14:textFill>
              </w:rPr>
            </w:pPr>
            <w:r>
              <w:rPr>
                <w:rFonts w:hint="default" w:ascii="宋体" w:hAnsi="宋体" w:eastAsia="宋体" w:cs="宋体"/>
                <w:color w:val="000000" w:themeColor="text1"/>
                <w:sz w:val="21"/>
                <w:szCs w:val="21"/>
                <w:u w:val="none"/>
                <w:lang w:bidi="ar"/>
                <w14:textFill>
                  <w14:solidFill>
                    <w14:schemeClr w14:val="tx1"/>
                  </w14:solidFill>
                </w14:textFill>
              </w:rPr>
              <w:t>支持单个检查、住院申请单预约与报到，也支持选择多个检查申请单进行一键预约。</w:t>
            </w:r>
          </w:p>
        </w:tc>
      </w:tr>
      <w:tr w14:paraId="5550D18F">
        <w:tblPrEx>
          <w:tblCellMar>
            <w:top w:w="0" w:type="dxa"/>
            <w:left w:w="108" w:type="dxa"/>
            <w:bottom w:w="0" w:type="dxa"/>
            <w:right w:w="108" w:type="dxa"/>
          </w:tblCellMar>
        </w:tblPrEx>
        <w:trPr>
          <w:trHeight w:val="534" w:hRule="atLeast"/>
          <w:jc w:val="center"/>
        </w:trPr>
        <w:tc>
          <w:tcPr>
            <w:tcW w:w="1056"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568991C3">
            <w:pPr>
              <w:rPr>
                <w:rFonts w:ascii="宋体" w:hAnsi="宋体" w:eastAsia="宋体" w:cs="宋体"/>
                <w:color w:val="000000" w:themeColor="text1"/>
                <w:sz w:val="21"/>
                <w:szCs w:val="21"/>
                <w14:textFill>
                  <w14:solidFill>
                    <w14:schemeClr w14:val="tx1"/>
                  </w14:solidFill>
                </w14:textFill>
              </w:rPr>
            </w:pPr>
          </w:p>
        </w:tc>
        <w:tc>
          <w:tcPr>
            <w:tcW w:w="1403" w:type="dxa"/>
            <w:vMerge w:val="continue"/>
            <w:tcBorders>
              <w:top w:val="single" w:color="000000" w:sz="8" w:space="0"/>
              <w:left w:val="single" w:color="000000" w:sz="4" w:space="0"/>
              <w:bottom w:val="single" w:color="000000" w:sz="4" w:space="0"/>
              <w:right w:val="single" w:color="000000" w:sz="4" w:space="0"/>
            </w:tcBorders>
            <w:shd w:val="clear" w:color="auto" w:fill="auto"/>
            <w:noWrap/>
            <w:vAlign w:val="center"/>
          </w:tcPr>
          <w:p w14:paraId="66F6D098">
            <w:pPr>
              <w:rPr>
                <w:rFonts w:ascii="宋体" w:hAnsi="宋体" w:eastAsia="宋体" w:cs="宋体"/>
                <w:color w:val="000000" w:themeColor="text1"/>
                <w:sz w:val="21"/>
                <w:szCs w:val="21"/>
                <w14:textFill>
                  <w14:solidFill>
                    <w14:schemeClr w14:val="tx1"/>
                  </w14:solidFill>
                </w14:textFill>
              </w:rPr>
            </w:pPr>
          </w:p>
        </w:tc>
        <w:tc>
          <w:tcPr>
            <w:tcW w:w="7219" w:type="dxa"/>
            <w:tcBorders>
              <w:top w:val="single" w:color="000000" w:sz="4" w:space="0"/>
              <w:left w:val="single" w:color="000000" w:sz="4" w:space="0"/>
              <w:bottom w:val="single" w:color="000000" w:sz="4" w:space="0"/>
              <w:right w:val="single" w:color="000000" w:sz="8" w:space="0"/>
            </w:tcBorders>
            <w:shd w:val="clear" w:color="auto" w:fill="auto"/>
            <w:vAlign w:val="center"/>
          </w:tcPr>
          <w:p w14:paraId="4E1CCCE3">
            <w:pPr>
              <w:widowControl/>
              <w:textAlignment w:val="center"/>
              <w:rPr>
                <w:rFonts w:ascii="宋体" w:hAnsi="宋体" w:eastAsia="宋体" w:cs="宋体"/>
                <w:color w:val="000000" w:themeColor="text1"/>
                <w:sz w:val="21"/>
                <w:szCs w:val="21"/>
                <w14:textFill>
                  <w14:solidFill>
                    <w14:schemeClr w14:val="tx1"/>
                  </w14:solidFill>
                </w14:textFill>
              </w:rPr>
            </w:pPr>
            <w:r>
              <w:rPr>
                <w:rFonts w:hint="default" w:ascii="宋体" w:hAnsi="宋体" w:eastAsia="宋体" w:cs="宋体"/>
                <w:color w:val="000000" w:themeColor="text1"/>
                <w:sz w:val="21"/>
                <w:szCs w:val="21"/>
                <w:u w:val="none"/>
                <w:lang w:bidi="ar"/>
                <w14:textFill>
                  <w14:solidFill>
                    <w14:schemeClr w14:val="tx1"/>
                  </w14:solidFill>
                </w14:textFill>
              </w:rPr>
              <w:t>支持为患者不同科室的检查申请单提供最佳检查预约时间，并且不同科室检查项目不分配在同一个时段检查。</w:t>
            </w:r>
          </w:p>
        </w:tc>
      </w:tr>
      <w:tr w14:paraId="3540CC43">
        <w:tblPrEx>
          <w:tblCellMar>
            <w:top w:w="0" w:type="dxa"/>
            <w:left w:w="108" w:type="dxa"/>
            <w:bottom w:w="0" w:type="dxa"/>
            <w:right w:w="108" w:type="dxa"/>
          </w:tblCellMar>
        </w:tblPrEx>
        <w:trPr>
          <w:trHeight w:val="534" w:hRule="atLeast"/>
          <w:jc w:val="center"/>
        </w:trPr>
        <w:tc>
          <w:tcPr>
            <w:tcW w:w="1056"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3549EF3E">
            <w:pPr>
              <w:rPr>
                <w:rFonts w:ascii="宋体" w:hAnsi="宋体" w:eastAsia="宋体" w:cs="宋体"/>
                <w:color w:val="000000" w:themeColor="text1"/>
                <w:sz w:val="21"/>
                <w:szCs w:val="21"/>
                <w14:textFill>
                  <w14:solidFill>
                    <w14:schemeClr w14:val="tx1"/>
                  </w14:solidFill>
                </w14:textFill>
              </w:rPr>
            </w:pPr>
          </w:p>
        </w:tc>
        <w:tc>
          <w:tcPr>
            <w:tcW w:w="1403" w:type="dxa"/>
            <w:vMerge w:val="continue"/>
            <w:tcBorders>
              <w:top w:val="single" w:color="000000" w:sz="8" w:space="0"/>
              <w:left w:val="single" w:color="000000" w:sz="4" w:space="0"/>
              <w:bottom w:val="single" w:color="000000" w:sz="4" w:space="0"/>
              <w:right w:val="single" w:color="000000" w:sz="4" w:space="0"/>
            </w:tcBorders>
            <w:shd w:val="clear" w:color="auto" w:fill="auto"/>
            <w:noWrap/>
            <w:vAlign w:val="center"/>
          </w:tcPr>
          <w:p w14:paraId="0E9FF6ED">
            <w:pPr>
              <w:rPr>
                <w:rFonts w:ascii="宋体" w:hAnsi="宋体" w:eastAsia="宋体" w:cs="宋体"/>
                <w:color w:val="000000" w:themeColor="text1"/>
                <w:sz w:val="21"/>
                <w:szCs w:val="21"/>
                <w14:textFill>
                  <w14:solidFill>
                    <w14:schemeClr w14:val="tx1"/>
                  </w14:solidFill>
                </w14:textFill>
              </w:rPr>
            </w:pPr>
          </w:p>
        </w:tc>
        <w:tc>
          <w:tcPr>
            <w:tcW w:w="7219" w:type="dxa"/>
            <w:tcBorders>
              <w:top w:val="single" w:color="000000" w:sz="4" w:space="0"/>
              <w:left w:val="single" w:color="000000" w:sz="4" w:space="0"/>
              <w:bottom w:val="single" w:color="000000" w:sz="4" w:space="0"/>
              <w:right w:val="single" w:color="000000" w:sz="8" w:space="0"/>
            </w:tcBorders>
            <w:shd w:val="clear" w:color="auto" w:fill="auto"/>
            <w:vAlign w:val="center"/>
          </w:tcPr>
          <w:p w14:paraId="0AF60B06">
            <w:pPr>
              <w:widowControl/>
              <w:textAlignment w:val="center"/>
              <w:rPr>
                <w:rFonts w:ascii="宋体" w:hAnsi="宋体" w:eastAsia="宋体" w:cs="宋体"/>
                <w:color w:val="000000" w:themeColor="text1"/>
                <w:sz w:val="21"/>
                <w:szCs w:val="21"/>
                <w14:textFill>
                  <w14:solidFill>
                    <w14:schemeClr w14:val="tx1"/>
                  </w14:solidFill>
                </w14:textFill>
              </w:rPr>
            </w:pPr>
            <w:r>
              <w:rPr>
                <w:rFonts w:hint="default" w:ascii="宋体" w:hAnsi="宋体" w:eastAsia="宋体" w:cs="宋体"/>
                <w:color w:val="000000" w:themeColor="text1"/>
                <w:sz w:val="21"/>
                <w:szCs w:val="21"/>
                <w:u w:val="none"/>
                <w:lang w:bidi="ar"/>
                <w14:textFill>
                  <w14:solidFill>
                    <w14:schemeClr w14:val="tx1"/>
                  </w14:solidFill>
                </w14:textFill>
              </w:rPr>
              <w:t>支持取消自己预约并且可重新预约。</w:t>
            </w:r>
          </w:p>
        </w:tc>
      </w:tr>
      <w:tr w14:paraId="5F646D0C">
        <w:tblPrEx>
          <w:tblCellMar>
            <w:top w:w="0" w:type="dxa"/>
            <w:left w:w="108" w:type="dxa"/>
            <w:bottom w:w="0" w:type="dxa"/>
            <w:right w:w="108" w:type="dxa"/>
          </w:tblCellMar>
        </w:tblPrEx>
        <w:trPr>
          <w:trHeight w:val="534" w:hRule="atLeast"/>
          <w:jc w:val="center"/>
        </w:trPr>
        <w:tc>
          <w:tcPr>
            <w:tcW w:w="1056"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17C70A3D">
            <w:pPr>
              <w:rPr>
                <w:rFonts w:ascii="宋体" w:hAnsi="宋体" w:eastAsia="宋体" w:cs="宋体"/>
                <w:color w:val="000000" w:themeColor="text1"/>
                <w:sz w:val="21"/>
                <w:szCs w:val="21"/>
                <w14:textFill>
                  <w14:solidFill>
                    <w14:schemeClr w14:val="tx1"/>
                  </w14:solidFill>
                </w14:textFill>
              </w:rPr>
            </w:pPr>
          </w:p>
        </w:tc>
        <w:tc>
          <w:tcPr>
            <w:tcW w:w="1403" w:type="dxa"/>
            <w:vMerge w:val="continue"/>
            <w:tcBorders>
              <w:top w:val="single" w:color="000000" w:sz="8" w:space="0"/>
              <w:left w:val="single" w:color="000000" w:sz="4" w:space="0"/>
              <w:bottom w:val="single" w:color="000000" w:sz="4" w:space="0"/>
              <w:right w:val="single" w:color="000000" w:sz="4" w:space="0"/>
            </w:tcBorders>
            <w:shd w:val="clear" w:color="auto" w:fill="auto"/>
            <w:noWrap/>
            <w:vAlign w:val="center"/>
          </w:tcPr>
          <w:p w14:paraId="086B3CFB">
            <w:pPr>
              <w:rPr>
                <w:rFonts w:ascii="宋体" w:hAnsi="宋体" w:eastAsia="宋体" w:cs="宋体"/>
                <w:color w:val="000000" w:themeColor="text1"/>
                <w:sz w:val="21"/>
                <w:szCs w:val="21"/>
                <w14:textFill>
                  <w14:solidFill>
                    <w14:schemeClr w14:val="tx1"/>
                  </w14:solidFill>
                </w14:textFill>
              </w:rPr>
            </w:pPr>
          </w:p>
        </w:tc>
        <w:tc>
          <w:tcPr>
            <w:tcW w:w="7219" w:type="dxa"/>
            <w:tcBorders>
              <w:top w:val="single" w:color="000000" w:sz="4" w:space="0"/>
              <w:left w:val="single" w:color="000000" w:sz="4" w:space="0"/>
              <w:bottom w:val="single" w:color="000000" w:sz="4" w:space="0"/>
              <w:right w:val="single" w:color="000000" w:sz="8" w:space="0"/>
            </w:tcBorders>
            <w:shd w:val="clear" w:color="auto" w:fill="auto"/>
            <w:vAlign w:val="center"/>
          </w:tcPr>
          <w:p w14:paraId="00EB8B4D">
            <w:pPr>
              <w:widowControl/>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支持预约单与报到单的打印与重打。</w:t>
            </w:r>
          </w:p>
        </w:tc>
      </w:tr>
      <w:tr w14:paraId="1525ACE2">
        <w:tblPrEx>
          <w:tblCellMar>
            <w:top w:w="0" w:type="dxa"/>
            <w:left w:w="108" w:type="dxa"/>
            <w:bottom w:w="0" w:type="dxa"/>
            <w:right w:w="108" w:type="dxa"/>
          </w:tblCellMar>
        </w:tblPrEx>
        <w:trPr>
          <w:trHeight w:val="534" w:hRule="atLeast"/>
          <w:jc w:val="center"/>
        </w:trPr>
        <w:tc>
          <w:tcPr>
            <w:tcW w:w="1056"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4436CE45">
            <w:pPr>
              <w:rPr>
                <w:rFonts w:ascii="宋体" w:hAnsi="宋体" w:eastAsia="宋体" w:cs="宋体"/>
                <w:color w:val="000000" w:themeColor="text1"/>
                <w:sz w:val="21"/>
                <w:szCs w:val="21"/>
                <w14:textFill>
                  <w14:solidFill>
                    <w14:schemeClr w14:val="tx1"/>
                  </w14:solidFill>
                </w14:textFill>
              </w:rPr>
            </w:pPr>
          </w:p>
        </w:tc>
        <w:tc>
          <w:tcPr>
            <w:tcW w:w="1403" w:type="dxa"/>
            <w:vMerge w:val="continue"/>
            <w:tcBorders>
              <w:top w:val="single" w:color="000000" w:sz="8" w:space="0"/>
              <w:left w:val="single" w:color="000000" w:sz="4" w:space="0"/>
              <w:bottom w:val="single" w:color="000000" w:sz="4" w:space="0"/>
              <w:right w:val="single" w:color="000000" w:sz="4" w:space="0"/>
            </w:tcBorders>
            <w:shd w:val="clear" w:color="auto" w:fill="auto"/>
            <w:noWrap/>
            <w:vAlign w:val="center"/>
          </w:tcPr>
          <w:p w14:paraId="2D2696BD">
            <w:pPr>
              <w:rPr>
                <w:rFonts w:ascii="宋体" w:hAnsi="宋体" w:eastAsia="宋体" w:cs="宋体"/>
                <w:color w:val="000000" w:themeColor="text1"/>
                <w:sz w:val="21"/>
                <w:szCs w:val="21"/>
                <w14:textFill>
                  <w14:solidFill>
                    <w14:schemeClr w14:val="tx1"/>
                  </w14:solidFill>
                </w14:textFill>
              </w:rPr>
            </w:pPr>
          </w:p>
        </w:tc>
        <w:tc>
          <w:tcPr>
            <w:tcW w:w="7219" w:type="dxa"/>
            <w:tcBorders>
              <w:top w:val="single" w:color="000000" w:sz="4" w:space="0"/>
              <w:left w:val="single" w:color="000000" w:sz="4" w:space="0"/>
              <w:bottom w:val="single" w:color="000000" w:sz="4" w:space="0"/>
              <w:right w:val="single" w:color="000000" w:sz="8" w:space="0"/>
            </w:tcBorders>
            <w:shd w:val="clear" w:color="auto" w:fill="auto"/>
            <w:vAlign w:val="center"/>
          </w:tcPr>
          <w:p w14:paraId="046CECFA">
            <w:pPr>
              <w:widowControl/>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支持为第三方自助机提供嵌入式自助预约、自助报到页面。</w:t>
            </w:r>
          </w:p>
        </w:tc>
      </w:tr>
      <w:tr w14:paraId="20738E7F">
        <w:tblPrEx>
          <w:tblCellMar>
            <w:top w:w="0" w:type="dxa"/>
            <w:left w:w="108" w:type="dxa"/>
            <w:bottom w:w="0" w:type="dxa"/>
            <w:right w:w="108" w:type="dxa"/>
          </w:tblCellMar>
        </w:tblPrEx>
        <w:trPr>
          <w:trHeight w:val="768" w:hRule="atLeast"/>
          <w:jc w:val="center"/>
        </w:trPr>
        <w:tc>
          <w:tcPr>
            <w:tcW w:w="1056"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6D4195FA">
            <w:pPr>
              <w:rPr>
                <w:rFonts w:ascii="宋体" w:hAnsi="宋体" w:eastAsia="宋体" w:cs="宋体"/>
                <w:color w:val="000000" w:themeColor="text1"/>
                <w:sz w:val="21"/>
                <w:szCs w:val="21"/>
                <w14:textFill>
                  <w14:solidFill>
                    <w14:schemeClr w14:val="tx1"/>
                  </w14:solidFill>
                </w14:textFill>
              </w:rPr>
            </w:pPr>
          </w:p>
        </w:tc>
        <w:tc>
          <w:tcPr>
            <w:tcW w:w="140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CE4D4">
            <w:pPr>
              <w:widowControl/>
              <w:textAlignment w:val="bottom"/>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微信预约</w:t>
            </w:r>
          </w:p>
        </w:tc>
        <w:tc>
          <w:tcPr>
            <w:tcW w:w="7219" w:type="dxa"/>
            <w:tcBorders>
              <w:top w:val="single" w:color="000000" w:sz="4" w:space="0"/>
              <w:left w:val="single" w:color="000000" w:sz="4" w:space="0"/>
              <w:bottom w:val="single" w:color="000000" w:sz="4" w:space="0"/>
              <w:right w:val="single" w:color="000000" w:sz="8" w:space="0"/>
            </w:tcBorders>
            <w:shd w:val="clear" w:color="auto" w:fill="auto"/>
            <w:vAlign w:val="center"/>
          </w:tcPr>
          <w:p w14:paraId="7D8DC936">
            <w:pPr>
              <w:widowControl/>
              <w:textAlignment w:val="center"/>
              <w:rPr>
                <w:rFonts w:ascii="宋体" w:hAnsi="宋体" w:eastAsia="宋体" w:cs="宋体"/>
                <w:color w:val="000000" w:themeColor="text1"/>
                <w:sz w:val="21"/>
                <w:szCs w:val="21"/>
                <w14:textFill>
                  <w14:solidFill>
                    <w14:schemeClr w14:val="tx1"/>
                  </w14:solidFill>
                </w14:textFill>
              </w:rPr>
            </w:pPr>
            <w:r>
              <w:rPr>
                <w:rFonts w:hint="default" w:ascii="宋体" w:hAnsi="宋体" w:eastAsia="宋体" w:cs="宋体"/>
                <w:color w:val="000000" w:themeColor="text1"/>
                <w:sz w:val="21"/>
                <w:szCs w:val="21"/>
                <w:u w:val="none"/>
                <w:lang w:bidi="ar"/>
                <w14:textFill>
                  <w14:solidFill>
                    <w14:schemeClr w14:val="tx1"/>
                  </w14:solidFill>
                </w14:textFill>
              </w:rPr>
              <w:t>支持与医院微信公众号对接，患者使用医院微信公众号时，可对检查、住院进行预约、查看、变更、取消、报到、查看电子预约单、排队进度。微信端推送患者预约的检查、治疗、住院注意事项。</w:t>
            </w:r>
          </w:p>
        </w:tc>
      </w:tr>
      <w:tr w14:paraId="375F8C89">
        <w:tblPrEx>
          <w:tblCellMar>
            <w:top w:w="0" w:type="dxa"/>
            <w:left w:w="108" w:type="dxa"/>
            <w:bottom w:w="0" w:type="dxa"/>
            <w:right w:w="108" w:type="dxa"/>
          </w:tblCellMar>
        </w:tblPrEx>
        <w:trPr>
          <w:trHeight w:val="768" w:hRule="atLeast"/>
          <w:jc w:val="center"/>
        </w:trPr>
        <w:tc>
          <w:tcPr>
            <w:tcW w:w="1056"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07260087">
            <w:pPr>
              <w:rPr>
                <w:rFonts w:ascii="宋体" w:hAnsi="宋体" w:eastAsia="宋体" w:cs="宋体"/>
                <w:color w:val="000000" w:themeColor="text1"/>
                <w:sz w:val="21"/>
                <w:szCs w:val="21"/>
                <w14:textFill>
                  <w14:solidFill>
                    <w14:schemeClr w14:val="tx1"/>
                  </w14:solidFill>
                </w14:textFill>
              </w:rPr>
            </w:pPr>
          </w:p>
        </w:tc>
        <w:tc>
          <w:tcPr>
            <w:tcW w:w="140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7DD41">
            <w:pPr>
              <w:rPr>
                <w:rFonts w:ascii="宋体" w:hAnsi="宋体" w:eastAsia="宋体" w:cs="宋体"/>
                <w:color w:val="000000" w:themeColor="text1"/>
                <w:sz w:val="21"/>
                <w:szCs w:val="21"/>
                <w14:textFill>
                  <w14:solidFill>
                    <w14:schemeClr w14:val="tx1"/>
                  </w14:solidFill>
                </w14:textFill>
              </w:rPr>
            </w:pPr>
          </w:p>
        </w:tc>
        <w:tc>
          <w:tcPr>
            <w:tcW w:w="7219" w:type="dxa"/>
            <w:tcBorders>
              <w:top w:val="single" w:color="000000" w:sz="4" w:space="0"/>
              <w:left w:val="single" w:color="000000" w:sz="4" w:space="0"/>
              <w:bottom w:val="single" w:color="000000" w:sz="4" w:space="0"/>
              <w:right w:val="single" w:color="000000" w:sz="8" w:space="0"/>
            </w:tcBorders>
            <w:shd w:val="clear" w:color="auto" w:fill="auto"/>
            <w:vAlign w:val="center"/>
          </w:tcPr>
          <w:p w14:paraId="189A32AC">
            <w:pPr>
              <w:widowControl/>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支持患者绑定自己的就诊卡和电话号码，支持绑定自己亲属的就诊卡，获取自己所有项目的预约相关操作，可通过切换就诊卡帮助自己的亲属进行预约相关操作。</w:t>
            </w:r>
          </w:p>
        </w:tc>
      </w:tr>
      <w:tr w14:paraId="353FEB70">
        <w:tblPrEx>
          <w:tblCellMar>
            <w:top w:w="0" w:type="dxa"/>
            <w:left w:w="108" w:type="dxa"/>
            <w:bottom w:w="0" w:type="dxa"/>
            <w:right w:w="108" w:type="dxa"/>
          </w:tblCellMar>
        </w:tblPrEx>
        <w:trPr>
          <w:trHeight w:val="534" w:hRule="atLeast"/>
          <w:jc w:val="center"/>
        </w:trPr>
        <w:tc>
          <w:tcPr>
            <w:tcW w:w="1056"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4E067B2B">
            <w:pPr>
              <w:rPr>
                <w:rFonts w:ascii="宋体" w:hAnsi="宋体" w:eastAsia="宋体" w:cs="宋体"/>
                <w:color w:val="000000" w:themeColor="text1"/>
                <w:sz w:val="21"/>
                <w:szCs w:val="21"/>
                <w14:textFill>
                  <w14:solidFill>
                    <w14:schemeClr w14:val="tx1"/>
                  </w14:solidFill>
                </w14:textFill>
              </w:rPr>
            </w:pPr>
          </w:p>
        </w:tc>
        <w:tc>
          <w:tcPr>
            <w:tcW w:w="140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C34D3">
            <w:pPr>
              <w:rPr>
                <w:rFonts w:ascii="宋体" w:hAnsi="宋体" w:eastAsia="宋体" w:cs="宋体"/>
                <w:color w:val="000000" w:themeColor="text1"/>
                <w:sz w:val="21"/>
                <w:szCs w:val="21"/>
                <w14:textFill>
                  <w14:solidFill>
                    <w14:schemeClr w14:val="tx1"/>
                  </w14:solidFill>
                </w14:textFill>
              </w:rPr>
            </w:pPr>
          </w:p>
        </w:tc>
        <w:tc>
          <w:tcPr>
            <w:tcW w:w="7219" w:type="dxa"/>
            <w:tcBorders>
              <w:top w:val="single" w:color="000000" w:sz="4" w:space="0"/>
              <w:left w:val="single" w:color="000000" w:sz="4" w:space="0"/>
              <w:bottom w:val="single" w:color="000000" w:sz="4" w:space="0"/>
              <w:right w:val="single" w:color="000000" w:sz="8" w:space="0"/>
            </w:tcBorders>
            <w:shd w:val="clear" w:color="auto" w:fill="auto"/>
            <w:vAlign w:val="center"/>
          </w:tcPr>
          <w:p w14:paraId="05385724">
            <w:pPr>
              <w:widowControl/>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患者首次使用微信预约功能时需要进行验证和绑定操作后，进行身份验证成功后，才能进行预约操作。</w:t>
            </w:r>
          </w:p>
        </w:tc>
      </w:tr>
      <w:tr w14:paraId="1C13DE11">
        <w:tblPrEx>
          <w:tblCellMar>
            <w:top w:w="0" w:type="dxa"/>
            <w:left w:w="108" w:type="dxa"/>
            <w:bottom w:w="0" w:type="dxa"/>
            <w:right w:w="108" w:type="dxa"/>
          </w:tblCellMar>
        </w:tblPrEx>
        <w:trPr>
          <w:trHeight w:val="534" w:hRule="atLeast"/>
          <w:jc w:val="center"/>
        </w:trPr>
        <w:tc>
          <w:tcPr>
            <w:tcW w:w="1056"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4C1C174F">
            <w:pPr>
              <w:rPr>
                <w:rFonts w:ascii="宋体" w:hAnsi="宋体" w:eastAsia="宋体" w:cs="宋体"/>
                <w:color w:val="000000" w:themeColor="text1"/>
                <w:sz w:val="21"/>
                <w:szCs w:val="21"/>
                <w14:textFill>
                  <w14:solidFill>
                    <w14:schemeClr w14:val="tx1"/>
                  </w14:solidFill>
                </w14:textFill>
              </w:rPr>
            </w:pPr>
          </w:p>
        </w:tc>
        <w:tc>
          <w:tcPr>
            <w:tcW w:w="140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DF2C4">
            <w:pPr>
              <w:rPr>
                <w:rFonts w:ascii="宋体" w:hAnsi="宋体" w:eastAsia="宋体" w:cs="宋体"/>
                <w:color w:val="000000" w:themeColor="text1"/>
                <w:sz w:val="21"/>
                <w:szCs w:val="21"/>
                <w14:textFill>
                  <w14:solidFill>
                    <w14:schemeClr w14:val="tx1"/>
                  </w14:solidFill>
                </w14:textFill>
              </w:rPr>
            </w:pPr>
          </w:p>
        </w:tc>
        <w:tc>
          <w:tcPr>
            <w:tcW w:w="7219" w:type="dxa"/>
            <w:tcBorders>
              <w:top w:val="single" w:color="000000" w:sz="4" w:space="0"/>
              <w:left w:val="single" w:color="000000" w:sz="4" w:space="0"/>
              <w:bottom w:val="single" w:color="000000" w:sz="4" w:space="0"/>
              <w:right w:val="single" w:color="000000" w:sz="8" w:space="0"/>
            </w:tcBorders>
            <w:shd w:val="clear" w:color="auto" w:fill="auto"/>
            <w:vAlign w:val="center"/>
          </w:tcPr>
          <w:p w14:paraId="0308F6C1">
            <w:pPr>
              <w:widowControl/>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系统与微信公众号数据联通后，用户可不需要再次输入账号密码直接接入微信进行预约，已进行身份验证的用户不需再次验证。</w:t>
            </w:r>
          </w:p>
        </w:tc>
      </w:tr>
      <w:tr w14:paraId="7CBCB88A">
        <w:tblPrEx>
          <w:tblCellMar>
            <w:top w:w="0" w:type="dxa"/>
            <w:left w:w="108" w:type="dxa"/>
            <w:bottom w:w="0" w:type="dxa"/>
            <w:right w:w="108" w:type="dxa"/>
          </w:tblCellMar>
        </w:tblPrEx>
        <w:trPr>
          <w:trHeight w:val="534" w:hRule="atLeast"/>
          <w:jc w:val="center"/>
        </w:trPr>
        <w:tc>
          <w:tcPr>
            <w:tcW w:w="1056"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4983B67F">
            <w:pPr>
              <w:rPr>
                <w:rFonts w:ascii="宋体" w:hAnsi="宋体" w:eastAsia="宋体" w:cs="宋体"/>
                <w:color w:val="000000" w:themeColor="text1"/>
                <w:sz w:val="21"/>
                <w:szCs w:val="21"/>
                <w14:textFill>
                  <w14:solidFill>
                    <w14:schemeClr w14:val="tx1"/>
                  </w14:solidFill>
                </w14:textFill>
              </w:rPr>
            </w:pPr>
          </w:p>
        </w:tc>
        <w:tc>
          <w:tcPr>
            <w:tcW w:w="140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69F2E">
            <w:pPr>
              <w:rPr>
                <w:rFonts w:ascii="宋体" w:hAnsi="宋体" w:eastAsia="宋体" w:cs="宋体"/>
                <w:color w:val="000000" w:themeColor="text1"/>
                <w:sz w:val="21"/>
                <w:szCs w:val="21"/>
                <w14:textFill>
                  <w14:solidFill>
                    <w14:schemeClr w14:val="tx1"/>
                  </w14:solidFill>
                </w14:textFill>
              </w:rPr>
            </w:pPr>
          </w:p>
        </w:tc>
        <w:tc>
          <w:tcPr>
            <w:tcW w:w="7219" w:type="dxa"/>
            <w:tcBorders>
              <w:top w:val="single" w:color="000000" w:sz="4" w:space="0"/>
              <w:left w:val="single" w:color="000000" w:sz="4" w:space="0"/>
              <w:bottom w:val="single" w:color="000000" w:sz="4" w:space="0"/>
              <w:right w:val="single" w:color="000000" w:sz="8" w:space="0"/>
            </w:tcBorders>
            <w:shd w:val="clear" w:color="auto" w:fill="auto"/>
            <w:vAlign w:val="center"/>
          </w:tcPr>
          <w:p w14:paraId="2DB80B1E">
            <w:pPr>
              <w:widowControl/>
              <w:textAlignment w:val="center"/>
              <w:rPr>
                <w:rFonts w:ascii="宋体" w:hAnsi="宋体" w:eastAsia="宋体" w:cs="宋体"/>
                <w:color w:val="000000" w:themeColor="text1"/>
                <w:sz w:val="21"/>
                <w:szCs w:val="21"/>
                <w14:textFill>
                  <w14:solidFill>
                    <w14:schemeClr w14:val="tx1"/>
                  </w14:solidFill>
                </w14:textFill>
              </w:rPr>
            </w:pPr>
            <w:r>
              <w:rPr>
                <w:rFonts w:hint="default" w:ascii="宋体" w:hAnsi="宋体" w:eastAsia="宋体" w:cs="宋体"/>
                <w:color w:val="000000" w:themeColor="text1"/>
                <w:sz w:val="21"/>
                <w:szCs w:val="21"/>
                <w:u w:val="none"/>
                <w:lang w:bidi="ar"/>
                <w14:textFill>
                  <w14:solidFill>
                    <w14:schemeClr w14:val="tx1"/>
                  </w14:solidFill>
                </w14:textFill>
              </w:rPr>
              <w:t>支持单个检查、住院申请单预约，也支持选择多个检查申请单进行一键预约。</w:t>
            </w:r>
          </w:p>
        </w:tc>
      </w:tr>
      <w:tr w14:paraId="37886880">
        <w:tblPrEx>
          <w:tblCellMar>
            <w:top w:w="0" w:type="dxa"/>
            <w:left w:w="108" w:type="dxa"/>
            <w:bottom w:w="0" w:type="dxa"/>
            <w:right w:w="108" w:type="dxa"/>
          </w:tblCellMar>
        </w:tblPrEx>
        <w:trPr>
          <w:trHeight w:val="534" w:hRule="atLeast"/>
          <w:jc w:val="center"/>
        </w:trPr>
        <w:tc>
          <w:tcPr>
            <w:tcW w:w="1056"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48E4CA2C">
            <w:pPr>
              <w:rPr>
                <w:rFonts w:ascii="宋体" w:hAnsi="宋体" w:eastAsia="宋体" w:cs="宋体"/>
                <w:color w:val="000000" w:themeColor="text1"/>
                <w:sz w:val="21"/>
                <w:szCs w:val="21"/>
                <w14:textFill>
                  <w14:solidFill>
                    <w14:schemeClr w14:val="tx1"/>
                  </w14:solidFill>
                </w14:textFill>
              </w:rPr>
            </w:pPr>
          </w:p>
        </w:tc>
        <w:tc>
          <w:tcPr>
            <w:tcW w:w="140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BEBA3">
            <w:pPr>
              <w:rPr>
                <w:rFonts w:ascii="宋体" w:hAnsi="宋体" w:eastAsia="宋体" w:cs="宋体"/>
                <w:color w:val="000000" w:themeColor="text1"/>
                <w:sz w:val="21"/>
                <w:szCs w:val="21"/>
                <w14:textFill>
                  <w14:solidFill>
                    <w14:schemeClr w14:val="tx1"/>
                  </w14:solidFill>
                </w14:textFill>
              </w:rPr>
            </w:pPr>
          </w:p>
        </w:tc>
        <w:tc>
          <w:tcPr>
            <w:tcW w:w="7219" w:type="dxa"/>
            <w:tcBorders>
              <w:top w:val="single" w:color="000000" w:sz="4" w:space="0"/>
              <w:left w:val="single" w:color="000000" w:sz="4" w:space="0"/>
              <w:bottom w:val="single" w:color="000000" w:sz="4" w:space="0"/>
              <w:right w:val="single" w:color="000000" w:sz="8" w:space="0"/>
            </w:tcBorders>
            <w:shd w:val="clear" w:color="auto" w:fill="auto"/>
            <w:vAlign w:val="center"/>
          </w:tcPr>
          <w:p w14:paraId="66AAB259">
            <w:pPr>
              <w:widowControl/>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支持为患者不同科室的检查申请单提供最佳检查预约时间，并且不同科室检查项目不分配在同一个时段检查。</w:t>
            </w:r>
          </w:p>
        </w:tc>
      </w:tr>
      <w:tr w14:paraId="164E53D1">
        <w:tblPrEx>
          <w:tblCellMar>
            <w:top w:w="0" w:type="dxa"/>
            <w:left w:w="108" w:type="dxa"/>
            <w:bottom w:w="0" w:type="dxa"/>
            <w:right w:w="108" w:type="dxa"/>
          </w:tblCellMar>
        </w:tblPrEx>
        <w:trPr>
          <w:trHeight w:val="534" w:hRule="atLeast"/>
          <w:jc w:val="center"/>
        </w:trPr>
        <w:tc>
          <w:tcPr>
            <w:tcW w:w="1056"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6C6DF81A">
            <w:pPr>
              <w:widowControl/>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统计管理</w:t>
            </w:r>
          </w:p>
        </w:tc>
        <w:tc>
          <w:tcPr>
            <w:tcW w:w="1403"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2BC8FB9B">
            <w:pPr>
              <w:widowControl/>
              <w:textAlignment w:val="bottom"/>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智慧服务指标统计</w:t>
            </w:r>
          </w:p>
        </w:tc>
        <w:tc>
          <w:tcPr>
            <w:tcW w:w="7219" w:type="dxa"/>
            <w:tcBorders>
              <w:top w:val="single" w:color="000000" w:sz="8" w:space="0"/>
              <w:left w:val="single" w:color="000000" w:sz="4" w:space="0"/>
              <w:bottom w:val="single" w:color="000000" w:sz="4" w:space="0"/>
              <w:right w:val="single" w:color="000000" w:sz="8" w:space="0"/>
            </w:tcBorders>
            <w:shd w:val="clear" w:color="auto" w:fill="auto"/>
            <w:vAlign w:val="center"/>
          </w:tcPr>
          <w:p w14:paraId="5928F3E4">
            <w:pPr>
              <w:widowControl/>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对标智慧服务要求的指标，包括：预约人数、预约比例。</w:t>
            </w:r>
          </w:p>
        </w:tc>
      </w:tr>
      <w:tr w14:paraId="7A40AC16">
        <w:tblPrEx>
          <w:tblCellMar>
            <w:top w:w="0" w:type="dxa"/>
            <w:left w:w="108" w:type="dxa"/>
            <w:bottom w:w="0" w:type="dxa"/>
            <w:right w:w="108" w:type="dxa"/>
          </w:tblCellMar>
        </w:tblPrEx>
        <w:trPr>
          <w:trHeight w:val="534" w:hRule="atLeast"/>
          <w:jc w:val="center"/>
        </w:trPr>
        <w:tc>
          <w:tcPr>
            <w:tcW w:w="1056"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606F8952">
            <w:pPr>
              <w:rPr>
                <w:rFonts w:ascii="宋体" w:hAnsi="宋体" w:eastAsia="宋体" w:cs="宋体"/>
                <w:color w:val="000000" w:themeColor="text1"/>
                <w:sz w:val="21"/>
                <w:szCs w:val="21"/>
                <w14:textFill>
                  <w14:solidFill>
                    <w14:schemeClr w14:val="tx1"/>
                  </w14:solidFill>
                </w14:textFill>
              </w:rPr>
            </w:pP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32E0B">
            <w:pPr>
              <w:widowControl/>
              <w:textAlignment w:val="bottom"/>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爽约统计分析</w:t>
            </w:r>
          </w:p>
        </w:tc>
        <w:tc>
          <w:tcPr>
            <w:tcW w:w="7219" w:type="dxa"/>
            <w:tcBorders>
              <w:top w:val="single" w:color="000000" w:sz="4" w:space="0"/>
              <w:left w:val="single" w:color="000000" w:sz="4" w:space="0"/>
              <w:bottom w:val="single" w:color="000000" w:sz="4" w:space="0"/>
              <w:right w:val="single" w:color="000000" w:sz="8" w:space="0"/>
            </w:tcBorders>
            <w:shd w:val="clear" w:color="auto" w:fill="auto"/>
            <w:vAlign w:val="center"/>
          </w:tcPr>
          <w:p w14:paraId="7972C8D3">
            <w:pPr>
              <w:widowControl/>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爽约人数、爽约率等统计分析。</w:t>
            </w:r>
          </w:p>
        </w:tc>
      </w:tr>
      <w:tr w14:paraId="2532AFBD">
        <w:tblPrEx>
          <w:tblCellMar>
            <w:top w:w="0" w:type="dxa"/>
            <w:left w:w="108" w:type="dxa"/>
            <w:bottom w:w="0" w:type="dxa"/>
            <w:right w:w="108" w:type="dxa"/>
          </w:tblCellMar>
        </w:tblPrEx>
        <w:trPr>
          <w:trHeight w:val="534" w:hRule="atLeast"/>
          <w:jc w:val="center"/>
        </w:trPr>
        <w:tc>
          <w:tcPr>
            <w:tcW w:w="1056"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687F3D63">
            <w:pPr>
              <w:rPr>
                <w:rFonts w:ascii="宋体" w:hAnsi="宋体" w:eastAsia="宋体" w:cs="宋体"/>
                <w:color w:val="000000" w:themeColor="text1"/>
                <w:sz w:val="21"/>
                <w:szCs w:val="21"/>
                <w14:textFill>
                  <w14:solidFill>
                    <w14:schemeClr w14:val="tx1"/>
                  </w14:solidFill>
                </w14:textFill>
              </w:rPr>
            </w:pP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8D597">
            <w:pPr>
              <w:widowControl/>
              <w:textAlignment w:val="bottom"/>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多维度自定义统计</w:t>
            </w:r>
          </w:p>
        </w:tc>
        <w:tc>
          <w:tcPr>
            <w:tcW w:w="7219" w:type="dxa"/>
            <w:tcBorders>
              <w:top w:val="single" w:color="000000" w:sz="4" w:space="0"/>
              <w:left w:val="single" w:color="000000" w:sz="4" w:space="0"/>
              <w:bottom w:val="single" w:color="000000" w:sz="4" w:space="0"/>
              <w:right w:val="single" w:color="000000" w:sz="8" w:space="0"/>
            </w:tcBorders>
            <w:shd w:val="clear" w:color="auto" w:fill="auto"/>
            <w:vAlign w:val="center"/>
          </w:tcPr>
          <w:p w14:paraId="71DF9136">
            <w:pPr>
              <w:widowControl/>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系统支持多维度的统计报表功能，实现按时间、按科室、按设备按检查类型等进行预约情况查询，实现预耗时分析的统计。</w:t>
            </w:r>
          </w:p>
        </w:tc>
      </w:tr>
      <w:tr w14:paraId="035E287F">
        <w:tblPrEx>
          <w:tblCellMar>
            <w:top w:w="0" w:type="dxa"/>
            <w:left w:w="108" w:type="dxa"/>
            <w:bottom w:w="0" w:type="dxa"/>
            <w:right w:w="108" w:type="dxa"/>
          </w:tblCellMar>
        </w:tblPrEx>
        <w:trPr>
          <w:trHeight w:val="768" w:hRule="atLeast"/>
          <w:jc w:val="center"/>
        </w:trPr>
        <w:tc>
          <w:tcPr>
            <w:tcW w:w="1056"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1AC9C6A1">
            <w:pPr>
              <w:rPr>
                <w:rFonts w:ascii="宋体" w:hAnsi="宋体" w:eastAsia="宋体" w:cs="宋体"/>
                <w:color w:val="000000" w:themeColor="text1"/>
                <w:sz w:val="21"/>
                <w:szCs w:val="21"/>
                <w14:textFill>
                  <w14:solidFill>
                    <w14:schemeClr w14:val="tx1"/>
                  </w14:solidFill>
                </w14:textFill>
              </w:rPr>
            </w:pPr>
          </w:p>
        </w:tc>
        <w:tc>
          <w:tcPr>
            <w:tcW w:w="1403" w:type="dxa"/>
            <w:tcBorders>
              <w:top w:val="single" w:color="000000" w:sz="4" w:space="0"/>
              <w:left w:val="single" w:color="000000" w:sz="4" w:space="0"/>
              <w:bottom w:val="nil"/>
              <w:right w:val="single" w:color="000000" w:sz="4" w:space="0"/>
            </w:tcBorders>
            <w:shd w:val="clear" w:color="auto" w:fill="auto"/>
            <w:noWrap/>
            <w:vAlign w:val="center"/>
          </w:tcPr>
          <w:p w14:paraId="464E0B5E">
            <w:pPr>
              <w:widowControl/>
              <w:textAlignment w:val="bottom"/>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预约资源趋势分析看板</w:t>
            </w:r>
          </w:p>
        </w:tc>
        <w:tc>
          <w:tcPr>
            <w:tcW w:w="7219" w:type="dxa"/>
            <w:tcBorders>
              <w:top w:val="single" w:color="000000" w:sz="4" w:space="0"/>
              <w:left w:val="single" w:color="000000" w:sz="4" w:space="0"/>
              <w:bottom w:val="nil"/>
              <w:right w:val="single" w:color="000000" w:sz="8" w:space="0"/>
            </w:tcBorders>
            <w:shd w:val="clear" w:color="auto" w:fill="auto"/>
            <w:vAlign w:val="center"/>
          </w:tcPr>
          <w:p w14:paraId="7AD88A8E">
            <w:pPr>
              <w:widowControl/>
              <w:textAlignment w:val="center"/>
              <w:rPr>
                <w:rFonts w:ascii="宋体" w:hAnsi="宋体" w:eastAsia="宋体" w:cs="宋体"/>
                <w:color w:val="000000" w:themeColor="text1"/>
                <w:sz w:val="21"/>
                <w:szCs w:val="21"/>
                <w14:textFill>
                  <w14:solidFill>
                    <w14:schemeClr w14:val="tx1"/>
                  </w14:solidFill>
                </w14:textFill>
              </w:rPr>
            </w:pPr>
            <w:r>
              <w:rPr>
                <w:rFonts w:hint="default" w:ascii="宋体" w:hAnsi="宋体" w:eastAsia="宋体" w:cs="宋体"/>
                <w:color w:val="000000" w:themeColor="text1"/>
                <w:sz w:val="21"/>
                <w:szCs w:val="21"/>
                <w:u w:val="none"/>
                <w:lang w:bidi="ar"/>
                <w14:textFill>
                  <w14:solidFill>
                    <w14:schemeClr w14:val="tx1"/>
                  </w14:solidFill>
                </w14:textFill>
              </w:rPr>
              <w:t>支持预约量、检查量、预约率、及时到检率、及时入院率、平均检查等待时长分析、预约渠道占比分析、预约量与到检量比较分析、病人来源占比分析、各科室检查等待时长分析。</w:t>
            </w:r>
          </w:p>
        </w:tc>
      </w:tr>
      <w:tr w14:paraId="4191E195">
        <w:tblPrEx>
          <w:tblCellMar>
            <w:top w:w="0" w:type="dxa"/>
            <w:left w:w="108" w:type="dxa"/>
            <w:bottom w:w="0" w:type="dxa"/>
            <w:right w:w="108" w:type="dxa"/>
          </w:tblCellMar>
        </w:tblPrEx>
        <w:trPr>
          <w:trHeight w:val="534" w:hRule="atLeast"/>
          <w:jc w:val="center"/>
        </w:trPr>
        <w:tc>
          <w:tcPr>
            <w:tcW w:w="1056"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5FE4E55F">
            <w:pPr>
              <w:widowControl/>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第三方接口</w:t>
            </w:r>
          </w:p>
        </w:tc>
        <w:tc>
          <w:tcPr>
            <w:tcW w:w="1403"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7E565269">
            <w:pPr>
              <w:widowControl/>
              <w:textAlignment w:val="bottom"/>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HIS 接口</w:t>
            </w:r>
          </w:p>
        </w:tc>
        <w:tc>
          <w:tcPr>
            <w:tcW w:w="7219" w:type="dxa"/>
            <w:tcBorders>
              <w:top w:val="single" w:color="000000" w:sz="8" w:space="0"/>
              <w:left w:val="single" w:color="000000" w:sz="4" w:space="0"/>
              <w:bottom w:val="single" w:color="000000" w:sz="4" w:space="0"/>
              <w:right w:val="single" w:color="000000" w:sz="8" w:space="0"/>
            </w:tcBorders>
            <w:shd w:val="clear" w:color="auto" w:fill="auto"/>
            <w:vAlign w:val="center"/>
          </w:tcPr>
          <w:p w14:paraId="365D3FB7">
            <w:pPr>
              <w:widowControl/>
              <w:textAlignment w:val="center"/>
              <w:rPr>
                <w:rFonts w:ascii="宋体" w:hAnsi="宋体" w:eastAsia="宋体" w:cs="宋体"/>
                <w:color w:val="000000" w:themeColor="text1"/>
                <w:sz w:val="21"/>
                <w:szCs w:val="21"/>
                <w14:textFill>
                  <w14:solidFill>
                    <w14:schemeClr w14:val="tx1"/>
                  </w14:solidFill>
                </w14:textFill>
              </w:rPr>
            </w:pPr>
            <w:r>
              <w:rPr>
                <w:rFonts w:hint="default" w:ascii="宋体" w:hAnsi="宋体" w:eastAsia="宋体" w:cs="宋体"/>
                <w:color w:val="000000" w:themeColor="text1"/>
                <w:sz w:val="21"/>
                <w:szCs w:val="21"/>
                <w:u w:val="none"/>
                <w:lang w:bidi="ar"/>
                <w14:textFill>
                  <w14:solidFill>
                    <w14:schemeClr w14:val="tx1"/>
                  </w14:solidFill>
                </w14:textFill>
              </w:rPr>
              <w:t>与医院信息管理系统对接，获取患者基本信息、就诊信息、检查申请、住院申请等数据。</w:t>
            </w:r>
          </w:p>
        </w:tc>
      </w:tr>
      <w:tr w14:paraId="12DF8396">
        <w:tblPrEx>
          <w:tblCellMar>
            <w:top w:w="0" w:type="dxa"/>
            <w:left w:w="108" w:type="dxa"/>
            <w:bottom w:w="0" w:type="dxa"/>
            <w:right w:w="108" w:type="dxa"/>
          </w:tblCellMar>
        </w:tblPrEx>
        <w:trPr>
          <w:trHeight w:val="768" w:hRule="atLeast"/>
          <w:jc w:val="center"/>
        </w:trPr>
        <w:tc>
          <w:tcPr>
            <w:tcW w:w="1056"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3FF52850">
            <w:pPr>
              <w:rPr>
                <w:rFonts w:ascii="宋体" w:hAnsi="宋体" w:eastAsia="宋体" w:cs="宋体"/>
                <w:color w:val="000000" w:themeColor="text1"/>
                <w:sz w:val="21"/>
                <w:szCs w:val="21"/>
                <w14:textFill>
                  <w14:solidFill>
                    <w14:schemeClr w14:val="tx1"/>
                  </w14:solidFill>
                </w14:textFill>
              </w:rPr>
            </w:pP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AAB3E">
            <w:pPr>
              <w:widowControl/>
              <w:textAlignment w:val="bottom"/>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医技检验治疗系统接口</w:t>
            </w:r>
          </w:p>
        </w:tc>
        <w:tc>
          <w:tcPr>
            <w:tcW w:w="7219" w:type="dxa"/>
            <w:tcBorders>
              <w:top w:val="single" w:color="000000" w:sz="4" w:space="0"/>
              <w:left w:val="single" w:color="000000" w:sz="4" w:space="0"/>
              <w:bottom w:val="single" w:color="000000" w:sz="4" w:space="0"/>
              <w:right w:val="single" w:color="000000" w:sz="8" w:space="0"/>
            </w:tcBorders>
            <w:shd w:val="clear" w:color="auto" w:fill="auto"/>
            <w:vAlign w:val="center"/>
          </w:tcPr>
          <w:p w14:paraId="22A2999D">
            <w:pPr>
              <w:widowControl/>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配合已上线医技治疗检验治疗系统对接。</w:t>
            </w:r>
          </w:p>
        </w:tc>
      </w:tr>
      <w:tr w14:paraId="2A9FA193">
        <w:tblPrEx>
          <w:tblCellMar>
            <w:top w:w="0" w:type="dxa"/>
            <w:left w:w="108" w:type="dxa"/>
            <w:bottom w:w="0" w:type="dxa"/>
            <w:right w:w="108" w:type="dxa"/>
          </w:tblCellMar>
        </w:tblPrEx>
        <w:trPr>
          <w:trHeight w:val="534" w:hRule="atLeast"/>
          <w:jc w:val="center"/>
        </w:trPr>
        <w:tc>
          <w:tcPr>
            <w:tcW w:w="1056"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011EDCEB">
            <w:pPr>
              <w:rPr>
                <w:rFonts w:ascii="宋体" w:hAnsi="宋体" w:eastAsia="宋体" w:cs="宋体"/>
                <w:color w:val="000000" w:themeColor="text1"/>
                <w:sz w:val="21"/>
                <w:szCs w:val="21"/>
                <w14:textFill>
                  <w14:solidFill>
                    <w14:schemeClr w14:val="tx1"/>
                  </w14:solidFill>
                </w14:textFill>
              </w:rPr>
            </w:pP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8C95C">
            <w:pPr>
              <w:widowControl/>
              <w:textAlignment w:val="bottom"/>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自助机预约接口</w:t>
            </w:r>
          </w:p>
        </w:tc>
        <w:tc>
          <w:tcPr>
            <w:tcW w:w="7219" w:type="dxa"/>
            <w:tcBorders>
              <w:top w:val="single" w:color="000000" w:sz="4" w:space="0"/>
              <w:left w:val="single" w:color="000000" w:sz="4" w:space="0"/>
              <w:bottom w:val="single" w:color="000000" w:sz="4" w:space="0"/>
              <w:right w:val="single" w:color="000000" w:sz="8" w:space="0"/>
            </w:tcBorders>
            <w:shd w:val="clear" w:color="auto" w:fill="auto"/>
            <w:vAlign w:val="center"/>
          </w:tcPr>
          <w:p w14:paraId="7FBC1621">
            <w:pPr>
              <w:widowControl/>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与自助预约机对接，允许患者自主预约检查。</w:t>
            </w:r>
          </w:p>
        </w:tc>
      </w:tr>
      <w:tr w14:paraId="3EF54B92">
        <w:tblPrEx>
          <w:tblCellMar>
            <w:top w:w="0" w:type="dxa"/>
            <w:left w:w="108" w:type="dxa"/>
            <w:bottom w:w="0" w:type="dxa"/>
            <w:right w:w="108" w:type="dxa"/>
          </w:tblCellMar>
        </w:tblPrEx>
        <w:trPr>
          <w:trHeight w:val="534" w:hRule="atLeast"/>
          <w:jc w:val="center"/>
        </w:trPr>
        <w:tc>
          <w:tcPr>
            <w:tcW w:w="1056"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72A67BAF">
            <w:pPr>
              <w:rPr>
                <w:rFonts w:ascii="宋体" w:hAnsi="宋体" w:eastAsia="宋体" w:cs="宋体"/>
                <w:color w:val="000000" w:themeColor="text1"/>
                <w:sz w:val="21"/>
                <w:szCs w:val="21"/>
                <w14:textFill>
                  <w14:solidFill>
                    <w14:schemeClr w14:val="tx1"/>
                  </w14:solidFill>
                </w14:textFill>
              </w:rPr>
            </w:pP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9AA8E">
            <w:pPr>
              <w:widowControl/>
              <w:textAlignment w:val="bottom"/>
              <w:rPr>
                <w:rFonts w:hint="eastAsia" w:ascii="宋体" w:hAnsi="宋体" w:eastAsia="宋体" w:cs="宋体"/>
                <w:color w:val="000000" w:themeColor="text1"/>
                <w:kern w:val="0"/>
                <w:sz w:val="21"/>
                <w:szCs w:val="21"/>
                <w:lang w:bidi="ar"/>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通用接口</w:t>
            </w:r>
          </w:p>
        </w:tc>
        <w:tc>
          <w:tcPr>
            <w:tcW w:w="7219" w:type="dxa"/>
            <w:tcBorders>
              <w:top w:val="single" w:color="000000" w:sz="4" w:space="0"/>
              <w:left w:val="single" w:color="000000" w:sz="4" w:space="0"/>
              <w:bottom w:val="single" w:color="000000" w:sz="4" w:space="0"/>
              <w:right w:val="single" w:color="000000" w:sz="8" w:space="0"/>
            </w:tcBorders>
            <w:shd w:val="clear" w:color="auto" w:fill="auto"/>
            <w:vAlign w:val="center"/>
          </w:tcPr>
          <w:p w14:paraId="32F800DB">
            <w:pPr>
              <w:widowControl/>
              <w:textAlignment w:val="center"/>
              <w:rPr>
                <w:rFonts w:hint="eastAsia" w:ascii="宋体" w:hAnsi="宋体" w:eastAsia="宋体" w:cs="宋体"/>
                <w:color w:val="000000" w:themeColor="text1"/>
                <w:kern w:val="0"/>
                <w:sz w:val="21"/>
                <w:szCs w:val="21"/>
                <w:lang w:bidi="ar"/>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免费提供通用接口，供第三方系统对接</w:t>
            </w:r>
          </w:p>
        </w:tc>
      </w:tr>
      <w:tr w14:paraId="1862A3E9">
        <w:tblPrEx>
          <w:tblCellMar>
            <w:top w:w="0" w:type="dxa"/>
            <w:left w:w="108" w:type="dxa"/>
            <w:bottom w:w="0" w:type="dxa"/>
            <w:right w:w="108" w:type="dxa"/>
          </w:tblCellMar>
        </w:tblPrEx>
        <w:trPr>
          <w:trHeight w:val="534" w:hRule="atLeast"/>
          <w:jc w:val="center"/>
        </w:trPr>
        <w:tc>
          <w:tcPr>
            <w:tcW w:w="1056"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0C70C609">
            <w:pPr>
              <w:rPr>
                <w:rFonts w:ascii="宋体" w:hAnsi="宋体" w:eastAsia="宋体" w:cs="宋体"/>
                <w:color w:val="000000" w:themeColor="text1"/>
                <w:sz w:val="21"/>
                <w:szCs w:val="21"/>
                <w14:textFill>
                  <w14:solidFill>
                    <w14:schemeClr w14:val="tx1"/>
                  </w14:solidFill>
                </w14:textFill>
              </w:rPr>
            </w:pP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36407">
            <w:pPr>
              <w:widowControl/>
              <w:textAlignment w:val="bottom"/>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报到机接口</w:t>
            </w:r>
          </w:p>
        </w:tc>
        <w:tc>
          <w:tcPr>
            <w:tcW w:w="7219" w:type="dxa"/>
            <w:tcBorders>
              <w:top w:val="single" w:color="000000" w:sz="4" w:space="0"/>
              <w:left w:val="single" w:color="000000" w:sz="4" w:space="0"/>
              <w:bottom w:val="single" w:color="000000" w:sz="4" w:space="0"/>
              <w:right w:val="single" w:color="000000" w:sz="8" w:space="0"/>
            </w:tcBorders>
            <w:shd w:val="clear" w:color="auto" w:fill="auto"/>
            <w:vAlign w:val="center"/>
          </w:tcPr>
          <w:p w14:paraId="1D02E1BE">
            <w:pPr>
              <w:widowControl/>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与报到机对接，允许患者在报到机上完成检查报到。</w:t>
            </w:r>
          </w:p>
        </w:tc>
      </w:tr>
      <w:tr w14:paraId="4DA490C0">
        <w:tblPrEx>
          <w:tblCellMar>
            <w:top w:w="0" w:type="dxa"/>
            <w:left w:w="108" w:type="dxa"/>
            <w:bottom w:w="0" w:type="dxa"/>
            <w:right w:w="108" w:type="dxa"/>
          </w:tblCellMar>
        </w:tblPrEx>
        <w:trPr>
          <w:trHeight w:val="534" w:hRule="atLeast"/>
          <w:jc w:val="center"/>
        </w:trPr>
        <w:tc>
          <w:tcPr>
            <w:tcW w:w="1056"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07E83470">
            <w:pPr>
              <w:rPr>
                <w:rFonts w:ascii="宋体" w:hAnsi="宋体" w:eastAsia="宋体" w:cs="宋体"/>
                <w:color w:val="000000" w:themeColor="text1"/>
                <w:sz w:val="21"/>
                <w:szCs w:val="21"/>
                <w14:textFill>
                  <w14:solidFill>
                    <w14:schemeClr w14:val="tx1"/>
                  </w14:solidFill>
                </w14:textFill>
              </w:rPr>
            </w:pPr>
          </w:p>
        </w:tc>
        <w:tc>
          <w:tcPr>
            <w:tcW w:w="1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DFE91">
            <w:pPr>
              <w:widowControl/>
              <w:textAlignment w:val="bottom"/>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微信自助预约接口</w:t>
            </w:r>
          </w:p>
        </w:tc>
        <w:tc>
          <w:tcPr>
            <w:tcW w:w="7219" w:type="dxa"/>
            <w:tcBorders>
              <w:top w:val="single" w:color="000000" w:sz="4" w:space="0"/>
              <w:left w:val="single" w:color="000000" w:sz="4" w:space="0"/>
              <w:bottom w:val="single" w:color="000000" w:sz="4" w:space="0"/>
              <w:right w:val="single" w:color="000000" w:sz="8" w:space="0"/>
            </w:tcBorders>
            <w:shd w:val="clear" w:color="auto" w:fill="auto"/>
            <w:vAlign w:val="center"/>
          </w:tcPr>
          <w:p w14:paraId="0B823F11">
            <w:pPr>
              <w:widowControl/>
              <w:textAlignment w:val="center"/>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bidi="ar"/>
                <w14:textFill>
                  <w14:solidFill>
                    <w14:schemeClr w14:val="tx1"/>
                  </w14:solidFill>
                </w14:textFill>
              </w:rPr>
              <w:t>与微信平台对接，允许患者通过微信公众号或小程序预约检查。</w:t>
            </w:r>
          </w:p>
        </w:tc>
      </w:tr>
      <w:tr w14:paraId="1860F4AE">
        <w:tblPrEx>
          <w:tblCellMar>
            <w:top w:w="0" w:type="dxa"/>
            <w:left w:w="108" w:type="dxa"/>
            <w:bottom w:w="0" w:type="dxa"/>
            <w:right w:w="108" w:type="dxa"/>
          </w:tblCellMar>
        </w:tblPrEx>
        <w:trPr>
          <w:trHeight w:val="312" w:hRule="atLeast"/>
          <w:jc w:val="center"/>
        </w:trPr>
        <w:tc>
          <w:tcPr>
            <w:tcW w:w="1056" w:type="dxa"/>
            <w:vMerge w:val="continue"/>
            <w:tcBorders>
              <w:top w:val="single" w:color="000000" w:sz="8" w:space="0"/>
              <w:left w:val="single" w:color="000000" w:sz="4" w:space="0"/>
              <w:bottom w:val="single" w:color="auto" w:sz="4" w:space="0"/>
              <w:right w:val="single" w:color="000000" w:sz="4" w:space="0"/>
            </w:tcBorders>
            <w:shd w:val="clear" w:color="auto" w:fill="auto"/>
            <w:noWrap/>
            <w:vAlign w:val="center"/>
          </w:tcPr>
          <w:p w14:paraId="405ED9D3">
            <w:pPr>
              <w:rPr>
                <w:rFonts w:ascii="宋体" w:hAnsi="宋体" w:eastAsia="宋体" w:cs="宋体"/>
                <w:color w:val="000000" w:themeColor="text1"/>
                <w:sz w:val="21"/>
                <w:szCs w:val="21"/>
                <w14:textFill>
                  <w14:solidFill>
                    <w14:schemeClr w14:val="tx1"/>
                  </w14:solidFill>
                </w14:textFill>
              </w:rPr>
            </w:pPr>
          </w:p>
        </w:tc>
        <w:tc>
          <w:tcPr>
            <w:tcW w:w="1403" w:type="dxa"/>
            <w:tcBorders>
              <w:left w:val="single" w:color="000000" w:sz="4" w:space="0"/>
              <w:bottom w:val="single" w:color="auto" w:sz="4" w:space="0"/>
              <w:right w:val="single" w:color="000000" w:sz="4" w:space="0"/>
            </w:tcBorders>
            <w:shd w:val="clear" w:color="auto" w:fill="auto"/>
            <w:noWrap/>
            <w:vAlign w:val="center"/>
          </w:tcPr>
          <w:p w14:paraId="4DEB2ACE">
            <w:pPr>
              <w:widowControl/>
              <w:textAlignment w:val="center"/>
              <w:rPr>
                <w:rFonts w:ascii="宋体" w:hAnsi="宋体" w:eastAsia="宋体" w:cs="宋体"/>
                <w:color w:val="000000" w:themeColor="text1"/>
                <w:sz w:val="21"/>
                <w:szCs w:val="21"/>
                <w14:textFill>
                  <w14:solidFill>
                    <w14:schemeClr w14:val="tx1"/>
                  </w14:solidFill>
                </w14:textFill>
              </w:rPr>
            </w:pPr>
          </w:p>
        </w:tc>
        <w:tc>
          <w:tcPr>
            <w:tcW w:w="7219" w:type="dxa"/>
            <w:tcBorders>
              <w:left w:val="single" w:color="000000" w:sz="4" w:space="0"/>
              <w:bottom w:val="single" w:color="auto" w:sz="4" w:space="0"/>
              <w:right w:val="single" w:color="000000" w:sz="8" w:space="0"/>
            </w:tcBorders>
            <w:shd w:val="clear" w:color="auto" w:fill="auto"/>
            <w:vAlign w:val="center"/>
          </w:tcPr>
          <w:p w14:paraId="6DC395E4">
            <w:pPr>
              <w:widowControl/>
              <w:textAlignment w:val="center"/>
              <w:rPr>
                <w:rFonts w:ascii="宋体" w:hAnsi="宋体" w:eastAsia="宋体" w:cs="宋体"/>
                <w:color w:val="000000" w:themeColor="text1"/>
                <w:sz w:val="21"/>
                <w:szCs w:val="21"/>
                <w14:textFill>
                  <w14:solidFill>
                    <w14:schemeClr w14:val="tx1"/>
                  </w14:solidFill>
                </w14:textFill>
              </w:rPr>
            </w:pPr>
          </w:p>
        </w:tc>
      </w:tr>
    </w:tbl>
    <w:p w14:paraId="0CD4D9B1">
      <w:pPr>
        <w:rPr>
          <w:rFonts w:hint="default"/>
          <w:lang w:val="en-US" w:eastAsia="zh-CN"/>
        </w:rPr>
      </w:pPr>
    </w:p>
    <w:p w14:paraId="5C5966BF">
      <w:pPr>
        <w:rPr>
          <w:rFonts w:hint="default"/>
          <w:lang w:val="en-US" w:eastAsia="zh-CN"/>
        </w:rPr>
      </w:pPr>
      <w:r>
        <w:rPr>
          <w:rFonts w:hint="default"/>
          <w:lang w:val="en-US" w:eastAsia="zh-CN"/>
        </w:rPr>
        <w:br w:type="page"/>
      </w:r>
    </w:p>
    <w:p w14:paraId="4E9D4A13">
      <w:pPr>
        <w:pStyle w:val="2"/>
        <w:bidi w:val="0"/>
        <w:rPr>
          <w:rFonts w:ascii="宋体" w:hAnsi="宋体"/>
          <w:b/>
          <w:bCs/>
          <w:color w:val="auto"/>
          <w:sz w:val="30"/>
          <w:szCs w:val="30"/>
          <w:highlight w:val="none"/>
        </w:rPr>
      </w:pPr>
      <w:bookmarkStart w:id="184" w:name="_Toc10371"/>
      <w:bookmarkStart w:id="185" w:name="_Toc20393"/>
      <w:bookmarkStart w:id="186" w:name="_Toc21775"/>
      <w:bookmarkStart w:id="187" w:name="_Toc20678"/>
      <w:bookmarkStart w:id="188" w:name="_Toc14991"/>
      <w:r>
        <w:rPr>
          <w:rFonts w:hint="eastAsia"/>
          <w:lang w:val="en-US" w:eastAsia="zh-CN"/>
        </w:rPr>
        <w:t>中山七院二期系统升级</w:t>
      </w:r>
      <w:r>
        <w:rPr>
          <w:rFonts w:hint="eastAsia"/>
        </w:rPr>
        <w:t>需求</w:t>
      </w:r>
      <w:bookmarkEnd w:id="184"/>
      <w:bookmarkEnd w:id="185"/>
      <w:bookmarkEnd w:id="186"/>
      <w:bookmarkEnd w:id="187"/>
      <w:bookmarkEnd w:id="188"/>
    </w:p>
    <w:p w14:paraId="3A84A362">
      <w:pPr>
        <w:pStyle w:val="3"/>
        <w:bidi w:val="0"/>
      </w:pPr>
      <w:bookmarkStart w:id="189" w:name="_Toc8773"/>
      <w:bookmarkStart w:id="190" w:name="_Toc32643"/>
      <w:bookmarkStart w:id="191" w:name="_Toc2587"/>
      <w:bookmarkStart w:id="192" w:name="_Toc31284"/>
      <w:bookmarkStart w:id="193" w:name="_Toc26472"/>
      <w:r>
        <w:rPr>
          <w:rFonts w:hint="eastAsia"/>
          <w:lang w:val="en-US" w:eastAsia="zh-CN"/>
        </w:rPr>
        <w:t>集成平台</w:t>
      </w:r>
      <w:bookmarkEnd w:id="189"/>
      <w:bookmarkEnd w:id="190"/>
      <w:bookmarkEnd w:id="191"/>
      <w:bookmarkEnd w:id="192"/>
      <w:bookmarkEnd w:id="193"/>
    </w:p>
    <w:p w14:paraId="3926B0EC">
      <w:pPr>
        <w:bidi w:val="0"/>
        <w:rPr>
          <w:b/>
          <w:bCs/>
        </w:rPr>
      </w:pPr>
      <w:r>
        <w:rPr>
          <w:rFonts w:hint="eastAsia"/>
          <w:b/>
          <w:bCs/>
        </w:rPr>
        <w:t>技术中台建设需求</w:t>
      </w:r>
    </w:p>
    <w:tbl>
      <w:tblPr>
        <w:tblStyle w:val="46"/>
        <w:tblW w:w="98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1213"/>
        <w:gridCol w:w="7796"/>
      </w:tblGrid>
      <w:tr w14:paraId="0F055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869" w:type="dxa"/>
            <w:shd w:val="clear" w:color="auto" w:fill="FFFFFF"/>
            <w:vAlign w:val="center"/>
          </w:tcPr>
          <w:p w14:paraId="1C5E16B8">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r>
              <w:rPr>
                <w:rFonts w:hint="eastAsia" w:ascii="宋体" w:hAnsi="宋体" w:cs="宋体"/>
                <w:color w:val="auto"/>
                <w:kern w:val="0"/>
                <w:sz w:val="21"/>
                <w:szCs w:val="21"/>
                <w:highlight w:val="none"/>
              </w:rPr>
              <w:t>需求名称</w:t>
            </w:r>
          </w:p>
        </w:tc>
        <w:tc>
          <w:tcPr>
            <w:tcW w:w="1213" w:type="dxa"/>
            <w:shd w:val="clear" w:color="auto" w:fill="FFFFFF"/>
            <w:vAlign w:val="center"/>
          </w:tcPr>
          <w:p w14:paraId="609A412C">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序号</w:t>
            </w:r>
          </w:p>
        </w:tc>
        <w:tc>
          <w:tcPr>
            <w:tcW w:w="7796" w:type="dxa"/>
            <w:shd w:val="clear" w:color="auto" w:fill="FFFFFF"/>
            <w:vAlign w:val="center"/>
          </w:tcPr>
          <w:p w14:paraId="18C314E5">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需求描述</w:t>
            </w:r>
          </w:p>
        </w:tc>
      </w:tr>
      <w:tr w14:paraId="774E7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869" w:type="dxa"/>
            <w:vMerge w:val="restart"/>
            <w:shd w:val="clear" w:color="auto" w:fill="FFFFFF"/>
            <w:vAlign w:val="center"/>
          </w:tcPr>
          <w:p w14:paraId="5BA178AF">
            <w:pPr>
              <w:keepNext w:val="0"/>
              <w:keepLines w:val="0"/>
              <w:pageBreakBefore w:val="0"/>
              <w:numPr>
                <w:ilvl w:val="0"/>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sz w:val="21"/>
                <w:szCs w:val="21"/>
                <w:highlight w:val="none"/>
              </w:rPr>
            </w:pPr>
            <w:r>
              <w:rPr>
                <w:rFonts w:hint="eastAsia" w:ascii="宋体" w:hAnsi="宋体" w:cs="宋体"/>
                <w:color w:val="auto"/>
                <w:sz w:val="21"/>
                <w:szCs w:val="21"/>
                <w:highlight w:val="none"/>
              </w:rPr>
              <w:t>技术中台</w:t>
            </w:r>
          </w:p>
        </w:tc>
        <w:tc>
          <w:tcPr>
            <w:tcW w:w="9009" w:type="dxa"/>
            <w:gridSpan w:val="2"/>
            <w:shd w:val="clear" w:color="auto" w:fill="FFFFFF"/>
            <w:vAlign w:val="center"/>
          </w:tcPr>
          <w:p w14:paraId="5C9FBE25">
            <w:pPr>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bCs/>
                <w:color w:val="auto"/>
                <w:sz w:val="21"/>
                <w:szCs w:val="21"/>
                <w:highlight w:val="none"/>
              </w:rPr>
            </w:pPr>
            <w:r>
              <w:rPr>
                <w:rFonts w:hint="eastAsia" w:ascii="宋体" w:hAnsi="宋体"/>
                <w:color w:val="auto"/>
                <w:sz w:val="21"/>
                <w:szCs w:val="21"/>
                <w:highlight w:val="none"/>
              </w:rPr>
              <w:t>标准体系建设</w:t>
            </w:r>
          </w:p>
        </w:tc>
      </w:tr>
      <w:tr w14:paraId="148FC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8" w:hRule="atLeast"/>
          <w:jc w:val="center"/>
        </w:trPr>
        <w:tc>
          <w:tcPr>
            <w:tcW w:w="869" w:type="dxa"/>
            <w:vMerge w:val="continue"/>
            <w:shd w:val="clear" w:color="auto" w:fill="FFFFFF"/>
            <w:vAlign w:val="center"/>
          </w:tcPr>
          <w:p w14:paraId="1798CDC5">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3" w:type="dxa"/>
            <w:shd w:val="clear" w:color="auto" w:fill="FFFFFF"/>
            <w:vAlign w:val="center"/>
          </w:tcPr>
          <w:p w14:paraId="5C1AB770">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olor w:val="auto"/>
                <w:sz w:val="21"/>
                <w:szCs w:val="21"/>
                <w:highlight w:val="none"/>
              </w:rPr>
            </w:pPr>
            <w:r>
              <w:rPr>
                <w:rFonts w:hint="eastAsia" w:ascii="宋体" w:hAnsi="宋体"/>
                <w:color w:val="auto"/>
                <w:sz w:val="21"/>
                <w:szCs w:val="21"/>
                <w:highlight w:val="none"/>
              </w:rPr>
              <w:t>应用门户</w:t>
            </w:r>
          </w:p>
        </w:tc>
        <w:tc>
          <w:tcPr>
            <w:tcW w:w="7796" w:type="dxa"/>
            <w:shd w:val="clear" w:color="auto" w:fill="FFFFFF"/>
            <w:vAlign w:val="center"/>
          </w:tcPr>
          <w:p w14:paraId="07FC185C">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系统注册：将需要通过平台进行整合的系统在系统注册模块中进行注册登记，供基础平台上的主数据管理，集成平台上的数据采集、数据交换等模块中使用。</w:t>
            </w:r>
          </w:p>
          <w:p w14:paraId="6D3F3EA3">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功能配置：对平台上的子系统功能模块进行配置，支持B/S和C/S架构类型的功能菜单配置，可兼容自研和合作厂商产品的配置。</w:t>
            </w:r>
          </w:p>
          <w:p w14:paraId="2E52DC6A">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角色权限：基础平台提供配置用户角色，对于不同角色的用户登录后能够查看和使用的系统模块进行配置，并根据用户角色配置用户单点登录能够登录的系统，以及对于医院平台的数据、功能、应用等的查看和使用权限。</w:t>
            </w:r>
          </w:p>
          <w:p w14:paraId="3BDEA93F">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个性化首页：用户可根据当前登录角色的不同，配置查看不同的个性化首页，适用于医院不同角色人员的业务需求。</w:t>
            </w:r>
          </w:p>
          <w:p w14:paraId="680FAE73">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用户日志：用于记录用户何时登录/登出，登录IP、访问曲线等详细信息，方便管理者能够直观地看到登录到平台的并发量和高峰时间段，便于低峰时运维以及查看详细的用户登录信息。</w:t>
            </w:r>
          </w:p>
          <w:p w14:paraId="3CA46671">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统一认证入口：提供基于统一身份认证机制的单点登录系统，用户只经过一次身份认证即可访问不同的业务系统；</w:t>
            </w:r>
          </w:p>
          <w:p w14:paraId="09FACFC6">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统一用户管理：提供用户管理、角色管理、访问控制和单点登录等方面的服务；</w:t>
            </w:r>
          </w:p>
          <w:p w14:paraId="7601A6C8">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统一认证服务：支持门户和业务系统的用户、角色对照功能，获取对应的数据和业务权限，实现全流程的统一认证体系；</w:t>
            </w:r>
          </w:p>
          <w:p w14:paraId="38684E47">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统一权限管理：门户系统提供多种身份认证方式，例如：用户名和密码、CA认证或其他第三方认证等方式；</w:t>
            </w:r>
          </w:p>
        </w:tc>
      </w:tr>
      <w:tr w14:paraId="06DFC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4" w:hRule="atLeast"/>
          <w:jc w:val="center"/>
        </w:trPr>
        <w:tc>
          <w:tcPr>
            <w:tcW w:w="869" w:type="dxa"/>
            <w:vMerge w:val="continue"/>
            <w:shd w:val="clear" w:color="auto" w:fill="FFFFFF"/>
            <w:vAlign w:val="center"/>
          </w:tcPr>
          <w:p w14:paraId="6B694E86">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3" w:type="dxa"/>
            <w:shd w:val="clear" w:color="auto" w:fill="FFFFFF"/>
            <w:vAlign w:val="center"/>
          </w:tcPr>
          <w:p w14:paraId="41F655C1">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olor w:val="auto"/>
                <w:sz w:val="21"/>
                <w:szCs w:val="21"/>
                <w:highlight w:val="none"/>
              </w:rPr>
            </w:pPr>
            <w:r>
              <w:rPr>
                <w:rFonts w:hint="eastAsia" w:ascii="宋体" w:hAnsi="宋体"/>
                <w:color w:val="auto"/>
                <w:sz w:val="21"/>
                <w:szCs w:val="21"/>
                <w:highlight w:val="none"/>
              </w:rPr>
              <w:t>主数据管理</w:t>
            </w:r>
          </w:p>
        </w:tc>
        <w:tc>
          <w:tcPr>
            <w:tcW w:w="7796" w:type="dxa"/>
            <w:shd w:val="clear" w:color="auto" w:fill="FFFFFF"/>
            <w:vAlign w:val="center"/>
          </w:tcPr>
          <w:p w14:paraId="22449652">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基础数据管理：构建基础的数据模型，统一院内的基础数据，并能够保证基础数据的同步更新，支持发布。</w:t>
            </w:r>
          </w:p>
          <w:p w14:paraId="3C478D06">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国家标准管理：根据国家各项政策文件的要求，支持OID（对象标识符）、数据元数据集以及CDA和HL7 V2.x/HL7 V3.x的模型维护。</w:t>
            </w:r>
          </w:p>
          <w:p w14:paraId="1FF9F2BA">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标准值域字典：标准值域字典是根据《卫生信息数据元值域代码WS364-2011》维护的CV卫生部值域代码表，也包含互联互通要求的GB国家类值域代码表以及互联互通要求的CC自定义类值域代码表。包含卫生部值域代码表（CV）271个，国家类值域代码表（GB/T）17个，自定义值域代码表（CC）107个，ICD-10诊断编码1个，ICD-9手术编码1个。</w:t>
            </w:r>
          </w:p>
          <w:p w14:paraId="52E1915A">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临床字典管理：临床字典是为了方便临床医务人员对一些医学专用名词给予统一的解释，成为各业务系统公用的临床字典去使用。支持满足各业务需求的临床字典维护，如检查/检验项目字典、样本类型字典、药品字典、诊断字典等。</w:t>
            </w:r>
          </w:p>
          <w:p w14:paraId="329203FC">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临床术语管理：提供主流医学术语的维护功能，供医务人员参考使用。主要包括LONIC、药品 ATC、 国际系统医学临床术语（SONMED CT中文版V3.4）、 ICD-10 、ICD-9等。</w:t>
            </w:r>
          </w:p>
          <w:p w14:paraId="26AFAFAB">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主数据维护：平台支持维护机构、科室、人员等组织架构基础数据，对组织架构基础数据进行增删改查操作；</w:t>
            </w:r>
          </w:p>
          <w:p w14:paraId="3CF2F3C9">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平台支持维护平台使用和各个业务系统使用的检验项目、检查项目、疾病编码、药品编码等临床基础数据，对临床基础数据进行增删改查操作；</w:t>
            </w:r>
          </w:p>
          <w:p w14:paraId="4F7F367E">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平台支持对数据元、数据集进行增删改查操作；</w:t>
            </w:r>
          </w:p>
          <w:p w14:paraId="5E5A5CC2">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为了实现全院所有字典的映射管理，平台维护所有国家标准、卫生行业标准、业务交互标准的基础字典，也统一管理各个业务域的字典；</w:t>
            </w:r>
          </w:p>
          <w:p w14:paraId="4BA56846">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支持以上数据信息的导出操作，支持字典的导入操作。</w:t>
            </w:r>
          </w:p>
          <w:p w14:paraId="239E318E">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提供主数据的审核管理，针对重要的主数据必须经过人工审核后，才能发布到集成平台。支持查看哪些字典已审核、未审核列表，支持对未审核的字典进行一键审核。</w:t>
            </w:r>
          </w:p>
        </w:tc>
      </w:tr>
      <w:tr w14:paraId="10B6B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7" w:hRule="atLeast"/>
          <w:jc w:val="center"/>
        </w:trPr>
        <w:tc>
          <w:tcPr>
            <w:tcW w:w="869" w:type="dxa"/>
            <w:vMerge w:val="continue"/>
            <w:shd w:val="clear" w:color="auto" w:fill="FFFFFF"/>
            <w:vAlign w:val="center"/>
          </w:tcPr>
          <w:p w14:paraId="52A8F85F">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3" w:type="dxa"/>
            <w:shd w:val="clear" w:color="auto" w:fill="FFFFFF"/>
            <w:vAlign w:val="center"/>
          </w:tcPr>
          <w:p w14:paraId="374D316C">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olor w:val="auto"/>
                <w:sz w:val="21"/>
                <w:szCs w:val="21"/>
                <w:highlight w:val="none"/>
              </w:rPr>
            </w:pPr>
            <w:r>
              <w:rPr>
                <w:rFonts w:hint="eastAsia" w:ascii="宋体" w:hAnsi="宋体"/>
                <w:color w:val="auto"/>
                <w:sz w:val="21"/>
                <w:szCs w:val="21"/>
                <w:highlight w:val="none"/>
              </w:rPr>
              <w:t>患者</w:t>
            </w:r>
            <w:r>
              <w:rPr>
                <w:rFonts w:hint="eastAsia" w:ascii="宋体" w:hAnsi="宋体" w:cs="宋体"/>
                <w:color w:val="auto"/>
                <w:kern w:val="0"/>
                <w:sz w:val="21"/>
                <w:szCs w:val="21"/>
                <w:highlight w:val="none"/>
              </w:rPr>
              <w:t>索引管理</w:t>
            </w:r>
          </w:p>
        </w:tc>
        <w:tc>
          <w:tcPr>
            <w:tcW w:w="7796" w:type="dxa"/>
            <w:shd w:val="clear" w:color="auto" w:fill="FFFFFF"/>
            <w:vAlign w:val="center"/>
          </w:tcPr>
          <w:p w14:paraId="276DDF11">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权重规则设置：权重规则设置是患者主索引注册时进行患者模糊匹配所依照的权重匹配条件。将各项匹配条件设置不同的分值，分为三个级别：相同、疑似、不同，在模糊匹配计算出分值后，进而得出新注册患者与系统中已有患者的匹配度。当达到设置的匹配分值时，表明新注册患者在系统中已存在，将其关联并产生交叉索引，记录匹配分值；当达到疑似分值时，产生新的主索引，记录疑似重复记录；未达到疑似分值时，产生新的主索引</w:t>
            </w:r>
          </w:p>
          <w:p w14:paraId="3D13590E">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校验规则配置:校验规则设置用户患者信息注册时对特定的字段进行校验，如身份证号无效时，不参与权重的匹配计算，电话号码无效时自动清空处理等。</w:t>
            </w:r>
          </w:p>
          <w:p w14:paraId="2A4C4BAC">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系统日志查看:主要提供三类操作日志的展示：注册请求日志、更新日志、错误日志。</w:t>
            </w:r>
          </w:p>
          <w:p w14:paraId="4BFFDA4E">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查询患者主索引信息:患者主索引列表默认显示所有的全局主索引记录，允许系统管理操作人员使用全局患者标识或业务系统本地患者标识检索患者。或者输入患者部分信息，如姓名、性别、出生日期、身份证号等检索患者，检索结果包括患者的主索引、交叉索引记录以及患者基本信息。</w:t>
            </w:r>
          </w:p>
          <w:p w14:paraId="3166AD7D">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合并患者主索引:患者主索引列表中根据搜索的结果，选择要进行主索引合并的记录进行主索引合并。合并时可选择需要合并、替换的内容。</w:t>
            </w:r>
          </w:p>
          <w:p w14:paraId="4B1A755E">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患者主索引轨迹:选中某个患者主索引，可查看该主索引的整个生命周期的变更轨迹，包括新增、更新、合并等。</w:t>
            </w:r>
          </w:p>
          <w:p w14:paraId="511572A3">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疑似主索引列表对第一次匹配到的全局主索引标记为“主”，后续匹配上来的主索引记录标记为“疑”，可选中一条主记录和一条或多条疑记录进行合并或解除疑似的操作，也可选中某一条记录查看其相关联的交叉主索引或患者主索引的轨迹记录，功能同主索引管理中的交叉索引记录和患者轨迹。</w:t>
            </w:r>
          </w:p>
          <w:p w14:paraId="3EDBA8BD">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主索引注册服务：主索引注册服务根据患者基本信息建立交叉索引记录、更新主索引/交叉索引记录。并且在更新主索引后，发布主索引更新通知。</w:t>
            </w:r>
          </w:p>
          <w:p w14:paraId="0BE5261E">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主索引标识查询服务：根据业务系统提供患者在业务系统中的注册信息，以及业务系统在平台上的注册信息，和平台上已存在的患者进行绝对匹配后返回患者对应的主索引标识。如果没有匹配到，则根据患者信息进行条件模糊匹配，返回所有的匹配记录。</w:t>
            </w:r>
          </w:p>
          <w:p w14:paraId="70F3FD00">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患者信息查询服务:交叉索引系统存储了患者在多个系统中的标识信息，并由此维护一个主索引，记录最准确的患者基本信息，该信息可以提供给业务系统使用。患者主索引信息可由业务系统提供全局标识获取，也可由业务系统提供患者本地信息获取。</w:t>
            </w:r>
          </w:p>
          <w:p w14:paraId="5B3DDA5D">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交叉索引查询服务：交叉索引系统为业务系统提供业务系统交叉索引表，业务系统可以通过两种方式获取交叉索引：通过全局标识获取、通过患者信息获取。</w:t>
            </w:r>
          </w:p>
          <w:p w14:paraId="6EEF1B3E">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主索引更新服务:业务系统可以向交叉索引系统订阅主索引，交叉索引系统在对一个患者的主索引更新或增加新索引后，要向订阅主索引的业务系统发布更新。</w:t>
            </w:r>
          </w:p>
          <w:p w14:paraId="65F50438">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主索引合并服务：主索引注册时，会记录模糊匹配的记录，当模糊匹配记录为1条时，业务系统直接发起请求，两个不同的全局主索引进行合并为一个主索引，当模糊匹配记录不止1条时，默认合并匹配分值最高的一条，并记录其余疑似匹配记录。完成后对外发布主索引变更通知。</w:t>
            </w:r>
          </w:p>
          <w:p w14:paraId="03AFCB5D">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试采集管理：用于对项目上的患者数据进行试采集，并生成对应的数据分析报告，为正式环境的权重分值配置提供支撑；</w:t>
            </w:r>
          </w:p>
          <w:p w14:paraId="0A195B4C">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主索引变更通知：对主索引进行的修改、注销、合并、拆分等操作完成后需要对外部发布主索引变更通知，通知外部系统做更新。通知的内容包括变更前主索引信息和变更后的信息。</w:t>
            </w:r>
          </w:p>
          <w:p w14:paraId="09D0220B">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统计出主索引总量、原始注册档案数和合并总量</w:t>
            </w:r>
          </w:p>
        </w:tc>
      </w:tr>
      <w:tr w14:paraId="1BE55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6" w:hRule="atLeast"/>
          <w:jc w:val="center"/>
        </w:trPr>
        <w:tc>
          <w:tcPr>
            <w:tcW w:w="869" w:type="dxa"/>
            <w:vMerge w:val="continue"/>
            <w:shd w:val="clear" w:color="auto" w:fill="FFFFFF"/>
            <w:vAlign w:val="center"/>
          </w:tcPr>
          <w:p w14:paraId="4BF05C0D">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3" w:type="dxa"/>
            <w:shd w:val="clear" w:color="auto" w:fill="FFFFFF"/>
            <w:vAlign w:val="center"/>
          </w:tcPr>
          <w:p w14:paraId="5F083F14">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统一消息平台</w:t>
            </w:r>
          </w:p>
        </w:tc>
        <w:tc>
          <w:tcPr>
            <w:tcW w:w="7796" w:type="dxa"/>
            <w:shd w:val="clear" w:color="auto" w:fill="FFFFFF"/>
            <w:vAlign w:val="center"/>
          </w:tcPr>
          <w:p w14:paraId="5A68D2BB">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微信通讯：能够通过微信公众号、小程序实现对所有订阅者发送即时消息；</w:t>
            </w:r>
          </w:p>
          <w:p w14:paraId="0269426E">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邮件通讯：支持配置多个邮件终端，如Foxmail、QQ邮箱等</w:t>
            </w:r>
          </w:p>
          <w:p w14:paraId="1B26180E">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短信通讯：支持对接医院已开通的不同类型的短信服务平台，实现短信的收发；</w:t>
            </w:r>
          </w:p>
          <w:p w14:paraId="1F759D5E">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钉钉通讯：支持配置钉钉终端，实现钉钉消息的收发</w:t>
            </w:r>
          </w:p>
          <w:p w14:paraId="7E22E62D">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站内通讯：支持平台间的通讯。</w:t>
            </w:r>
          </w:p>
          <w:p w14:paraId="095170E9">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lang w:val="en-US" w:eastAsia="zh-CN"/>
              </w:rPr>
              <w:t>企业微信通讯：支持与企业微信应用接口对接，实现企业微信应用消息的发送</w:t>
            </w:r>
          </w:p>
        </w:tc>
      </w:tr>
      <w:tr w14:paraId="71C2A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869" w:type="dxa"/>
            <w:vMerge w:val="continue"/>
            <w:shd w:val="clear" w:color="auto" w:fill="FFFFFF"/>
            <w:vAlign w:val="center"/>
          </w:tcPr>
          <w:p w14:paraId="47D60209">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9009" w:type="dxa"/>
            <w:gridSpan w:val="2"/>
            <w:shd w:val="clear" w:color="auto" w:fill="FFFFFF"/>
            <w:vAlign w:val="center"/>
          </w:tcPr>
          <w:p w14:paraId="7818FD84">
            <w:pPr>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 w:val="21"/>
                <w:szCs w:val="21"/>
                <w:highlight w:val="none"/>
              </w:rPr>
            </w:pPr>
            <w:r>
              <w:rPr>
                <w:rFonts w:hint="eastAsia" w:ascii="宋体" w:hAnsi="宋体"/>
                <w:color w:val="auto"/>
                <w:sz w:val="21"/>
                <w:szCs w:val="21"/>
                <w:highlight w:val="none"/>
              </w:rPr>
              <w:t>信息集成平台</w:t>
            </w:r>
          </w:p>
        </w:tc>
      </w:tr>
      <w:tr w14:paraId="74974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6" w:hRule="atLeast"/>
          <w:jc w:val="center"/>
        </w:trPr>
        <w:tc>
          <w:tcPr>
            <w:tcW w:w="869" w:type="dxa"/>
            <w:vMerge w:val="continue"/>
            <w:shd w:val="clear" w:color="auto" w:fill="FFFFFF"/>
            <w:vAlign w:val="center"/>
          </w:tcPr>
          <w:p w14:paraId="5294F9FD">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3" w:type="dxa"/>
            <w:shd w:val="clear" w:color="auto" w:fill="FFFFFF"/>
            <w:vAlign w:val="center"/>
          </w:tcPr>
          <w:p w14:paraId="38473980">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消息标准</w:t>
            </w:r>
          </w:p>
        </w:tc>
        <w:tc>
          <w:tcPr>
            <w:tcW w:w="7796" w:type="dxa"/>
            <w:shd w:val="clear" w:color="auto" w:fill="FFFFFF"/>
            <w:vAlign w:val="center"/>
          </w:tcPr>
          <w:p w14:paraId="1F75AE22">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标准定义：各个系统之间进行交流的信息是以消息的形式在平台上流转。消息的标准管理主要为交换信息的语义和内容结构制定标准。</w:t>
            </w:r>
          </w:p>
          <w:p w14:paraId="00A5FE89">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协议转换：交换协议的转换是对异构系统各种交换协议之间格式的转换功能，该组件能够通过使用模板的方式将数据和格式分离。</w:t>
            </w:r>
          </w:p>
          <w:p w14:paraId="7B227960">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调用统计分析：用于统计平台内部纤细模型的调用情况，记录平台内消息模型数量、服务调用趋势、各模型调用次数、映射调用情况、映射转换时间</w:t>
            </w:r>
          </w:p>
        </w:tc>
      </w:tr>
      <w:tr w14:paraId="13B5D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0" w:hRule="atLeast"/>
          <w:jc w:val="center"/>
        </w:trPr>
        <w:tc>
          <w:tcPr>
            <w:tcW w:w="869" w:type="dxa"/>
            <w:vMerge w:val="continue"/>
            <w:shd w:val="clear" w:color="auto" w:fill="FFFFFF"/>
            <w:vAlign w:val="center"/>
          </w:tcPr>
          <w:p w14:paraId="6B77276E">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3" w:type="dxa"/>
            <w:shd w:val="clear" w:color="auto" w:fill="FFFFFF"/>
            <w:vAlign w:val="center"/>
          </w:tcPr>
          <w:p w14:paraId="5530A092">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服务注册</w:t>
            </w:r>
          </w:p>
        </w:tc>
        <w:tc>
          <w:tcPr>
            <w:tcW w:w="7796" w:type="dxa"/>
            <w:shd w:val="clear" w:color="auto" w:fill="FFFFFF"/>
            <w:vAlign w:val="center"/>
          </w:tcPr>
          <w:p w14:paraId="458CD363">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通用数据库访问组件：支持SQL及SQL节点的查询、插入、更新、删除，存储过程、函数、迭代器的使用，同时可自定义设置执行条件和超时时间。</w:t>
            </w:r>
          </w:p>
          <w:p w14:paraId="46964858">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分布式事物处理：针对webservice接入和HTTP接入支持分布式事物处理，当消息路由到多方时，其中一方失败，能通知调用成功方撤回操作，保障事物的一致性。</w:t>
            </w:r>
          </w:p>
          <w:p w14:paraId="0E622779">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流程路由组件：提供了可编程的流程路由功能，根据传入的参数判断走哪个流程（通过入参和设置在路由后面组件的标签值来确定）。</w:t>
            </w:r>
          </w:p>
          <w:p w14:paraId="6690F5B7">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通用字符串转换组件：通用字符串转换就是把数据库查询到的结果输出到字符串，字符串的整体格式固定，实际内容可由用户自定义。</w:t>
            </w:r>
          </w:p>
          <w:p w14:paraId="622F667D">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脱敏组件：脱敏组件是用于数据脱敏，根据传入的数据，获取对应的系统或角色和消息类型，然后根据这些信息找到对应的脱敏配置，根据配置来脱敏指定节点的指定位置。</w:t>
            </w:r>
          </w:p>
          <w:p w14:paraId="4F7BB0A9">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消息处理组件：消息处理组件可以实现对消息的增加、修改、删除、取值、拼接、截取、字符替换、获取节点、克隆节点等操作。这些功能的处理主要差异在消息组件的语法格式和输入的内容。</w:t>
            </w:r>
          </w:p>
          <w:p w14:paraId="573528C5">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加解密工具组件：加解密工具组件主要用于实现MD5加密、Base64加密、Base64解密等功能。只要选择MD5、Base64加密或者Base64解密，不需要其他操作（加解密过程在程序中已经实现）。</w:t>
            </w:r>
          </w:p>
          <w:p w14:paraId="2D6A048E">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接入代理组件：接入代理组件主要提供webservice、http、socket几种接入代理方式。</w:t>
            </w:r>
          </w:p>
          <w:p w14:paraId="573D8025">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通用消息转换组件：提供通用的消息转换服务</w:t>
            </w:r>
          </w:p>
          <w:p w14:paraId="6D69ECFF">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通用JS脚本组件：编写Js脚本，用于控制流程、修改数据等程序化操作。</w:t>
            </w:r>
          </w:p>
        </w:tc>
      </w:tr>
      <w:tr w14:paraId="6FD71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8" w:hRule="atLeast"/>
          <w:jc w:val="center"/>
        </w:trPr>
        <w:tc>
          <w:tcPr>
            <w:tcW w:w="869" w:type="dxa"/>
            <w:vMerge w:val="continue"/>
            <w:shd w:val="clear" w:color="auto" w:fill="FFFFFF"/>
            <w:vAlign w:val="center"/>
          </w:tcPr>
          <w:p w14:paraId="434C5538">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3" w:type="dxa"/>
            <w:shd w:val="clear" w:color="auto" w:fill="FFFFFF"/>
            <w:vAlign w:val="center"/>
          </w:tcPr>
          <w:p w14:paraId="626E1AC3">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服务编排</w:t>
            </w:r>
          </w:p>
        </w:tc>
        <w:tc>
          <w:tcPr>
            <w:tcW w:w="7796" w:type="dxa"/>
            <w:shd w:val="clear" w:color="auto" w:fill="FFFFFF"/>
            <w:vAlign w:val="center"/>
          </w:tcPr>
          <w:p w14:paraId="35058761">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编排视图支持用户按照院内实际的业务流程和业务系统数据传递情况，将平台上的服务和组件通过拖拽连线的方式进行编排，形成数据处理的流转路径，实现数据的处理、转换、字典翻转、格式校验等操作。</w:t>
            </w:r>
          </w:p>
          <w:p w14:paraId="3027543A">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概览视图可设置服务流程的等级，为后续流程的网关控制做准备，另外，控制流程的启禁用、删除、复制、编辑等，查看流程的状态及流程排序。</w:t>
            </w:r>
          </w:p>
        </w:tc>
      </w:tr>
      <w:tr w14:paraId="3A7B6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atLeast"/>
          <w:jc w:val="center"/>
        </w:trPr>
        <w:tc>
          <w:tcPr>
            <w:tcW w:w="869" w:type="dxa"/>
            <w:vMerge w:val="continue"/>
            <w:shd w:val="clear" w:color="auto" w:fill="FFFFFF"/>
            <w:vAlign w:val="center"/>
          </w:tcPr>
          <w:p w14:paraId="29160A4D">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3" w:type="dxa"/>
            <w:shd w:val="clear" w:color="auto" w:fill="FFFFFF"/>
            <w:vAlign w:val="center"/>
          </w:tcPr>
          <w:p w14:paraId="4D95EC09">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服务测试</w:t>
            </w:r>
          </w:p>
        </w:tc>
        <w:tc>
          <w:tcPr>
            <w:tcW w:w="7796" w:type="dxa"/>
            <w:shd w:val="clear" w:color="auto" w:fill="FFFFFF"/>
            <w:vAlign w:val="center"/>
          </w:tcPr>
          <w:p w14:paraId="0B8CFABA">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服务测试是针对整个服务流程的测试。通过输入服务的接入类型（Webservice、http、https、rpc、socket、MQ）、服务地址、接入名、用户名、密码等属性信息，进行模拟调用测试。</w:t>
            </w:r>
          </w:p>
        </w:tc>
      </w:tr>
      <w:tr w14:paraId="05606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869" w:type="dxa"/>
            <w:vMerge w:val="continue"/>
            <w:shd w:val="clear" w:color="auto" w:fill="FFFFFF"/>
            <w:vAlign w:val="center"/>
          </w:tcPr>
          <w:p w14:paraId="2A8A12EA">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3" w:type="dxa"/>
            <w:shd w:val="clear" w:color="auto" w:fill="FFFFFF"/>
            <w:vAlign w:val="center"/>
          </w:tcPr>
          <w:p w14:paraId="0E045694">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服务发布</w:t>
            </w:r>
          </w:p>
        </w:tc>
        <w:tc>
          <w:tcPr>
            <w:tcW w:w="7796" w:type="dxa"/>
            <w:shd w:val="clear" w:color="auto" w:fill="FFFFFF"/>
            <w:vAlign w:val="center"/>
          </w:tcPr>
          <w:p w14:paraId="577A2EC0">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服务发布分：灰度环境发布和正式环境发布，发布时可选择发布到灰度环境或正式环境，同时可以便捷的切换正式环境和测试环境。</w:t>
            </w:r>
          </w:p>
        </w:tc>
      </w:tr>
      <w:tr w14:paraId="0D308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atLeast"/>
          <w:jc w:val="center"/>
        </w:trPr>
        <w:tc>
          <w:tcPr>
            <w:tcW w:w="869" w:type="dxa"/>
            <w:vMerge w:val="continue"/>
            <w:shd w:val="clear" w:color="auto" w:fill="FFFFFF"/>
            <w:vAlign w:val="center"/>
          </w:tcPr>
          <w:p w14:paraId="5DF979EB">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3" w:type="dxa"/>
            <w:shd w:val="clear" w:color="auto" w:fill="FFFFFF"/>
            <w:vAlign w:val="center"/>
          </w:tcPr>
          <w:p w14:paraId="46C721C9">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异常处理</w:t>
            </w:r>
          </w:p>
        </w:tc>
        <w:tc>
          <w:tcPr>
            <w:tcW w:w="7796" w:type="dxa"/>
            <w:shd w:val="clear" w:color="auto" w:fill="FFFFFF"/>
            <w:vAlign w:val="center"/>
          </w:tcPr>
          <w:p w14:paraId="6067E7B2">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集成平台提供了服务流程的异步异常处理功能，当调用集成平台上的异步服务时，不确定是否发送成功，可通过此组件对消息进行重发（发送到错误步骤或指定步骤）、转发（转发到其他流程处理）、暂存（暂时保存到库中）、删除（只保留错误调用记录，详细的消息删除）、忽略（不保留任何信息，相当于调过异常处理）。</w:t>
            </w:r>
          </w:p>
        </w:tc>
      </w:tr>
      <w:tr w14:paraId="73506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1" w:hRule="atLeast"/>
          <w:jc w:val="center"/>
        </w:trPr>
        <w:tc>
          <w:tcPr>
            <w:tcW w:w="869" w:type="dxa"/>
            <w:vMerge w:val="continue"/>
            <w:shd w:val="clear" w:color="auto" w:fill="FFFFFF"/>
            <w:vAlign w:val="center"/>
          </w:tcPr>
          <w:p w14:paraId="191FD547">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3" w:type="dxa"/>
            <w:shd w:val="clear" w:color="auto" w:fill="FFFFFF"/>
            <w:vAlign w:val="center"/>
          </w:tcPr>
          <w:p w14:paraId="7545B292">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集成监控</w:t>
            </w:r>
          </w:p>
        </w:tc>
        <w:tc>
          <w:tcPr>
            <w:tcW w:w="7796" w:type="dxa"/>
            <w:shd w:val="clear" w:color="auto" w:fill="FFFFFF"/>
            <w:vAlign w:val="center"/>
          </w:tcPr>
          <w:p w14:paraId="0DE08A92">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集成综合监控：展示集成平台中主要模块的概要信息监控，方便管理者对系统的整体情况进行监控查看。</w:t>
            </w:r>
          </w:p>
          <w:p w14:paraId="7A30BC81">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服务健康状态：服务状态监控，针对异常记录，可追踪异常发生节点，以及异常节点的输入输出、错误信息提示，准确掌握错误，精准修复。</w:t>
            </w:r>
          </w:p>
          <w:p w14:paraId="3ABCAD48">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服务日志分析：支持对每一个消息传输环节的监控和审核，针对流程每个步骤进行调用量、平均响应时间、最大响应时间、成功次数、错误次数、异常处理次数等监控，能够查看发生错误的环节、错误类型、耗时等，对于数据传输状况有较灵活的反馈。</w:t>
            </w:r>
          </w:p>
        </w:tc>
      </w:tr>
      <w:tr w14:paraId="48D37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jc w:val="center"/>
        </w:trPr>
        <w:tc>
          <w:tcPr>
            <w:tcW w:w="869" w:type="dxa"/>
            <w:vMerge w:val="continue"/>
            <w:shd w:val="clear" w:color="auto" w:fill="FFFFFF"/>
            <w:vAlign w:val="center"/>
          </w:tcPr>
          <w:p w14:paraId="6E62BC23">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3" w:type="dxa"/>
            <w:shd w:val="clear" w:color="auto" w:fill="FFFFFF"/>
            <w:vAlign w:val="center"/>
          </w:tcPr>
          <w:p w14:paraId="5CD88DEA">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消息检索</w:t>
            </w:r>
          </w:p>
        </w:tc>
        <w:tc>
          <w:tcPr>
            <w:tcW w:w="7796" w:type="dxa"/>
            <w:shd w:val="clear" w:color="auto" w:fill="FFFFFF"/>
            <w:vAlign w:val="center"/>
          </w:tcPr>
          <w:p w14:paraId="7AC925F1">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olor w:val="auto"/>
                <w:sz w:val="21"/>
                <w:szCs w:val="21"/>
                <w:highlight w:val="none"/>
              </w:rPr>
            </w:pPr>
            <w:r>
              <w:rPr>
                <w:rFonts w:hint="eastAsia" w:ascii="宋体" w:hAnsi="宋体"/>
                <w:color w:val="auto"/>
                <w:sz w:val="21"/>
                <w:szCs w:val="21"/>
                <w:highlight w:val="none"/>
              </w:rPr>
              <w:t>消息日志检索：基于消息服务日志存储功能，提供快速、高性能的消息搜索服务，便于系统排错追踪，查看出入参详情，便于错误分析。</w:t>
            </w:r>
          </w:p>
          <w:p w14:paraId="11C189E3">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olor w:val="auto"/>
                <w:sz w:val="21"/>
                <w:szCs w:val="21"/>
                <w:highlight w:val="none"/>
              </w:rPr>
            </w:pPr>
            <w:r>
              <w:rPr>
                <w:rFonts w:hint="eastAsia" w:ascii="宋体" w:hAnsi="宋体" w:cs="宋体"/>
                <w:bCs/>
                <w:color w:val="auto"/>
                <w:sz w:val="21"/>
                <w:szCs w:val="21"/>
                <w:highlight w:val="none"/>
              </w:rPr>
              <w:t>患者日志检索：可基于单个患者或对应的门诊号、住院号等，检索出所有和该患者相关的日志消息，进而判断是否涵盖了该患者在本医院的所有诊疗活动。</w:t>
            </w:r>
          </w:p>
        </w:tc>
      </w:tr>
      <w:tr w14:paraId="282B7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869" w:type="dxa"/>
            <w:vMerge w:val="continue"/>
            <w:shd w:val="clear" w:color="auto" w:fill="FFFFFF"/>
            <w:vAlign w:val="center"/>
          </w:tcPr>
          <w:p w14:paraId="7455FC41">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9009" w:type="dxa"/>
            <w:gridSpan w:val="2"/>
            <w:shd w:val="clear" w:color="auto" w:fill="FFFFFF"/>
            <w:vAlign w:val="center"/>
          </w:tcPr>
          <w:p w14:paraId="21BB43F9">
            <w:pPr>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olor w:val="auto"/>
                <w:sz w:val="21"/>
                <w:szCs w:val="21"/>
                <w:highlight w:val="none"/>
              </w:rPr>
            </w:pPr>
            <w:r>
              <w:rPr>
                <w:rFonts w:hint="eastAsia" w:ascii="宋体" w:hAnsi="宋体"/>
                <w:color w:val="auto"/>
                <w:sz w:val="21"/>
                <w:szCs w:val="21"/>
                <w:highlight w:val="none"/>
              </w:rPr>
              <w:t>基于集成平台的一体化集成</w:t>
            </w:r>
          </w:p>
        </w:tc>
      </w:tr>
      <w:tr w14:paraId="66D4A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7" w:hRule="atLeast"/>
          <w:jc w:val="center"/>
        </w:trPr>
        <w:tc>
          <w:tcPr>
            <w:tcW w:w="869" w:type="dxa"/>
            <w:vMerge w:val="continue"/>
            <w:shd w:val="clear" w:color="auto" w:fill="FFFFFF"/>
            <w:vAlign w:val="center"/>
          </w:tcPr>
          <w:p w14:paraId="25DE6B5F">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3" w:type="dxa"/>
            <w:shd w:val="clear" w:color="auto" w:fill="FFFFFF"/>
            <w:vAlign w:val="center"/>
          </w:tcPr>
          <w:p w14:paraId="60C9EEC1">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临床服务系统整合</w:t>
            </w:r>
          </w:p>
        </w:tc>
        <w:tc>
          <w:tcPr>
            <w:tcW w:w="7796" w:type="dxa"/>
            <w:shd w:val="clear" w:color="auto" w:fill="FFFFFF"/>
            <w:vAlign w:val="center"/>
          </w:tcPr>
          <w:p w14:paraId="3DD95AC0">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门诊就诊流程整合：基于集成平台的门诊挂号就诊流程交互服务，包括挂号、就诊、诊断等业务流程服务。</w:t>
            </w:r>
          </w:p>
          <w:p w14:paraId="567B3C29">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住院入出院流程整合：平台的住院入出院流程交互服务，包括登记、入科、诊断、换床/转床、医嘱、出科、出院等业务服务</w:t>
            </w:r>
          </w:p>
          <w:p w14:paraId="50BFC484">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检验业务流程整合：平台的检验流程交互服务，包含检验申请单提交和接受服务、检验申请单回写和取消服务、检验条码发送和撤销服务、检验条码打印、检验样本采集送检核收退回流程服务、检验报告发送和撤销服务。</w:t>
            </w:r>
          </w:p>
          <w:p w14:paraId="67E2CAB3">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检查业务流程整合：基于医院信息平台，建立涵盖检查申请单的管理、检查申请接收与安排、检查结果的共享、优质检查医疗资源整合和共享等业务应用，提供医院间检查的转诊服务。</w:t>
            </w:r>
          </w:p>
          <w:p w14:paraId="02873190">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手术业务流程整合：基于集成平台的手术流程交互服务，包含手术申请单提交、手术预约安排、手术执行等流程服务，手术麻醉记录的发送服务和调阅服务</w:t>
            </w:r>
          </w:p>
          <w:p w14:paraId="17851072">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用血业务流程整合：基于集成平台的用血流程交互服务，依托血袋条码实现用血申请、大量用血审批、标本采集、备血、交叉配血、发血、取血、用血、输血记录、血袋回收等流程服务。</w:t>
            </w:r>
          </w:p>
        </w:tc>
      </w:tr>
      <w:tr w14:paraId="08A25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7" w:hRule="atLeast"/>
          <w:jc w:val="center"/>
        </w:trPr>
        <w:tc>
          <w:tcPr>
            <w:tcW w:w="869" w:type="dxa"/>
            <w:vMerge w:val="continue"/>
            <w:shd w:val="clear" w:color="auto" w:fill="FFFFFF"/>
            <w:vAlign w:val="center"/>
          </w:tcPr>
          <w:p w14:paraId="066D1AD3">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3" w:type="dxa"/>
            <w:shd w:val="clear" w:color="auto" w:fill="FFFFFF"/>
            <w:vAlign w:val="center"/>
          </w:tcPr>
          <w:p w14:paraId="22AAC016">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医疗管理系统整合</w:t>
            </w:r>
          </w:p>
        </w:tc>
        <w:tc>
          <w:tcPr>
            <w:tcW w:w="7796" w:type="dxa"/>
            <w:shd w:val="clear" w:color="auto" w:fill="FFFFFF"/>
            <w:vAlign w:val="center"/>
          </w:tcPr>
          <w:p w14:paraId="0B97BEA6">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血液管理业务交换服务：用于对血液管理与集成平台之间的基本服务和各种应用程序进行统一的管理与监控。</w:t>
            </w:r>
          </w:p>
          <w:p w14:paraId="577991B0">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静脉配制中心业务系统交互：通过集成文档自动获取相关信息为其他信息系统的信息交互提供所需的数据。</w:t>
            </w:r>
          </w:p>
          <w:p w14:paraId="6DD6ED4B">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与院感业务系统交互：通过集成文档自动获取相关信息为其他信息系统的信息交互提供所需的数据。</w:t>
            </w:r>
          </w:p>
          <w:p w14:paraId="695A46B6">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消毒供应室业务交换服务用于对消毒供应室与集成平台之间的基本服务和各种应用程序进行统一的管理与监控。</w:t>
            </w:r>
          </w:p>
          <w:p w14:paraId="4757A6AF">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病案统计业务系统交互：通过集成文档自动获取相关信息为其他信息系统的信息交互提供所需的数据。</w:t>
            </w:r>
          </w:p>
        </w:tc>
      </w:tr>
      <w:tr w14:paraId="32A25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6" w:hRule="atLeast"/>
          <w:jc w:val="center"/>
        </w:trPr>
        <w:tc>
          <w:tcPr>
            <w:tcW w:w="869" w:type="dxa"/>
            <w:vMerge w:val="continue"/>
            <w:shd w:val="clear" w:color="auto" w:fill="FFFFFF"/>
            <w:vAlign w:val="center"/>
          </w:tcPr>
          <w:p w14:paraId="56F06328">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3" w:type="dxa"/>
            <w:shd w:val="clear" w:color="auto" w:fill="FFFFFF"/>
            <w:vAlign w:val="center"/>
          </w:tcPr>
          <w:p w14:paraId="5F18CC4C">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运营管理系统整合</w:t>
            </w:r>
          </w:p>
        </w:tc>
        <w:tc>
          <w:tcPr>
            <w:tcW w:w="7796" w:type="dxa"/>
            <w:shd w:val="clear" w:color="auto" w:fill="FFFFFF"/>
            <w:vAlign w:val="center"/>
          </w:tcPr>
          <w:p w14:paraId="5562667C">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OA业务系统交互：通过集成文档自动获取相关信息为其他信息系统的信息交互提供所需的数据。</w:t>
            </w:r>
          </w:p>
          <w:p w14:paraId="3B028BF2">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院内全成本核算系统交互：通过集成文档自动获取相关信息为其他信息系统的信息交互提供所需的数据。</w:t>
            </w:r>
          </w:p>
          <w:p w14:paraId="6BBFA824">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物资设备业务交换服务用于对物资设备与集成平台之间的基本服务和各种应用程序进行统一的管理与监控。</w:t>
            </w:r>
          </w:p>
        </w:tc>
      </w:tr>
      <w:tr w14:paraId="3EBEE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6" w:hRule="atLeast"/>
          <w:jc w:val="center"/>
        </w:trPr>
        <w:tc>
          <w:tcPr>
            <w:tcW w:w="869" w:type="dxa"/>
            <w:vMerge w:val="continue"/>
            <w:shd w:val="clear" w:color="auto" w:fill="FFFFFF"/>
            <w:vAlign w:val="center"/>
          </w:tcPr>
          <w:p w14:paraId="18CEFCF1">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3" w:type="dxa"/>
            <w:shd w:val="clear" w:color="auto" w:fill="FFFFFF"/>
            <w:vAlign w:val="center"/>
          </w:tcPr>
          <w:p w14:paraId="57CA71EE">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患者服务系统整合</w:t>
            </w:r>
          </w:p>
        </w:tc>
        <w:tc>
          <w:tcPr>
            <w:tcW w:w="7796" w:type="dxa"/>
            <w:shd w:val="clear" w:color="auto" w:fill="FFFFFF"/>
            <w:vAlign w:val="center"/>
          </w:tcPr>
          <w:p w14:paraId="0C81A323">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患者自助终端应用服务整合：通过信息平台服务总线，基于已实现的业务服务和整合后数据，根据医院业务需求，实现医院平台与病人自助服务类应用系统的整合</w:t>
            </w:r>
          </w:p>
          <w:p w14:paraId="645C29DD">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患者公共门户应用服务整合：通过信息平台服务总线，基于已实现的业务服务和整合后数据，根据医院业务需求，实现医院平台与病人自助服务类应用系统的整合</w:t>
            </w:r>
          </w:p>
        </w:tc>
      </w:tr>
      <w:tr w14:paraId="70D46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1" w:hRule="atLeast"/>
          <w:jc w:val="center"/>
        </w:trPr>
        <w:tc>
          <w:tcPr>
            <w:tcW w:w="869" w:type="dxa"/>
            <w:vMerge w:val="continue"/>
            <w:shd w:val="clear" w:color="auto" w:fill="FFFFFF"/>
            <w:vAlign w:val="center"/>
          </w:tcPr>
          <w:p w14:paraId="3DA2CA5D">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3" w:type="dxa"/>
            <w:shd w:val="clear" w:color="auto" w:fill="FFFFFF"/>
            <w:vAlign w:val="center"/>
          </w:tcPr>
          <w:p w14:paraId="293A2362">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上级信息平台对接</w:t>
            </w:r>
          </w:p>
        </w:tc>
        <w:tc>
          <w:tcPr>
            <w:tcW w:w="7796" w:type="dxa"/>
            <w:shd w:val="clear" w:color="auto" w:fill="FFFFFF"/>
            <w:vAlign w:val="center"/>
          </w:tcPr>
          <w:p w14:paraId="366C3906">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通过信息平台服务总线能够提供与上级信息平台的信息共享、健康档案的上传与共享，同时在业务协同（如区域一卡通）、区域远程医疗、区域医疗公众服务方面实现消息的对接，完成院内与上级平台的服务管道</w:t>
            </w:r>
          </w:p>
        </w:tc>
      </w:tr>
      <w:tr w14:paraId="19B58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869" w:type="dxa"/>
            <w:vMerge w:val="continue"/>
            <w:shd w:val="clear" w:color="auto" w:fill="FFFFFF"/>
            <w:vAlign w:val="center"/>
          </w:tcPr>
          <w:p w14:paraId="207A9F6C">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 w:val="21"/>
                <w:szCs w:val="21"/>
                <w:highlight w:val="none"/>
              </w:rPr>
            </w:pPr>
          </w:p>
        </w:tc>
        <w:tc>
          <w:tcPr>
            <w:tcW w:w="1213" w:type="dxa"/>
            <w:shd w:val="clear" w:color="auto" w:fill="FFFFFF"/>
            <w:vAlign w:val="center"/>
          </w:tcPr>
          <w:p w14:paraId="1B42C1E3">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外部机构对接</w:t>
            </w:r>
          </w:p>
        </w:tc>
        <w:tc>
          <w:tcPr>
            <w:tcW w:w="7796" w:type="dxa"/>
            <w:shd w:val="clear" w:color="auto" w:fill="FFFFFF"/>
            <w:vAlign w:val="center"/>
          </w:tcPr>
          <w:p w14:paraId="6B14D829">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 w:val="21"/>
                <w:szCs w:val="21"/>
                <w:highlight w:val="none"/>
              </w:rPr>
            </w:pPr>
            <w:r>
              <w:rPr>
                <w:rFonts w:hint="eastAsia" w:ascii="宋体" w:hAnsi="宋体" w:cs="宋体"/>
                <w:bCs/>
                <w:color w:val="auto"/>
                <w:sz w:val="21"/>
                <w:szCs w:val="21"/>
                <w:highlight w:val="none"/>
              </w:rPr>
              <w:t>包括银行、医保及新农合、保险、计生、急救中心、CDC（疾控中心）、血液中心等外部机构的接入。</w:t>
            </w:r>
          </w:p>
        </w:tc>
      </w:tr>
      <w:tr w14:paraId="1BFD4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869" w:type="dxa"/>
            <w:shd w:val="clear" w:color="auto" w:fill="FFFFFF"/>
            <w:vAlign w:val="center"/>
          </w:tcPr>
          <w:p w14:paraId="6EF58E23">
            <w:pPr>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sz w:val="21"/>
                <w:szCs w:val="21"/>
                <w:highlight w:val="none"/>
              </w:rPr>
            </w:pPr>
          </w:p>
        </w:tc>
        <w:tc>
          <w:tcPr>
            <w:tcW w:w="1213" w:type="dxa"/>
            <w:shd w:val="clear" w:color="auto" w:fill="FFFFFF"/>
            <w:vAlign w:val="center"/>
          </w:tcPr>
          <w:p w14:paraId="71FDB67A">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lang w:val="en-US" w:eastAsia="zh-CN"/>
              </w:rPr>
              <w:t>其他</w:t>
            </w:r>
          </w:p>
        </w:tc>
        <w:tc>
          <w:tcPr>
            <w:tcW w:w="7796" w:type="dxa"/>
            <w:shd w:val="clear" w:color="auto" w:fill="FFFFFF"/>
            <w:vAlign w:val="center"/>
          </w:tcPr>
          <w:p w14:paraId="436B08FA">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hint="eastAsia" w:ascii="宋体" w:hAnsi="宋体" w:cs="宋体"/>
                <w:bCs/>
                <w:color w:val="auto"/>
                <w:sz w:val="21"/>
                <w:szCs w:val="21"/>
                <w:highlight w:val="none"/>
              </w:rPr>
            </w:pPr>
            <w:r>
              <w:rPr>
                <w:rFonts w:hint="eastAsia" w:ascii="宋体" w:hAnsi="宋体" w:cs="宋体"/>
                <w:bCs/>
                <w:color w:val="auto"/>
                <w:sz w:val="21"/>
                <w:szCs w:val="21"/>
                <w:highlight w:val="none"/>
              </w:rPr>
              <w:t>需预留集成平台标准化接口，以便后续系统对接。</w:t>
            </w:r>
          </w:p>
        </w:tc>
      </w:tr>
    </w:tbl>
    <w:p w14:paraId="4CE9E249">
      <w:pPr>
        <w:pStyle w:val="58"/>
        <w:ind w:firstLine="0" w:firstLineChars="0"/>
        <w:rPr>
          <w:rFonts w:ascii="宋体" w:hAnsi="宋体"/>
          <w:color w:val="auto"/>
          <w:highlight w:val="none"/>
        </w:rPr>
      </w:pPr>
    </w:p>
    <w:p w14:paraId="106904E6">
      <w:pPr>
        <w:numPr>
          <w:ilvl w:val="0"/>
          <w:numId w:val="0"/>
        </w:numPr>
        <w:bidi w:val="0"/>
        <w:ind w:left="-336" w:leftChars="0"/>
        <w:rPr>
          <w:b/>
          <w:bCs/>
        </w:rPr>
      </w:pPr>
      <w:r>
        <w:rPr>
          <w:rFonts w:hint="eastAsia"/>
          <w:b/>
          <w:bCs/>
        </w:rPr>
        <w:t>数据中台建设需求</w:t>
      </w:r>
    </w:p>
    <w:tbl>
      <w:tblPr>
        <w:tblStyle w:val="46"/>
        <w:tblW w:w="97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2"/>
        <w:gridCol w:w="1215"/>
        <w:gridCol w:w="26"/>
        <w:gridCol w:w="7705"/>
      </w:tblGrid>
      <w:tr w14:paraId="05E45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832" w:type="dxa"/>
            <w:shd w:val="clear" w:color="auto" w:fill="FFFFFF"/>
            <w:vAlign w:val="center"/>
          </w:tcPr>
          <w:p w14:paraId="27EDB536">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szCs w:val="21"/>
                <w:highlight w:val="none"/>
              </w:rPr>
            </w:pPr>
            <w:r>
              <w:rPr>
                <w:rFonts w:hint="eastAsia" w:ascii="宋体" w:hAnsi="宋体" w:cs="宋体"/>
                <w:color w:val="auto"/>
                <w:kern w:val="0"/>
                <w:szCs w:val="21"/>
                <w:highlight w:val="none"/>
              </w:rPr>
              <w:t>需求名称</w:t>
            </w:r>
          </w:p>
        </w:tc>
        <w:tc>
          <w:tcPr>
            <w:tcW w:w="1215" w:type="dxa"/>
            <w:shd w:val="clear" w:color="auto" w:fill="FFFFFF"/>
            <w:vAlign w:val="center"/>
          </w:tcPr>
          <w:p w14:paraId="654DA14C">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序号</w:t>
            </w:r>
          </w:p>
        </w:tc>
        <w:tc>
          <w:tcPr>
            <w:tcW w:w="7731" w:type="dxa"/>
            <w:gridSpan w:val="2"/>
            <w:shd w:val="clear" w:color="auto" w:fill="FFFFFF"/>
            <w:vAlign w:val="center"/>
          </w:tcPr>
          <w:p w14:paraId="6E31C1CA">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需求描述</w:t>
            </w:r>
          </w:p>
        </w:tc>
      </w:tr>
      <w:tr w14:paraId="72643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32" w:type="dxa"/>
            <w:vMerge w:val="restart"/>
            <w:shd w:val="clear" w:color="auto" w:fill="FFFFFF"/>
            <w:vAlign w:val="center"/>
          </w:tcPr>
          <w:p w14:paraId="23486174">
            <w:pPr>
              <w:keepNext w:val="0"/>
              <w:keepLines w:val="0"/>
              <w:pageBreakBefore w:val="0"/>
              <w:numPr>
                <w:ilvl w:val="0"/>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szCs w:val="21"/>
                <w:highlight w:val="none"/>
              </w:rPr>
            </w:pPr>
            <w:r>
              <w:rPr>
                <w:rFonts w:hint="eastAsia" w:ascii="宋体" w:hAnsi="宋体" w:cs="宋体"/>
                <w:color w:val="auto"/>
                <w:szCs w:val="21"/>
                <w:highlight w:val="none"/>
              </w:rPr>
              <w:t>数据中台</w:t>
            </w:r>
          </w:p>
        </w:tc>
        <w:tc>
          <w:tcPr>
            <w:tcW w:w="8946" w:type="dxa"/>
            <w:gridSpan w:val="3"/>
            <w:shd w:val="clear" w:color="auto" w:fill="FFFFFF"/>
            <w:vAlign w:val="center"/>
          </w:tcPr>
          <w:p w14:paraId="2ACF6BB8">
            <w:pPr>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olor w:val="auto"/>
                <w:sz w:val="20"/>
                <w:szCs w:val="20"/>
                <w:highlight w:val="none"/>
              </w:rPr>
            </w:pPr>
            <w:r>
              <w:rPr>
                <w:rFonts w:hint="eastAsia" w:ascii="宋体" w:hAnsi="宋体" w:cs="宋体"/>
                <w:color w:val="auto"/>
                <w:kern w:val="0"/>
                <w:szCs w:val="21"/>
                <w:highlight w:val="none"/>
              </w:rPr>
              <w:t>临床数据中心</w:t>
            </w:r>
          </w:p>
        </w:tc>
      </w:tr>
      <w:tr w14:paraId="432D0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832" w:type="dxa"/>
            <w:vMerge w:val="continue"/>
            <w:shd w:val="clear" w:color="auto" w:fill="FFFFFF"/>
            <w:vAlign w:val="center"/>
          </w:tcPr>
          <w:p w14:paraId="0AA1A24E">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Cs w:val="21"/>
                <w:highlight w:val="none"/>
              </w:rPr>
            </w:pPr>
          </w:p>
        </w:tc>
        <w:tc>
          <w:tcPr>
            <w:tcW w:w="1241" w:type="dxa"/>
            <w:gridSpan w:val="2"/>
            <w:shd w:val="clear" w:color="auto" w:fill="FFFFFF"/>
            <w:vAlign w:val="center"/>
          </w:tcPr>
          <w:p w14:paraId="75DC3C9C">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基础信息库（MDM</w:t>
            </w:r>
          </w:p>
        </w:tc>
        <w:tc>
          <w:tcPr>
            <w:tcW w:w="7705" w:type="dxa"/>
            <w:shd w:val="clear" w:color="auto" w:fill="FFFFFF"/>
            <w:vAlign w:val="center"/>
          </w:tcPr>
          <w:p w14:paraId="1D0E284E">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基础信息库主要存放两方面数据，一是患者主索引信息，二是主数据信息。</w:t>
            </w:r>
          </w:p>
        </w:tc>
      </w:tr>
      <w:tr w14:paraId="2BAE9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9" w:hRule="atLeast"/>
          <w:jc w:val="center"/>
        </w:trPr>
        <w:tc>
          <w:tcPr>
            <w:tcW w:w="832" w:type="dxa"/>
            <w:vMerge w:val="continue"/>
            <w:shd w:val="clear" w:color="auto" w:fill="FFFFFF"/>
            <w:vAlign w:val="center"/>
          </w:tcPr>
          <w:p w14:paraId="3175AD29">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Cs w:val="21"/>
                <w:highlight w:val="none"/>
              </w:rPr>
            </w:pPr>
          </w:p>
        </w:tc>
        <w:tc>
          <w:tcPr>
            <w:tcW w:w="1241" w:type="dxa"/>
            <w:gridSpan w:val="2"/>
            <w:shd w:val="clear" w:color="auto" w:fill="FFFFFF"/>
            <w:vAlign w:val="center"/>
          </w:tcPr>
          <w:p w14:paraId="0A80D364">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操作数据存储库（ODS）</w:t>
            </w:r>
          </w:p>
        </w:tc>
        <w:tc>
          <w:tcPr>
            <w:tcW w:w="7705" w:type="dxa"/>
            <w:shd w:val="clear" w:color="auto" w:fill="FFFFFF"/>
            <w:vAlign w:val="center"/>
          </w:tcPr>
          <w:p w14:paraId="0B3A6079">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为数据中心建立数据隔离层：通过ODS 来存储从业务系统镜像过来的数据，这些数据从数据结构、数据逻辑关系上都与业务系统基本保持一致，极大降低了数据转化的复杂性，让用户聚焦于数据接口、数据增量以及抽取方式等问题。</w:t>
            </w:r>
          </w:p>
          <w:p w14:paraId="5993BDD3">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实现数据查询压力转移：ODS库具备从粒度、组织方式等都与业务系统保持高度一致的特性，就可以将原来嫁接在业务系统的数据查询压力转移到ODS上，同时ODS无需担忧业务的运行负担，与业务系统查询具备同样的效果且大大降低了性能风险，同时为后续的数据抽取、清洗、归一以及数仓的建设提供了前置环境。</w:t>
            </w:r>
          </w:p>
          <w:p w14:paraId="13E62684">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为数仓提供贴源支撑：通过ODS实现明细数据的查询分析，ODS的数据模型是面向主题的方式进行存储，更快捷的支持多维分析等查询功能。</w:t>
            </w:r>
          </w:p>
          <w:p w14:paraId="7F6047C7">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电子病历临床文档库（EMR文档库）：与某一具体临床活动相关的临床活动的信息与数据记录形成了相对独立的电子病历（EMR）文档。而在临床活动过程中产生的对医疗活动的文字、图像、或多媒体的电子格式记录文档均称之为EMR文档。</w:t>
            </w:r>
          </w:p>
        </w:tc>
      </w:tr>
      <w:tr w14:paraId="34340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6" w:hRule="atLeast"/>
          <w:jc w:val="center"/>
        </w:trPr>
        <w:tc>
          <w:tcPr>
            <w:tcW w:w="832" w:type="dxa"/>
            <w:vMerge w:val="continue"/>
            <w:shd w:val="clear" w:color="auto" w:fill="FFFFFF"/>
            <w:vAlign w:val="center"/>
          </w:tcPr>
          <w:p w14:paraId="63A950A5">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Cs w:val="21"/>
                <w:highlight w:val="none"/>
              </w:rPr>
            </w:pPr>
          </w:p>
        </w:tc>
        <w:tc>
          <w:tcPr>
            <w:tcW w:w="1241" w:type="dxa"/>
            <w:gridSpan w:val="2"/>
            <w:shd w:val="clear" w:color="auto" w:fill="FFFFFF"/>
            <w:vAlign w:val="center"/>
          </w:tcPr>
          <w:p w14:paraId="7187B649">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临床数据库（CDR）</w:t>
            </w:r>
          </w:p>
        </w:tc>
        <w:tc>
          <w:tcPr>
            <w:tcW w:w="7705" w:type="dxa"/>
            <w:shd w:val="clear" w:color="auto" w:fill="FFFFFF"/>
            <w:vAlign w:val="center"/>
          </w:tcPr>
          <w:p w14:paraId="7E690162">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电子病历临床文档库（EMR文档库）：与某一具体临床活动相关的临床活动的信息与数据记录形成了相对独立的电子病历（EMR）文档。而在临床活动过程中产生的对医疗活动的文字、图像、或多媒体的电子格式记录文档均称之为EMR文档。</w:t>
            </w:r>
          </w:p>
          <w:p w14:paraId="1D66F7FA">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临床数据存储库（CDR）：按照以患者为中心建立的EMR文档的存储带来了临床数据存储库CDR（Clinical Data Repository）的形成。临床数据存储库CDR采用标准化的数据集和数据元，根据临床文档信息模型以及各类医疗服务活动的业务规则，通过对数据集和数据元的基数约束以及数据元允许值约束，生成各类实际应用的结构化、标准化临床文档，以保证电子病历数据采集的一致性。</w:t>
            </w:r>
          </w:p>
          <w:p w14:paraId="1243F08A">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EMR文档存储：患者在某一医疗机构内发生的各类临床活动形成的EMR文档集应当在患者主索引（MPI）的指引下进行汇总归集，并通过MPI完成EMR浏览器及非电子病历编辑器环境下的患者EMR文档浏览。</w:t>
            </w:r>
          </w:p>
          <w:p w14:paraId="536F92E2">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EMR文档数据来源：所有的临床活动所产生的信息记录均为EMR文档的数据来源，基于电子病历医院信息平台将各个系统中产生的临床活动数据与信息进行集成与共享后，通过生成规定格式的EMR文档进行归档与储存。</w:t>
            </w:r>
          </w:p>
          <w:p w14:paraId="7A62BD24">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EMR文档注册：每一类需要在临床文档仓库中进行存储的EMR文档都需要在CDR中进行注册。并且还需要在CDR中注册其文档的模板信息与数据。而在实际临床业务活动发生过程中所产生的EMR文档都能够通过注册系统对应其使用的文档模板信息与数据。</w:t>
            </w:r>
          </w:p>
          <w:p w14:paraId="38FF1480">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临床数据存储库与临床文档存储库：EMR文档以符合HL7 CDA的文档结构的方式产生后按照以患者为中心的索引方式进行存储，形成临床数据存储库。由于患者的临床数据是以EMR文档的方式进行存储并以HL7 CDA的方式进行组织，这样组织的存储方式也称之为临床文档存储库。</w:t>
            </w:r>
          </w:p>
          <w:p w14:paraId="2CC2473F">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olor w:val="auto"/>
                <w:sz w:val="20"/>
                <w:szCs w:val="20"/>
                <w:highlight w:val="none"/>
              </w:rPr>
              <w:t>EMR文档版本管理：患者的临床业务活动的发生时一个持续并且连续的过程，并且主观描述部分，或者非数据接口内的数据内容会因为某些特定条件下发生修订或者修改，这是EMR文档作为临床活动发生情景的真实记录数据应当能够客观地反应出各种主客观数据或者描述的变化与修改过程，这时就对EMR文档提出了文档版本的管理要求。</w:t>
            </w:r>
          </w:p>
        </w:tc>
      </w:tr>
      <w:tr w14:paraId="73526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32" w:type="dxa"/>
            <w:vMerge w:val="continue"/>
            <w:shd w:val="clear" w:color="auto" w:fill="FFFFFF"/>
            <w:vAlign w:val="center"/>
          </w:tcPr>
          <w:p w14:paraId="49F3979E">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Cs w:val="21"/>
                <w:highlight w:val="none"/>
              </w:rPr>
            </w:pPr>
          </w:p>
        </w:tc>
        <w:tc>
          <w:tcPr>
            <w:tcW w:w="8946" w:type="dxa"/>
            <w:gridSpan w:val="3"/>
            <w:shd w:val="clear" w:color="auto" w:fill="FFFFFF"/>
            <w:vAlign w:val="center"/>
          </w:tcPr>
          <w:p w14:paraId="210C6383">
            <w:pPr>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olor w:val="auto"/>
                <w:sz w:val="20"/>
                <w:szCs w:val="20"/>
                <w:highlight w:val="none"/>
              </w:rPr>
            </w:pPr>
            <w:r>
              <w:rPr>
                <w:rFonts w:hint="eastAsia" w:ascii="宋体" w:hAnsi="宋体"/>
                <w:color w:val="auto"/>
                <w:sz w:val="20"/>
                <w:szCs w:val="20"/>
                <w:highlight w:val="none"/>
              </w:rPr>
              <w:t>数据采集管理</w:t>
            </w:r>
          </w:p>
        </w:tc>
      </w:tr>
      <w:tr w14:paraId="4F113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4" w:hRule="atLeast"/>
          <w:jc w:val="center"/>
        </w:trPr>
        <w:tc>
          <w:tcPr>
            <w:tcW w:w="832" w:type="dxa"/>
            <w:vMerge w:val="continue"/>
            <w:shd w:val="clear" w:color="auto" w:fill="FFFFFF"/>
            <w:vAlign w:val="center"/>
          </w:tcPr>
          <w:p w14:paraId="3C44BFE9">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Cs w:val="21"/>
                <w:highlight w:val="none"/>
              </w:rPr>
            </w:pPr>
          </w:p>
        </w:tc>
        <w:tc>
          <w:tcPr>
            <w:tcW w:w="1241" w:type="dxa"/>
            <w:gridSpan w:val="2"/>
            <w:shd w:val="clear" w:color="auto" w:fill="FFFFFF"/>
            <w:vAlign w:val="center"/>
          </w:tcPr>
          <w:p w14:paraId="34832264">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数据采集（ETL）</w:t>
            </w:r>
          </w:p>
        </w:tc>
        <w:tc>
          <w:tcPr>
            <w:tcW w:w="7705" w:type="dxa"/>
            <w:shd w:val="clear" w:color="auto" w:fill="FFFFFF"/>
            <w:vAlign w:val="center"/>
          </w:tcPr>
          <w:p w14:paraId="25CB1A84">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数据模型管理：数据模型管理是构建数据中心的基础，建立了数据模型与数据中心表之间的关系，实现模型与表、模型元素与表字段一一对应</w:t>
            </w:r>
          </w:p>
          <w:p w14:paraId="7BC4F8AA">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数据采集管理：系统根据数据集标准内容编写SQL采集语句，实现医院业务数据库与临床数据中心数据集标准的匹配与对应</w:t>
            </w:r>
          </w:p>
          <w:p w14:paraId="4E84933C">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采集调度管理：采集调度采用轻量级的分布式任务调度平台XXL-JOB，自身并不承担业务逻辑，只是负责任务的统一管理和调度执行</w:t>
            </w:r>
          </w:p>
        </w:tc>
      </w:tr>
      <w:tr w14:paraId="212E3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4" w:hRule="atLeast"/>
          <w:jc w:val="center"/>
        </w:trPr>
        <w:tc>
          <w:tcPr>
            <w:tcW w:w="832" w:type="dxa"/>
            <w:vMerge w:val="continue"/>
            <w:shd w:val="clear" w:color="auto" w:fill="FFFFFF"/>
            <w:vAlign w:val="center"/>
          </w:tcPr>
          <w:p w14:paraId="62E4CD29">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Cs w:val="21"/>
                <w:highlight w:val="none"/>
              </w:rPr>
            </w:pPr>
          </w:p>
        </w:tc>
        <w:tc>
          <w:tcPr>
            <w:tcW w:w="1241" w:type="dxa"/>
            <w:gridSpan w:val="2"/>
            <w:shd w:val="clear" w:color="auto" w:fill="FFFFFF"/>
            <w:vAlign w:val="center"/>
          </w:tcPr>
          <w:p w14:paraId="7E9F98D9">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共享文档管理</w:t>
            </w:r>
          </w:p>
        </w:tc>
        <w:tc>
          <w:tcPr>
            <w:tcW w:w="7705" w:type="dxa"/>
            <w:shd w:val="clear" w:color="auto" w:fill="FFFFFF"/>
            <w:vAlign w:val="center"/>
          </w:tcPr>
          <w:p w14:paraId="4BB7BFCE">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文档生成管理：通过内置文档转换器程序，开放的文档生成调度管理功能，实现针对53类共享文档的转换任务管理，通过对转换任务的调度频率、调度时间等属性设置，完成共享文档的统一生成管理。</w:t>
            </w:r>
          </w:p>
          <w:p w14:paraId="63462F28">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文档检索管理：基于文档库，提供基于患者基础信息、文档信息的统一查询页面，能够直观根据患者门诊号、住院号、患者姓名等信息进行文档检索，直观的查阅患者的历史病历文档，文档检索，以患者为中心，搜索患者，进而展示该患者的共享文档；搜索结果按照共享文档分类进行归纳展示</w:t>
            </w:r>
          </w:p>
          <w:p w14:paraId="168BEBE6">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文档统计分析：当文档库存储了大量不同类型的文档后，我们需要有一个文档统计页面，可以方便的从页面上，实时看到当前文档库的文档数量统计以及文档类型分布情况。</w:t>
            </w:r>
          </w:p>
          <w:p w14:paraId="10E58C48">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文档库监控：对文件库的系统监控，主要针对跟踪服务器的多机器集群的机器数、每台机器的IP、服务器运行的状态进行监控；对存储服务器按组分类进行监控，主要包括每组的机器数、每台及其的IP、状态、总容量、使用容量。</w:t>
            </w:r>
          </w:p>
          <w:p w14:paraId="6789945C">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通过文档库的监控，可以直观的看到当前文档库的运行状态、存储空间，以便出现问题运维人员及时处理。</w:t>
            </w:r>
          </w:p>
          <w:p w14:paraId="0AB2998D">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lang w:val="en-US" w:eastAsia="zh-CN"/>
              </w:rPr>
              <w:t>共享文档导出：</w:t>
            </w:r>
            <w:r>
              <w:rPr>
                <w:rFonts w:hint="eastAsia" w:ascii="宋体" w:hAnsi="宋体" w:cs="宋体"/>
                <w:bCs/>
                <w:color w:val="auto"/>
                <w:szCs w:val="21"/>
                <w:highlight w:val="none"/>
              </w:rPr>
              <w:t>支持按患者就诊日期、病人姓名、病人ID、共享文档类型查询出满足的条件的共享文档；支持设置共享文档导出格式，包括html、xml；支持自定义设置导出共享文档的隐私域；支持单个共享文档导出和共享文档批量导出。</w:t>
            </w:r>
          </w:p>
          <w:p w14:paraId="256448F2">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数据集设置：</w:t>
            </w:r>
            <w:r>
              <w:rPr>
                <w:rFonts w:hint="eastAsia" w:ascii="宋体" w:hAnsi="宋体" w:cs="宋体"/>
                <w:bCs/>
                <w:color w:val="auto"/>
                <w:szCs w:val="21"/>
                <w:highlight w:val="none"/>
              </w:rPr>
              <w:t>支持列表展示《WS 445-2014  电子病历基本数据集》的17个数据集，同时支持数据集新增、修改、删除、导出功能；支持展示每一数据集下包含的数据子集；支持展示数据子集的数据元信息，同时支持数据元新增、修改、删除、导出功能。</w:t>
            </w:r>
          </w:p>
          <w:p w14:paraId="47919AB4">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ind w:left="442" w:firstLineChars="0"/>
              <w:jc w:val="left"/>
              <w:textAlignment w:val="auto"/>
              <w:rPr>
                <w:rFonts w:hint="eastAsia" w:ascii="宋体" w:hAnsi="宋体" w:cs="宋体"/>
                <w:szCs w:val="24"/>
              </w:rPr>
            </w:pPr>
            <w:r>
              <w:rPr>
                <w:rFonts w:hint="eastAsia" w:ascii="宋体" w:hAnsi="宋体" w:cs="宋体"/>
                <w:bCs/>
                <w:color w:val="auto"/>
                <w:szCs w:val="21"/>
                <w:highlight w:val="none"/>
                <w:lang w:val="en-US" w:eastAsia="zh-CN"/>
              </w:rPr>
              <w:t>OID管理：</w:t>
            </w:r>
            <w:r>
              <w:rPr>
                <w:rFonts w:hint="eastAsia" w:ascii="宋体" w:hAnsi="宋体" w:eastAsia="宋体" w:cs="宋体"/>
                <w:bCs/>
                <w:color w:val="auto"/>
                <w:szCs w:val="21"/>
                <w:highlight w:val="none"/>
              </w:rPr>
              <w:t>支持</w:t>
            </w:r>
            <w:r>
              <w:rPr>
                <w:rFonts w:hint="eastAsia" w:ascii="宋体" w:hAnsi="宋体" w:cs="宋体"/>
                <w:bCs/>
                <w:color w:val="auto"/>
                <w:szCs w:val="21"/>
                <w:highlight w:val="none"/>
              </w:rPr>
              <w:t>按OID编码、值域代码名称、值域代码编码为条件查询OID信息；支持以列表展示查询出的OID信息，需包含OID编码、OID描述、编码层级、值域代码名称、值域代码编码等信息、OID大类编码、是否末级等信息；</w:t>
            </w:r>
            <w:r>
              <w:rPr>
                <w:rFonts w:hint="eastAsia" w:ascii="宋体" w:hAnsi="宋体" w:cs="宋体"/>
                <w:szCs w:val="24"/>
              </w:rPr>
              <w:t>支持新增、修改、删除OID的功能。</w:t>
            </w:r>
          </w:p>
          <w:p w14:paraId="37E8D890">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hint="eastAsia" w:ascii="宋体" w:hAnsi="宋体" w:cs="宋体"/>
                <w:bCs/>
                <w:color w:val="auto"/>
                <w:szCs w:val="21"/>
                <w:highlight w:val="none"/>
              </w:rPr>
            </w:pPr>
            <w:bookmarkStart w:id="194" w:name="_Toc18773"/>
            <w:r>
              <w:rPr>
                <w:rFonts w:hint="eastAsia"/>
              </w:rPr>
              <w:t>隐私设置</w:t>
            </w:r>
            <w:bookmarkEnd w:id="194"/>
            <w:r>
              <w:rPr>
                <w:rFonts w:hint="eastAsia"/>
                <w:lang w:eastAsia="zh-CN"/>
              </w:rPr>
              <w:t>：</w:t>
            </w:r>
            <w:r>
              <w:rPr>
                <w:rFonts w:hint="eastAsia"/>
              </w:rPr>
              <w:t>支持对各共享文档的元素值进行隐私设置；支持对需进行隐私设置元素的检索功能，支持查看元素在共享文档中的元素路径；支持自定义隐私设置覆盖的共享文档范围；隐私设置需支持掩码脱敏、替换脱敏、随机化等脱敏方式。</w:t>
            </w:r>
          </w:p>
          <w:p w14:paraId="245C2982">
            <w:pPr>
              <w:keepNext w:val="0"/>
              <w:keepLines w:val="0"/>
              <w:pageBreakBefore w:val="0"/>
              <w:numPr>
                <w:ilvl w:val="-1"/>
                <w:numId w:val="0"/>
              </w:numPr>
              <w:tabs>
                <w:tab w:val="left" w:pos="525"/>
                <w:tab w:val="left" w:pos="630"/>
              </w:tabs>
              <w:kinsoku/>
              <w:wordWrap/>
              <w:overflowPunct/>
              <w:topLinePunct w:val="0"/>
              <w:autoSpaceDE/>
              <w:autoSpaceDN/>
              <w:bidi w:val="0"/>
              <w:adjustRightInd w:val="0"/>
              <w:snapToGrid w:val="0"/>
              <w:spacing w:line="360" w:lineRule="auto"/>
              <w:ind w:left="0" w:firstLine="0"/>
              <w:jc w:val="left"/>
              <w:textAlignment w:val="auto"/>
              <w:rPr>
                <w:rFonts w:ascii="宋体" w:hAnsi="宋体" w:cs="宋体"/>
                <w:bCs/>
                <w:color w:val="auto"/>
                <w:szCs w:val="21"/>
                <w:highlight w:val="none"/>
              </w:rPr>
            </w:pPr>
          </w:p>
        </w:tc>
      </w:tr>
      <w:tr w14:paraId="28417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4" w:hRule="atLeast"/>
          <w:jc w:val="center"/>
        </w:trPr>
        <w:tc>
          <w:tcPr>
            <w:tcW w:w="832" w:type="dxa"/>
            <w:vMerge w:val="continue"/>
            <w:shd w:val="clear" w:color="auto" w:fill="FFFFFF"/>
            <w:vAlign w:val="center"/>
          </w:tcPr>
          <w:p w14:paraId="060893D8">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Cs w:val="21"/>
                <w:highlight w:val="none"/>
              </w:rPr>
            </w:pPr>
          </w:p>
        </w:tc>
        <w:tc>
          <w:tcPr>
            <w:tcW w:w="1241" w:type="dxa"/>
            <w:gridSpan w:val="2"/>
            <w:shd w:val="clear" w:color="auto" w:fill="FFFFFF"/>
            <w:vAlign w:val="center"/>
          </w:tcPr>
          <w:p w14:paraId="121C744D">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CDC数据同步</w:t>
            </w:r>
          </w:p>
        </w:tc>
        <w:tc>
          <w:tcPr>
            <w:tcW w:w="7705" w:type="dxa"/>
            <w:shd w:val="clear" w:color="auto" w:fill="FFFFFF"/>
            <w:vAlign w:val="center"/>
          </w:tcPr>
          <w:p w14:paraId="68A6759A">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平台通过图形化的配置界面实现分布的、异构的、跨网络的各业务数据信息资源的交换汇聚，通过单一平台就可以完成各部门各类数据信息资源的汇聚。汇聚的过程中，可以按照指定的标准、行业标准、国标对数据资源进行标准化，从而利于汇聚后的数据对外提供服务，使数据按一定业务规则成为可复用的信息资源服务。</w:t>
            </w:r>
          </w:p>
          <w:p w14:paraId="54FA87A9">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支持丰富的数据源和目标源，可以为ODS的数据提供良好的互联互通，实现业务库镜像的建设，同时实现全量和增量的数据同步功能</w:t>
            </w:r>
          </w:p>
          <w:p w14:paraId="2A333BC2">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实现不同的数据库类型数据能够同步到异构数据库中，会出现数据类型不一致的情况，需要提供保证数据类型转换功能，实现数据同步；针对所有同步数据需要追加更新时间戳字段以及操作类型字段，用于记录数据实现发生变更的时间以及操作；实现字段级、表级的映射；在建设过程中，会出现不断完善ODS数据的情况，能实现动态扩展表、字段映射功能。</w:t>
            </w:r>
          </w:p>
          <w:p w14:paraId="0A884165">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平台支持各种数据流向，均可以通过配置大屏将数据流动的信息展现出来，展现的形式可以根据用户的需求订制。用户可以通过数据可视化，从宏观上看到平台中管理数据的健康状态、数据发展的意识形态。</w:t>
            </w:r>
          </w:p>
        </w:tc>
      </w:tr>
      <w:tr w14:paraId="48B4A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1" w:hRule="atLeast"/>
          <w:jc w:val="center"/>
        </w:trPr>
        <w:tc>
          <w:tcPr>
            <w:tcW w:w="832" w:type="dxa"/>
            <w:vMerge w:val="continue"/>
            <w:shd w:val="clear" w:color="auto" w:fill="FFFFFF"/>
            <w:vAlign w:val="center"/>
          </w:tcPr>
          <w:p w14:paraId="7192EE4D">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Cs w:val="21"/>
                <w:highlight w:val="none"/>
              </w:rPr>
            </w:pPr>
          </w:p>
        </w:tc>
        <w:tc>
          <w:tcPr>
            <w:tcW w:w="1241" w:type="dxa"/>
            <w:gridSpan w:val="2"/>
            <w:shd w:val="clear" w:color="auto" w:fill="FFFFFF"/>
            <w:vAlign w:val="center"/>
          </w:tcPr>
          <w:p w14:paraId="2CCCE607">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数据质量管理</w:t>
            </w:r>
          </w:p>
        </w:tc>
        <w:tc>
          <w:tcPr>
            <w:tcW w:w="7705" w:type="dxa"/>
            <w:shd w:val="clear" w:color="auto" w:fill="FFFFFF"/>
            <w:vAlign w:val="center"/>
          </w:tcPr>
          <w:p w14:paraId="4BA15D4E">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稽核规则管理：为了数据质量稽核，首先需要稽核规则，这是数据质量稽核任务的依据。</w:t>
            </w:r>
          </w:p>
          <w:p w14:paraId="08854D1C">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按照数据质量的数据种类，维护数据质量稽核规则组，以及规则组中的规则、规则的计算项、计算公式以及计算项sql等，区分质量类型（一致性、完整性、整合性、及时性、准确性、唯一性、规范性等）。</w:t>
            </w:r>
          </w:p>
          <w:p w14:paraId="7CEBE17E">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稽核任务管理：稽核任务管理支持创建多调度任务，并创建执行计划，选择需要稽核的机构，按校验时间稽核该机构下分配的方案包含的规则，汇总得出质量分数保存数据质量明细库。稽核任务列表可展示稽核任务的执行状态，添加调度，配置调度频率、执行时刻及自定义调度，关联调度对应的稽核规则。对稽核任务启停、删除等操作，查看稽核任务的子任务，查看选中稽核任务的历史执行记录。</w:t>
            </w:r>
          </w:p>
          <w:p w14:paraId="00369311">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数据质量报告：1.电子病历数据质量报告是依托于系统内置的电子病历数据质量稽核规则及相关的稽核任务产生的数据质量明细数据，从不同维度汇总展示的结果。2.临床数据中心数据质量报告是依托于系统内置的临床数据中心数据质量稽核规则及相关的稽核任务产生的数据质量明细数据，从不同维度汇总展示的结果。</w:t>
            </w:r>
          </w:p>
          <w:p w14:paraId="06B7F796">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lang w:val="en-US" w:eastAsia="zh-CN"/>
              </w:rPr>
              <w:t>对账作业功能：</w:t>
            </w:r>
            <w:r>
              <w:rPr>
                <w:rFonts w:hint="eastAsia" w:ascii="宋体" w:hAnsi="宋体" w:cs="宋体"/>
                <w:bCs/>
                <w:color w:val="auto"/>
                <w:szCs w:val="21"/>
                <w:highlight w:val="none"/>
              </w:rPr>
              <w:t>提供对账作业的增删改操作，支持对账作业的维护，包含作业名称、作业编码、描述，支持增删改作业中的对账任务，支持行数量对账、行内容对账任务，任务中包含任务名称、源数据集、目标数据集、源属性、目标属性的设置，支持设置源数据、目标数据各自参与对账的数据要满足的条件，支持设置自动拉平。支持调度的增删改操作，支持Cron表达式调度设置。支持按照对账作业名称/编码、作业上下线状态、调度上下线状态查找作业。提供上下、下线、查看操作，支持作业的上线、下线、查看。提供调度上线、下线、查看操作，支持调度的上线、下线、查看。</w:t>
            </w:r>
          </w:p>
          <w:p w14:paraId="089E6363">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lang w:val="en-US" w:eastAsia="zh-CN"/>
              </w:rPr>
              <w:t>常规质量作业功能：</w:t>
            </w:r>
            <w:r>
              <w:rPr>
                <w:rFonts w:hint="eastAsia" w:ascii="宋体" w:hAnsi="宋体" w:cs="宋体"/>
                <w:bCs/>
                <w:color w:val="auto"/>
                <w:szCs w:val="21"/>
                <w:highlight w:val="none"/>
              </w:rPr>
              <w:t>提供常规质量作业的增删改操作，支持常规质量作业的维护，包含作业名称、作业编码、描述，支持增删改作业中的任务，支持基础校验、数据关联校验任务。任务中包含任务名称、代码、数据集。基础校验支持不允许为空、表示格式、表示长度等设置，数据关联校验提供增删改操作，支持脚本设置，包含规则名称、说明、脚本、参数；支持设置参与校验的数据要满足的条件。支持调度的增删改操作，支持Cron表达式调度设置。支持按照常规质量作业名称/编码、作业上下线状态、调度上下线状态查找作业。提供作业上线、下线、查看操作，支持作业的上线、下线、查看。提供调度上线、下线、查看操作，支持调度的上线、下线、查看。</w:t>
            </w:r>
          </w:p>
          <w:p w14:paraId="68815FEC">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lang w:val="en-US" w:eastAsia="zh-CN"/>
              </w:rPr>
              <w:t>质量作业执行查询功能：</w:t>
            </w:r>
            <w:r>
              <w:rPr>
                <w:rFonts w:hint="eastAsia" w:ascii="宋体" w:hAnsi="宋体" w:cs="宋体"/>
                <w:bCs/>
                <w:color w:val="auto"/>
                <w:szCs w:val="21"/>
                <w:highlight w:val="none"/>
              </w:rPr>
              <w:t>支持按照作业名称/编码，数据对账、常规质量作业，执行中、执行结束、暂停、取消，查找作业的执行情况，执行情况中包含，运行状态、运行结果、运行时间、运行时长。提供详情操作，支持查看作业下各任务的执行情况，包含结果、运行状态、运行时间、运行时长。针对数据对账任务执行结果为不一致的，提供链接操作，支持查看目标与源有哪些不一致的数据，缺失的还是多余的。针对行内容不一致的数据，提供比对操作，支持查看目标数据与源数据哪些列内容不一致。针对常规质量任务执行结果不合规的，提供链接操作，支持查看不合规的数据，具体是哪些字段哪些方面不满足要求。</w:t>
            </w:r>
          </w:p>
        </w:tc>
      </w:tr>
      <w:tr w14:paraId="6E4C2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1" w:hRule="atLeast"/>
          <w:jc w:val="center"/>
        </w:trPr>
        <w:tc>
          <w:tcPr>
            <w:tcW w:w="832" w:type="dxa"/>
            <w:vMerge w:val="continue"/>
            <w:shd w:val="clear" w:color="auto" w:fill="FFFFFF"/>
            <w:vAlign w:val="center"/>
          </w:tcPr>
          <w:p w14:paraId="7D4A1189">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Cs w:val="21"/>
                <w:highlight w:val="none"/>
              </w:rPr>
            </w:pPr>
          </w:p>
        </w:tc>
        <w:tc>
          <w:tcPr>
            <w:tcW w:w="1241" w:type="dxa"/>
            <w:gridSpan w:val="2"/>
            <w:shd w:val="clear" w:color="auto" w:fill="FFFFFF"/>
            <w:vAlign w:val="center"/>
          </w:tcPr>
          <w:p w14:paraId="3197848A">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数据资产管理平台</w:t>
            </w:r>
          </w:p>
        </w:tc>
        <w:tc>
          <w:tcPr>
            <w:tcW w:w="7705" w:type="dxa"/>
            <w:shd w:val="clear" w:color="auto" w:fill="FFFFFF"/>
            <w:vAlign w:val="center"/>
          </w:tcPr>
          <w:p w14:paraId="6F7FEDAE">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hint="eastAsia" w:ascii="宋体" w:hAnsi="宋体" w:cs="宋体"/>
                <w:bCs/>
                <w:color w:val="auto"/>
                <w:szCs w:val="21"/>
                <w:highlight w:val="none"/>
                <w:lang w:val="en-US" w:eastAsia="zh-CN"/>
              </w:rPr>
            </w:pPr>
            <w:r>
              <w:rPr>
                <w:rFonts w:hint="eastAsia" w:ascii="宋体" w:hAnsi="宋体" w:cs="宋体"/>
                <w:bCs/>
                <w:color w:val="auto"/>
                <w:szCs w:val="21"/>
                <w:highlight w:val="none"/>
              </w:rPr>
              <w:t>提供数据元功能：支持数据元的增删改查，包含数据元的属性名称、属性编码、属性物理名称、标化、属性描述、属性类型、属性长度、绑定资产对象、绑定标准、采集来源；支持按照属性名称、代码、物理名称检索数据元，支持按照标准类型、数据元状态、数据元资产对象名称查找数据元；功能中提供数据资产对象（数据元）目录，支持按照数据对象-数据元检索目录，支持将选中目录下的数据元列出来。</w:t>
            </w:r>
          </w:p>
          <w:p w14:paraId="43769F6B">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hint="eastAsia" w:ascii="宋体" w:hAnsi="宋体" w:cs="宋体"/>
                <w:bCs/>
                <w:color w:val="auto"/>
                <w:szCs w:val="21"/>
                <w:highlight w:val="none"/>
                <w:lang w:val="en-US" w:eastAsia="zh-CN"/>
              </w:rPr>
            </w:pPr>
            <w:r>
              <w:rPr>
                <w:rFonts w:hint="eastAsia" w:ascii="宋体" w:hAnsi="宋体" w:cs="宋体"/>
                <w:bCs/>
                <w:color w:val="auto"/>
                <w:szCs w:val="21"/>
                <w:highlight w:val="none"/>
              </w:rPr>
              <w:t>提供数据元值域功能</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rPr>
              <w:t>支持数据元值域的增删改查，包含值域名称、值域代码、数据元、标准；支持按照值域名/代码，标准类型，应用名称/代码、数据元名称/代码查找数据元值域。支持数据元值域选项的增删改查，包含选项值、选项内容；支持子选项的增删改；支持按照选项值、选项内容查找值域选项。提供数据资产对象（数据元）目录，支持按照数据对象-数据元查找目录，支持将选中目录下的数据元值域列出来。</w:t>
            </w:r>
          </w:p>
          <w:p w14:paraId="3BCC5FC5">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hint="eastAsia" w:ascii="宋体" w:hAnsi="宋体" w:cs="宋体"/>
                <w:bCs/>
                <w:color w:val="auto"/>
                <w:szCs w:val="21"/>
                <w:highlight w:val="none"/>
              </w:rPr>
            </w:pPr>
            <w:r>
              <w:rPr>
                <w:rFonts w:hint="eastAsia" w:ascii="宋体" w:hAnsi="宋体" w:cs="宋体"/>
                <w:bCs/>
                <w:color w:val="auto"/>
                <w:szCs w:val="21"/>
                <w:highlight w:val="none"/>
              </w:rPr>
              <w:t>提供数据元值域映射功能：支持数据元值域映射的增删改查，先选择映射到的值域、再选择需要映射的值域，将两个值域建立起映射关系；支持按照值域名/代码，标准类型，应用名称/代码、数据元名称/代码查找数据元值域映射。提供数据资产对象（数据元）目录，支持按照数据对象-数据元查找目录，支持将选中目录下的数据元值域映射列出来。</w:t>
            </w:r>
          </w:p>
          <w:p w14:paraId="4C5586DF">
            <w:pPr>
              <w:keepNext w:val="0"/>
              <w:keepLines w:val="0"/>
              <w:pageBreakBefore w:val="0"/>
              <w:widowControl/>
              <w:numPr>
                <w:ilvl w:val="0"/>
                <w:numId w:val="12"/>
              </w:numPr>
              <w:suppressLineNumbers w:val="0"/>
              <w:tabs>
                <w:tab w:val="left" w:pos="525"/>
                <w:tab w:val="left" w:pos="630"/>
              </w:tabs>
              <w:kinsoku/>
              <w:wordWrap/>
              <w:overflowPunct/>
              <w:topLinePunct w:val="0"/>
              <w:autoSpaceDE/>
              <w:autoSpaceDN/>
              <w:bidi w:val="0"/>
              <w:adjustRightInd w:val="0"/>
              <w:snapToGrid w:val="0"/>
              <w:spacing w:before="0" w:beforeAutospacing="0" w:after="0" w:afterAutospacing="0" w:line="360" w:lineRule="auto"/>
              <w:ind w:left="440" w:right="0" w:firstLineChars="0"/>
              <w:jc w:val="left"/>
              <w:textAlignment w:val="auto"/>
              <w:rPr>
                <w:szCs w:val="21"/>
                <w:lang w:val="en-US"/>
              </w:rPr>
            </w:pPr>
            <w:r>
              <w:rPr>
                <w:rFonts w:hint="eastAsia" w:ascii="宋体" w:hAnsi="Times New Roman" w:eastAsia="宋体" w:cs="宋体"/>
                <w:color w:val="000000"/>
                <w:kern w:val="0"/>
                <w:sz w:val="21"/>
                <w:szCs w:val="21"/>
                <w:lang w:val="en-US" w:eastAsia="zh-CN" w:bidi="ar"/>
              </w:rPr>
              <w:t>提供数据集功能：</w:t>
            </w:r>
            <w:r>
              <w:rPr>
                <w:rFonts w:hint="eastAsia" w:ascii="宋体" w:hAnsi="Times New Roman" w:eastAsia="宋体" w:cs="宋体"/>
                <w:color w:val="000000"/>
                <w:kern w:val="0"/>
                <w:sz w:val="21"/>
                <w:szCs w:val="21"/>
                <w:lang w:bidi="ar"/>
              </w:rPr>
              <w:t>支持数据集的增删改查，包含数据集的基础信息、属性、关系、来源、标准信息；支持按照数据集名称/编码、应用代码/名称、层级、标准类型查找数据集。提供数据资产对象（业务对象）目录，支持按照数据对象-业务对象查找目录，支持将选中目录下的数据集列出来。支持数据集的提交。支持数据集的物化，包含数据集的数据库类型、数据源、物理名称，属性物理名称、物化类型、物化长度；支持“集合与属性”的物理名称大小写；支持数据集物化的提交（仅生成DDL）、提交（持久化）。提供索引，支持快速进入数据集索引功能。提供导出结构，支持选择导出全部字段、或者选择导出供某个应用使用的字段，支持选择导出自主生产数据、外来数据、录入数据的字段，支持选择导出字段名、字段中文名、字段类型、字段长度、是否主键标识、可否为空标识、值来源、数据生产机制。支持查看DDL。支持版本的查看，包含物化版本、数据集版本。支持复制，支持作废。</w:t>
            </w:r>
          </w:p>
          <w:p w14:paraId="3CE18448">
            <w:pPr>
              <w:keepNext w:val="0"/>
              <w:keepLines w:val="0"/>
              <w:pageBreakBefore w:val="0"/>
              <w:widowControl/>
              <w:numPr>
                <w:ilvl w:val="0"/>
                <w:numId w:val="12"/>
              </w:numPr>
              <w:suppressLineNumbers w:val="0"/>
              <w:tabs>
                <w:tab w:val="left" w:pos="525"/>
                <w:tab w:val="left" w:pos="630"/>
              </w:tabs>
              <w:kinsoku/>
              <w:wordWrap/>
              <w:overflowPunct/>
              <w:topLinePunct w:val="0"/>
              <w:autoSpaceDE/>
              <w:autoSpaceDN/>
              <w:bidi w:val="0"/>
              <w:adjustRightInd w:val="0"/>
              <w:snapToGrid w:val="0"/>
              <w:spacing w:before="0" w:beforeAutospacing="0" w:after="0" w:afterAutospacing="0" w:line="360" w:lineRule="auto"/>
              <w:ind w:left="440" w:right="0" w:firstLineChars="0"/>
              <w:jc w:val="left"/>
              <w:textAlignment w:val="auto"/>
              <w:rPr>
                <w:szCs w:val="21"/>
                <w:lang w:val="en-US"/>
              </w:rPr>
            </w:pPr>
            <w:r>
              <w:rPr>
                <w:rFonts w:hint="eastAsia" w:ascii="宋体" w:hAnsi="Times New Roman" w:eastAsia="宋体" w:cs="宋体"/>
                <w:color w:val="000000"/>
                <w:kern w:val="0"/>
                <w:sz w:val="21"/>
                <w:szCs w:val="21"/>
                <w:lang w:val="en-US" w:eastAsia="zh-CN" w:bidi="ar"/>
              </w:rPr>
              <w:t>提供字典映射功能：</w:t>
            </w:r>
            <w:r>
              <w:rPr>
                <w:rFonts w:hint="eastAsia" w:ascii="宋体" w:hAnsi="Times New Roman" w:eastAsia="宋体" w:cs="宋体"/>
                <w:color w:val="000000"/>
                <w:kern w:val="0"/>
                <w:sz w:val="21"/>
                <w:szCs w:val="21"/>
                <w:lang w:bidi="ar"/>
              </w:rPr>
              <w:t>支持字典映射的增删改查，包含选择映射的字典、映射到的字典，选择映射的字典数据、映射到的字典数据，建立映射，或者移除映射；支持在映射时，选择字段、录入字段内容，根据设置的内容查找出数据，方便快速定位到数据；支持按照字典数据集名称/编码、标准类型、应用，查找映射的字典。提供数据资产对象（业务对象）目录，支持按照数据对象-业务对象查找目录，支持将选中目录下的字典的映射列出来。支持查看映射结果。</w:t>
            </w:r>
          </w:p>
          <w:p w14:paraId="72CC16AA">
            <w:pPr>
              <w:keepNext w:val="0"/>
              <w:keepLines w:val="0"/>
              <w:pageBreakBefore w:val="0"/>
              <w:widowControl/>
              <w:numPr>
                <w:ilvl w:val="0"/>
                <w:numId w:val="12"/>
              </w:numPr>
              <w:suppressLineNumbers w:val="0"/>
              <w:tabs>
                <w:tab w:val="left" w:pos="525"/>
                <w:tab w:val="left" w:pos="630"/>
              </w:tabs>
              <w:kinsoku/>
              <w:wordWrap/>
              <w:overflowPunct/>
              <w:topLinePunct w:val="0"/>
              <w:autoSpaceDE/>
              <w:autoSpaceDN/>
              <w:bidi w:val="0"/>
              <w:adjustRightInd w:val="0"/>
              <w:snapToGrid w:val="0"/>
              <w:spacing w:before="0" w:beforeAutospacing="0" w:after="0" w:afterAutospacing="0" w:line="360" w:lineRule="auto"/>
              <w:ind w:left="440" w:right="0" w:firstLineChars="0"/>
              <w:jc w:val="left"/>
              <w:textAlignment w:val="auto"/>
              <w:rPr>
                <w:szCs w:val="21"/>
                <w:lang w:val="en-US"/>
              </w:rPr>
            </w:pPr>
            <w:r>
              <w:rPr>
                <w:rFonts w:hint="eastAsia"/>
                <w:szCs w:val="21"/>
              </w:rPr>
              <w:t>提供数据集采集功能</w:t>
            </w:r>
            <w:r>
              <w:rPr>
                <w:rFonts w:hint="eastAsia"/>
                <w:szCs w:val="21"/>
                <w:lang w:eastAsia="zh-CN"/>
              </w:rPr>
              <w:t>：</w:t>
            </w:r>
            <w:r>
              <w:rPr>
                <w:rFonts w:hint="eastAsia"/>
                <w:szCs w:val="21"/>
              </w:rPr>
              <w:t>提供数据源列表，支持把整个数据源、或者选中Schema中的表，生成数据集；提供把选中数据源或者Schema下的表列出来，支持单表生成数据集。支持按照数据源名称查找数据源，支持按照表名/集合名查找表/集合(在MongoDB库中表称为集合)。</w:t>
            </w:r>
          </w:p>
          <w:p w14:paraId="2DEF459F">
            <w:pPr>
              <w:keepNext w:val="0"/>
              <w:keepLines w:val="0"/>
              <w:pageBreakBefore w:val="0"/>
              <w:widowControl/>
              <w:numPr>
                <w:ilvl w:val="0"/>
                <w:numId w:val="12"/>
              </w:numPr>
              <w:suppressLineNumbers w:val="0"/>
              <w:tabs>
                <w:tab w:val="left" w:pos="525"/>
                <w:tab w:val="left" w:pos="630"/>
              </w:tabs>
              <w:kinsoku/>
              <w:wordWrap/>
              <w:overflowPunct/>
              <w:topLinePunct w:val="0"/>
              <w:autoSpaceDE/>
              <w:autoSpaceDN/>
              <w:bidi w:val="0"/>
              <w:adjustRightInd w:val="0"/>
              <w:snapToGrid w:val="0"/>
              <w:spacing w:before="0" w:beforeAutospacing="0" w:after="0" w:afterAutospacing="0" w:line="360" w:lineRule="auto"/>
              <w:ind w:left="440" w:right="0" w:firstLineChars="0"/>
              <w:jc w:val="left"/>
              <w:textAlignment w:val="auto"/>
              <w:rPr>
                <w:szCs w:val="21"/>
                <w:lang w:val="en-US"/>
              </w:rPr>
            </w:pPr>
            <w:r>
              <w:rPr>
                <w:rFonts w:hint="eastAsia"/>
                <w:szCs w:val="21"/>
              </w:rPr>
              <w:t>提供索引功能：支持索引的增删改，包含索引名、中文名、表、字段、字段的正倒序、索引归属的应用、功能；支持按照索引名/中文名，表名/中文名查找索引。提供数据源列表，支持将选中数据源、或者选中Schema中的索引列出；支持按照数据源名称查找数据源。提供应用列表，支持列出选中应用、或者选中应用中数据源下的索引；支持按照应用名称查找应用。提供持久化操作，支持索引持久化，将索引持久化到物理库中。提供作废操作，支持索引作废，同时将物理库中的索引删除。提供查看DDL操作，支持查看索引DDL，并导出DDL。提供版本操作，支持查看索引版本。提供导出操作，支持将索引创建的DDL直接导出。</w:t>
            </w:r>
          </w:p>
          <w:p w14:paraId="46C7D077">
            <w:pPr>
              <w:keepNext w:val="0"/>
              <w:keepLines w:val="0"/>
              <w:pageBreakBefore w:val="0"/>
              <w:widowControl/>
              <w:numPr>
                <w:ilvl w:val="0"/>
                <w:numId w:val="12"/>
              </w:numPr>
              <w:suppressLineNumbers w:val="0"/>
              <w:tabs>
                <w:tab w:val="left" w:pos="525"/>
                <w:tab w:val="left" w:pos="630"/>
              </w:tabs>
              <w:kinsoku/>
              <w:wordWrap/>
              <w:overflowPunct/>
              <w:topLinePunct w:val="0"/>
              <w:autoSpaceDE/>
              <w:autoSpaceDN/>
              <w:bidi w:val="0"/>
              <w:adjustRightInd w:val="0"/>
              <w:snapToGrid w:val="0"/>
              <w:spacing w:before="0" w:beforeAutospacing="0" w:after="0" w:afterAutospacing="0" w:line="360" w:lineRule="auto"/>
              <w:ind w:left="440" w:right="0" w:firstLineChars="0"/>
              <w:jc w:val="left"/>
              <w:textAlignment w:val="auto"/>
              <w:rPr>
                <w:szCs w:val="21"/>
                <w:lang w:val="en-US"/>
              </w:rPr>
            </w:pPr>
            <w:r>
              <w:rPr>
                <w:rFonts w:hint="eastAsia" w:ascii="宋体" w:hAnsi="Times New Roman" w:eastAsia="宋体" w:cs="宋体"/>
                <w:color w:val="000000"/>
                <w:kern w:val="0"/>
                <w:sz w:val="21"/>
                <w:szCs w:val="21"/>
                <w:lang w:val="en-US" w:eastAsia="zh-CN" w:bidi="ar"/>
              </w:rPr>
              <w:t>提供数据资产目录功能：提供目录树，目录表；支持按照目录、编目方、目录使用对象分类，在目录树中查找目录；支持按照目录名称在表格中查找目录；支持目录的增删改、支持新增子目录，包含名称、编码、描述、目录使用对象分类、父目录。</w:t>
            </w:r>
          </w:p>
          <w:p w14:paraId="53E013CB">
            <w:pPr>
              <w:keepNext w:val="0"/>
              <w:keepLines w:val="0"/>
              <w:pageBreakBefore w:val="0"/>
              <w:widowControl/>
              <w:numPr>
                <w:ilvl w:val="0"/>
                <w:numId w:val="12"/>
              </w:numPr>
              <w:suppressLineNumbers w:val="0"/>
              <w:tabs>
                <w:tab w:val="left" w:pos="525"/>
                <w:tab w:val="left" w:pos="630"/>
              </w:tabs>
              <w:kinsoku/>
              <w:wordWrap/>
              <w:overflowPunct/>
              <w:topLinePunct w:val="0"/>
              <w:autoSpaceDE/>
              <w:autoSpaceDN/>
              <w:bidi w:val="0"/>
              <w:adjustRightInd w:val="0"/>
              <w:snapToGrid w:val="0"/>
              <w:spacing w:before="0" w:beforeAutospacing="0" w:after="0" w:afterAutospacing="0" w:line="360" w:lineRule="auto"/>
              <w:ind w:left="440" w:right="0" w:firstLineChars="0"/>
              <w:jc w:val="left"/>
              <w:textAlignment w:val="auto"/>
              <w:rPr>
                <w:szCs w:val="21"/>
                <w:lang w:val="en-US"/>
              </w:rPr>
            </w:pPr>
            <w:r>
              <w:rPr>
                <w:rFonts w:hint="eastAsia" w:ascii="宋体" w:hAnsi="Times New Roman" w:eastAsia="宋体" w:cs="宋体"/>
                <w:color w:val="000000"/>
                <w:kern w:val="0"/>
                <w:sz w:val="21"/>
                <w:szCs w:val="21"/>
                <w:lang w:val="en-US" w:eastAsia="zh-CN" w:bidi="ar"/>
              </w:rPr>
              <w:t>提供数据资产对象功能：支持数据资产对象的增删改，包含对象名称、编码、描述、分类、目录；支持按照对象名称、分类</w:t>
            </w:r>
            <w:r>
              <w:rPr>
                <w:rFonts w:hint="default" w:ascii="Calibri" w:hAnsi="Calibri" w:eastAsia="宋体" w:cs="Times New Roman"/>
                <w:color w:val="000000"/>
                <w:kern w:val="2"/>
                <w:sz w:val="21"/>
                <w:szCs w:val="21"/>
                <w:lang w:val="en-US" w:eastAsia="zh-CN" w:bidi="ar"/>
              </w:rPr>
              <w:t>查找</w:t>
            </w:r>
            <w:r>
              <w:rPr>
                <w:rFonts w:hint="eastAsia" w:ascii="宋体" w:hAnsi="Times New Roman" w:eastAsia="宋体" w:cs="宋体"/>
                <w:color w:val="000000"/>
                <w:kern w:val="0"/>
                <w:sz w:val="21"/>
                <w:szCs w:val="21"/>
                <w:lang w:val="en-US" w:eastAsia="zh-CN" w:bidi="ar"/>
              </w:rPr>
              <w:t>对象；提供数据资产目录树，支持按照目录、编目方、分类查找目录树中的目录，支持将选中目录下的数据资产对象列出来。</w:t>
            </w:r>
          </w:p>
          <w:p w14:paraId="5B721D0B">
            <w:pPr>
              <w:keepNext w:val="0"/>
              <w:keepLines w:val="0"/>
              <w:pageBreakBefore w:val="0"/>
              <w:widowControl/>
              <w:numPr>
                <w:ilvl w:val="0"/>
                <w:numId w:val="12"/>
              </w:numPr>
              <w:suppressLineNumbers w:val="0"/>
              <w:tabs>
                <w:tab w:val="left" w:pos="525"/>
                <w:tab w:val="left" w:pos="630"/>
              </w:tabs>
              <w:kinsoku/>
              <w:wordWrap/>
              <w:overflowPunct/>
              <w:topLinePunct w:val="0"/>
              <w:autoSpaceDE/>
              <w:autoSpaceDN/>
              <w:bidi w:val="0"/>
              <w:adjustRightInd w:val="0"/>
              <w:snapToGrid w:val="0"/>
              <w:spacing w:before="0" w:beforeAutospacing="0" w:after="0" w:afterAutospacing="0" w:line="360" w:lineRule="auto"/>
              <w:ind w:left="440" w:right="0" w:firstLineChars="0"/>
              <w:jc w:val="left"/>
              <w:textAlignment w:val="auto"/>
              <w:rPr>
                <w:szCs w:val="21"/>
                <w:lang w:val="en-US"/>
              </w:rPr>
            </w:pPr>
            <w:r>
              <w:rPr>
                <w:rFonts w:hint="eastAsia" w:ascii="宋体" w:hAnsi="Times New Roman" w:eastAsia="宋体" w:cs="宋体"/>
                <w:color w:val="000000"/>
                <w:kern w:val="0"/>
                <w:sz w:val="21"/>
                <w:szCs w:val="21"/>
                <w:lang w:val="en-US" w:eastAsia="zh-CN" w:bidi="ar"/>
              </w:rPr>
              <w:t>提供标准功能：支持标准的增删改，支持按照标准名称、标准下的数据力度、标准分类、标准状态查找标准。</w:t>
            </w:r>
          </w:p>
          <w:p w14:paraId="11F393E3">
            <w:pPr>
              <w:keepNext w:val="0"/>
              <w:keepLines w:val="0"/>
              <w:pageBreakBefore w:val="0"/>
              <w:widowControl/>
              <w:numPr>
                <w:ilvl w:val="0"/>
                <w:numId w:val="12"/>
              </w:numPr>
              <w:suppressLineNumbers w:val="0"/>
              <w:tabs>
                <w:tab w:val="left" w:pos="525"/>
                <w:tab w:val="left" w:pos="630"/>
              </w:tabs>
              <w:kinsoku/>
              <w:wordWrap/>
              <w:overflowPunct/>
              <w:topLinePunct w:val="0"/>
              <w:autoSpaceDE/>
              <w:autoSpaceDN/>
              <w:bidi w:val="0"/>
              <w:adjustRightInd w:val="0"/>
              <w:snapToGrid w:val="0"/>
              <w:spacing w:before="0" w:beforeAutospacing="0" w:after="0" w:afterAutospacing="0" w:line="360" w:lineRule="auto"/>
              <w:ind w:left="440" w:right="0" w:firstLineChars="0"/>
              <w:jc w:val="left"/>
              <w:textAlignment w:val="auto"/>
              <w:rPr>
                <w:rFonts w:hint="eastAsia"/>
                <w:szCs w:val="21"/>
                <w:lang w:val="en-US" w:eastAsia="zh-CN"/>
              </w:rPr>
            </w:pPr>
            <w:r>
              <w:rPr>
                <w:rFonts w:hint="eastAsia" w:ascii="宋体" w:hAnsi="Times New Roman" w:eastAsia="宋体" w:cs="宋体"/>
                <w:color w:val="000000"/>
                <w:kern w:val="0"/>
                <w:sz w:val="21"/>
                <w:szCs w:val="21"/>
                <w:lang w:val="en-US" w:eastAsia="zh-CN" w:bidi="ar"/>
              </w:rPr>
              <w:t>提供数据源功能：支持数据源的</w:t>
            </w:r>
            <w:r>
              <w:rPr>
                <w:rFonts w:hint="default" w:ascii="Calibri" w:hAnsi="Calibri" w:eastAsia="宋体" w:cs="Times New Roman"/>
                <w:color w:val="000000"/>
                <w:kern w:val="2"/>
                <w:sz w:val="21"/>
                <w:szCs w:val="21"/>
                <w:lang w:val="en-US" w:eastAsia="zh-CN" w:bidi="ar"/>
              </w:rPr>
              <w:t>增删</w:t>
            </w:r>
            <w:r>
              <w:rPr>
                <w:rFonts w:hint="eastAsia" w:ascii="宋体" w:hAnsi="Times New Roman" w:eastAsia="宋体" w:cs="宋体"/>
                <w:color w:val="000000"/>
                <w:kern w:val="0"/>
                <w:sz w:val="21"/>
                <w:szCs w:val="21"/>
                <w:lang w:val="en-US" w:eastAsia="zh-CN" w:bidi="ar"/>
              </w:rPr>
              <w:t>改，支持按照数据源名称、数据库类型查找数据源；支持数据源测试；支持数据源无效设置。</w:t>
            </w:r>
          </w:p>
          <w:p w14:paraId="4EDD6C2F">
            <w:pPr>
              <w:keepNext w:val="0"/>
              <w:keepLines w:val="0"/>
              <w:pageBreakBefore w:val="0"/>
              <w:numPr>
                <w:ilvl w:val="-1"/>
                <w:numId w:val="0"/>
              </w:numPr>
              <w:tabs>
                <w:tab w:val="left" w:pos="525"/>
                <w:tab w:val="left" w:pos="630"/>
              </w:tabs>
              <w:kinsoku/>
              <w:wordWrap/>
              <w:overflowPunct/>
              <w:topLinePunct w:val="0"/>
              <w:autoSpaceDE/>
              <w:autoSpaceDN/>
              <w:bidi w:val="0"/>
              <w:adjustRightInd w:val="0"/>
              <w:snapToGrid w:val="0"/>
              <w:spacing w:line="360" w:lineRule="auto"/>
              <w:ind w:left="0" w:firstLine="0"/>
              <w:jc w:val="left"/>
              <w:textAlignment w:val="auto"/>
              <w:rPr>
                <w:rFonts w:hint="eastAsia" w:ascii="宋体" w:hAnsi="宋体" w:cs="宋体"/>
                <w:bCs/>
                <w:color w:val="auto"/>
                <w:szCs w:val="21"/>
                <w:highlight w:val="none"/>
                <w:lang w:val="en-US" w:eastAsia="zh-CN"/>
              </w:rPr>
            </w:pPr>
          </w:p>
        </w:tc>
      </w:tr>
      <w:tr w14:paraId="1F94C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1" w:hRule="atLeast"/>
          <w:jc w:val="center"/>
        </w:trPr>
        <w:tc>
          <w:tcPr>
            <w:tcW w:w="832" w:type="dxa"/>
            <w:vMerge w:val="continue"/>
            <w:shd w:val="clear" w:color="auto" w:fill="FFFFFF"/>
            <w:vAlign w:val="center"/>
          </w:tcPr>
          <w:p w14:paraId="146F8F1F">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Cs w:val="21"/>
                <w:highlight w:val="none"/>
              </w:rPr>
            </w:pPr>
          </w:p>
        </w:tc>
        <w:tc>
          <w:tcPr>
            <w:tcW w:w="1241" w:type="dxa"/>
            <w:gridSpan w:val="2"/>
            <w:shd w:val="clear" w:color="auto" w:fill="FFFFFF"/>
            <w:vAlign w:val="center"/>
          </w:tcPr>
          <w:p w14:paraId="250D6E8A">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hint="eastAsia"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数据服务平台</w:t>
            </w:r>
          </w:p>
        </w:tc>
        <w:tc>
          <w:tcPr>
            <w:tcW w:w="7705" w:type="dxa"/>
            <w:shd w:val="clear" w:color="auto" w:fill="FFFFFF"/>
            <w:vAlign w:val="center"/>
          </w:tcPr>
          <w:p w14:paraId="33E518E2">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hint="eastAsia" w:ascii="宋体" w:hAnsi="宋体" w:cs="宋体"/>
                <w:bCs/>
                <w:color w:val="auto"/>
                <w:szCs w:val="21"/>
                <w:highlight w:val="none"/>
              </w:rPr>
            </w:pPr>
            <w:r>
              <w:rPr>
                <w:rFonts w:hint="eastAsia" w:ascii="宋体" w:hAnsi="宋体" w:cs="宋体"/>
                <w:bCs/>
                <w:color w:val="auto"/>
                <w:szCs w:val="21"/>
                <w:highlight w:val="none"/>
              </w:rPr>
              <w:t>提供api管理功能：提供api的增删改操作，支持api的维护，包含API的ID、名称、数据源、SQL、限流等</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rPr>
              <w:t>支持按照API名称、状态，查询API。提供上线操作，支持API的上线。提供下线操作，支持API的下线。提供版本操作，支持查看API的版本，各版本下具体内容。提供测试操作，支持输入请求头参数、查询参数，调用接口，查看测试结果，支持清空测试结果；提供历次调用情况列表，支持查看调用情况。</w:t>
            </w:r>
          </w:p>
          <w:p w14:paraId="6EFB9959">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hint="eastAsia" w:ascii="宋体" w:hAnsi="宋体" w:cs="宋体"/>
                <w:bCs/>
                <w:color w:val="auto"/>
                <w:szCs w:val="21"/>
                <w:highlight w:val="none"/>
              </w:rPr>
            </w:pPr>
            <w:r>
              <w:rPr>
                <w:rFonts w:hint="eastAsia" w:ascii="宋体" w:hAnsi="宋体" w:cs="宋体"/>
                <w:bCs/>
                <w:color w:val="auto"/>
                <w:szCs w:val="21"/>
                <w:highlight w:val="none"/>
              </w:rPr>
              <w:t>提供api订阅功能：支持按照API名称、状态，查询API。提供批量新增订阅操作，支持快速订阅，通过一次操作，为多个订阅者，完成多个API的订阅。提供批量删除订阅操作，支持快速取消订阅，通过一次操作，将多个API的所有订阅取消。提供订阅列表操作，列出单一api的订阅者，支持新增订阅、取消订阅。提供取消订阅操作，支持将单一api的所有订阅一次性全部取消。</w:t>
            </w:r>
          </w:p>
          <w:p w14:paraId="5480C3A6">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hint="eastAsia" w:ascii="宋体" w:hAnsi="宋体" w:cs="宋体"/>
                <w:bCs/>
                <w:color w:val="auto"/>
                <w:szCs w:val="21"/>
                <w:highlight w:val="none"/>
              </w:rPr>
            </w:pPr>
            <w:r>
              <w:rPr>
                <w:rFonts w:hint="eastAsia" w:ascii="宋体" w:hAnsi="宋体" w:cs="宋体"/>
                <w:bCs/>
                <w:color w:val="auto"/>
                <w:szCs w:val="21"/>
                <w:highlight w:val="none"/>
              </w:rPr>
              <w:t>提供订阅者功能：支持按照订阅者ID或名称、状态，查询订阅者。提供增删改操作，支持维护订阅者，包含订阅者ID、订阅者名称、认证类型、描述。提供重置私钥操作，支持重置订阅者的私钥。提供一键设置订阅者状态的操作，支持快速设置订阅者状态。</w:t>
            </w:r>
          </w:p>
          <w:p w14:paraId="002F894E">
            <w:pPr>
              <w:keepNext w:val="0"/>
              <w:keepLines w:val="0"/>
              <w:pageBreakBefore w:val="0"/>
              <w:numPr>
                <w:ilvl w:val="0"/>
                <w:numId w:val="74"/>
              </w:numPr>
              <w:tabs>
                <w:tab w:val="left" w:pos="525"/>
                <w:tab w:val="left" w:pos="630"/>
              </w:tabs>
              <w:kinsoku/>
              <w:wordWrap/>
              <w:overflowPunct/>
              <w:topLinePunct w:val="0"/>
              <w:autoSpaceDE/>
              <w:autoSpaceDN/>
              <w:bidi w:val="0"/>
              <w:adjustRightInd w:val="0"/>
              <w:snapToGrid w:val="0"/>
              <w:spacing w:line="360" w:lineRule="auto"/>
              <w:ind w:left="420" w:hanging="420"/>
              <w:jc w:val="left"/>
              <w:textAlignment w:val="auto"/>
              <w:rPr>
                <w:rFonts w:hint="eastAsia" w:ascii="宋体" w:hAnsi="宋体" w:cs="宋体"/>
                <w:bCs/>
                <w:color w:val="auto"/>
                <w:szCs w:val="21"/>
                <w:highlight w:val="none"/>
                <w:lang w:val="en-US" w:eastAsia="zh-CN"/>
              </w:rPr>
            </w:pPr>
            <w:r>
              <w:rPr>
                <w:rFonts w:hint="eastAsia" w:ascii="宋体" w:hAnsi="宋体" w:cs="宋体"/>
                <w:bCs/>
                <w:color w:val="auto"/>
                <w:szCs w:val="21"/>
                <w:highlight w:val="none"/>
              </w:rPr>
              <w:t>提供数据安全功能：支持按照数据源、数据表，查询设置的数据安全内容。提供增删改操作，支持数据安全的维护，包含选择表、选择字段、开启脱敏状态。</w:t>
            </w:r>
          </w:p>
        </w:tc>
      </w:tr>
      <w:tr w14:paraId="7764D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32" w:type="dxa"/>
            <w:vMerge w:val="continue"/>
            <w:shd w:val="clear" w:color="auto" w:fill="FFFFFF"/>
            <w:vAlign w:val="center"/>
          </w:tcPr>
          <w:p w14:paraId="428608BA">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Cs w:val="21"/>
                <w:highlight w:val="none"/>
              </w:rPr>
            </w:pPr>
          </w:p>
        </w:tc>
        <w:tc>
          <w:tcPr>
            <w:tcW w:w="8946" w:type="dxa"/>
            <w:gridSpan w:val="3"/>
            <w:shd w:val="clear" w:color="auto" w:fill="FFFFFF"/>
            <w:vAlign w:val="center"/>
          </w:tcPr>
          <w:p w14:paraId="3719E4A1">
            <w:pPr>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olor w:val="auto"/>
                <w:sz w:val="20"/>
                <w:szCs w:val="20"/>
                <w:highlight w:val="none"/>
              </w:rPr>
            </w:pPr>
            <w:r>
              <w:rPr>
                <w:rFonts w:hint="eastAsia" w:ascii="宋体" w:hAnsi="宋体"/>
                <w:color w:val="auto"/>
                <w:sz w:val="20"/>
                <w:szCs w:val="20"/>
                <w:highlight w:val="none"/>
              </w:rPr>
              <w:t>临床数据应用</w:t>
            </w:r>
          </w:p>
        </w:tc>
      </w:tr>
      <w:tr w14:paraId="41E18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6" w:hRule="atLeast"/>
          <w:jc w:val="center"/>
        </w:trPr>
        <w:tc>
          <w:tcPr>
            <w:tcW w:w="832" w:type="dxa"/>
            <w:vMerge w:val="continue"/>
            <w:shd w:val="clear" w:color="auto" w:fill="FFFFFF"/>
            <w:vAlign w:val="center"/>
          </w:tcPr>
          <w:p w14:paraId="71E49755">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Cs w:val="21"/>
                <w:highlight w:val="none"/>
              </w:rPr>
            </w:pPr>
          </w:p>
        </w:tc>
        <w:tc>
          <w:tcPr>
            <w:tcW w:w="1241" w:type="dxa"/>
            <w:gridSpan w:val="2"/>
            <w:shd w:val="clear" w:color="auto" w:fill="FFFFFF"/>
            <w:vAlign w:val="center"/>
          </w:tcPr>
          <w:p w14:paraId="698E7D1B">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患者全息视图</w:t>
            </w:r>
          </w:p>
        </w:tc>
        <w:tc>
          <w:tcPr>
            <w:tcW w:w="7705" w:type="dxa"/>
            <w:shd w:val="clear" w:color="auto" w:fill="FFFFFF"/>
            <w:vAlign w:val="center"/>
          </w:tcPr>
          <w:p w14:paraId="1A625DF0">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病历夹视图：满足医护人员查看纸质病历的习惯，参照卫生行业标准《电子病历基本数据集》，制定出以病历夹的方式按照病历类型展现电子病历文档的视图</w:t>
            </w:r>
          </w:p>
          <w:p w14:paraId="4ABA6D98">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概览视图：展示患者基本信息、病人史、就诊记录等概要信息，并可切换查看其他视图</w:t>
            </w:r>
          </w:p>
          <w:p w14:paraId="6D0B3CE7">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就诊视图：可查询患者所有就诊记录，展示就诊记录时间轴及相关文书、病历、报告、医嘱等文书的阅览、对比</w:t>
            </w:r>
          </w:p>
          <w:p w14:paraId="632C5E34">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人体视图：以人体图（正反面）形象的展示不同部位的疾病及相关就诊记录，对需要详细查看的就诊记录点击跳转对应的门诊或住院视图</w:t>
            </w:r>
          </w:p>
          <w:p w14:paraId="3826ED7F">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门诊视图：展示门诊类型的单次就诊记录相关的文书、病历、报告、医嘱等的阅览、对比，并可切换查看患者所有门诊就诊记录相关的文书</w:t>
            </w:r>
          </w:p>
          <w:p w14:paraId="4871FD99">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住院视图：以时序的方式展示患者整个某次住院过程每天的体征信息及文书、病历、报告、医嘱等的阅览、对比</w:t>
            </w:r>
          </w:p>
          <w:p w14:paraId="2F9BEB67">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lang w:val="en-US" w:eastAsia="zh-CN"/>
              </w:rPr>
              <w:t>诊断视图:</w:t>
            </w:r>
            <w:r>
              <w:rPr>
                <w:rFonts w:hint="eastAsia" w:ascii="宋体" w:hAnsi="宋体" w:cs="宋体"/>
                <w:bCs/>
                <w:color w:val="auto"/>
                <w:szCs w:val="21"/>
                <w:highlight w:val="none"/>
              </w:rPr>
              <w:t>系统应支持按就诊类型（如门诊、急诊、住院、日间）、诊断时间对诊断信息进行筛选</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rPr>
              <w:t>用户可以按照不同诊断类型（如门诊诊断、急诊诊断、入院诊断、初步诊断等）查看对应的诊断数量，以了解各类诊断的分布情况；系统应支持查看诊断明细信息，包括诊断时间、是否为主要诊断、诊断名称、ICD编码、诊断顺位、诊断类型、以及做出诊断的医生</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rPr>
              <w:t>系统应支持筛选主要诊断，以便用户在不关注其他诊断的情况下，查看主要诊断的详细信息；系统应支持点击特定诊断，联动打开患者的诊疗画；</w:t>
            </w:r>
          </w:p>
          <w:p w14:paraId="1C0CC1B7">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lang w:val="en-US" w:eastAsia="zh-CN"/>
              </w:rPr>
              <w:t>检查视图;</w:t>
            </w:r>
            <w:r>
              <w:rPr>
                <w:rFonts w:hint="eastAsia" w:ascii="宋体" w:hAnsi="宋体" w:cs="宋体"/>
                <w:bCs/>
                <w:color w:val="auto"/>
                <w:szCs w:val="21"/>
                <w:highlight w:val="none"/>
              </w:rPr>
              <w:t>系统应支持按就诊类型、就诊记录、报告单名称及报告时间等多维度对报告视图内容进行检索；系统需实现申请单与报告间的关联关系展示，便于用户通过申请单快速查看对应的报告视图；系统应支持按照报告类型对报告视图进行分类展示，如放射、CT、病理、超声；系统需展示完整的检查申请单信息，包括申请单号、检查项目名称、主诊断、开单时间、开单医生及开单科室；系统应详细展示检查报告内容，包括报告审核时间、检查医生、审核医生、结果标识、检查部位、临床诊断、检查所见及检查结论；系统需支持与第三方平台无缝对接，实现报告关联的影像及图文报告文件的便捷查看；对已打通区域集成的医院，系统应支持调阅查看患者的院外报告，实现医疗资源的跨区域共享；支持在同屏直接查看当前检查报告的闭环轴视图；</w:t>
            </w:r>
          </w:p>
          <w:p w14:paraId="309F7517">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lang w:val="en-US" w:eastAsia="zh-CN"/>
              </w:rPr>
              <w:t>检验视图：</w:t>
            </w:r>
            <w:r>
              <w:rPr>
                <w:rFonts w:hint="eastAsia" w:ascii="宋体" w:hAnsi="宋体" w:cs="宋体"/>
                <w:bCs/>
                <w:color w:val="auto"/>
                <w:szCs w:val="21"/>
                <w:highlight w:val="none"/>
              </w:rPr>
              <w:t>系统应支持按就诊类型、报告单名称及报告时间等多维度对报告视图内容进行检索；申请单与报告关联：系统需实现申请单与报告间的关联关系展示，便于用户通过申请单快速查看对应的报告视图；系统应支持按照报告单对报告视图进行分类展示，如血常规、尿常规等；系统需展示完整的检验申请单信息，包括申请单号、检验项目名称、标本、主要诊断、开单时间、开单医生及开单科室；系统应详细展示检验报告内容，包括报告日期、检验医生、审核医生、结果标识；系统应详细展示检验报告结果明细信息，包括项目名称、结果、单位、参考值、标志；系统支持对检验结果异常或危急状态进行标识，并支持将其作为条件用于结果筛选；系统应支持自动生成检验项目的趋势图，并能够以趋势图和表格组合的模式详细展示检验项目的明细信息。在趋势图界面中，系统应支持用户指定节点（如特定时间点或检验项目值）来查看与该节点关联的用药信息，帮助医生了解指标变化与用药之间的关系；对已打通区域集成的医院，系统应支持调阅查看患者的院外报告，实现医疗资源的跨区域共享；支持在同屏直接查看当前检验报告的闭环轴视图；</w:t>
            </w:r>
          </w:p>
          <w:p w14:paraId="7453EB6B">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lang w:val="en-US" w:eastAsia="zh-CN"/>
              </w:rPr>
              <w:t>危急值视图：</w:t>
            </w:r>
            <w:r>
              <w:rPr>
                <w:rFonts w:hint="eastAsia" w:ascii="宋体" w:hAnsi="宋体" w:cs="宋体"/>
                <w:bCs/>
                <w:color w:val="auto"/>
                <w:szCs w:val="21"/>
                <w:highlight w:val="none"/>
              </w:rPr>
              <w:t>系统应支持按就诊类型（如门诊、急诊、住院、日间）、报告分类（检验、检查、病理）、项目名称以及报告时间对危急值信息进行筛选；用户可以按照时间先后顺序查看产生的危急值项目，包括危急值提醒内容、推送时间及关联的报告信息；系统应提供查看危急值处理意见及处理人的功能；系统应采用趋势图和表格组合的模式，详细展示危急值项目的明细信息，包括项目名称、结果值、单位、参考范围以及样本等；在趋势图展示中，系统应能标记正常区间，以便用户直观查阅危急值项目的偏离情况；系统应支持查看危急值关联的病程记录，帮助用户了解患者的病情变化和治疗过程；对于已实现区域集成的医院，系统应支持调阅查看患者的院外危急值报告；系统应支持在同屏直接查看当前危急值报告的闭环轴视图；</w:t>
            </w:r>
          </w:p>
          <w:p w14:paraId="652DA917">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lang w:val="en-US" w:eastAsia="zh-CN"/>
              </w:rPr>
              <w:t>用药视图：</w:t>
            </w:r>
            <w:r>
              <w:rPr>
                <w:rFonts w:hint="eastAsia" w:ascii="宋体" w:hAnsi="宋体" w:cs="宋体"/>
                <w:bCs/>
                <w:color w:val="auto"/>
                <w:szCs w:val="21"/>
                <w:highlight w:val="none"/>
              </w:rPr>
              <w:t>系统应支持按就诊类型（如门诊/急诊/住院/日间）、医嘱类型（长/临）对用药信息进行筛选。用户可以按照药品分类查看产生的用药明细信息，包括静脉用药、口服用药、其他用药；系统应提供详尽的用药信息展示功能，包括开始时间、医嘱内容、医嘱类型（长期、临时）、医嘱状态（如已执行、待执行、已取消等）、开药医师等关键信息；系统应支持按医嘱开始时间对用药信息进行排序，以便用户查看特定时间段内的用药情况。系统应支持对药品信息中的主医嘱、子医嘱进行标记，以便区分不同级别的医嘱；系统应支持过滤溶媒类药品，以便查看患者实际使用的治疗性药品；系统应支持在同屏直接查看药品的闭环轴视图；系统应对长期医嘱和临时医嘱的闭环进行差异化展示；</w:t>
            </w:r>
          </w:p>
          <w:p w14:paraId="2F67EAB8">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lang w:val="en-US" w:eastAsia="zh-CN"/>
              </w:rPr>
              <w:t>手术视图：</w:t>
            </w:r>
            <w:r>
              <w:rPr>
                <w:rFonts w:hint="eastAsia" w:ascii="宋体" w:hAnsi="宋体" w:cs="宋体"/>
                <w:bCs/>
                <w:color w:val="auto"/>
                <w:szCs w:val="21"/>
                <w:highlight w:val="none"/>
              </w:rPr>
              <w:t>系统应支持按就诊类型（如门诊、急诊、住院、日间）、手术时间对手术信息进行筛选。用户可以按照手术日期查看关联的手术明细信息，包括但不限于手术日期、手术等级、主刀医师、手术名称、有无并发症、切口愈合等级等关键信息；系统应支持查看对应手术关联的术前资料，包括术前讨论、手术申请、麻醉前谈话、手术安全核查表；系统应支持查看术中质量相关的手麻文书；系统应支持查看术后资料，包括手术记录、术后首次病程；系统应支持按照医院要求对各阶段的文书进行配置；系统应支持查看手术前后指标的对比，以便用户评估手术效果和患者恢复情况；系统应支持查看术后就诊信息，以便用户跟踪患者的术后恢复情况；系统应支持在同屏直接查看手术的闭环轴视图；</w:t>
            </w:r>
          </w:p>
          <w:p w14:paraId="32ED7755">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lang w:val="en-US" w:eastAsia="zh-CN"/>
              </w:rPr>
              <w:t>会诊视图：</w:t>
            </w:r>
            <w:r>
              <w:rPr>
                <w:rFonts w:hint="eastAsia" w:ascii="宋体" w:hAnsi="宋体" w:cs="宋体"/>
                <w:bCs/>
                <w:color w:val="auto"/>
                <w:szCs w:val="21"/>
                <w:highlight w:val="none"/>
              </w:rPr>
              <w:t>支持按照会诊类型（加急、普通、MDT等）和会诊时间对患者会诊信息进行筛选查询；支持查看不同会诊类型下的会诊次数；支持查看会诊明细信息，包括申请信息、申请科室、会诊科室；支持查看会诊相关的文书，包括会诊申请单和会诊报告单；支持同屏查看会诊闭环轴信息；</w:t>
            </w:r>
          </w:p>
          <w:p w14:paraId="090FA8B9">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lang w:val="en-US" w:eastAsia="zh-CN"/>
              </w:rPr>
              <w:t>护理视图：</w:t>
            </w:r>
            <w:r>
              <w:rPr>
                <w:rFonts w:hint="eastAsia" w:ascii="宋体" w:hAnsi="宋体" w:cs="宋体"/>
                <w:bCs/>
                <w:color w:val="auto"/>
                <w:szCs w:val="21"/>
                <w:highlight w:val="none"/>
              </w:rPr>
              <w:t>系统应支持按就诊时间对患者护理信息进行筛选。用户可以按照护理文书类型（如体温单、记录单、重症监护文书等）查看关联的护理文书信息；对于体温单，系统应提供列表和趋势两种查看形式，以满足用户不同的查看需求。列表形式应清晰展示体温、脉搏、呼吸等关键数据，便于用户进行数据分析</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rPr>
              <w:t>用户可以选择查看近七天或近十四天的体温单数据，系统应提供按钮或滑动界面，允许用户轻松切换上一周或下一周的数据；系统应支持查看不同类型的护理文书，包括但不限于各类评估单、观察量表等。这些护理文书的查看样式应与源系统样式保持一致；支持与医院现有护理系统对接，直接以外挂形式集成源系统的页面；</w:t>
            </w:r>
          </w:p>
          <w:p w14:paraId="73D32586">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lang w:val="en-US" w:eastAsia="zh-CN"/>
              </w:rPr>
              <w:t>输血视图：</w:t>
            </w:r>
            <w:r>
              <w:rPr>
                <w:rFonts w:hint="eastAsia" w:ascii="宋体" w:hAnsi="宋体" w:cs="宋体"/>
                <w:bCs/>
                <w:color w:val="auto"/>
                <w:szCs w:val="21"/>
                <w:highlight w:val="none"/>
              </w:rPr>
              <w:t>系统应支持按输血成分（如红细胞、血浆、血小板等）和输血申请时间对患者输血信息进行筛选，以便用户快速定位到特定的输血记录。对于筛选出的输血记录，系统应详细展示输血明细信息，包括申请信息：输血成分、血液品种编码、患者血型等关键信息。配血信息：配血时间、血袋代码、配血量等配血过程中的详细信息。输血执行信息：接收时间、开始时间、结束时间等输血执行过程中的关键时间点。系统应支持指定输血信息查看其关联的文书信息，包括输血申请单、输血病程记录、输血同意书、输血巡回记录等关键文书；系统应支持指定输血记录查看输血前后指标的对比，如血红蛋白浓度、红细胞压积等关键指标的变化情况；系统应支持在同屏直接查看输血的闭环轴视图；</w:t>
            </w:r>
          </w:p>
          <w:p w14:paraId="4DA2BC77">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lang w:val="en-US" w:eastAsia="zh-CN"/>
              </w:rPr>
              <w:t>治疗视图：</w:t>
            </w:r>
            <w:r>
              <w:rPr>
                <w:rFonts w:hint="eastAsia" w:ascii="宋体" w:hAnsi="宋体" w:cs="宋体"/>
                <w:bCs/>
                <w:color w:val="auto"/>
                <w:szCs w:val="21"/>
                <w:highlight w:val="none"/>
              </w:rPr>
              <w:t>系统应支持按照治疗时间对患者治疗信息进行筛选；系统应支持按照不同的治疗类型（如针灸、推拿、康复等）来展示治疗项目的次数及明细信息。系统应支持通过治疗医嘱与治疗记录的关联模式来查看治疗信息；医嘱信息应包括：下达时间、医嘱内容、执行频率、预计治疗次数等关键信息。治疗记录应包括：治疗状态（如进行中、已完成、取消等）、预约时间、实际治疗时间、治疗科室、治疗医生等详细信息。治疗状态应明确体现预计治疗次数和已经完成的治疗次数，便于用户了解治疗进度；系统应支持查看治疗记录关联的相关治疗文书，如治疗记录文书、治疗计划等。系统应支持治疗状态的实时更新与反馈，确保治疗记录中的治疗状态能够准确反映患者的实际治疗情况。</w:t>
            </w:r>
          </w:p>
          <w:p w14:paraId="581AB5F7">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病历视图：以病历文书分类为目录，展示病人相关的所有病历文书</w:t>
            </w:r>
          </w:p>
          <w:p w14:paraId="13C3A757">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全息病历模板：病历模版可进行模版分类的维护、模版样式的维护，控制模版的启用</w:t>
            </w:r>
          </w:p>
          <w:p w14:paraId="53F76994">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全息病历目录：对视图下的菜单进行分层维护，菜单可分两层，可维护菜单名称、菜单模版、菜单顺序、菜单内容显示顺序</w:t>
            </w:r>
          </w:p>
          <w:p w14:paraId="559A3CB7">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病历目录权限：对不同的系统域以及不同的角色分别配置不同的视图访问权限；配置系统控制按钮的使用权限，以及机构信息</w:t>
            </w:r>
          </w:p>
          <w:p w14:paraId="19180C2E">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全息视图访问统计：将系统的访问量通过图形化的形式进行展示，可以更直观的掌握系统的使用情况</w:t>
            </w:r>
          </w:p>
          <w:p w14:paraId="4A97F011">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系统参数配置：对系统的公用参数进行统一配置管理</w:t>
            </w:r>
          </w:p>
          <w:p w14:paraId="1CF976C5">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lang w:val="en-US" w:eastAsia="zh-CN"/>
              </w:rPr>
              <w:t>视图DIY管理：</w:t>
            </w:r>
            <w:r>
              <w:rPr>
                <w:rFonts w:hint="eastAsia" w:ascii="宋体" w:hAnsi="宋体" w:cs="宋体"/>
                <w:bCs/>
                <w:color w:val="auto"/>
                <w:szCs w:val="21"/>
                <w:highlight w:val="none"/>
              </w:rPr>
              <w:t>系统需具备强大的视图自定义功能，允许用户根据自身需求，灵活定义所需展示的项目；自定义项目应包括但不限于院区信息、关注的医疗项目信息（如检验、检查、手术、体征、药品、治疗、输血、会诊等）；DIY呈现的页面应支持同屏展示，并能以趋势图和标签等方式组合展示，方便用户快速获取当前患者的个性化专病诊疗信息及变化趋势；用户应能直观查看到特定指标的变化趋势与用药之间的关联关系、特定手术影响下的指标变化情况以及输血治疗疗效等关键信息；系统应支持用户对定义的DIY界面进行保存操作，以便后续快速调用和查看；系统应提供丰富的资源池，供用户快捷选择。资源池内容应包括专病资源池、专科资源池以及用户个人保存的资源池；系统应支持对用户收藏的资源进行统一管理，方便用户随时查看和调用；</w:t>
            </w:r>
          </w:p>
          <w:p w14:paraId="195456AE">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lang w:val="en-US" w:eastAsia="zh-CN"/>
              </w:rPr>
              <w:t>闭环视图管理：支持药品闭环、输血闭环、检查闭环、检验闭环、会诊闭环、危急值闭环等闭环视图展示；</w:t>
            </w:r>
            <w:r>
              <w:rPr>
                <w:rFonts w:hint="eastAsia" w:ascii="宋体" w:hAnsi="宋体" w:cs="宋体"/>
                <w:bCs/>
                <w:color w:val="auto"/>
                <w:szCs w:val="21"/>
                <w:highlight w:val="none"/>
              </w:rPr>
              <w:t>闭环流程配置实现闭环展示的可配置化，维护各种类型闭环的流程节点配置。每条业务的闭环环节显示可配置，用户根据医院的场景和要配置节点</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rPr>
              <w:t>闭环时间轴视图可供业务系统调用，在医生站、护士站等选择某条医嘱弹窗显示</w:t>
            </w:r>
            <w:r>
              <w:rPr>
                <w:rFonts w:hint="eastAsia" w:ascii="宋体" w:hAnsi="宋体" w:cs="宋体"/>
                <w:bCs/>
                <w:color w:val="auto"/>
                <w:szCs w:val="21"/>
                <w:highlight w:val="none"/>
                <w:lang w:eastAsia="zh-CN"/>
              </w:rPr>
              <w:t>；</w:t>
            </w:r>
          </w:p>
        </w:tc>
      </w:tr>
      <w:tr w14:paraId="168B9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832" w:type="dxa"/>
            <w:vMerge w:val="continue"/>
            <w:shd w:val="clear" w:color="auto" w:fill="FFFFFF"/>
            <w:vAlign w:val="center"/>
          </w:tcPr>
          <w:p w14:paraId="0519F694">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Cs w:val="21"/>
                <w:highlight w:val="none"/>
              </w:rPr>
            </w:pPr>
          </w:p>
        </w:tc>
        <w:tc>
          <w:tcPr>
            <w:tcW w:w="1241" w:type="dxa"/>
            <w:gridSpan w:val="2"/>
            <w:shd w:val="clear" w:color="auto" w:fill="FFFFFF"/>
            <w:vAlign w:val="center"/>
          </w:tcPr>
          <w:p w14:paraId="50154563">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临床专科视图</w:t>
            </w:r>
          </w:p>
        </w:tc>
        <w:tc>
          <w:tcPr>
            <w:tcW w:w="7705" w:type="dxa"/>
            <w:shd w:val="clear" w:color="auto" w:fill="FFFFFF"/>
            <w:vAlign w:val="center"/>
          </w:tcPr>
          <w:p w14:paraId="5B13B497">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临床专科视图一是减少病历信息过载情况的发生，二是突出显示重要的病历信息，以防止重要信息被忽略。</w:t>
            </w:r>
          </w:p>
          <w:p w14:paraId="1E03E597">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根据不同科室、不同病种，将该科室的医务人员对于该病种需要关注的患者健康状况聚集在一个视图中。临床专科视图基于配置组件，满足医护人员对患者重点信息的聚焦和对病情变化的实时掌握。</w:t>
            </w:r>
          </w:p>
        </w:tc>
      </w:tr>
      <w:tr w14:paraId="71242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32" w:type="dxa"/>
            <w:vMerge w:val="continue"/>
            <w:shd w:val="clear" w:color="auto" w:fill="FFFFFF"/>
            <w:vAlign w:val="center"/>
          </w:tcPr>
          <w:p w14:paraId="0463DE94">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Cs w:val="21"/>
                <w:highlight w:val="none"/>
              </w:rPr>
            </w:pPr>
          </w:p>
        </w:tc>
        <w:tc>
          <w:tcPr>
            <w:tcW w:w="8946" w:type="dxa"/>
            <w:gridSpan w:val="3"/>
            <w:shd w:val="clear" w:color="auto" w:fill="FFFFFF"/>
            <w:vAlign w:val="center"/>
          </w:tcPr>
          <w:p w14:paraId="065E77BC">
            <w:pPr>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olor w:val="auto"/>
                <w:sz w:val="20"/>
                <w:szCs w:val="20"/>
                <w:highlight w:val="none"/>
              </w:rPr>
            </w:pPr>
            <w:r>
              <w:rPr>
                <w:rFonts w:hint="eastAsia" w:ascii="宋体" w:hAnsi="宋体"/>
                <w:color w:val="auto"/>
                <w:sz w:val="20"/>
                <w:szCs w:val="20"/>
                <w:highlight w:val="none"/>
              </w:rPr>
              <w:t>管理数据中心</w:t>
            </w:r>
            <w:r>
              <w:rPr>
                <w:rFonts w:hint="eastAsia" w:ascii="宋体" w:hAnsi="宋体"/>
                <w:color w:val="auto"/>
                <w:sz w:val="20"/>
                <w:szCs w:val="20"/>
                <w:highlight w:val="none"/>
                <w:lang w:eastAsia="zh-CN"/>
              </w:rPr>
              <w:t>（</w:t>
            </w:r>
            <w:r>
              <w:rPr>
                <w:rFonts w:hint="eastAsia" w:ascii="宋体" w:hAnsi="宋体"/>
                <w:color w:val="auto"/>
                <w:sz w:val="20"/>
                <w:szCs w:val="20"/>
                <w:highlight w:val="none"/>
                <w:lang w:val="en-US" w:eastAsia="zh-CN"/>
              </w:rPr>
              <w:t>与数据湖对接</w:t>
            </w:r>
            <w:r>
              <w:rPr>
                <w:rFonts w:hint="eastAsia" w:ascii="宋体" w:hAnsi="宋体"/>
                <w:color w:val="auto"/>
                <w:sz w:val="20"/>
                <w:szCs w:val="20"/>
                <w:highlight w:val="none"/>
                <w:lang w:eastAsia="zh-CN"/>
              </w:rPr>
              <w:t>）</w:t>
            </w:r>
          </w:p>
        </w:tc>
      </w:tr>
      <w:tr w14:paraId="74024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5" w:hRule="atLeast"/>
          <w:jc w:val="center"/>
        </w:trPr>
        <w:tc>
          <w:tcPr>
            <w:tcW w:w="832" w:type="dxa"/>
            <w:vMerge w:val="continue"/>
            <w:shd w:val="clear" w:color="auto" w:fill="FFFFFF"/>
            <w:vAlign w:val="center"/>
          </w:tcPr>
          <w:p w14:paraId="1237E330">
            <w:pPr>
              <w:keepNext w:val="0"/>
              <w:keepLines w:val="0"/>
              <w:pageBreakBefore w:val="0"/>
              <w:numPr>
                <w:ilvl w:val="0"/>
                <w:numId w:val="15"/>
              </w:numPr>
              <w:kinsoku/>
              <w:wordWrap/>
              <w:overflowPunct/>
              <w:topLinePunct w:val="0"/>
              <w:autoSpaceDE/>
              <w:autoSpaceDN/>
              <w:bidi w:val="0"/>
              <w:adjustRightInd w:val="0"/>
              <w:snapToGrid w:val="0"/>
              <w:spacing w:line="360" w:lineRule="auto"/>
              <w:jc w:val="left"/>
              <w:textAlignment w:val="auto"/>
              <w:rPr>
                <w:rFonts w:ascii="宋体" w:hAnsi="宋体" w:cs="宋体"/>
                <w:color w:val="auto"/>
                <w:szCs w:val="21"/>
                <w:highlight w:val="none"/>
              </w:rPr>
            </w:pPr>
          </w:p>
        </w:tc>
        <w:tc>
          <w:tcPr>
            <w:tcW w:w="1241" w:type="dxa"/>
            <w:gridSpan w:val="2"/>
            <w:shd w:val="clear" w:color="auto" w:fill="FFFFFF"/>
            <w:vAlign w:val="center"/>
          </w:tcPr>
          <w:p w14:paraId="051375FE">
            <w:pPr>
              <w:keepNext w:val="0"/>
              <w:keepLines w:val="0"/>
              <w:pageBreakBefore w:val="0"/>
              <w:numPr>
                <w:ilvl w:val="2"/>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管理运营数据中心（MDR）</w:t>
            </w:r>
          </w:p>
        </w:tc>
        <w:tc>
          <w:tcPr>
            <w:tcW w:w="7705" w:type="dxa"/>
            <w:shd w:val="clear" w:color="auto" w:fill="FFFFFF"/>
            <w:vAlign w:val="center"/>
          </w:tcPr>
          <w:p w14:paraId="56A244AC">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数据建模：管理指标数据库内集中存放着经过标准化处理以后形成的、按管理主题门类组织的标准管理指标数据信息，管理指标数据是按照统一的口径将业务数据库的清洗汇总后形成的。管理指标数据库可用于医疗综合管理、质量监测、绩效考核和成本核算等应用。</w:t>
            </w:r>
          </w:p>
          <w:p w14:paraId="2A316B8E">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指标中心：指标中心的维度表示指标的统计维度。目前指标中心的维度库中包括时间、地科室、人员、手术、药品、疾病等等维度。支持对维度的增加、修改、删除操作，支持对每个维度中维度字典项的增加、修改、删除操作。</w:t>
            </w:r>
          </w:p>
          <w:p w14:paraId="44F7DDBC">
            <w:pPr>
              <w:keepNext w:val="0"/>
              <w:keepLines w:val="0"/>
              <w:pageBreakBefore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数据采集：数据采集是对指标库中指定的指标数据进行业务数据采集，指标中心对指标和指标的统计维度进行维护，并将两者进行关联，以在后续的数据采集和指标数据展示中使用。实现面对复杂的医疗环境中不同的业务系统数据来源实现数据的汇聚，支持通过表、视图、存储过程等方式，满足汇总数据准实时的要求</w:t>
            </w:r>
          </w:p>
        </w:tc>
      </w:tr>
    </w:tbl>
    <w:p w14:paraId="7E3D091C">
      <w:pPr>
        <w:pStyle w:val="58"/>
        <w:ind w:firstLine="0" w:firstLineChars="0"/>
        <w:rPr>
          <w:rFonts w:ascii="宋体" w:hAnsi="宋体"/>
          <w:color w:val="auto"/>
          <w:highlight w:val="none"/>
        </w:rPr>
      </w:pPr>
    </w:p>
    <w:p w14:paraId="3EC99BA6">
      <w:pPr>
        <w:pStyle w:val="3"/>
        <w:bidi w:val="0"/>
        <w:rPr>
          <w:rFonts w:hint="eastAsia"/>
        </w:rPr>
      </w:pPr>
      <w:bookmarkStart w:id="195" w:name="_Toc6112"/>
      <w:bookmarkStart w:id="196" w:name="_Toc12176"/>
      <w:bookmarkStart w:id="197" w:name="_Toc561"/>
      <w:bookmarkStart w:id="198" w:name="_Toc26572"/>
      <w:bookmarkStart w:id="199" w:name="_Toc690"/>
      <w:r>
        <w:rPr>
          <w:rFonts w:hint="eastAsia"/>
          <w:lang w:val="en-US" w:eastAsia="zh-CN"/>
        </w:rPr>
        <w:t>病理送检</w:t>
      </w:r>
      <w:r>
        <w:rPr>
          <w:rFonts w:hint="eastAsia"/>
        </w:rPr>
        <w:t>系统</w:t>
      </w:r>
      <w:bookmarkEnd w:id="195"/>
      <w:bookmarkEnd w:id="196"/>
      <w:bookmarkEnd w:id="197"/>
      <w:bookmarkEnd w:id="198"/>
      <w:bookmarkEnd w:id="199"/>
    </w:p>
    <w:tbl>
      <w:tblPr>
        <w:tblStyle w:val="46"/>
        <w:tblW w:w="9859" w:type="dxa"/>
        <w:jc w:val="center"/>
        <w:tblLayout w:type="fixed"/>
        <w:tblCellMar>
          <w:top w:w="0" w:type="dxa"/>
          <w:left w:w="108" w:type="dxa"/>
          <w:bottom w:w="0" w:type="dxa"/>
          <w:right w:w="108" w:type="dxa"/>
        </w:tblCellMar>
      </w:tblPr>
      <w:tblGrid>
        <w:gridCol w:w="1762"/>
        <w:gridCol w:w="944"/>
        <w:gridCol w:w="7153"/>
      </w:tblGrid>
      <w:tr w14:paraId="18C9CFF9">
        <w:tblPrEx>
          <w:tblCellMar>
            <w:top w:w="0" w:type="dxa"/>
            <w:left w:w="108" w:type="dxa"/>
            <w:bottom w:w="0" w:type="dxa"/>
            <w:right w:w="108" w:type="dxa"/>
          </w:tblCellMar>
        </w:tblPrEx>
        <w:trPr>
          <w:trHeight w:val="420" w:hRule="atLeast"/>
          <w:jc w:val="center"/>
        </w:trPr>
        <w:tc>
          <w:tcPr>
            <w:tcW w:w="1762" w:type="dxa"/>
            <w:tcBorders>
              <w:top w:val="single" w:color="auto" w:sz="8" w:space="0"/>
              <w:left w:val="single" w:color="auto" w:sz="8" w:space="0"/>
              <w:bottom w:val="single" w:color="auto" w:sz="8" w:space="0"/>
              <w:right w:val="single" w:color="auto" w:sz="8" w:space="0"/>
            </w:tcBorders>
            <w:noWrap w:val="0"/>
            <w:vAlign w:val="center"/>
          </w:tcPr>
          <w:p w14:paraId="19A9C583">
            <w:pPr>
              <w:keepNext w:val="0"/>
              <w:keepLines w:val="0"/>
              <w:pageBreakBefore w:val="0"/>
              <w:widowControl/>
              <w:kinsoku/>
              <w:wordWrap/>
              <w:overflowPunct/>
              <w:topLinePunct w:val="0"/>
              <w:autoSpaceDE/>
              <w:autoSpaceDN/>
              <w:bidi w:val="0"/>
              <w:snapToGrid/>
              <w:spacing w:line="312" w:lineRule="auto"/>
              <w:jc w:val="center"/>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rPr>
              <w:t>需求名称</w:t>
            </w:r>
          </w:p>
        </w:tc>
        <w:tc>
          <w:tcPr>
            <w:tcW w:w="944" w:type="dxa"/>
            <w:tcBorders>
              <w:top w:val="single" w:color="auto" w:sz="8" w:space="0"/>
              <w:left w:val="nil"/>
              <w:bottom w:val="single" w:color="auto" w:sz="8" w:space="0"/>
              <w:right w:val="single" w:color="auto" w:sz="8" w:space="0"/>
            </w:tcBorders>
            <w:noWrap w:val="0"/>
            <w:vAlign w:val="center"/>
          </w:tcPr>
          <w:p w14:paraId="34D669B9">
            <w:pPr>
              <w:keepNext w:val="0"/>
              <w:keepLines w:val="0"/>
              <w:pageBreakBefore w:val="0"/>
              <w:widowControl/>
              <w:kinsoku/>
              <w:wordWrap/>
              <w:overflowPunct/>
              <w:topLinePunct w:val="0"/>
              <w:autoSpaceDE/>
              <w:autoSpaceDN/>
              <w:bidi w:val="0"/>
              <w:snapToGrid/>
              <w:spacing w:line="312" w:lineRule="auto"/>
              <w:jc w:val="center"/>
              <w:rPr>
                <w:rFonts w:ascii="宋体" w:hAnsi="宋体" w:cs="宋体"/>
                <w:b/>
                <w:bCs/>
                <w:color w:val="auto"/>
                <w:kern w:val="0"/>
                <w:szCs w:val="21"/>
              </w:rPr>
            </w:pPr>
            <w:r>
              <w:rPr>
                <w:rFonts w:hint="eastAsia" w:ascii="宋体" w:hAnsi="宋体" w:cs="宋体"/>
                <w:b/>
                <w:bCs/>
                <w:color w:val="auto"/>
                <w:kern w:val="0"/>
                <w:szCs w:val="21"/>
              </w:rPr>
              <w:t>序号</w:t>
            </w:r>
          </w:p>
        </w:tc>
        <w:tc>
          <w:tcPr>
            <w:tcW w:w="7153" w:type="dxa"/>
            <w:tcBorders>
              <w:top w:val="single" w:color="auto" w:sz="8" w:space="0"/>
              <w:left w:val="nil"/>
              <w:bottom w:val="single" w:color="auto" w:sz="8" w:space="0"/>
              <w:right w:val="single" w:color="auto" w:sz="8" w:space="0"/>
            </w:tcBorders>
            <w:noWrap w:val="0"/>
            <w:vAlign w:val="center"/>
          </w:tcPr>
          <w:p w14:paraId="6528189B">
            <w:pPr>
              <w:keepNext w:val="0"/>
              <w:keepLines w:val="0"/>
              <w:pageBreakBefore w:val="0"/>
              <w:widowControl/>
              <w:kinsoku/>
              <w:wordWrap/>
              <w:overflowPunct/>
              <w:topLinePunct w:val="0"/>
              <w:autoSpaceDE/>
              <w:autoSpaceDN/>
              <w:bidi w:val="0"/>
              <w:snapToGrid/>
              <w:spacing w:line="312" w:lineRule="auto"/>
              <w:jc w:val="center"/>
              <w:rPr>
                <w:rFonts w:hint="eastAsia" w:ascii="宋体" w:hAnsi="宋体" w:cs="宋体"/>
                <w:b/>
                <w:bCs/>
                <w:color w:val="000000"/>
                <w:kern w:val="0"/>
                <w:szCs w:val="21"/>
              </w:rPr>
            </w:pPr>
            <w:r>
              <w:rPr>
                <w:rFonts w:hint="eastAsia" w:ascii="宋体" w:hAnsi="宋体" w:cs="宋体"/>
                <w:b/>
                <w:bCs/>
                <w:color w:val="000000"/>
                <w:kern w:val="0"/>
                <w:szCs w:val="21"/>
              </w:rPr>
              <w:t>需求描述</w:t>
            </w:r>
          </w:p>
        </w:tc>
      </w:tr>
      <w:tr w14:paraId="5F8676CB">
        <w:tblPrEx>
          <w:tblCellMar>
            <w:top w:w="0" w:type="dxa"/>
            <w:left w:w="108" w:type="dxa"/>
            <w:bottom w:w="0" w:type="dxa"/>
            <w:right w:w="108" w:type="dxa"/>
          </w:tblCellMar>
        </w:tblPrEx>
        <w:trPr>
          <w:trHeight w:val="1220" w:hRule="atLeast"/>
          <w:jc w:val="center"/>
        </w:trPr>
        <w:tc>
          <w:tcPr>
            <w:tcW w:w="9859" w:type="dxa"/>
            <w:gridSpan w:val="3"/>
            <w:tcBorders>
              <w:top w:val="nil"/>
              <w:left w:val="single" w:color="auto" w:sz="8" w:space="0"/>
              <w:bottom w:val="single" w:color="000000" w:sz="8" w:space="0"/>
              <w:right w:val="single" w:color="auto" w:sz="8" w:space="0"/>
            </w:tcBorders>
            <w:noWrap w:val="0"/>
            <w:vAlign w:val="center"/>
          </w:tcPr>
          <w:p w14:paraId="692394E6">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功能需求：</w:t>
            </w:r>
            <w:r>
              <w:rPr>
                <w:rFonts w:hint="eastAsia" w:ascii="宋体" w:hAnsi="宋体" w:eastAsia="宋体" w:cs="宋体"/>
                <w:b w:val="0"/>
                <w:bCs w:val="0"/>
                <w:color w:val="auto"/>
                <w:kern w:val="0"/>
                <w:sz w:val="21"/>
                <w:szCs w:val="21"/>
                <w:lang w:val="en-US" w:eastAsia="zh-CN"/>
              </w:rPr>
              <w:t>系统提供完整的标本送检解决方案，满足医院日常标本送检需求，具备自定义流程控制、信息管理、标本追溯、信息校验、任务追踪等功能，流程上覆盖从申请单填写到标本接收最后到诊断信息反馈等相关环节形成信息闭环。</w:t>
            </w:r>
            <w:r>
              <w:rPr>
                <w:rFonts w:hint="eastAsia" w:ascii="宋体" w:hAnsi="宋体" w:eastAsia="宋体" w:cs="宋体"/>
                <w:b w:val="0"/>
                <w:bCs w:val="0"/>
                <w:color w:val="auto"/>
                <w:kern w:val="0"/>
                <w:sz w:val="21"/>
                <w:szCs w:val="21"/>
                <w:lang w:val="en-US" w:eastAsia="zh-CN" w:bidi="ar-SA"/>
              </w:rPr>
              <w:t>同</w:t>
            </w:r>
            <w:r>
              <w:rPr>
                <w:rFonts w:hint="eastAsia" w:ascii="宋体" w:hAnsi="宋体" w:eastAsia="宋体" w:cs="宋体"/>
                <w:color w:val="auto"/>
                <w:kern w:val="0"/>
                <w:sz w:val="21"/>
                <w:szCs w:val="21"/>
                <w:lang w:val="en-US" w:eastAsia="zh-CN" w:bidi="ar-SA"/>
              </w:rPr>
              <w:t>时病理标本送检系统与医院HIS、病理信息系统等对接后，实现院内病人信息共享。系统需为一体化设计的产品，使用一个数据交互服务端口，方便数据的监控，提高数据的安全性并能减少安全防范成本。</w:t>
            </w:r>
          </w:p>
        </w:tc>
      </w:tr>
      <w:tr w14:paraId="546EA94E">
        <w:tblPrEx>
          <w:tblCellMar>
            <w:top w:w="0" w:type="dxa"/>
            <w:left w:w="108" w:type="dxa"/>
            <w:bottom w:w="0" w:type="dxa"/>
            <w:right w:w="108" w:type="dxa"/>
          </w:tblCellMar>
        </w:tblPrEx>
        <w:trPr>
          <w:trHeight w:val="820" w:hRule="atLeast"/>
          <w:jc w:val="center"/>
        </w:trPr>
        <w:tc>
          <w:tcPr>
            <w:tcW w:w="1762" w:type="dxa"/>
            <w:vMerge w:val="restart"/>
            <w:tcBorders>
              <w:top w:val="nil"/>
              <w:left w:val="single" w:color="auto" w:sz="8" w:space="0"/>
              <w:right w:val="single" w:color="auto" w:sz="8" w:space="0"/>
            </w:tcBorders>
            <w:noWrap w:val="0"/>
            <w:vAlign w:val="center"/>
          </w:tcPr>
          <w:p w14:paraId="316E7A47">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1.</w:t>
            </w:r>
            <w:r>
              <w:rPr>
                <w:rFonts w:hint="eastAsia" w:ascii="宋体" w:hAnsi="宋体" w:eastAsia="宋体" w:cs="宋体"/>
                <w:b/>
                <w:bCs/>
                <w:color w:val="auto"/>
                <w:kern w:val="0"/>
                <w:sz w:val="21"/>
                <w:szCs w:val="21"/>
                <w:lang w:eastAsia="zh-Hans"/>
              </w:rPr>
              <w:t>病理申请</w:t>
            </w:r>
          </w:p>
        </w:tc>
        <w:tc>
          <w:tcPr>
            <w:tcW w:w="944" w:type="dxa"/>
            <w:tcBorders>
              <w:top w:val="nil"/>
              <w:left w:val="nil"/>
              <w:bottom w:val="single" w:color="auto" w:sz="8" w:space="0"/>
              <w:right w:val="single" w:color="auto" w:sz="8" w:space="0"/>
            </w:tcBorders>
            <w:noWrap w:val="0"/>
            <w:vAlign w:val="center"/>
          </w:tcPr>
          <w:p w14:paraId="0F13EA5E">
            <w:pPr>
              <w:keepNext w:val="0"/>
              <w:keepLines w:val="0"/>
              <w:pageBreakBefore w:val="0"/>
              <w:widowControl/>
              <w:kinsoku/>
              <w:wordWrap/>
              <w:overflowPunct/>
              <w:topLinePunct w:val="0"/>
              <w:autoSpaceDE/>
              <w:autoSpaceDN/>
              <w:bidi w:val="0"/>
              <w:snapToGrid/>
              <w:spacing w:line="312" w:lineRule="auto"/>
              <w:jc w:val="both"/>
              <w:rPr>
                <w:rFonts w:ascii="宋体" w:hAnsi="宋体" w:cs="宋体"/>
                <w:color w:val="auto"/>
                <w:kern w:val="0"/>
                <w:szCs w:val="21"/>
              </w:rPr>
            </w:pPr>
            <w:r>
              <w:rPr>
                <w:rFonts w:hint="eastAsia" w:ascii="宋体" w:hAnsi="宋体" w:cs="宋体"/>
                <w:color w:val="auto"/>
                <w:kern w:val="0"/>
                <w:szCs w:val="21"/>
              </w:rPr>
              <w:t>1.1</w:t>
            </w:r>
          </w:p>
        </w:tc>
        <w:tc>
          <w:tcPr>
            <w:tcW w:w="7153" w:type="dxa"/>
            <w:tcBorders>
              <w:top w:val="nil"/>
              <w:left w:val="nil"/>
              <w:bottom w:val="single" w:color="auto" w:sz="8" w:space="0"/>
              <w:right w:val="single" w:color="auto" w:sz="8" w:space="0"/>
            </w:tcBorders>
            <w:noWrap w:val="0"/>
            <w:vAlign w:val="center"/>
          </w:tcPr>
          <w:p w14:paraId="5B5A7CCB">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color w:val="FF0000"/>
                <w:kern w:val="0"/>
                <w:szCs w:val="21"/>
                <w:lang w:eastAsia="zh-CN"/>
              </w:rPr>
            </w:pPr>
            <w:r>
              <w:rPr>
                <w:rFonts w:hint="eastAsia" w:ascii="宋体" w:hAnsi="宋体" w:eastAsia="宋体" w:cs="宋体"/>
                <w:sz w:val="21"/>
                <w:szCs w:val="21"/>
                <w:lang w:val="en-US" w:eastAsia="zh-CN"/>
              </w:rPr>
              <w:t>支持各临床科室、门诊、内镜室进行申请单的增、删、改、查，具备以复杂多条件进行单据查询的功能</w:t>
            </w:r>
            <w:r>
              <w:rPr>
                <w:rFonts w:hint="eastAsia" w:ascii="宋体" w:hAnsi="宋体" w:eastAsia="宋体" w:cs="宋体"/>
                <w:sz w:val="21"/>
                <w:szCs w:val="21"/>
                <w:lang w:eastAsia="zh-CN"/>
              </w:rPr>
              <w:t>；</w:t>
            </w:r>
          </w:p>
        </w:tc>
      </w:tr>
      <w:tr w14:paraId="732FBCA2">
        <w:tblPrEx>
          <w:tblCellMar>
            <w:top w:w="0" w:type="dxa"/>
            <w:left w:w="108" w:type="dxa"/>
            <w:bottom w:w="0" w:type="dxa"/>
            <w:right w:w="108" w:type="dxa"/>
          </w:tblCellMar>
        </w:tblPrEx>
        <w:trPr>
          <w:trHeight w:val="820" w:hRule="atLeast"/>
          <w:jc w:val="center"/>
        </w:trPr>
        <w:tc>
          <w:tcPr>
            <w:tcW w:w="1762" w:type="dxa"/>
            <w:vMerge w:val="continue"/>
            <w:tcBorders>
              <w:left w:val="single" w:color="auto" w:sz="8" w:space="0"/>
              <w:right w:val="single" w:color="auto" w:sz="8" w:space="0"/>
            </w:tcBorders>
            <w:noWrap w:val="0"/>
            <w:vAlign w:val="center"/>
          </w:tcPr>
          <w:p w14:paraId="0371BF0F">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b/>
                <w:bCs/>
                <w:color w:val="auto"/>
                <w:kern w:val="0"/>
                <w:sz w:val="21"/>
                <w:szCs w:val="21"/>
              </w:rPr>
            </w:pPr>
          </w:p>
        </w:tc>
        <w:tc>
          <w:tcPr>
            <w:tcW w:w="944" w:type="dxa"/>
            <w:tcBorders>
              <w:top w:val="nil"/>
              <w:left w:val="nil"/>
              <w:bottom w:val="single" w:color="auto" w:sz="8" w:space="0"/>
              <w:right w:val="single" w:color="auto" w:sz="8" w:space="0"/>
            </w:tcBorders>
            <w:noWrap w:val="0"/>
            <w:vAlign w:val="center"/>
          </w:tcPr>
          <w:p w14:paraId="1A732AD3">
            <w:pPr>
              <w:keepNext w:val="0"/>
              <w:keepLines w:val="0"/>
              <w:pageBreakBefore w:val="0"/>
              <w:widowControl/>
              <w:kinsoku/>
              <w:wordWrap/>
              <w:overflowPunct/>
              <w:topLinePunct w:val="0"/>
              <w:autoSpaceDE/>
              <w:autoSpaceDN/>
              <w:bidi w:val="0"/>
              <w:snapToGrid/>
              <w:spacing w:line="312" w:lineRule="auto"/>
              <w:jc w:val="both"/>
              <w:rPr>
                <w:rFonts w:ascii="宋体" w:hAnsi="宋体" w:cs="宋体"/>
                <w:color w:val="auto"/>
                <w:kern w:val="0"/>
                <w:szCs w:val="21"/>
              </w:rPr>
            </w:pPr>
            <w:r>
              <w:rPr>
                <w:rFonts w:hint="eastAsia" w:ascii="宋体" w:hAnsi="宋体" w:cs="宋体"/>
                <w:color w:val="auto"/>
                <w:kern w:val="0"/>
                <w:szCs w:val="21"/>
              </w:rPr>
              <w:t>1.2</w:t>
            </w:r>
          </w:p>
        </w:tc>
        <w:tc>
          <w:tcPr>
            <w:tcW w:w="7153" w:type="dxa"/>
            <w:tcBorders>
              <w:top w:val="nil"/>
              <w:left w:val="nil"/>
              <w:bottom w:val="single" w:color="auto" w:sz="8" w:space="0"/>
              <w:right w:val="single" w:color="auto" w:sz="8" w:space="0"/>
            </w:tcBorders>
            <w:noWrap w:val="0"/>
            <w:vAlign w:val="center"/>
          </w:tcPr>
          <w:p w14:paraId="4F201D3C">
            <w:pPr>
              <w:keepNext w:val="0"/>
              <w:keepLines w:val="0"/>
              <w:pageBreakBefore w:val="0"/>
              <w:widowControl/>
              <w:kinsoku/>
              <w:wordWrap/>
              <w:overflowPunct/>
              <w:topLinePunct w:val="0"/>
              <w:autoSpaceDE/>
              <w:autoSpaceDN/>
              <w:bidi w:val="0"/>
              <w:snapToGrid/>
              <w:spacing w:line="312" w:lineRule="auto"/>
              <w:jc w:val="both"/>
              <w:rPr>
                <w:rFonts w:ascii="宋体" w:hAnsi="宋体" w:cs="宋体"/>
                <w:color w:val="FF0000"/>
                <w:kern w:val="0"/>
                <w:szCs w:val="21"/>
              </w:rPr>
            </w:pPr>
            <w:r>
              <w:rPr>
                <w:rFonts w:hint="eastAsia" w:ascii="宋体" w:hAnsi="宋体" w:eastAsia="宋体" w:cs="宋体"/>
                <w:sz w:val="21"/>
                <w:szCs w:val="21"/>
              </w:rPr>
              <w:t>支持通过不同类型字段向其他第三方系统（如：His系统）拉取患者信息并自动填写申请单（包括自动形成标本列表）</w:t>
            </w:r>
            <w:r>
              <w:rPr>
                <w:rFonts w:hint="eastAsia" w:ascii="宋体" w:hAnsi="宋体" w:eastAsia="宋体" w:cs="宋体"/>
                <w:sz w:val="21"/>
                <w:szCs w:val="21"/>
                <w:lang w:eastAsia="zh-CN"/>
              </w:rPr>
              <w:t>；</w:t>
            </w:r>
          </w:p>
        </w:tc>
      </w:tr>
      <w:tr w14:paraId="7A666757">
        <w:tblPrEx>
          <w:tblCellMar>
            <w:top w:w="0" w:type="dxa"/>
            <w:left w:w="108" w:type="dxa"/>
            <w:bottom w:w="0" w:type="dxa"/>
            <w:right w:w="108" w:type="dxa"/>
          </w:tblCellMar>
        </w:tblPrEx>
        <w:trPr>
          <w:trHeight w:val="420" w:hRule="atLeast"/>
          <w:jc w:val="center"/>
        </w:trPr>
        <w:tc>
          <w:tcPr>
            <w:tcW w:w="1762" w:type="dxa"/>
            <w:vMerge w:val="continue"/>
            <w:tcBorders>
              <w:left w:val="single" w:color="auto" w:sz="8" w:space="0"/>
              <w:right w:val="single" w:color="auto" w:sz="8" w:space="0"/>
            </w:tcBorders>
            <w:noWrap w:val="0"/>
            <w:vAlign w:val="center"/>
          </w:tcPr>
          <w:p w14:paraId="4CC17C23">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b/>
                <w:bCs/>
                <w:color w:val="auto"/>
                <w:kern w:val="0"/>
                <w:sz w:val="21"/>
                <w:szCs w:val="21"/>
              </w:rPr>
            </w:pPr>
          </w:p>
        </w:tc>
        <w:tc>
          <w:tcPr>
            <w:tcW w:w="944" w:type="dxa"/>
            <w:tcBorders>
              <w:top w:val="nil"/>
              <w:left w:val="nil"/>
              <w:bottom w:val="single" w:color="auto" w:sz="8" w:space="0"/>
              <w:right w:val="single" w:color="auto" w:sz="8" w:space="0"/>
            </w:tcBorders>
            <w:noWrap w:val="0"/>
            <w:vAlign w:val="center"/>
          </w:tcPr>
          <w:p w14:paraId="7D0EA013">
            <w:pPr>
              <w:keepNext w:val="0"/>
              <w:keepLines w:val="0"/>
              <w:pageBreakBefore w:val="0"/>
              <w:widowControl/>
              <w:kinsoku/>
              <w:wordWrap/>
              <w:overflowPunct/>
              <w:topLinePunct w:val="0"/>
              <w:autoSpaceDE/>
              <w:autoSpaceDN/>
              <w:bidi w:val="0"/>
              <w:snapToGrid/>
              <w:spacing w:line="312" w:lineRule="auto"/>
              <w:jc w:val="both"/>
              <w:rPr>
                <w:rFonts w:ascii="宋体" w:hAnsi="宋体" w:cs="宋体"/>
                <w:color w:val="auto"/>
                <w:kern w:val="0"/>
                <w:szCs w:val="21"/>
              </w:rPr>
            </w:pPr>
            <w:r>
              <w:rPr>
                <w:rFonts w:hint="eastAsia" w:ascii="宋体" w:hAnsi="宋体" w:cs="宋体"/>
                <w:color w:val="auto"/>
                <w:kern w:val="0"/>
                <w:szCs w:val="21"/>
              </w:rPr>
              <w:t>1.3</w:t>
            </w:r>
          </w:p>
        </w:tc>
        <w:tc>
          <w:tcPr>
            <w:tcW w:w="7153" w:type="dxa"/>
            <w:tcBorders>
              <w:top w:val="nil"/>
              <w:left w:val="nil"/>
              <w:bottom w:val="single" w:color="auto" w:sz="8" w:space="0"/>
              <w:right w:val="single" w:color="auto" w:sz="8" w:space="0"/>
            </w:tcBorders>
            <w:noWrap w:val="0"/>
            <w:vAlign w:val="center"/>
          </w:tcPr>
          <w:p w14:paraId="75BDD8E9">
            <w:pPr>
              <w:keepNext w:val="0"/>
              <w:keepLines w:val="0"/>
              <w:pageBreakBefore w:val="0"/>
              <w:widowControl/>
              <w:kinsoku/>
              <w:wordWrap/>
              <w:overflowPunct/>
              <w:topLinePunct w:val="0"/>
              <w:autoSpaceDE/>
              <w:autoSpaceDN/>
              <w:bidi w:val="0"/>
              <w:snapToGrid/>
              <w:spacing w:line="312" w:lineRule="auto"/>
              <w:jc w:val="both"/>
              <w:rPr>
                <w:rFonts w:ascii="宋体" w:hAnsi="宋体" w:cs="宋体"/>
                <w:color w:val="FF0000"/>
                <w:kern w:val="0"/>
                <w:szCs w:val="21"/>
              </w:rPr>
            </w:pPr>
            <w:r>
              <w:rPr>
                <w:rFonts w:hint="eastAsia" w:ascii="宋体" w:hAnsi="宋体" w:eastAsia="宋体" w:cs="宋体"/>
                <w:sz w:val="21"/>
                <w:szCs w:val="21"/>
              </w:rPr>
              <w:t>支持不同的科室人员，设置自己默认的查询类型，减少手动选择</w:t>
            </w:r>
            <w:r>
              <w:rPr>
                <w:rFonts w:hint="eastAsia" w:ascii="宋体" w:hAnsi="宋体" w:eastAsia="宋体" w:cs="宋体"/>
                <w:sz w:val="21"/>
                <w:szCs w:val="21"/>
                <w:lang w:eastAsia="zh-CN"/>
              </w:rPr>
              <w:t>；</w:t>
            </w:r>
          </w:p>
        </w:tc>
      </w:tr>
      <w:tr w14:paraId="3CD96670">
        <w:tblPrEx>
          <w:tblCellMar>
            <w:top w:w="0" w:type="dxa"/>
            <w:left w:w="108" w:type="dxa"/>
            <w:bottom w:w="0" w:type="dxa"/>
            <w:right w:w="108" w:type="dxa"/>
          </w:tblCellMar>
        </w:tblPrEx>
        <w:trPr>
          <w:trHeight w:val="820" w:hRule="atLeast"/>
          <w:jc w:val="center"/>
        </w:trPr>
        <w:tc>
          <w:tcPr>
            <w:tcW w:w="1762" w:type="dxa"/>
            <w:vMerge w:val="continue"/>
            <w:tcBorders>
              <w:left w:val="single" w:color="auto" w:sz="8" w:space="0"/>
              <w:right w:val="single" w:color="auto" w:sz="8" w:space="0"/>
            </w:tcBorders>
            <w:noWrap w:val="0"/>
            <w:vAlign w:val="center"/>
          </w:tcPr>
          <w:p w14:paraId="49510406">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b/>
                <w:bCs/>
                <w:color w:val="auto"/>
                <w:kern w:val="0"/>
                <w:sz w:val="21"/>
                <w:szCs w:val="21"/>
              </w:rPr>
            </w:pPr>
          </w:p>
        </w:tc>
        <w:tc>
          <w:tcPr>
            <w:tcW w:w="944" w:type="dxa"/>
            <w:tcBorders>
              <w:top w:val="nil"/>
              <w:left w:val="nil"/>
              <w:bottom w:val="single" w:color="auto" w:sz="8" w:space="0"/>
              <w:right w:val="single" w:color="auto" w:sz="8" w:space="0"/>
            </w:tcBorders>
            <w:noWrap w:val="0"/>
            <w:vAlign w:val="center"/>
          </w:tcPr>
          <w:p w14:paraId="766CA054">
            <w:pPr>
              <w:keepNext w:val="0"/>
              <w:keepLines w:val="0"/>
              <w:pageBreakBefore w:val="0"/>
              <w:widowControl/>
              <w:kinsoku/>
              <w:wordWrap/>
              <w:overflowPunct/>
              <w:topLinePunct w:val="0"/>
              <w:autoSpaceDE/>
              <w:autoSpaceDN/>
              <w:bidi w:val="0"/>
              <w:snapToGrid/>
              <w:spacing w:line="312" w:lineRule="auto"/>
              <w:jc w:val="both"/>
              <w:rPr>
                <w:rFonts w:hint="default" w:ascii="宋体" w:hAnsi="宋体" w:eastAsia="宋体" w:cs="宋体"/>
                <w:color w:val="auto"/>
                <w:kern w:val="0"/>
                <w:szCs w:val="21"/>
                <w:lang w:val="en-US" w:eastAsia="zh-CN"/>
              </w:rPr>
            </w:pPr>
            <w:r>
              <w:rPr>
                <w:rFonts w:hint="eastAsia" w:ascii="宋体" w:hAnsi="宋体" w:cs="宋体"/>
                <w:color w:val="auto"/>
                <w:kern w:val="0"/>
                <w:szCs w:val="21"/>
                <w:lang w:val="en-US" w:eastAsia="zh-CN"/>
              </w:rPr>
              <w:t>1.4</w:t>
            </w:r>
          </w:p>
        </w:tc>
        <w:tc>
          <w:tcPr>
            <w:tcW w:w="7153" w:type="dxa"/>
            <w:tcBorders>
              <w:top w:val="nil"/>
              <w:left w:val="nil"/>
              <w:bottom w:val="single" w:color="auto" w:sz="8" w:space="0"/>
              <w:right w:val="single" w:color="auto" w:sz="8" w:space="0"/>
            </w:tcBorders>
            <w:noWrap w:val="0"/>
            <w:vAlign w:val="center"/>
          </w:tcPr>
          <w:p w14:paraId="37581FEB">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sz w:val="21"/>
                <w:szCs w:val="21"/>
              </w:rPr>
            </w:pPr>
            <w:r>
              <w:rPr>
                <w:rFonts w:hint="eastAsia" w:ascii="宋体" w:hAnsi="宋体" w:eastAsia="宋体" w:cs="宋体"/>
                <w:sz w:val="21"/>
                <w:szCs w:val="21"/>
              </w:rPr>
              <w:t>支持拉取第三方系统信息时，自动根据关键属性检索患者已经存在的申请单，并对操作人员进行提示，减少工作失误</w:t>
            </w:r>
            <w:r>
              <w:rPr>
                <w:rFonts w:hint="eastAsia" w:ascii="宋体" w:hAnsi="宋体" w:eastAsia="宋体" w:cs="宋体"/>
                <w:sz w:val="21"/>
                <w:szCs w:val="21"/>
                <w:lang w:eastAsia="zh-CN"/>
              </w:rPr>
              <w:t>；</w:t>
            </w:r>
          </w:p>
        </w:tc>
      </w:tr>
      <w:tr w14:paraId="43F291C1">
        <w:tblPrEx>
          <w:tblCellMar>
            <w:top w:w="0" w:type="dxa"/>
            <w:left w:w="108" w:type="dxa"/>
            <w:bottom w:w="0" w:type="dxa"/>
            <w:right w:w="108" w:type="dxa"/>
          </w:tblCellMar>
        </w:tblPrEx>
        <w:trPr>
          <w:trHeight w:val="820" w:hRule="atLeast"/>
          <w:jc w:val="center"/>
        </w:trPr>
        <w:tc>
          <w:tcPr>
            <w:tcW w:w="1762" w:type="dxa"/>
            <w:vMerge w:val="continue"/>
            <w:tcBorders>
              <w:left w:val="single" w:color="auto" w:sz="8" w:space="0"/>
              <w:right w:val="single" w:color="auto" w:sz="8" w:space="0"/>
            </w:tcBorders>
            <w:noWrap w:val="0"/>
            <w:vAlign w:val="center"/>
          </w:tcPr>
          <w:p w14:paraId="66522F41">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b/>
                <w:bCs/>
                <w:color w:val="auto"/>
                <w:kern w:val="0"/>
                <w:sz w:val="21"/>
                <w:szCs w:val="21"/>
              </w:rPr>
            </w:pPr>
          </w:p>
        </w:tc>
        <w:tc>
          <w:tcPr>
            <w:tcW w:w="944" w:type="dxa"/>
            <w:tcBorders>
              <w:top w:val="nil"/>
              <w:left w:val="nil"/>
              <w:bottom w:val="single" w:color="auto" w:sz="8" w:space="0"/>
              <w:right w:val="single" w:color="auto" w:sz="8" w:space="0"/>
            </w:tcBorders>
            <w:noWrap w:val="0"/>
            <w:vAlign w:val="center"/>
          </w:tcPr>
          <w:p w14:paraId="425557A1">
            <w:pPr>
              <w:keepNext w:val="0"/>
              <w:keepLines w:val="0"/>
              <w:pageBreakBefore w:val="0"/>
              <w:widowControl/>
              <w:kinsoku/>
              <w:wordWrap/>
              <w:overflowPunct/>
              <w:topLinePunct w:val="0"/>
              <w:autoSpaceDE/>
              <w:autoSpaceDN/>
              <w:bidi w:val="0"/>
              <w:snapToGrid/>
              <w:spacing w:line="312" w:lineRule="auto"/>
              <w:jc w:val="both"/>
              <w:rPr>
                <w:rFonts w:hint="default" w:ascii="宋体" w:hAnsi="宋体" w:eastAsia="宋体" w:cs="宋体"/>
                <w:color w:val="auto"/>
                <w:kern w:val="0"/>
                <w:szCs w:val="21"/>
                <w:lang w:val="en-US" w:eastAsia="zh-CN"/>
              </w:rPr>
            </w:pPr>
            <w:r>
              <w:rPr>
                <w:rFonts w:hint="eastAsia" w:ascii="宋体" w:hAnsi="宋体" w:cs="宋体"/>
                <w:color w:val="auto"/>
                <w:kern w:val="0"/>
                <w:szCs w:val="21"/>
                <w:lang w:val="en-US" w:eastAsia="zh-CN"/>
              </w:rPr>
              <w:t>1.5</w:t>
            </w:r>
          </w:p>
        </w:tc>
        <w:tc>
          <w:tcPr>
            <w:tcW w:w="7153" w:type="dxa"/>
            <w:tcBorders>
              <w:top w:val="nil"/>
              <w:left w:val="nil"/>
              <w:bottom w:val="single" w:color="auto" w:sz="8" w:space="0"/>
              <w:right w:val="single" w:color="auto" w:sz="8" w:space="0"/>
            </w:tcBorders>
            <w:noWrap w:val="0"/>
            <w:vAlign w:val="center"/>
          </w:tcPr>
          <w:p w14:paraId="505F35EC">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sz w:val="21"/>
                <w:szCs w:val="21"/>
              </w:rPr>
            </w:pPr>
            <w:r>
              <w:rPr>
                <w:rFonts w:hint="eastAsia" w:ascii="宋体" w:hAnsi="宋体" w:eastAsia="宋体" w:cs="宋体"/>
                <w:sz w:val="21"/>
                <w:szCs w:val="21"/>
              </w:rPr>
              <w:t>申请单编辑页面，支持自定义模板设计，支持属性结构化设计，满足不同复杂度需求</w:t>
            </w:r>
            <w:r>
              <w:rPr>
                <w:rFonts w:hint="eastAsia" w:ascii="宋体" w:hAnsi="宋体" w:eastAsia="宋体" w:cs="宋体"/>
                <w:sz w:val="21"/>
                <w:szCs w:val="21"/>
                <w:lang w:eastAsia="zh-CN"/>
              </w:rPr>
              <w:t>；</w:t>
            </w:r>
          </w:p>
        </w:tc>
      </w:tr>
      <w:tr w14:paraId="5187651E">
        <w:tblPrEx>
          <w:tblCellMar>
            <w:top w:w="0" w:type="dxa"/>
            <w:left w:w="108" w:type="dxa"/>
            <w:bottom w:w="0" w:type="dxa"/>
            <w:right w:w="108" w:type="dxa"/>
          </w:tblCellMar>
        </w:tblPrEx>
        <w:trPr>
          <w:trHeight w:val="420" w:hRule="atLeast"/>
          <w:jc w:val="center"/>
        </w:trPr>
        <w:tc>
          <w:tcPr>
            <w:tcW w:w="1762" w:type="dxa"/>
            <w:vMerge w:val="continue"/>
            <w:tcBorders>
              <w:left w:val="single" w:color="auto" w:sz="8" w:space="0"/>
              <w:right w:val="single" w:color="auto" w:sz="8" w:space="0"/>
            </w:tcBorders>
            <w:noWrap w:val="0"/>
            <w:vAlign w:val="center"/>
          </w:tcPr>
          <w:p w14:paraId="723CD328">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b/>
                <w:bCs/>
                <w:color w:val="auto"/>
                <w:kern w:val="0"/>
                <w:sz w:val="21"/>
                <w:szCs w:val="21"/>
              </w:rPr>
            </w:pPr>
          </w:p>
        </w:tc>
        <w:tc>
          <w:tcPr>
            <w:tcW w:w="944" w:type="dxa"/>
            <w:tcBorders>
              <w:top w:val="nil"/>
              <w:left w:val="nil"/>
              <w:bottom w:val="single" w:color="auto" w:sz="8" w:space="0"/>
              <w:right w:val="single" w:color="auto" w:sz="8" w:space="0"/>
            </w:tcBorders>
            <w:noWrap w:val="0"/>
            <w:vAlign w:val="center"/>
          </w:tcPr>
          <w:p w14:paraId="433A3E18">
            <w:pPr>
              <w:keepNext w:val="0"/>
              <w:keepLines w:val="0"/>
              <w:pageBreakBefore w:val="0"/>
              <w:widowControl/>
              <w:kinsoku/>
              <w:wordWrap/>
              <w:overflowPunct/>
              <w:topLinePunct w:val="0"/>
              <w:autoSpaceDE/>
              <w:autoSpaceDN/>
              <w:bidi w:val="0"/>
              <w:snapToGrid/>
              <w:spacing w:line="312" w:lineRule="auto"/>
              <w:jc w:val="both"/>
              <w:rPr>
                <w:rFonts w:hint="default" w:ascii="宋体" w:hAnsi="宋体" w:eastAsia="宋体" w:cs="宋体"/>
                <w:color w:val="auto"/>
                <w:kern w:val="0"/>
                <w:szCs w:val="21"/>
                <w:lang w:val="en-US" w:eastAsia="zh-CN"/>
              </w:rPr>
            </w:pPr>
            <w:r>
              <w:rPr>
                <w:rFonts w:hint="eastAsia" w:ascii="宋体" w:hAnsi="宋体" w:cs="宋体"/>
                <w:color w:val="auto"/>
                <w:kern w:val="0"/>
                <w:szCs w:val="21"/>
                <w:lang w:val="en-US" w:eastAsia="zh-CN"/>
              </w:rPr>
              <w:t>1.6</w:t>
            </w:r>
          </w:p>
        </w:tc>
        <w:tc>
          <w:tcPr>
            <w:tcW w:w="7153" w:type="dxa"/>
            <w:tcBorders>
              <w:top w:val="nil"/>
              <w:left w:val="nil"/>
              <w:bottom w:val="single" w:color="auto" w:sz="8" w:space="0"/>
              <w:right w:val="single" w:color="auto" w:sz="8" w:space="0"/>
            </w:tcBorders>
            <w:noWrap w:val="0"/>
            <w:vAlign w:val="center"/>
          </w:tcPr>
          <w:p w14:paraId="10AD7FCB">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sz w:val="21"/>
                <w:szCs w:val="21"/>
              </w:rPr>
            </w:pPr>
            <w:r>
              <w:rPr>
                <w:rFonts w:hint="eastAsia" w:ascii="宋体" w:hAnsi="宋体" w:eastAsia="宋体" w:cs="宋体"/>
                <w:sz w:val="21"/>
                <w:szCs w:val="21"/>
              </w:rPr>
              <w:t>申请单编辑页面支持自定义校验规则，满足不同业务校验需要</w:t>
            </w:r>
            <w:r>
              <w:rPr>
                <w:rFonts w:hint="eastAsia" w:ascii="宋体" w:hAnsi="宋体" w:eastAsia="宋体" w:cs="宋体"/>
                <w:sz w:val="21"/>
                <w:szCs w:val="21"/>
                <w:lang w:eastAsia="zh-CN"/>
              </w:rPr>
              <w:t>；</w:t>
            </w:r>
          </w:p>
        </w:tc>
      </w:tr>
      <w:tr w14:paraId="0C9BAF70">
        <w:tblPrEx>
          <w:tblCellMar>
            <w:top w:w="0" w:type="dxa"/>
            <w:left w:w="108" w:type="dxa"/>
            <w:bottom w:w="0" w:type="dxa"/>
            <w:right w:w="108" w:type="dxa"/>
          </w:tblCellMar>
        </w:tblPrEx>
        <w:trPr>
          <w:trHeight w:val="820" w:hRule="atLeast"/>
          <w:jc w:val="center"/>
        </w:trPr>
        <w:tc>
          <w:tcPr>
            <w:tcW w:w="1762" w:type="dxa"/>
            <w:vMerge w:val="continue"/>
            <w:tcBorders>
              <w:left w:val="single" w:color="auto" w:sz="8" w:space="0"/>
              <w:right w:val="single" w:color="auto" w:sz="8" w:space="0"/>
            </w:tcBorders>
            <w:noWrap w:val="0"/>
            <w:vAlign w:val="center"/>
          </w:tcPr>
          <w:p w14:paraId="41D4F964">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b/>
                <w:bCs/>
                <w:color w:val="auto"/>
                <w:kern w:val="0"/>
                <w:sz w:val="21"/>
                <w:szCs w:val="21"/>
              </w:rPr>
            </w:pPr>
          </w:p>
        </w:tc>
        <w:tc>
          <w:tcPr>
            <w:tcW w:w="944" w:type="dxa"/>
            <w:tcBorders>
              <w:top w:val="nil"/>
              <w:left w:val="nil"/>
              <w:bottom w:val="single" w:color="auto" w:sz="8" w:space="0"/>
              <w:right w:val="single" w:color="auto" w:sz="8" w:space="0"/>
            </w:tcBorders>
            <w:noWrap w:val="0"/>
            <w:vAlign w:val="center"/>
          </w:tcPr>
          <w:p w14:paraId="79E86646">
            <w:pPr>
              <w:keepNext w:val="0"/>
              <w:keepLines w:val="0"/>
              <w:pageBreakBefore w:val="0"/>
              <w:widowControl/>
              <w:kinsoku/>
              <w:wordWrap/>
              <w:overflowPunct/>
              <w:topLinePunct w:val="0"/>
              <w:autoSpaceDE/>
              <w:autoSpaceDN/>
              <w:bidi w:val="0"/>
              <w:snapToGrid/>
              <w:spacing w:line="312" w:lineRule="auto"/>
              <w:jc w:val="both"/>
              <w:rPr>
                <w:rFonts w:hint="default" w:ascii="宋体" w:hAnsi="宋体" w:eastAsia="宋体" w:cs="宋体"/>
                <w:color w:val="auto"/>
                <w:kern w:val="0"/>
                <w:szCs w:val="21"/>
                <w:lang w:val="en-US" w:eastAsia="zh-CN"/>
              </w:rPr>
            </w:pPr>
            <w:r>
              <w:rPr>
                <w:rFonts w:hint="eastAsia" w:ascii="宋体" w:hAnsi="宋体" w:cs="宋体"/>
                <w:color w:val="auto"/>
                <w:kern w:val="0"/>
                <w:szCs w:val="21"/>
                <w:lang w:val="en-US" w:eastAsia="zh-CN"/>
              </w:rPr>
              <w:t>1.7</w:t>
            </w:r>
          </w:p>
        </w:tc>
        <w:tc>
          <w:tcPr>
            <w:tcW w:w="7153" w:type="dxa"/>
            <w:tcBorders>
              <w:top w:val="nil"/>
              <w:left w:val="nil"/>
              <w:bottom w:val="single" w:color="auto" w:sz="8" w:space="0"/>
              <w:right w:val="single" w:color="auto" w:sz="8" w:space="0"/>
            </w:tcBorders>
            <w:noWrap w:val="0"/>
            <w:vAlign w:val="center"/>
          </w:tcPr>
          <w:p w14:paraId="4CA56D3C">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sz w:val="21"/>
                <w:szCs w:val="21"/>
              </w:rPr>
            </w:pPr>
            <w:r>
              <w:rPr>
                <w:rFonts w:hint="eastAsia" w:ascii="宋体" w:hAnsi="宋体" w:eastAsia="宋体" w:cs="宋体"/>
                <w:sz w:val="21"/>
                <w:szCs w:val="21"/>
                <w:lang w:val="en-US" w:eastAsia="zh-CN"/>
              </w:rPr>
              <w:t>申请单编辑页面，支持不同操作科室配置专属模板，以满足不同送检科室的特殊业务需求</w:t>
            </w:r>
            <w:r>
              <w:rPr>
                <w:rFonts w:hint="eastAsia" w:ascii="宋体" w:hAnsi="宋体" w:eastAsia="宋体" w:cs="宋体"/>
                <w:sz w:val="21"/>
                <w:szCs w:val="21"/>
                <w:lang w:eastAsia="zh-CN"/>
              </w:rPr>
              <w:t>；</w:t>
            </w:r>
          </w:p>
        </w:tc>
      </w:tr>
      <w:tr w14:paraId="2B9317B6">
        <w:tblPrEx>
          <w:tblCellMar>
            <w:top w:w="0" w:type="dxa"/>
            <w:left w:w="108" w:type="dxa"/>
            <w:bottom w:w="0" w:type="dxa"/>
            <w:right w:w="108" w:type="dxa"/>
          </w:tblCellMar>
        </w:tblPrEx>
        <w:trPr>
          <w:trHeight w:val="820" w:hRule="atLeast"/>
          <w:jc w:val="center"/>
        </w:trPr>
        <w:tc>
          <w:tcPr>
            <w:tcW w:w="1762" w:type="dxa"/>
            <w:vMerge w:val="continue"/>
            <w:tcBorders>
              <w:left w:val="single" w:color="auto" w:sz="8" w:space="0"/>
              <w:right w:val="single" w:color="auto" w:sz="8" w:space="0"/>
            </w:tcBorders>
            <w:noWrap w:val="0"/>
            <w:vAlign w:val="center"/>
          </w:tcPr>
          <w:p w14:paraId="711BB2EC">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b/>
                <w:bCs/>
                <w:color w:val="auto"/>
                <w:kern w:val="0"/>
                <w:sz w:val="21"/>
                <w:szCs w:val="21"/>
              </w:rPr>
            </w:pPr>
          </w:p>
        </w:tc>
        <w:tc>
          <w:tcPr>
            <w:tcW w:w="944" w:type="dxa"/>
            <w:tcBorders>
              <w:top w:val="nil"/>
              <w:left w:val="nil"/>
              <w:bottom w:val="single" w:color="auto" w:sz="8" w:space="0"/>
              <w:right w:val="single" w:color="auto" w:sz="8" w:space="0"/>
            </w:tcBorders>
            <w:noWrap w:val="0"/>
            <w:vAlign w:val="center"/>
          </w:tcPr>
          <w:p w14:paraId="2151E9A2">
            <w:pPr>
              <w:keepNext w:val="0"/>
              <w:keepLines w:val="0"/>
              <w:pageBreakBefore w:val="0"/>
              <w:widowControl/>
              <w:kinsoku/>
              <w:wordWrap/>
              <w:overflowPunct/>
              <w:topLinePunct w:val="0"/>
              <w:autoSpaceDE/>
              <w:autoSpaceDN/>
              <w:bidi w:val="0"/>
              <w:snapToGrid/>
              <w:spacing w:line="312" w:lineRule="auto"/>
              <w:jc w:val="both"/>
              <w:rPr>
                <w:rFonts w:hint="default" w:ascii="宋体" w:hAnsi="宋体" w:eastAsia="宋体" w:cs="宋体"/>
                <w:color w:val="auto"/>
                <w:kern w:val="0"/>
                <w:szCs w:val="21"/>
                <w:lang w:val="en-US" w:eastAsia="zh-CN"/>
              </w:rPr>
            </w:pPr>
            <w:r>
              <w:rPr>
                <w:rFonts w:hint="eastAsia" w:ascii="宋体" w:hAnsi="宋体" w:cs="宋体"/>
                <w:color w:val="auto"/>
                <w:kern w:val="0"/>
                <w:szCs w:val="21"/>
                <w:lang w:val="en-US" w:eastAsia="zh-CN"/>
              </w:rPr>
              <w:t>1.8</w:t>
            </w:r>
          </w:p>
        </w:tc>
        <w:tc>
          <w:tcPr>
            <w:tcW w:w="7153" w:type="dxa"/>
            <w:tcBorders>
              <w:top w:val="nil"/>
              <w:left w:val="nil"/>
              <w:bottom w:val="single" w:color="auto" w:sz="8" w:space="0"/>
              <w:right w:val="single" w:color="auto" w:sz="8" w:space="0"/>
            </w:tcBorders>
            <w:noWrap w:val="0"/>
            <w:vAlign w:val="center"/>
          </w:tcPr>
          <w:p w14:paraId="46EE5775">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sz w:val="21"/>
                <w:szCs w:val="21"/>
              </w:rPr>
            </w:pPr>
            <w:r>
              <w:rPr>
                <w:rFonts w:hint="eastAsia" w:ascii="宋体" w:hAnsi="宋体" w:eastAsia="宋体" w:cs="宋体"/>
                <w:sz w:val="21"/>
                <w:szCs w:val="21"/>
                <w:lang w:val="en-US" w:eastAsia="zh-CN"/>
              </w:rPr>
              <w:t>申请单编辑页面，支持不同人员配置专属模板，以满足不同工作人员的特定业务需求</w:t>
            </w:r>
            <w:r>
              <w:rPr>
                <w:rFonts w:hint="eastAsia" w:ascii="宋体" w:hAnsi="宋体" w:eastAsia="宋体" w:cs="宋体"/>
                <w:sz w:val="21"/>
                <w:szCs w:val="21"/>
                <w:lang w:eastAsia="zh-CN"/>
              </w:rPr>
              <w:t>；</w:t>
            </w:r>
          </w:p>
        </w:tc>
      </w:tr>
      <w:tr w14:paraId="703CC1A7">
        <w:tblPrEx>
          <w:tblCellMar>
            <w:top w:w="0" w:type="dxa"/>
            <w:left w:w="108" w:type="dxa"/>
            <w:bottom w:w="0" w:type="dxa"/>
            <w:right w:w="108" w:type="dxa"/>
          </w:tblCellMar>
        </w:tblPrEx>
        <w:trPr>
          <w:trHeight w:val="820" w:hRule="atLeast"/>
          <w:jc w:val="center"/>
        </w:trPr>
        <w:tc>
          <w:tcPr>
            <w:tcW w:w="1762" w:type="dxa"/>
            <w:vMerge w:val="continue"/>
            <w:tcBorders>
              <w:left w:val="single" w:color="auto" w:sz="8" w:space="0"/>
              <w:right w:val="single" w:color="auto" w:sz="8" w:space="0"/>
            </w:tcBorders>
            <w:noWrap w:val="0"/>
            <w:vAlign w:val="center"/>
          </w:tcPr>
          <w:p w14:paraId="3EFC5214">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b/>
                <w:bCs/>
                <w:color w:val="auto"/>
                <w:kern w:val="0"/>
                <w:sz w:val="21"/>
                <w:szCs w:val="21"/>
              </w:rPr>
            </w:pPr>
          </w:p>
        </w:tc>
        <w:tc>
          <w:tcPr>
            <w:tcW w:w="944" w:type="dxa"/>
            <w:tcBorders>
              <w:top w:val="nil"/>
              <w:left w:val="nil"/>
              <w:bottom w:val="single" w:color="auto" w:sz="8" w:space="0"/>
              <w:right w:val="single" w:color="auto" w:sz="8" w:space="0"/>
            </w:tcBorders>
            <w:noWrap w:val="0"/>
            <w:vAlign w:val="center"/>
          </w:tcPr>
          <w:p w14:paraId="7A4568A6">
            <w:pPr>
              <w:keepNext w:val="0"/>
              <w:keepLines w:val="0"/>
              <w:pageBreakBefore w:val="0"/>
              <w:widowControl/>
              <w:kinsoku/>
              <w:wordWrap/>
              <w:overflowPunct/>
              <w:topLinePunct w:val="0"/>
              <w:autoSpaceDE/>
              <w:autoSpaceDN/>
              <w:bidi w:val="0"/>
              <w:snapToGrid/>
              <w:spacing w:line="312" w:lineRule="auto"/>
              <w:jc w:val="both"/>
              <w:rPr>
                <w:rFonts w:hint="default" w:ascii="宋体" w:hAnsi="宋体" w:eastAsia="宋体" w:cs="宋体"/>
                <w:color w:val="auto"/>
                <w:kern w:val="0"/>
                <w:szCs w:val="21"/>
                <w:lang w:val="en-US" w:eastAsia="zh-CN"/>
              </w:rPr>
            </w:pPr>
            <w:r>
              <w:rPr>
                <w:rFonts w:hint="eastAsia" w:ascii="宋体" w:hAnsi="宋体" w:cs="宋体"/>
                <w:color w:val="auto"/>
                <w:kern w:val="0"/>
                <w:szCs w:val="21"/>
                <w:lang w:val="en-US" w:eastAsia="zh-CN"/>
              </w:rPr>
              <w:t>1.9</w:t>
            </w:r>
          </w:p>
        </w:tc>
        <w:tc>
          <w:tcPr>
            <w:tcW w:w="7153" w:type="dxa"/>
            <w:tcBorders>
              <w:top w:val="nil"/>
              <w:left w:val="nil"/>
              <w:bottom w:val="single" w:color="auto" w:sz="8" w:space="0"/>
              <w:right w:val="single" w:color="auto" w:sz="8" w:space="0"/>
            </w:tcBorders>
            <w:noWrap w:val="0"/>
            <w:vAlign w:val="center"/>
          </w:tcPr>
          <w:p w14:paraId="33B7BF66">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sz w:val="21"/>
                <w:szCs w:val="21"/>
              </w:rPr>
            </w:pPr>
            <w:r>
              <w:rPr>
                <w:rFonts w:hint="eastAsia" w:ascii="宋体" w:hAnsi="宋体" w:eastAsia="宋体" w:cs="宋体"/>
                <w:sz w:val="21"/>
                <w:szCs w:val="21"/>
                <w:lang w:val="en-US" w:eastAsia="zh-CN"/>
              </w:rPr>
              <w:t>具备申请单预览打印功能，该申请单可以通过设计工具自定义来满足不同用户的需求</w:t>
            </w:r>
            <w:r>
              <w:rPr>
                <w:rFonts w:hint="eastAsia" w:ascii="宋体" w:hAnsi="宋体" w:eastAsia="宋体" w:cs="宋体"/>
                <w:sz w:val="21"/>
                <w:szCs w:val="21"/>
                <w:lang w:eastAsia="zh-CN"/>
              </w:rPr>
              <w:t>；</w:t>
            </w:r>
          </w:p>
        </w:tc>
      </w:tr>
      <w:tr w14:paraId="2ACFB47C">
        <w:tblPrEx>
          <w:tblCellMar>
            <w:top w:w="0" w:type="dxa"/>
            <w:left w:w="108" w:type="dxa"/>
            <w:bottom w:w="0" w:type="dxa"/>
            <w:right w:w="108" w:type="dxa"/>
          </w:tblCellMar>
        </w:tblPrEx>
        <w:trPr>
          <w:trHeight w:val="420" w:hRule="atLeast"/>
          <w:jc w:val="center"/>
        </w:trPr>
        <w:tc>
          <w:tcPr>
            <w:tcW w:w="1762" w:type="dxa"/>
            <w:vMerge w:val="continue"/>
            <w:tcBorders>
              <w:left w:val="single" w:color="auto" w:sz="8" w:space="0"/>
              <w:right w:val="single" w:color="auto" w:sz="8" w:space="0"/>
            </w:tcBorders>
            <w:noWrap w:val="0"/>
            <w:vAlign w:val="center"/>
          </w:tcPr>
          <w:p w14:paraId="04D2AFEB">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b/>
                <w:bCs/>
                <w:color w:val="auto"/>
                <w:kern w:val="0"/>
                <w:sz w:val="21"/>
                <w:szCs w:val="21"/>
              </w:rPr>
            </w:pPr>
          </w:p>
        </w:tc>
        <w:tc>
          <w:tcPr>
            <w:tcW w:w="944" w:type="dxa"/>
            <w:tcBorders>
              <w:top w:val="nil"/>
              <w:left w:val="nil"/>
              <w:bottom w:val="single" w:color="auto" w:sz="8" w:space="0"/>
              <w:right w:val="single" w:color="auto" w:sz="8" w:space="0"/>
            </w:tcBorders>
            <w:noWrap w:val="0"/>
            <w:vAlign w:val="center"/>
          </w:tcPr>
          <w:p w14:paraId="07402A71">
            <w:pPr>
              <w:keepNext w:val="0"/>
              <w:keepLines w:val="0"/>
              <w:pageBreakBefore w:val="0"/>
              <w:widowControl/>
              <w:kinsoku/>
              <w:wordWrap/>
              <w:overflowPunct/>
              <w:topLinePunct w:val="0"/>
              <w:autoSpaceDE/>
              <w:autoSpaceDN/>
              <w:bidi w:val="0"/>
              <w:snapToGrid/>
              <w:spacing w:line="312" w:lineRule="auto"/>
              <w:jc w:val="both"/>
              <w:rPr>
                <w:rFonts w:hint="default" w:ascii="宋体" w:hAnsi="宋体" w:eastAsia="宋体" w:cs="宋体"/>
                <w:color w:val="auto"/>
                <w:kern w:val="0"/>
                <w:szCs w:val="21"/>
                <w:lang w:val="en-US" w:eastAsia="zh-CN"/>
              </w:rPr>
            </w:pPr>
            <w:r>
              <w:rPr>
                <w:rFonts w:hint="eastAsia" w:ascii="宋体" w:hAnsi="宋体" w:cs="宋体"/>
                <w:color w:val="auto"/>
                <w:kern w:val="0"/>
                <w:szCs w:val="21"/>
                <w:lang w:val="en-US" w:eastAsia="zh-CN"/>
              </w:rPr>
              <w:t>1.10</w:t>
            </w:r>
          </w:p>
        </w:tc>
        <w:tc>
          <w:tcPr>
            <w:tcW w:w="7153" w:type="dxa"/>
            <w:tcBorders>
              <w:top w:val="nil"/>
              <w:left w:val="nil"/>
              <w:bottom w:val="single" w:color="auto" w:sz="8" w:space="0"/>
              <w:right w:val="single" w:color="auto" w:sz="8" w:space="0"/>
            </w:tcBorders>
            <w:noWrap w:val="0"/>
            <w:vAlign w:val="center"/>
          </w:tcPr>
          <w:p w14:paraId="643455CE">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sz w:val="21"/>
                <w:szCs w:val="21"/>
              </w:rPr>
            </w:pPr>
            <w:r>
              <w:rPr>
                <w:rFonts w:hint="eastAsia" w:ascii="宋体" w:hAnsi="宋体" w:eastAsia="宋体" w:cs="宋体"/>
                <w:sz w:val="21"/>
                <w:szCs w:val="21"/>
              </w:rPr>
              <w:t>申请单支持冰冻预约功能，可通过设置预约时间向病理人员预约冰冻检查</w:t>
            </w:r>
            <w:r>
              <w:rPr>
                <w:rFonts w:hint="eastAsia" w:ascii="宋体" w:hAnsi="宋体" w:eastAsia="宋体" w:cs="宋体"/>
                <w:sz w:val="21"/>
                <w:szCs w:val="21"/>
                <w:lang w:eastAsia="zh-CN"/>
              </w:rPr>
              <w:t>；</w:t>
            </w:r>
          </w:p>
        </w:tc>
      </w:tr>
      <w:tr w14:paraId="22BE1982">
        <w:tblPrEx>
          <w:tblCellMar>
            <w:top w:w="0" w:type="dxa"/>
            <w:left w:w="108" w:type="dxa"/>
            <w:bottom w:w="0" w:type="dxa"/>
            <w:right w:w="108" w:type="dxa"/>
          </w:tblCellMar>
        </w:tblPrEx>
        <w:trPr>
          <w:trHeight w:val="820" w:hRule="atLeast"/>
          <w:jc w:val="center"/>
        </w:trPr>
        <w:tc>
          <w:tcPr>
            <w:tcW w:w="1762" w:type="dxa"/>
            <w:vMerge w:val="continue"/>
            <w:tcBorders>
              <w:left w:val="single" w:color="auto" w:sz="8" w:space="0"/>
              <w:right w:val="single" w:color="auto" w:sz="8" w:space="0"/>
            </w:tcBorders>
            <w:noWrap w:val="0"/>
            <w:vAlign w:val="center"/>
          </w:tcPr>
          <w:p w14:paraId="38D79216">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b/>
                <w:bCs/>
                <w:color w:val="auto"/>
                <w:kern w:val="0"/>
                <w:sz w:val="21"/>
                <w:szCs w:val="21"/>
              </w:rPr>
            </w:pPr>
          </w:p>
        </w:tc>
        <w:tc>
          <w:tcPr>
            <w:tcW w:w="944" w:type="dxa"/>
            <w:tcBorders>
              <w:top w:val="nil"/>
              <w:left w:val="nil"/>
              <w:bottom w:val="single" w:color="auto" w:sz="8" w:space="0"/>
              <w:right w:val="single" w:color="auto" w:sz="8" w:space="0"/>
            </w:tcBorders>
            <w:noWrap w:val="0"/>
            <w:vAlign w:val="center"/>
          </w:tcPr>
          <w:p w14:paraId="55D02FA9">
            <w:pPr>
              <w:keepNext w:val="0"/>
              <w:keepLines w:val="0"/>
              <w:pageBreakBefore w:val="0"/>
              <w:widowControl/>
              <w:kinsoku/>
              <w:wordWrap/>
              <w:overflowPunct/>
              <w:topLinePunct w:val="0"/>
              <w:autoSpaceDE/>
              <w:autoSpaceDN/>
              <w:bidi w:val="0"/>
              <w:snapToGrid/>
              <w:spacing w:line="312" w:lineRule="auto"/>
              <w:jc w:val="both"/>
              <w:rPr>
                <w:rFonts w:hint="default" w:ascii="宋体" w:hAnsi="宋体" w:eastAsia="宋体" w:cs="宋体"/>
                <w:color w:val="auto"/>
                <w:kern w:val="0"/>
                <w:szCs w:val="21"/>
                <w:lang w:val="en-US" w:eastAsia="zh-CN"/>
              </w:rPr>
            </w:pPr>
            <w:r>
              <w:rPr>
                <w:rFonts w:hint="eastAsia" w:ascii="宋体" w:hAnsi="宋体" w:cs="宋体"/>
                <w:color w:val="auto"/>
                <w:kern w:val="0"/>
                <w:szCs w:val="21"/>
                <w:lang w:val="en-US" w:eastAsia="zh-CN"/>
              </w:rPr>
              <w:t>1.11</w:t>
            </w:r>
          </w:p>
        </w:tc>
        <w:tc>
          <w:tcPr>
            <w:tcW w:w="7153" w:type="dxa"/>
            <w:tcBorders>
              <w:top w:val="nil"/>
              <w:left w:val="nil"/>
              <w:bottom w:val="single" w:color="auto" w:sz="8" w:space="0"/>
              <w:right w:val="single" w:color="auto" w:sz="8" w:space="0"/>
            </w:tcBorders>
            <w:noWrap w:val="0"/>
            <w:vAlign w:val="center"/>
          </w:tcPr>
          <w:p w14:paraId="38871CA4">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sz w:val="21"/>
                <w:szCs w:val="21"/>
              </w:rPr>
            </w:pPr>
            <w:r>
              <w:rPr>
                <w:rFonts w:hint="eastAsia" w:ascii="宋体" w:hAnsi="宋体" w:eastAsia="宋体" w:cs="宋体"/>
                <w:sz w:val="21"/>
                <w:szCs w:val="21"/>
              </w:rPr>
              <w:t>申请单支持回溯功能，例如送检类型错误，想要重新处理，可以选择回溯，防止重新打印和填写申请单</w:t>
            </w:r>
            <w:r>
              <w:rPr>
                <w:rFonts w:hint="eastAsia" w:ascii="宋体" w:hAnsi="宋体" w:eastAsia="宋体" w:cs="宋体"/>
                <w:sz w:val="21"/>
                <w:szCs w:val="21"/>
                <w:lang w:eastAsia="zh-CN"/>
              </w:rPr>
              <w:t>；</w:t>
            </w:r>
          </w:p>
        </w:tc>
      </w:tr>
      <w:tr w14:paraId="796B7F73">
        <w:tblPrEx>
          <w:tblCellMar>
            <w:top w:w="0" w:type="dxa"/>
            <w:left w:w="108" w:type="dxa"/>
            <w:bottom w:w="0" w:type="dxa"/>
            <w:right w:w="108" w:type="dxa"/>
          </w:tblCellMar>
        </w:tblPrEx>
        <w:trPr>
          <w:trHeight w:val="420" w:hRule="atLeast"/>
          <w:jc w:val="center"/>
        </w:trPr>
        <w:tc>
          <w:tcPr>
            <w:tcW w:w="1762" w:type="dxa"/>
            <w:vMerge w:val="continue"/>
            <w:tcBorders>
              <w:left w:val="single" w:color="auto" w:sz="8" w:space="0"/>
              <w:bottom w:val="single" w:color="000000" w:sz="8" w:space="0"/>
              <w:right w:val="single" w:color="auto" w:sz="8" w:space="0"/>
            </w:tcBorders>
            <w:noWrap w:val="0"/>
            <w:vAlign w:val="center"/>
          </w:tcPr>
          <w:p w14:paraId="0E44BAF8">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b/>
                <w:bCs/>
                <w:color w:val="auto"/>
                <w:kern w:val="0"/>
                <w:sz w:val="21"/>
                <w:szCs w:val="21"/>
              </w:rPr>
            </w:pPr>
          </w:p>
        </w:tc>
        <w:tc>
          <w:tcPr>
            <w:tcW w:w="944" w:type="dxa"/>
            <w:tcBorders>
              <w:top w:val="nil"/>
              <w:left w:val="nil"/>
              <w:bottom w:val="single" w:color="auto" w:sz="8" w:space="0"/>
              <w:right w:val="single" w:color="auto" w:sz="8" w:space="0"/>
            </w:tcBorders>
            <w:noWrap w:val="0"/>
            <w:vAlign w:val="center"/>
          </w:tcPr>
          <w:p w14:paraId="03C74AC2">
            <w:pPr>
              <w:keepNext w:val="0"/>
              <w:keepLines w:val="0"/>
              <w:pageBreakBefore w:val="0"/>
              <w:widowControl/>
              <w:kinsoku/>
              <w:wordWrap/>
              <w:overflowPunct/>
              <w:topLinePunct w:val="0"/>
              <w:autoSpaceDE/>
              <w:autoSpaceDN/>
              <w:bidi w:val="0"/>
              <w:snapToGrid/>
              <w:spacing w:line="312" w:lineRule="auto"/>
              <w:jc w:val="both"/>
              <w:rPr>
                <w:rFonts w:hint="default" w:ascii="宋体" w:hAnsi="宋体" w:eastAsia="宋体" w:cs="宋体"/>
                <w:color w:val="auto"/>
                <w:kern w:val="0"/>
                <w:szCs w:val="21"/>
                <w:lang w:val="en-US" w:eastAsia="zh-CN"/>
              </w:rPr>
            </w:pPr>
            <w:r>
              <w:rPr>
                <w:rFonts w:hint="eastAsia" w:ascii="宋体" w:hAnsi="宋体" w:cs="宋体"/>
                <w:color w:val="auto"/>
                <w:kern w:val="0"/>
                <w:szCs w:val="21"/>
                <w:lang w:val="en-US" w:eastAsia="zh-CN"/>
              </w:rPr>
              <w:t>1.12</w:t>
            </w:r>
          </w:p>
        </w:tc>
        <w:tc>
          <w:tcPr>
            <w:tcW w:w="7153" w:type="dxa"/>
            <w:tcBorders>
              <w:top w:val="nil"/>
              <w:left w:val="nil"/>
              <w:bottom w:val="single" w:color="auto" w:sz="8" w:space="0"/>
              <w:right w:val="single" w:color="auto" w:sz="8" w:space="0"/>
            </w:tcBorders>
            <w:noWrap w:val="0"/>
            <w:vAlign w:val="center"/>
          </w:tcPr>
          <w:p w14:paraId="3020F6C9">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sz w:val="21"/>
                <w:szCs w:val="21"/>
              </w:rPr>
            </w:pPr>
            <w:r>
              <w:rPr>
                <w:rFonts w:hint="eastAsia" w:ascii="宋体" w:hAnsi="宋体" w:eastAsia="宋体" w:cs="宋体"/>
                <w:sz w:val="21"/>
                <w:szCs w:val="21"/>
              </w:rPr>
              <w:t>具备扫描枪扫码自动查询申请单</w:t>
            </w:r>
            <w:r>
              <w:rPr>
                <w:rFonts w:hint="eastAsia" w:ascii="宋体" w:hAnsi="宋体" w:eastAsia="宋体" w:cs="宋体"/>
                <w:sz w:val="21"/>
                <w:szCs w:val="21"/>
                <w:lang w:val="en-US" w:eastAsia="zh-CN"/>
              </w:rPr>
              <w:t>功能。</w:t>
            </w:r>
          </w:p>
        </w:tc>
      </w:tr>
      <w:tr w14:paraId="47130297">
        <w:tblPrEx>
          <w:tblCellMar>
            <w:top w:w="0" w:type="dxa"/>
            <w:left w:w="108" w:type="dxa"/>
            <w:bottom w:w="0" w:type="dxa"/>
            <w:right w:w="108" w:type="dxa"/>
          </w:tblCellMar>
        </w:tblPrEx>
        <w:trPr>
          <w:trHeight w:val="420" w:hRule="atLeast"/>
          <w:jc w:val="center"/>
        </w:trPr>
        <w:tc>
          <w:tcPr>
            <w:tcW w:w="1762" w:type="dxa"/>
            <w:vMerge w:val="restart"/>
            <w:tcBorders>
              <w:top w:val="nil"/>
              <w:left w:val="single" w:color="auto" w:sz="8" w:space="0"/>
              <w:right w:val="single" w:color="auto" w:sz="8" w:space="0"/>
            </w:tcBorders>
            <w:noWrap w:val="0"/>
            <w:vAlign w:val="center"/>
          </w:tcPr>
          <w:p w14:paraId="509177E3">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 xml:space="preserve">2. </w:t>
            </w:r>
            <w:r>
              <w:rPr>
                <w:rFonts w:hint="eastAsia" w:ascii="宋体" w:hAnsi="宋体" w:eastAsia="宋体" w:cs="宋体"/>
                <w:b/>
                <w:bCs/>
                <w:color w:val="auto"/>
                <w:sz w:val="21"/>
                <w:szCs w:val="21"/>
              </w:rPr>
              <w:t>预检打印</w:t>
            </w:r>
          </w:p>
        </w:tc>
        <w:tc>
          <w:tcPr>
            <w:tcW w:w="944" w:type="dxa"/>
            <w:tcBorders>
              <w:top w:val="nil"/>
              <w:left w:val="nil"/>
              <w:bottom w:val="single" w:color="auto" w:sz="8" w:space="0"/>
              <w:right w:val="single" w:color="auto" w:sz="8" w:space="0"/>
            </w:tcBorders>
            <w:noWrap w:val="0"/>
            <w:vAlign w:val="center"/>
          </w:tcPr>
          <w:p w14:paraId="30281DC2">
            <w:pPr>
              <w:keepNext w:val="0"/>
              <w:keepLines w:val="0"/>
              <w:pageBreakBefore w:val="0"/>
              <w:widowControl/>
              <w:kinsoku/>
              <w:wordWrap/>
              <w:overflowPunct/>
              <w:topLinePunct w:val="0"/>
              <w:autoSpaceDE/>
              <w:autoSpaceDN/>
              <w:bidi w:val="0"/>
              <w:snapToGrid/>
              <w:spacing w:line="312" w:lineRule="auto"/>
              <w:jc w:val="both"/>
              <w:rPr>
                <w:rFonts w:ascii="宋体" w:hAnsi="宋体" w:cs="宋体"/>
                <w:color w:val="auto"/>
                <w:kern w:val="0"/>
                <w:szCs w:val="21"/>
              </w:rPr>
            </w:pPr>
            <w:r>
              <w:rPr>
                <w:rFonts w:hint="eastAsia" w:ascii="宋体" w:hAnsi="宋体" w:cs="宋体"/>
                <w:color w:val="auto"/>
                <w:kern w:val="0"/>
                <w:szCs w:val="21"/>
              </w:rPr>
              <w:t>2.1</w:t>
            </w:r>
          </w:p>
        </w:tc>
        <w:tc>
          <w:tcPr>
            <w:tcW w:w="7153" w:type="dxa"/>
            <w:tcBorders>
              <w:top w:val="nil"/>
              <w:left w:val="nil"/>
              <w:bottom w:val="single" w:color="auto" w:sz="8" w:space="0"/>
              <w:right w:val="single" w:color="auto" w:sz="8" w:space="0"/>
            </w:tcBorders>
            <w:noWrap w:val="0"/>
            <w:vAlign w:val="center"/>
          </w:tcPr>
          <w:p w14:paraId="2E86529C">
            <w:pPr>
              <w:keepNext w:val="0"/>
              <w:keepLines w:val="0"/>
              <w:pageBreakBefore w:val="0"/>
              <w:widowControl/>
              <w:kinsoku/>
              <w:wordWrap/>
              <w:overflowPunct/>
              <w:topLinePunct w:val="0"/>
              <w:autoSpaceDE/>
              <w:autoSpaceDN/>
              <w:bidi w:val="0"/>
              <w:snapToGrid/>
              <w:spacing w:line="312" w:lineRule="auto"/>
              <w:jc w:val="both"/>
              <w:rPr>
                <w:rFonts w:ascii="宋体" w:hAnsi="宋体" w:cs="宋体"/>
                <w:color w:val="FF0000"/>
                <w:kern w:val="0"/>
                <w:szCs w:val="21"/>
              </w:rPr>
            </w:pPr>
            <w:r>
              <w:rPr>
                <w:rFonts w:hint="eastAsia" w:ascii="宋体" w:hAnsi="宋体" w:eastAsia="宋体" w:cs="宋体"/>
                <w:sz w:val="21"/>
                <w:szCs w:val="21"/>
                <w:lang w:val="en-US" w:eastAsia="zh-CN"/>
              </w:rPr>
              <w:t>支持对标本信息进行临时保存操作</w:t>
            </w:r>
            <w:r>
              <w:rPr>
                <w:rFonts w:hint="eastAsia" w:ascii="宋体" w:hAnsi="宋体" w:eastAsia="宋体" w:cs="宋体"/>
                <w:sz w:val="21"/>
                <w:szCs w:val="21"/>
                <w:lang w:eastAsia="zh-CN"/>
              </w:rPr>
              <w:t>；</w:t>
            </w:r>
          </w:p>
        </w:tc>
      </w:tr>
      <w:tr w14:paraId="199D93FF">
        <w:tblPrEx>
          <w:tblCellMar>
            <w:top w:w="0" w:type="dxa"/>
            <w:left w:w="108" w:type="dxa"/>
            <w:bottom w:w="0" w:type="dxa"/>
            <w:right w:w="108" w:type="dxa"/>
          </w:tblCellMar>
        </w:tblPrEx>
        <w:trPr>
          <w:trHeight w:val="820" w:hRule="atLeast"/>
          <w:jc w:val="center"/>
        </w:trPr>
        <w:tc>
          <w:tcPr>
            <w:tcW w:w="1762" w:type="dxa"/>
            <w:vMerge w:val="continue"/>
            <w:tcBorders>
              <w:left w:val="single" w:color="auto" w:sz="8" w:space="0"/>
              <w:right w:val="single" w:color="auto" w:sz="8" w:space="0"/>
            </w:tcBorders>
            <w:noWrap w:val="0"/>
            <w:vAlign w:val="center"/>
          </w:tcPr>
          <w:p w14:paraId="39014295">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b/>
                <w:bCs/>
                <w:color w:val="auto"/>
                <w:kern w:val="0"/>
                <w:sz w:val="21"/>
                <w:szCs w:val="21"/>
              </w:rPr>
            </w:pPr>
          </w:p>
        </w:tc>
        <w:tc>
          <w:tcPr>
            <w:tcW w:w="944" w:type="dxa"/>
            <w:tcBorders>
              <w:top w:val="nil"/>
              <w:left w:val="nil"/>
              <w:bottom w:val="single" w:color="auto" w:sz="8" w:space="0"/>
              <w:right w:val="single" w:color="auto" w:sz="8" w:space="0"/>
            </w:tcBorders>
            <w:noWrap w:val="0"/>
            <w:vAlign w:val="center"/>
          </w:tcPr>
          <w:p w14:paraId="1EB54018">
            <w:pPr>
              <w:keepNext w:val="0"/>
              <w:keepLines w:val="0"/>
              <w:pageBreakBefore w:val="0"/>
              <w:widowControl/>
              <w:kinsoku/>
              <w:wordWrap/>
              <w:overflowPunct/>
              <w:topLinePunct w:val="0"/>
              <w:autoSpaceDE/>
              <w:autoSpaceDN/>
              <w:bidi w:val="0"/>
              <w:snapToGrid/>
              <w:spacing w:line="312" w:lineRule="auto"/>
              <w:jc w:val="both"/>
              <w:rPr>
                <w:rFonts w:ascii="宋体" w:hAnsi="宋体" w:cs="宋体"/>
                <w:color w:val="auto"/>
                <w:kern w:val="0"/>
                <w:szCs w:val="21"/>
              </w:rPr>
            </w:pPr>
            <w:r>
              <w:rPr>
                <w:rFonts w:hint="eastAsia" w:ascii="宋体" w:hAnsi="宋体" w:cs="宋体"/>
                <w:color w:val="auto"/>
                <w:kern w:val="0"/>
                <w:szCs w:val="21"/>
              </w:rPr>
              <w:t>2.2</w:t>
            </w:r>
          </w:p>
        </w:tc>
        <w:tc>
          <w:tcPr>
            <w:tcW w:w="7153" w:type="dxa"/>
            <w:tcBorders>
              <w:top w:val="nil"/>
              <w:left w:val="nil"/>
              <w:bottom w:val="single" w:color="auto" w:sz="8" w:space="0"/>
              <w:right w:val="single" w:color="auto" w:sz="8" w:space="0"/>
            </w:tcBorders>
            <w:noWrap w:val="0"/>
            <w:vAlign w:val="center"/>
          </w:tcPr>
          <w:p w14:paraId="6BEAA04E">
            <w:pPr>
              <w:keepNext w:val="0"/>
              <w:keepLines w:val="0"/>
              <w:pageBreakBefore w:val="0"/>
              <w:widowControl/>
              <w:kinsoku/>
              <w:wordWrap/>
              <w:overflowPunct/>
              <w:topLinePunct w:val="0"/>
              <w:autoSpaceDE/>
              <w:autoSpaceDN/>
              <w:bidi w:val="0"/>
              <w:snapToGrid/>
              <w:spacing w:line="312" w:lineRule="auto"/>
              <w:jc w:val="both"/>
              <w:rPr>
                <w:rFonts w:ascii="宋体" w:hAnsi="宋体" w:cs="宋体"/>
                <w:color w:val="FF0000"/>
                <w:kern w:val="0"/>
                <w:szCs w:val="21"/>
              </w:rPr>
            </w:pPr>
            <w:r>
              <w:rPr>
                <w:rFonts w:hint="eastAsia" w:ascii="宋体" w:hAnsi="宋体" w:eastAsia="宋体" w:cs="宋体"/>
                <w:sz w:val="21"/>
                <w:szCs w:val="21"/>
                <w:lang w:val="en-US" w:eastAsia="zh-CN"/>
              </w:rPr>
              <w:t>可自动生成标本序号，后续流程严格按照该序号进行排序，包括送达到病理系统后的标本序号</w:t>
            </w:r>
            <w:r>
              <w:rPr>
                <w:rFonts w:hint="eastAsia" w:ascii="宋体" w:hAnsi="宋体" w:eastAsia="宋体" w:cs="宋体"/>
                <w:sz w:val="21"/>
                <w:szCs w:val="21"/>
                <w:lang w:eastAsia="zh-CN"/>
              </w:rPr>
              <w:t>；</w:t>
            </w:r>
          </w:p>
        </w:tc>
      </w:tr>
      <w:tr w14:paraId="02830D34">
        <w:tblPrEx>
          <w:tblCellMar>
            <w:top w:w="0" w:type="dxa"/>
            <w:left w:w="108" w:type="dxa"/>
            <w:bottom w:w="0" w:type="dxa"/>
            <w:right w:w="108" w:type="dxa"/>
          </w:tblCellMar>
        </w:tblPrEx>
        <w:trPr>
          <w:trHeight w:val="420" w:hRule="atLeast"/>
          <w:jc w:val="center"/>
        </w:trPr>
        <w:tc>
          <w:tcPr>
            <w:tcW w:w="1762" w:type="dxa"/>
            <w:vMerge w:val="continue"/>
            <w:tcBorders>
              <w:left w:val="single" w:color="auto" w:sz="8" w:space="0"/>
              <w:right w:val="single" w:color="auto" w:sz="8" w:space="0"/>
            </w:tcBorders>
            <w:noWrap w:val="0"/>
            <w:vAlign w:val="center"/>
          </w:tcPr>
          <w:p w14:paraId="6D6BA189">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b/>
                <w:bCs/>
                <w:color w:val="auto"/>
                <w:kern w:val="0"/>
                <w:sz w:val="21"/>
                <w:szCs w:val="21"/>
              </w:rPr>
            </w:pPr>
          </w:p>
        </w:tc>
        <w:tc>
          <w:tcPr>
            <w:tcW w:w="944" w:type="dxa"/>
            <w:tcBorders>
              <w:top w:val="nil"/>
              <w:left w:val="nil"/>
              <w:bottom w:val="single" w:color="auto" w:sz="8" w:space="0"/>
              <w:right w:val="single" w:color="auto" w:sz="8" w:space="0"/>
            </w:tcBorders>
            <w:noWrap w:val="0"/>
            <w:vAlign w:val="center"/>
          </w:tcPr>
          <w:p w14:paraId="496DD927">
            <w:pPr>
              <w:keepNext w:val="0"/>
              <w:keepLines w:val="0"/>
              <w:pageBreakBefore w:val="0"/>
              <w:widowControl/>
              <w:kinsoku/>
              <w:wordWrap/>
              <w:overflowPunct/>
              <w:topLinePunct w:val="0"/>
              <w:autoSpaceDE/>
              <w:autoSpaceDN/>
              <w:bidi w:val="0"/>
              <w:snapToGrid/>
              <w:spacing w:line="312" w:lineRule="auto"/>
              <w:jc w:val="both"/>
              <w:rPr>
                <w:rFonts w:ascii="宋体" w:hAnsi="宋体" w:cs="宋体"/>
                <w:color w:val="auto"/>
                <w:kern w:val="0"/>
                <w:szCs w:val="21"/>
              </w:rPr>
            </w:pPr>
            <w:r>
              <w:rPr>
                <w:rFonts w:hint="eastAsia" w:ascii="宋体" w:hAnsi="宋体" w:cs="宋体"/>
                <w:color w:val="auto"/>
                <w:kern w:val="0"/>
                <w:szCs w:val="21"/>
              </w:rPr>
              <w:t>2.3</w:t>
            </w:r>
          </w:p>
        </w:tc>
        <w:tc>
          <w:tcPr>
            <w:tcW w:w="7153" w:type="dxa"/>
            <w:tcBorders>
              <w:top w:val="nil"/>
              <w:left w:val="nil"/>
              <w:bottom w:val="single" w:color="auto" w:sz="8" w:space="0"/>
              <w:right w:val="single" w:color="auto" w:sz="8" w:space="0"/>
            </w:tcBorders>
            <w:noWrap w:val="0"/>
            <w:vAlign w:val="center"/>
          </w:tcPr>
          <w:p w14:paraId="0A0105BD">
            <w:pPr>
              <w:keepNext w:val="0"/>
              <w:keepLines w:val="0"/>
              <w:pageBreakBefore w:val="0"/>
              <w:widowControl/>
              <w:kinsoku/>
              <w:wordWrap/>
              <w:overflowPunct/>
              <w:topLinePunct w:val="0"/>
              <w:autoSpaceDE/>
              <w:autoSpaceDN/>
              <w:bidi w:val="0"/>
              <w:snapToGrid/>
              <w:spacing w:line="312" w:lineRule="auto"/>
              <w:jc w:val="both"/>
              <w:rPr>
                <w:rFonts w:ascii="宋体" w:hAnsi="宋体" w:cs="宋体"/>
                <w:color w:val="FF0000"/>
                <w:kern w:val="0"/>
                <w:szCs w:val="21"/>
              </w:rPr>
            </w:pPr>
            <w:r>
              <w:rPr>
                <w:rFonts w:hint="eastAsia" w:ascii="宋体" w:hAnsi="宋体" w:eastAsia="宋体" w:cs="宋体"/>
                <w:sz w:val="21"/>
                <w:szCs w:val="21"/>
              </w:rPr>
              <w:t>支持标本单个打印</w:t>
            </w:r>
            <w:r>
              <w:rPr>
                <w:rFonts w:hint="eastAsia" w:ascii="宋体" w:hAnsi="宋体" w:eastAsia="宋体" w:cs="宋体"/>
                <w:sz w:val="21"/>
                <w:szCs w:val="21"/>
                <w:lang w:eastAsia="zh-CN"/>
              </w:rPr>
              <w:t>和</w:t>
            </w:r>
            <w:r>
              <w:rPr>
                <w:rFonts w:hint="eastAsia" w:ascii="宋体" w:hAnsi="宋体" w:eastAsia="宋体" w:cs="宋体"/>
                <w:sz w:val="21"/>
                <w:szCs w:val="21"/>
              </w:rPr>
              <w:t>批量打印，打印顺序严格按照序号进行</w:t>
            </w:r>
            <w:r>
              <w:rPr>
                <w:rFonts w:hint="eastAsia" w:ascii="宋体" w:hAnsi="宋体" w:eastAsia="宋体" w:cs="宋体"/>
                <w:sz w:val="21"/>
                <w:szCs w:val="21"/>
                <w:lang w:eastAsia="zh-CN"/>
              </w:rPr>
              <w:t>；</w:t>
            </w:r>
          </w:p>
        </w:tc>
      </w:tr>
      <w:tr w14:paraId="5500250B">
        <w:tblPrEx>
          <w:tblCellMar>
            <w:top w:w="0" w:type="dxa"/>
            <w:left w:w="108" w:type="dxa"/>
            <w:bottom w:w="0" w:type="dxa"/>
            <w:right w:w="108" w:type="dxa"/>
          </w:tblCellMar>
        </w:tblPrEx>
        <w:trPr>
          <w:trHeight w:val="820" w:hRule="atLeast"/>
          <w:jc w:val="center"/>
        </w:trPr>
        <w:tc>
          <w:tcPr>
            <w:tcW w:w="1762" w:type="dxa"/>
            <w:vMerge w:val="continue"/>
            <w:tcBorders>
              <w:left w:val="single" w:color="auto" w:sz="8" w:space="0"/>
              <w:right w:val="single" w:color="auto" w:sz="8" w:space="0"/>
            </w:tcBorders>
            <w:noWrap w:val="0"/>
            <w:vAlign w:val="center"/>
          </w:tcPr>
          <w:p w14:paraId="2436470A">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b/>
                <w:bCs/>
                <w:color w:val="auto"/>
                <w:kern w:val="0"/>
                <w:sz w:val="21"/>
                <w:szCs w:val="21"/>
              </w:rPr>
            </w:pPr>
          </w:p>
        </w:tc>
        <w:tc>
          <w:tcPr>
            <w:tcW w:w="944" w:type="dxa"/>
            <w:tcBorders>
              <w:top w:val="nil"/>
              <w:left w:val="nil"/>
              <w:bottom w:val="single" w:color="auto" w:sz="8" w:space="0"/>
              <w:right w:val="single" w:color="auto" w:sz="8" w:space="0"/>
            </w:tcBorders>
            <w:noWrap w:val="0"/>
            <w:vAlign w:val="center"/>
          </w:tcPr>
          <w:p w14:paraId="28E9C836">
            <w:pPr>
              <w:keepNext w:val="0"/>
              <w:keepLines w:val="0"/>
              <w:pageBreakBefore w:val="0"/>
              <w:widowControl/>
              <w:kinsoku/>
              <w:wordWrap/>
              <w:overflowPunct/>
              <w:topLinePunct w:val="0"/>
              <w:autoSpaceDE/>
              <w:autoSpaceDN/>
              <w:bidi w:val="0"/>
              <w:snapToGrid/>
              <w:spacing w:line="312" w:lineRule="auto"/>
              <w:jc w:val="both"/>
              <w:rPr>
                <w:rFonts w:hint="default" w:ascii="宋体" w:hAnsi="宋体" w:eastAsia="宋体" w:cs="宋体"/>
                <w:color w:val="auto"/>
                <w:kern w:val="0"/>
                <w:szCs w:val="21"/>
                <w:lang w:val="en-US" w:eastAsia="zh-CN"/>
              </w:rPr>
            </w:pPr>
            <w:r>
              <w:rPr>
                <w:rFonts w:hint="eastAsia" w:ascii="宋体" w:hAnsi="宋体" w:cs="宋体"/>
                <w:color w:val="auto"/>
                <w:kern w:val="0"/>
                <w:szCs w:val="21"/>
                <w:lang w:val="en-US" w:eastAsia="zh-CN"/>
              </w:rPr>
              <w:t>2.4</w:t>
            </w:r>
          </w:p>
        </w:tc>
        <w:tc>
          <w:tcPr>
            <w:tcW w:w="7153" w:type="dxa"/>
            <w:tcBorders>
              <w:top w:val="nil"/>
              <w:left w:val="nil"/>
              <w:bottom w:val="single" w:color="auto" w:sz="8" w:space="0"/>
              <w:right w:val="single" w:color="auto" w:sz="8" w:space="0"/>
            </w:tcBorders>
            <w:noWrap w:val="0"/>
            <w:vAlign w:val="center"/>
          </w:tcPr>
          <w:p w14:paraId="59DD53B2">
            <w:pPr>
              <w:keepNext w:val="0"/>
              <w:keepLines w:val="0"/>
              <w:pageBreakBefore w:val="0"/>
              <w:widowControl/>
              <w:kinsoku/>
              <w:wordWrap/>
              <w:overflowPunct/>
              <w:topLinePunct w:val="0"/>
              <w:autoSpaceDE/>
              <w:autoSpaceDN/>
              <w:bidi w:val="0"/>
              <w:snapToGrid/>
              <w:spacing w:line="312" w:lineRule="auto"/>
              <w:jc w:val="both"/>
              <w:rPr>
                <w:rFonts w:ascii="宋体" w:hAnsi="宋体" w:cs="宋体"/>
                <w:color w:val="FF0000"/>
                <w:kern w:val="0"/>
                <w:szCs w:val="21"/>
              </w:rPr>
            </w:pPr>
            <w:r>
              <w:rPr>
                <w:rFonts w:hint="eastAsia" w:ascii="宋体" w:hAnsi="宋体" w:eastAsia="宋体" w:cs="宋体"/>
                <w:sz w:val="21"/>
                <w:szCs w:val="21"/>
                <w:lang w:val="en-US" w:eastAsia="zh-CN"/>
              </w:rPr>
              <w:t>支持打印标本所在的申请单标签，标本标签和申请单标签均支持自定义设计模板</w:t>
            </w:r>
            <w:r>
              <w:rPr>
                <w:rFonts w:hint="eastAsia" w:ascii="宋体" w:hAnsi="宋体" w:eastAsia="宋体" w:cs="宋体"/>
                <w:sz w:val="21"/>
                <w:szCs w:val="21"/>
                <w:lang w:eastAsia="zh-CN"/>
              </w:rPr>
              <w:t>；</w:t>
            </w:r>
          </w:p>
        </w:tc>
      </w:tr>
      <w:tr w14:paraId="2226E7A0">
        <w:tblPrEx>
          <w:tblCellMar>
            <w:top w:w="0" w:type="dxa"/>
            <w:left w:w="108" w:type="dxa"/>
            <w:bottom w:w="0" w:type="dxa"/>
            <w:right w:w="108" w:type="dxa"/>
          </w:tblCellMar>
        </w:tblPrEx>
        <w:trPr>
          <w:trHeight w:val="420" w:hRule="atLeast"/>
          <w:jc w:val="center"/>
        </w:trPr>
        <w:tc>
          <w:tcPr>
            <w:tcW w:w="1762" w:type="dxa"/>
            <w:vMerge w:val="continue"/>
            <w:tcBorders>
              <w:left w:val="single" w:color="auto" w:sz="8" w:space="0"/>
              <w:right w:val="single" w:color="auto" w:sz="8" w:space="0"/>
            </w:tcBorders>
            <w:noWrap w:val="0"/>
            <w:vAlign w:val="center"/>
          </w:tcPr>
          <w:p w14:paraId="49CF46F5">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b/>
                <w:bCs/>
                <w:color w:val="auto"/>
                <w:kern w:val="0"/>
                <w:sz w:val="21"/>
                <w:szCs w:val="21"/>
              </w:rPr>
            </w:pPr>
          </w:p>
        </w:tc>
        <w:tc>
          <w:tcPr>
            <w:tcW w:w="944" w:type="dxa"/>
            <w:tcBorders>
              <w:top w:val="nil"/>
              <w:left w:val="nil"/>
              <w:bottom w:val="single" w:color="auto" w:sz="8" w:space="0"/>
              <w:right w:val="single" w:color="auto" w:sz="8" w:space="0"/>
            </w:tcBorders>
            <w:noWrap w:val="0"/>
            <w:vAlign w:val="center"/>
          </w:tcPr>
          <w:p w14:paraId="5914A69C">
            <w:pPr>
              <w:keepNext w:val="0"/>
              <w:keepLines w:val="0"/>
              <w:pageBreakBefore w:val="0"/>
              <w:widowControl/>
              <w:kinsoku/>
              <w:wordWrap/>
              <w:overflowPunct/>
              <w:topLinePunct w:val="0"/>
              <w:autoSpaceDE/>
              <w:autoSpaceDN/>
              <w:bidi w:val="0"/>
              <w:snapToGrid/>
              <w:spacing w:line="312" w:lineRule="auto"/>
              <w:jc w:val="both"/>
              <w:rPr>
                <w:rFonts w:hint="default" w:ascii="宋体" w:hAnsi="宋体" w:eastAsia="宋体" w:cs="宋体"/>
                <w:color w:val="auto"/>
                <w:kern w:val="0"/>
                <w:szCs w:val="21"/>
                <w:lang w:val="en-US" w:eastAsia="zh-CN"/>
              </w:rPr>
            </w:pPr>
            <w:r>
              <w:rPr>
                <w:rFonts w:hint="eastAsia" w:ascii="宋体" w:hAnsi="宋体" w:cs="宋体"/>
                <w:color w:val="auto"/>
                <w:kern w:val="0"/>
                <w:szCs w:val="21"/>
                <w:lang w:val="en-US" w:eastAsia="zh-CN"/>
              </w:rPr>
              <w:t>2.5</w:t>
            </w:r>
          </w:p>
        </w:tc>
        <w:tc>
          <w:tcPr>
            <w:tcW w:w="7153" w:type="dxa"/>
            <w:tcBorders>
              <w:top w:val="nil"/>
              <w:left w:val="nil"/>
              <w:bottom w:val="single" w:color="auto" w:sz="8" w:space="0"/>
              <w:right w:val="single" w:color="auto" w:sz="8" w:space="0"/>
            </w:tcBorders>
            <w:noWrap w:val="0"/>
            <w:vAlign w:val="center"/>
          </w:tcPr>
          <w:p w14:paraId="222DCFE8">
            <w:pPr>
              <w:keepNext w:val="0"/>
              <w:keepLines w:val="0"/>
              <w:pageBreakBefore w:val="0"/>
              <w:widowControl/>
              <w:kinsoku/>
              <w:wordWrap/>
              <w:overflowPunct/>
              <w:topLinePunct w:val="0"/>
              <w:autoSpaceDE/>
              <w:autoSpaceDN/>
              <w:bidi w:val="0"/>
              <w:snapToGrid/>
              <w:spacing w:line="312" w:lineRule="auto"/>
              <w:jc w:val="both"/>
              <w:rPr>
                <w:rFonts w:ascii="宋体" w:hAnsi="宋体" w:cs="宋体"/>
                <w:color w:val="FF0000"/>
                <w:kern w:val="0"/>
                <w:szCs w:val="21"/>
              </w:rPr>
            </w:pPr>
            <w:r>
              <w:rPr>
                <w:rFonts w:hint="eastAsia" w:ascii="宋体" w:hAnsi="宋体" w:eastAsia="宋体" w:cs="宋体"/>
                <w:sz w:val="21"/>
                <w:szCs w:val="21"/>
              </w:rPr>
              <w:t>标签支持根据不同业务</w:t>
            </w:r>
            <w:r>
              <w:rPr>
                <w:rFonts w:hint="eastAsia" w:ascii="宋体" w:hAnsi="宋体" w:eastAsia="宋体" w:cs="宋体"/>
                <w:sz w:val="21"/>
                <w:szCs w:val="21"/>
                <w:lang w:eastAsia="zh-CN"/>
              </w:rPr>
              <w:t>、</w:t>
            </w:r>
            <w:r>
              <w:rPr>
                <w:rFonts w:hint="eastAsia" w:ascii="宋体" w:hAnsi="宋体" w:eastAsia="宋体" w:cs="宋体"/>
                <w:sz w:val="21"/>
                <w:szCs w:val="21"/>
              </w:rPr>
              <w:t>不同送检类型，设置不同的模板</w:t>
            </w:r>
            <w:r>
              <w:rPr>
                <w:rFonts w:hint="eastAsia" w:ascii="宋体" w:hAnsi="宋体" w:eastAsia="宋体" w:cs="宋体"/>
                <w:sz w:val="21"/>
                <w:szCs w:val="21"/>
                <w:lang w:eastAsia="zh-CN"/>
              </w:rPr>
              <w:t>；</w:t>
            </w:r>
          </w:p>
        </w:tc>
      </w:tr>
      <w:tr w14:paraId="5D795588">
        <w:tblPrEx>
          <w:tblCellMar>
            <w:top w:w="0" w:type="dxa"/>
            <w:left w:w="108" w:type="dxa"/>
            <w:bottom w:w="0" w:type="dxa"/>
            <w:right w:w="108" w:type="dxa"/>
          </w:tblCellMar>
        </w:tblPrEx>
        <w:trPr>
          <w:trHeight w:val="420" w:hRule="atLeast"/>
          <w:jc w:val="center"/>
        </w:trPr>
        <w:tc>
          <w:tcPr>
            <w:tcW w:w="1762" w:type="dxa"/>
            <w:vMerge w:val="continue"/>
            <w:tcBorders>
              <w:left w:val="single" w:color="auto" w:sz="8" w:space="0"/>
              <w:right w:val="single" w:color="auto" w:sz="8" w:space="0"/>
            </w:tcBorders>
            <w:noWrap w:val="0"/>
            <w:vAlign w:val="center"/>
          </w:tcPr>
          <w:p w14:paraId="73E4467B">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b/>
                <w:bCs/>
                <w:color w:val="auto"/>
                <w:kern w:val="0"/>
                <w:sz w:val="21"/>
                <w:szCs w:val="21"/>
              </w:rPr>
            </w:pPr>
          </w:p>
        </w:tc>
        <w:tc>
          <w:tcPr>
            <w:tcW w:w="944" w:type="dxa"/>
            <w:tcBorders>
              <w:top w:val="nil"/>
              <w:left w:val="nil"/>
              <w:bottom w:val="single" w:color="auto" w:sz="8" w:space="0"/>
              <w:right w:val="single" w:color="auto" w:sz="8" w:space="0"/>
            </w:tcBorders>
            <w:noWrap w:val="0"/>
            <w:vAlign w:val="center"/>
          </w:tcPr>
          <w:p w14:paraId="00E21189">
            <w:pPr>
              <w:keepNext w:val="0"/>
              <w:keepLines w:val="0"/>
              <w:pageBreakBefore w:val="0"/>
              <w:widowControl/>
              <w:kinsoku/>
              <w:wordWrap/>
              <w:overflowPunct/>
              <w:topLinePunct w:val="0"/>
              <w:autoSpaceDE/>
              <w:autoSpaceDN/>
              <w:bidi w:val="0"/>
              <w:snapToGrid/>
              <w:spacing w:line="312" w:lineRule="auto"/>
              <w:jc w:val="both"/>
              <w:rPr>
                <w:rFonts w:hint="default" w:ascii="宋体" w:hAnsi="宋体" w:eastAsia="宋体" w:cs="宋体"/>
                <w:color w:val="auto"/>
                <w:kern w:val="0"/>
                <w:szCs w:val="21"/>
                <w:lang w:val="en-US" w:eastAsia="zh-CN"/>
              </w:rPr>
            </w:pPr>
            <w:r>
              <w:rPr>
                <w:rFonts w:hint="eastAsia" w:ascii="宋体" w:hAnsi="宋体" w:cs="宋体"/>
                <w:color w:val="auto"/>
                <w:kern w:val="0"/>
                <w:szCs w:val="21"/>
                <w:lang w:val="en-US" w:eastAsia="zh-CN"/>
              </w:rPr>
              <w:t>2.6</w:t>
            </w:r>
          </w:p>
        </w:tc>
        <w:tc>
          <w:tcPr>
            <w:tcW w:w="7153" w:type="dxa"/>
            <w:tcBorders>
              <w:top w:val="nil"/>
              <w:left w:val="nil"/>
              <w:bottom w:val="single" w:color="auto" w:sz="8" w:space="0"/>
              <w:right w:val="single" w:color="auto" w:sz="8" w:space="0"/>
            </w:tcBorders>
            <w:noWrap w:val="0"/>
            <w:vAlign w:val="center"/>
          </w:tcPr>
          <w:p w14:paraId="2B02CF9C">
            <w:pPr>
              <w:keepNext w:val="0"/>
              <w:keepLines w:val="0"/>
              <w:pageBreakBefore w:val="0"/>
              <w:widowControl/>
              <w:kinsoku/>
              <w:wordWrap/>
              <w:overflowPunct/>
              <w:topLinePunct w:val="0"/>
              <w:autoSpaceDE/>
              <w:autoSpaceDN/>
              <w:bidi w:val="0"/>
              <w:snapToGrid/>
              <w:spacing w:line="312" w:lineRule="auto"/>
              <w:jc w:val="both"/>
              <w:rPr>
                <w:rFonts w:ascii="宋体" w:hAnsi="宋体" w:cs="宋体"/>
                <w:color w:val="FF0000"/>
                <w:kern w:val="0"/>
                <w:szCs w:val="21"/>
              </w:rPr>
            </w:pPr>
            <w:r>
              <w:rPr>
                <w:rFonts w:hint="eastAsia" w:ascii="宋体" w:hAnsi="宋体" w:eastAsia="宋体" w:cs="宋体"/>
                <w:sz w:val="21"/>
                <w:szCs w:val="21"/>
              </w:rPr>
              <w:t>支持批量修改标本离体时间/固定时间/固定液</w:t>
            </w:r>
            <w:r>
              <w:rPr>
                <w:rFonts w:hint="eastAsia" w:ascii="宋体" w:hAnsi="宋体" w:eastAsia="宋体" w:cs="宋体"/>
                <w:sz w:val="21"/>
                <w:szCs w:val="21"/>
                <w:lang w:eastAsia="zh-CN"/>
              </w:rPr>
              <w:t>；</w:t>
            </w:r>
          </w:p>
        </w:tc>
      </w:tr>
      <w:tr w14:paraId="71820FD8">
        <w:tblPrEx>
          <w:tblCellMar>
            <w:top w:w="0" w:type="dxa"/>
            <w:left w:w="108" w:type="dxa"/>
            <w:bottom w:w="0" w:type="dxa"/>
            <w:right w:w="108" w:type="dxa"/>
          </w:tblCellMar>
        </w:tblPrEx>
        <w:trPr>
          <w:trHeight w:val="420" w:hRule="atLeast"/>
          <w:jc w:val="center"/>
        </w:trPr>
        <w:tc>
          <w:tcPr>
            <w:tcW w:w="1762" w:type="dxa"/>
            <w:vMerge w:val="continue"/>
            <w:tcBorders>
              <w:left w:val="single" w:color="auto" w:sz="8" w:space="0"/>
              <w:right w:val="single" w:color="auto" w:sz="8" w:space="0"/>
            </w:tcBorders>
            <w:noWrap w:val="0"/>
            <w:vAlign w:val="center"/>
          </w:tcPr>
          <w:p w14:paraId="6021577C">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b/>
                <w:bCs/>
                <w:color w:val="auto"/>
                <w:kern w:val="0"/>
                <w:sz w:val="21"/>
                <w:szCs w:val="21"/>
              </w:rPr>
            </w:pPr>
          </w:p>
        </w:tc>
        <w:tc>
          <w:tcPr>
            <w:tcW w:w="944" w:type="dxa"/>
            <w:tcBorders>
              <w:top w:val="nil"/>
              <w:left w:val="nil"/>
              <w:bottom w:val="single" w:color="auto" w:sz="8" w:space="0"/>
              <w:right w:val="single" w:color="auto" w:sz="8" w:space="0"/>
            </w:tcBorders>
            <w:noWrap w:val="0"/>
            <w:vAlign w:val="center"/>
          </w:tcPr>
          <w:p w14:paraId="4C7B6362">
            <w:pPr>
              <w:keepNext w:val="0"/>
              <w:keepLines w:val="0"/>
              <w:pageBreakBefore w:val="0"/>
              <w:widowControl/>
              <w:kinsoku/>
              <w:wordWrap/>
              <w:overflowPunct/>
              <w:topLinePunct w:val="0"/>
              <w:autoSpaceDE/>
              <w:autoSpaceDN/>
              <w:bidi w:val="0"/>
              <w:snapToGrid/>
              <w:spacing w:line="312" w:lineRule="auto"/>
              <w:jc w:val="both"/>
              <w:rPr>
                <w:rFonts w:hint="default" w:ascii="宋体" w:hAnsi="宋体" w:eastAsia="宋体" w:cs="宋体"/>
                <w:color w:val="auto"/>
                <w:kern w:val="0"/>
                <w:szCs w:val="21"/>
                <w:lang w:val="en-US" w:eastAsia="zh-CN"/>
              </w:rPr>
            </w:pPr>
            <w:r>
              <w:rPr>
                <w:rFonts w:hint="eastAsia" w:ascii="宋体" w:hAnsi="宋体" w:cs="宋体"/>
                <w:color w:val="auto"/>
                <w:kern w:val="0"/>
                <w:szCs w:val="21"/>
                <w:lang w:val="en-US" w:eastAsia="zh-CN"/>
              </w:rPr>
              <w:t>2.7</w:t>
            </w:r>
          </w:p>
        </w:tc>
        <w:tc>
          <w:tcPr>
            <w:tcW w:w="7153" w:type="dxa"/>
            <w:tcBorders>
              <w:top w:val="nil"/>
              <w:left w:val="nil"/>
              <w:bottom w:val="single" w:color="auto" w:sz="8" w:space="0"/>
              <w:right w:val="single" w:color="auto" w:sz="8" w:space="0"/>
            </w:tcBorders>
            <w:noWrap w:val="0"/>
            <w:vAlign w:val="center"/>
          </w:tcPr>
          <w:p w14:paraId="41EF46B8">
            <w:pPr>
              <w:keepNext w:val="0"/>
              <w:keepLines w:val="0"/>
              <w:pageBreakBefore w:val="0"/>
              <w:widowControl/>
              <w:kinsoku/>
              <w:wordWrap/>
              <w:overflowPunct/>
              <w:topLinePunct w:val="0"/>
              <w:autoSpaceDE/>
              <w:autoSpaceDN/>
              <w:bidi w:val="0"/>
              <w:snapToGrid/>
              <w:spacing w:line="312" w:lineRule="auto"/>
              <w:jc w:val="both"/>
              <w:rPr>
                <w:rFonts w:ascii="宋体" w:hAnsi="宋体" w:cs="宋体"/>
                <w:color w:val="FF0000"/>
                <w:kern w:val="0"/>
                <w:szCs w:val="21"/>
              </w:rPr>
            </w:pPr>
            <w:r>
              <w:rPr>
                <w:rFonts w:hint="eastAsia" w:ascii="宋体" w:hAnsi="宋体" w:eastAsia="宋体" w:cs="宋体"/>
                <w:sz w:val="21"/>
                <w:szCs w:val="21"/>
              </w:rPr>
              <w:t>标本名称</w:t>
            </w:r>
            <w:r>
              <w:rPr>
                <w:rFonts w:hint="eastAsia" w:ascii="宋体" w:hAnsi="宋体" w:eastAsia="宋体" w:cs="宋体"/>
                <w:sz w:val="21"/>
                <w:szCs w:val="21"/>
                <w:lang w:val="en-US" w:eastAsia="zh-CN"/>
              </w:rPr>
              <w:t>可</w:t>
            </w:r>
            <w:r>
              <w:rPr>
                <w:rFonts w:hint="eastAsia" w:ascii="宋体" w:hAnsi="宋体" w:eastAsia="宋体" w:cs="宋体"/>
                <w:sz w:val="21"/>
                <w:szCs w:val="21"/>
              </w:rPr>
              <w:t>根据历史标本输入自动匹配关键字填充</w:t>
            </w:r>
            <w:r>
              <w:rPr>
                <w:rFonts w:hint="eastAsia" w:ascii="宋体" w:hAnsi="宋体" w:eastAsia="宋体" w:cs="宋体"/>
                <w:sz w:val="21"/>
                <w:szCs w:val="21"/>
                <w:lang w:eastAsia="zh-CN"/>
              </w:rPr>
              <w:t>；</w:t>
            </w:r>
          </w:p>
        </w:tc>
      </w:tr>
      <w:tr w14:paraId="6539487F">
        <w:tblPrEx>
          <w:tblCellMar>
            <w:top w:w="0" w:type="dxa"/>
            <w:left w:w="108" w:type="dxa"/>
            <w:bottom w:w="0" w:type="dxa"/>
            <w:right w:w="108" w:type="dxa"/>
          </w:tblCellMar>
        </w:tblPrEx>
        <w:trPr>
          <w:trHeight w:val="420" w:hRule="atLeast"/>
          <w:jc w:val="center"/>
        </w:trPr>
        <w:tc>
          <w:tcPr>
            <w:tcW w:w="1762" w:type="dxa"/>
            <w:vMerge w:val="continue"/>
            <w:tcBorders>
              <w:left w:val="single" w:color="auto" w:sz="8" w:space="0"/>
              <w:right w:val="single" w:color="auto" w:sz="8" w:space="0"/>
            </w:tcBorders>
            <w:noWrap w:val="0"/>
            <w:vAlign w:val="center"/>
          </w:tcPr>
          <w:p w14:paraId="0106265A">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b/>
                <w:bCs/>
                <w:color w:val="auto"/>
                <w:kern w:val="0"/>
                <w:sz w:val="21"/>
                <w:szCs w:val="21"/>
              </w:rPr>
            </w:pPr>
          </w:p>
        </w:tc>
        <w:tc>
          <w:tcPr>
            <w:tcW w:w="944" w:type="dxa"/>
            <w:tcBorders>
              <w:top w:val="nil"/>
              <w:left w:val="nil"/>
              <w:bottom w:val="single" w:color="auto" w:sz="8" w:space="0"/>
              <w:right w:val="single" w:color="auto" w:sz="8" w:space="0"/>
            </w:tcBorders>
            <w:noWrap w:val="0"/>
            <w:vAlign w:val="center"/>
          </w:tcPr>
          <w:p w14:paraId="716AC985">
            <w:pPr>
              <w:keepNext w:val="0"/>
              <w:keepLines w:val="0"/>
              <w:pageBreakBefore w:val="0"/>
              <w:widowControl/>
              <w:kinsoku/>
              <w:wordWrap/>
              <w:overflowPunct/>
              <w:topLinePunct w:val="0"/>
              <w:autoSpaceDE/>
              <w:autoSpaceDN/>
              <w:bidi w:val="0"/>
              <w:snapToGrid/>
              <w:spacing w:line="312" w:lineRule="auto"/>
              <w:jc w:val="both"/>
              <w:rPr>
                <w:rFonts w:hint="default" w:ascii="宋体" w:hAnsi="宋体" w:eastAsia="宋体" w:cs="宋体"/>
                <w:color w:val="auto"/>
                <w:kern w:val="0"/>
                <w:szCs w:val="21"/>
                <w:lang w:val="en-US" w:eastAsia="zh-CN"/>
              </w:rPr>
            </w:pPr>
            <w:r>
              <w:rPr>
                <w:rFonts w:hint="eastAsia" w:ascii="宋体" w:hAnsi="宋体" w:cs="宋体"/>
                <w:color w:val="auto"/>
                <w:kern w:val="0"/>
                <w:szCs w:val="21"/>
                <w:lang w:val="en-US" w:eastAsia="zh-CN"/>
              </w:rPr>
              <w:t>2.8</w:t>
            </w:r>
          </w:p>
        </w:tc>
        <w:tc>
          <w:tcPr>
            <w:tcW w:w="7153" w:type="dxa"/>
            <w:tcBorders>
              <w:top w:val="nil"/>
              <w:left w:val="nil"/>
              <w:bottom w:val="single" w:color="auto" w:sz="8" w:space="0"/>
              <w:right w:val="single" w:color="auto" w:sz="8" w:space="0"/>
            </w:tcBorders>
            <w:noWrap w:val="0"/>
            <w:vAlign w:val="center"/>
          </w:tcPr>
          <w:p w14:paraId="094E8440">
            <w:pPr>
              <w:keepNext w:val="0"/>
              <w:keepLines w:val="0"/>
              <w:pageBreakBefore w:val="0"/>
              <w:widowControl/>
              <w:kinsoku/>
              <w:wordWrap/>
              <w:overflowPunct/>
              <w:topLinePunct w:val="0"/>
              <w:autoSpaceDE/>
              <w:autoSpaceDN/>
              <w:bidi w:val="0"/>
              <w:snapToGrid/>
              <w:spacing w:line="312" w:lineRule="auto"/>
              <w:jc w:val="both"/>
              <w:rPr>
                <w:rFonts w:ascii="宋体" w:hAnsi="宋体" w:cs="宋体"/>
                <w:color w:val="FF0000"/>
                <w:kern w:val="0"/>
                <w:szCs w:val="21"/>
              </w:rPr>
            </w:pPr>
            <w:r>
              <w:rPr>
                <w:rFonts w:hint="eastAsia" w:ascii="宋体" w:hAnsi="宋体" w:eastAsia="宋体" w:cs="宋体"/>
                <w:sz w:val="21"/>
                <w:szCs w:val="21"/>
                <w:lang w:val="en-US" w:eastAsia="zh-CN"/>
              </w:rPr>
              <w:t>支持自动填充离体时间，支持自动填充固定时间，支持自动填充固定液名称</w:t>
            </w:r>
            <w:r>
              <w:rPr>
                <w:rFonts w:hint="eastAsia" w:ascii="宋体" w:hAnsi="宋体" w:eastAsia="宋体" w:cs="宋体"/>
                <w:sz w:val="21"/>
                <w:szCs w:val="21"/>
                <w:lang w:eastAsia="zh-CN"/>
              </w:rPr>
              <w:t>；</w:t>
            </w:r>
          </w:p>
        </w:tc>
      </w:tr>
      <w:tr w14:paraId="6419652C">
        <w:tblPrEx>
          <w:tblCellMar>
            <w:top w:w="0" w:type="dxa"/>
            <w:left w:w="108" w:type="dxa"/>
            <w:bottom w:w="0" w:type="dxa"/>
            <w:right w:w="108" w:type="dxa"/>
          </w:tblCellMar>
        </w:tblPrEx>
        <w:trPr>
          <w:trHeight w:val="420" w:hRule="atLeast"/>
          <w:jc w:val="center"/>
        </w:trPr>
        <w:tc>
          <w:tcPr>
            <w:tcW w:w="1762" w:type="dxa"/>
            <w:vMerge w:val="continue"/>
            <w:tcBorders>
              <w:left w:val="single" w:color="auto" w:sz="8" w:space="0"/>
              <w:right w:val="single" w:color="auto" w:sz="8" w:space="0"/>
            </w:tcBorders>
            <w:noWrap w:val="0"/>
            <w:vAlign w:val="center"/>
          </w:tcPr>
          <w:p w14:paraId="787D82C3">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b/>
                <w:bCs/>
                <w:color w:val="auto"/>
                <w:kern w:val="0"/>
                <w:sz w:val="21"/>
                <w:szCs w:val="21"/>
              </w:rPr>
            </w:pPr>
          </w:p>
        </w:tc>
        <w:tc>
          <w:tcPr>
            <w:tcW w:w="944" w:type="dxa"/>
            <w:tcBorders>
              <w:top w:val="nil"/>
              <w:left w:val="nil"/>
              <w:bottom w:val="single" w:color="auto" w:sz="8" w:space="0"/>
              <w:right w:val="single" w:color="auto" w:sz="8" w:space="0"/>
            </w:tcBorders>
            <w:noWrap w:val="0"/>
            <w:vAlign w:val="center"/>
          </w:tcPr>
          <w:p w14:paraId="3A464686">
            <w:pPr>
              <w:keepNext w:val="0"/>
              <w:keepLines w:val="0"/>
              <w:pageBreakBefore w:val="0"/>
              <w:widowControl/>
              <w:kinsoku/>
              <w:wordWrap/>
              <w:overflowPunct/>
              <w:topLinePunct w:val="0"/>
              <w:autoSpaceDE/>
              <w:autoSpaceDN/>
              <w:bidi w:val="0"/>
              <w:snapToGrid/>
              <w:spacing w:line="312" w:lineRule="auto"/>
              <w:jc w:val="both"/>
              <w:rPr>
                <w:rFonts w:hint="default" w:ascii="宋体" w:hAnsi="宋体" w:eastAsia="宋体" w:cs="宋体"/>
                <w:color w:val="auto"/>
                <w:kern w:val="0"/>
                <w:szCs w:val="21"/>
                <w:lang w:val="en-US" w:eastAsia="zh-CN"/>
              </w:rPr>
            </w:pPr>
            <w:r>
              <w:rPr>
                <w:rFonts w:hint="eastAsia" w:ascii="宋体" w:hAnsi="宋体" w:cs="宋体"/>
                <w:color w:val="auto"/>
                <w:kern w:val="0"/>
                <w:szCs w:val="21"/>
                <w:lang w:val="en-US" w:eastAsia="zh-CN"/>
              </w:rPr>
              <w:t>2.9</w:t>
            </w:r>
          </w:p>
        </w:tc>
        <w:tc>
          <w:tcPr>
            <w:tcW w:w="7153" w:type="dxa"/>
            <w:tcBorders>
              <w:top w:val="nil"/>
              <w:left w:val="nil"/>
              <w:bottom w:val="single" w:color="auto" w:sz="8" w:space="0"/>
              <w:right w:val="single" w:color="auto" w:sz="8" w:space="0"/>
            </w:tcBorders>
            <w:noWrap w:val="0"/>
            <w:vAlign w:val="center"/>
          </w:tcPr>
          <w:p w14:paraId="59F83983">
            <w:pPr>
              <w:keepNext w:val="0"/>
              <w:keepLines w:val="0"/>
              <w:pageBreakBefore w:val="0"/>
              <w:widowControl/>
              <w:kinsoku/>
              <w:wordWrap/>
              <w:overflowPunct/>
              <w:topLinePunct w:val="0"/>
              <w:autoSpaceDE/>
              <w:autoSpaceDN/>
              <w:bidi w:val="0"/>
              <w:snapToGrid/>
              <w:spacing w:line="312" w:lineRule="auto"/>
              <w:jc w:val="both"/>
              <w:rPr>
                <w:rFonts w:ascii="宋体" w:hAnsi="宋体" w:cs="宋体"/>
                <w:color w:val="FF0000"/>
                <w:kern w:val="0"/>
                <w:szCs w:val="21"/>
              </w:rPr>
            </w:pPr>
            <w:r>
              <w:rPr>
                <w:rFonts w:hint="eastAsia" w:ascii="宋体" w:hAnsi="宋体" w:eastAsia="宋体" w:cs="宋体"/>
                <w:sz w:val="21"/>
                <w:szCs w:val="21"/>
              </w:rPr>
              <w:t>支持离体固定时间差设置，通过离体时间，自动增加固定时间</w:t>
            </w:r>
            <w:r>
              <w:rPr>
                <w:rFonts w:hint="eastAsia" w:ascii="宋体" w:hAnsi="宋体" w:eastAsia="宋体" w:cs="宋体"/>
                <w:sz w:val="21"/>
                <w:szCs w:val="21"/>
                <w:lang w:eastAsia="zh-CN"/>
              </w:rPr>
              <w:t>；</w:t>
            </w:r>
          </w:p>
        </w:tc>
      </w:tr>
      <w:tr w14:paraId="6A31C018">
        <w:tblPrEx>
          <w:tblCellMar>
            <w:top w:w="0" w:type="dxa"/>
            <w:left w:w="108" w:type="dxa"/>
            <w:bottom w:w="0" w:type="dxa"/>
            <w:right w:w="108" w:type="dxa"/>
          </w:tblCellMar>
        </w:tblPrEx>
        <w:trPr>
          <w:trHeight w:val="420" w:hRule="atLeast"/>
          <w:jc w:val="center"/>
        </w:trPr>
        <w:tc>
          <w:tcPr>
            <w:tcW w:w="1762" w:type="dxa"/>
            <w:vMerge w:val="continue"/>
            <w:tcBorders>
              <w:left w:val="single" w:color="auto" w:sz="8" w:space="0"/>
              <w:right w:val="single" w:color="auto" w:sz="8" w:space="0"/>
            </w:tcBorders>
            <w:noWrap w:val="0"/>
            <w:vAlign w:val="center"/>
          </w:tcPr>
          <w:p w14:paraId="72843F67">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b/>
                <w:bCs/>
                <w:color w:val="auto"/>
                <w:kern w:val="0"/>
                <w:sz w:val="21"/>
                <w:szCs w:val="21"/>
              </w:rPr>
            </w:pPr>
          </w:p>
        </w:tc>
        <w:tc>
          <w:tcPr>
            <w:tcW w:w="944" w:type="dxa"/>
            <w:tcBorders>
              <w:top w:val="nil"/>
              <w:left w:val="nil"/>
              <w:bottom w:val="single" w:color="auto" w:sz="8" w:space="0"/>
              <w:right w:val="single" w:color="auto" w:sz="8" w:space="0"/>
            </w:tcBorders>
            <w:noWrap w:val="0"/>
            <w:vAlign w:val="center"/>
          </w:tcPr>
          <w:p w14:paraId="2691E41F">
            <w:pPr>
              <w:keepNext w:val="0"/>
              <w:keepLines w:val="0"/>
              <w:pageBreakBefore w:val="0"/>
              <w:widowControl/>
              <w:kinsoku/>
              <w:wordWrap/>
              <w:overflowPunct/>
              <w:topLinePunct w:val="0"/>
              <w:autoSpaceDE/>
              <w:autoSpaceDN/>
              <w:bidi w:val="0"/>
              <w:snapToGrid/>
              <w:spacing w:line="312" w:lineRule="auto"/>
              <w:jc w:val="both"/>
              <w:rPr>
                <w:rFonts w:hint="default" w:ascii="宋体" w:hAnsi="宋体" w:eastAsia="宋体" w:cs="宋体"/>
                <w:color w:val="auto"/>
                <w:kern w:val="0"/>
                <w:szCs w:val="21"/>
                <w:lang w:val="en-US" w:eastAsia="zh-CN"/>
              </w:rPr>
            </w:pPr>
            <w:r>
              <w:rPr>
                <w:rFonts w:hint="eastAsia" w:ascii="宋体" w:hAnsi="宋体" w:cs="宋体"/>
                <w:color w:val="auto"/>
                <w:kern w:val="0"/>
                <w:szCs w:val="21"/>
                <w:lang w:val="en-US" w:eastAsia="zh-CN"/>
              </w:rPr>
              <w:t>2.10</w:t>
            </w:r>
          </w:p>
        </w:tc>
        <w:tc>
          <w:tcPr>
            <w:tcW w:w="7153" w:type="dxa"/>
            <w:tcBorders>
              <w:top w:val="nil"/>
              <w:left w:val="nil"/>
              <w:bottom w:val="single" w:color="auto" w:sz="8" w:space="0"/>
              <w:right w:val="single" w:color="auto" w:sz="8" w:space="0"/>
            </w:tcBorders>
            <w:noWrap w:val="0"/>
            <w:vAlign w:val="center"/>
          </w:tcPr>
          <w:p w14:paraId="6B1A8480">
            <w:pPr>
              <w:keepNext w:val="0"/>
              <w:keepLines w:val="0"/>
              <w:pageBreakBefore w:val="0"/>
              <w:widowControl/>
              <w:kinsoku/>
              <w:wordWrap/>
              <w:overflowPunct/>
              <w:topLinePunct w:val="0"/>
              <w:autoSpaceDE/>
              <w:autoSpaceDN/>
              <w:bidi w:val="0"/>
              <w:snapToGrid/>
              <w:spacing w:line="312" w:lineRule="auto"/>
              <w:jc w:val="both"/>
              <w:rPr>
                <w:rFonts w:ascii="宋体" w:hAnsi="宋体" w:cs="宋体"/>
                <w:color w:val="FF0000"/>
                <w:kern w:val="0"/>
                <w:szCs w:val="21"/>
              </w:rPr>
            </w:pPr>
            <w:r>
              <w:rPr>
                <w:rFonts w:hint="eastAsia" w:ascii="宋体" w:hAnsi="宋体" w:eastAsia="宋体" w:cs="宋体"/>
                <w:sz w:val="21"/>
                <w:szCs w:val="21"/>
              </w:rPr>
              <w:t>支持离体、固定时间差校验（可通过系统自行配置）</w:t>
            </w:r>
            <w:r>
              <w:rPr>
                <w:rFonts w:hint="eastAsia" w:ascii="宋体" w:hAnsi="宋体" w:eastAsia="宋体" w:cs="宋体"/>
                <w:sz w:val="21"/>
                <w:szCs w:val="21"/>
                <w:lang w:eastAsia="zh-CN"/>
              </w:rPr>
              <w:t>；</w:t>
            </w:r>
          </w:p>
        </w:tc>
      </w:tr>
      <w:tr w14:paraId="75FE7DB2">
        <w:tblPrEx>
          <w:tblCellMar>
            <w:top w:w="0" w:type="dxa"/>
            <w:left w:w="108" w:type="dxa"/>
            <w:bottom w:w="0" w:type="dxa"/>
            <w:right w:w="108" w:type="dxa"/>
          </w:tblCellMar>
        </w:tblPrEx>
        <w:trPr>
          <w:trHeight w:val="420" w:hRule="atLeast"/>
          <w:jc w:val="center"/>
        </w:trPr>
        <w:tc>
          <w:tcPr>
            <w:tcW w:w="1762" w:type="dxa"/>
            <w:vMerge w:val="continue"/>
            <w:tcBorders>
              <w:left w:val="single" w:color="auto" w:sz="8" w:space="0"/>
              <w:right w:val="single" w:color="auto" w:sz="8" w:space="0"/>
            </w:tcBorders>
            <w:noWrap w:val="0"/>
            <w:vAlign w:val="center"/>
          </w:tcPr>
          <w:p w14:paraId="7D00956D">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b/>
                <w:bCs/>
                <w:color w:val="auto"/>
                <w:kern w:val="0"/>
                <w:sz w:val="21"/>
                <w:szCs w:val="21"/>
              </w:rPr>
            </w:pPr>
          </w:p>
        </w:tc>
        <w:tc>
          <w:tcPr>
            <w:tcW w:w="944" w:type="dxa"/>
            <w:tcBorders>
              <w:top w:val="nil"/>
              <w:left w:val="nil"/>
              <w:bottom w:val="single" w:color="auto" w:sz="8" w:space="0"/>
              <w:right w:val="single" w:color="auto" w:sz="8" w:space="0"/>
            </w:tcBorders>
            <w:noWrap w:val="0"/>
            <w:vAlign w:val="center"/>
          </w:tcPr>
          <w:p w14:paraId="0D4457E9">
            <w:pPr>
              <w:keepNext w:val="0"/>
              <w:keepLines w:val="0"/>
              <w:pageBreakBefore w:val="0"/>
              <w:widowControl/>
              <w:kinsoku/>
              <w:wordWrap/>
              <w:overflowPunct/>
              <w:topLinePunct w:val="0"/>
              <w:autoSpaceDE/>
              <w:autoSpaceDN/>
              <w:bidi w:val="0"/>
              <w:snapToGrid/>
              <w:spacing w:line="312" w:lineRule="auto"/>
              <w:jc w:val="both"/>
              <w:rPr>
                <w:rFonts w:hint="default" w:ascii="宋体" w:hAnsi="宋体" w:eastAsia="宋体" w:cs="宋体"/>
                <w:color w:val="auto"/>
                <w:kern w:val="0"/>
                <w:szCs w:val="21"/>
                <w:lang w:val="en-US" w:eastAsia="zh-CN"/>
              </w:rPr>
            </w:pPr>
            <w:r>
              <w:rPr>
                <w:rFonts w:hint="eastAsia" w:ascii="宋体" w:hAnsi="宋体" w:cs="宋体"/>
                <w:color w:val="auto"/>
                <w:kern w:val="0"/>
                <w:szCs w:val="21"/>
                <w:lang w:val="en-US" w:eastAsia="zh-CN"/>
              </w:rPr>
              <w:t>2.11</w:t>
            </w:r>
          </w:p>
        </w:tc>
        <w:tc>
          <w:tcPr>
            <w:tcW w:w="7153" w:type="dxa"/>
            <w:tcBorders>
              <w:top w:val="nil"/>
              <w:left w:val="nil"/>
              <w:bottom w:val="single" w:color="auto" w:sz="8" w:space="0"/>
              <w:right w:val="single" w:color="auto" w:sz="8" w:space="0"/>
            </w:tcBorders>
            <w:noWrap w:val="0"/>
            <w:vAlign w:val="center"/>
          </w:tcPr>
          <w:p w14:paraId="63C42BAD">
            <w:pPr>
              <w:keepNext w:val="0"/>
              <w:keepLines w:val="0"/>
              <w:pageBreakBefore w:val="0"/>
              <w:widowControl/>
              <w:kinsoku/>
              <w:wordWrap/>
              <w:overflowPunct/>
              <w:topLinePunct w:val="0"/>
              <w:autoSpaceDE/>
              <w:autoSpaceDN/>
              <w:bidi w:val="0"/>
              <w:snapToGrid/>
              <w:spacing w:line="312" w:lineRule="auto"/>
              <w:jc w:val="both"/>
              <w:rPr>
                <w:rFonts w:ascii="宋体" w:hAnsi="宋体" w:cs="宋体"/>
                <w:color w:val="FF0000"/>
                <w:kern w:val="0"/>
                <w:szCs w:val="21"/>
              </w:rPr>
            </w:pPr>
            <w:r>
              <w:rPr>
                <w:rFonts w:hint="eastAsia" w:ascii="宋体" w:hAnsi="宋体" w:eastAsia="宋体" w:cs="宋体"/>
                <w:sz w:val="21"/>
                <w:szCs w:val="21"/>
                <w:lang w:val="en-US" w:eastAsia="zh-CN"/>
              </w:rPr>
              <w:t>支持对申请单提交后是否允许继续增加标本作配置</w:t>
            </w:r>
            <w:r>
              <w:rPr>
                <w:rFonts w:hint="eastAsia" w:ascii="宋体" w:hAnsi="宋体" w:eastAsia="宋体" w:cs="宋体"/>
                <w:sz w:val="21"/>
                <w:szCs w:val="21"/>
                <w:lang w:eastAsia="zh-CN"/>
              </w:rPr>
              <w:t>；</w:t>
            </w:r>
          </w:p>
        </w:tc>
      </w:tr>
      <w:tr w14:paraId="2B1CF458">
        <w:tblPrEx>
          <w:tblCellMar>
            <w:top w:w="0" w:type="dxa"/>
            <w:left w:w="108" w:type="dxa"/>
            <w:bottom w:w="0" w:type="dxa"/>
            <w:right w:w="108" w:type="dxa"/>
          </w:tblCellMar>
        </w:tblPrEx>
        <w:trPr>
          <w:trHeight w:val="820" w:hRule="atLeast"/>
          <w:jc w:val="center"/>
        </w:trPr>
        <w:tc>
          <w:tcPr>
            <w:tcW w:w="1762" w:type="dxa"/>
            <w:vMerge w:val="continue"/>
            <w:tcBorders>
              <w:left w:val="single" w:color="auto" w:sz="8" w:space="0"/>
              <w:right w:val="single" w:color="auto" w:sz="8" w:space="0"/>
            </w:tcBorders>
            <w:noWrap w:val="0"/>
            <w:vAlign w:val="center"/>
          </w:tcPr>
          <w:p w14:paraId="1B4CAA5E">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b/>
                <w:bCs/>
                <w:color w:val="auto"/>
                <w:kern w:val="0"/>
                <w:sz w:val="21"/>
                <w:szCs w:val="21"/>
              </w:rPr>
            </w:pPr>
          </w:p>
        </w:tc>
        <w:tc>
          <w:tcPr>
            <w:tcW w:w="944" w:type="dxa"/>
            <w:tcBorders>
              <w:top w:val="nil"/>
              <w:left w:val="nil"/>
              <w:bottom w:val="single" w:color="auto" w:sz="8" w:space="0"/>
              <w:right w:val="single" w:color="auto" w:sz="8" w:space="0"/>
            </w:tcBorders>
            <w:noWrap w:val="0"/>
            <w:vAlign w:val="center"/>
          </w:tcPr>
          <w:p w14:paraId="1D2BD683">
            <w:pPr>
              <w:keepNext w:val="0"/>
              <w:keepLines w:val="0"/>
              <w:pageBreakBefore w:val="0"/>
              <w:widowControl/>
              <w:kinsoku/>
              <w:wordWrap/>
              <w:overflowPunct/>
              <w:topLinePunct w:val="0"/>
              <w:autoSpaceDE/>
              <w:autoSpaceDN/>
              <w:bidi w:val="0"/>
              <w:snapToGrid/>
              <w:spacing w:line="312" w:lineRule="auto"/>
              <w:jc w:val="both"/>
              <w:rPr>
                <w:rFonts w:hint="default" w:ascii="宋体" w:hAnsi="宋体" w:eastAsia="宋体" w:cs="宋体"/>
                <w:color w:val="auto"/>
                <w:kern w:val="0"/>
                <w:szCs w:val="21"/>
                <w:lang w:val="en-US" w:eastAsia="zh-CN"/>
              </w:rPr>
            </w:pPr>
            <w:r>
              <w:rPr>
                <w:rFonts w:hint="eastAsia" w:ascii="宋体" w:hAnsi="宋体" w:cs="宋体"/>
                <w:color w:val="auto"/>
                <w:kern w:val="0"/>
                <w:szCs w:val="21"/>
                <w:lang w:val="en-US" w:eastAsia="zh-CN"/>
              </w:rPr>
              <w:t>2.12</w:t>
            </w:r>
          </w:p>
        </w:tc>
        <w:tc>
          <w:tcPr>
            <w:tcW w:w="7153" w:type="dxa"/>
            <w:tcBorders>
              <w:top w:val="nil"/>
              <w:left w:val="nil"/>
              <w:bottom w:val="single" w:color="auto" w:sz="8" w:space="0"/>
              <w:right w:val="single" w:color="auto" w:sz="8" w:space="0"/>
            </w:tcBorders>
            <w:noWrap w:val="0"/>
            <w:vAlign w:val="center"/>
          </w:tcPr>
          <w:p w14:paraId="58D3F0FF">
            <w:pPr>
              <w:keepNext w:val="0"/>
              <w:keepLines w:val="0"/>
              <w:pageBreakBefore w:val="0"/>
              <w:widowControl/>
              <w:kinsoku/>
              <w:wordWrap/>
              <w:overflowPunct/>
              <w:topLinePunct w:val="0"/>
              <w:autoSpaceDE/>
              <w:autoSpaceDN/>
              <w:bidi w:val="0"/>
              <w:snapToGrid/>
              <w:spacing w:line="312" w:lineRule="auto"/>
              <w:jc w:val="both"/>
              <w:rPr>
                <w:rFonts w:ascii="宋体" w:hAnsi="宋体" w:cs="宋体"/>
                <w:color w:val="FF0000"/>
                <w:kern w:val="0"/>
                <w:szCs w:val="21"/>
              </w:rPr>
            </w:pPr>
            <w:r>
              <w:rPr>
                <w:rFonts w:hint="eastAsia" w:ascii="宋体" w:hAnsi="宋体" w:eastAsia="宋体" w:cs="宋体"/>
                <w:sz w:val="21"/>
                <w:szCs w:val="21"/>
                <w:lang w:val="en-US" w:eastAsia="zh-CN"/>
              </w:rPr>
              <w:t>具备查看标本轨迹信息功能（如处于哪个阶段、各个阶段由哪个人员操作、具体的操作时间点等信息）</w:t>
            </w:r>
            <w:r>
              <w:rPr>
                <w:rFonts w:hint="eastAsia" w:ascii="宋体" w:hAnsi="宋体" w:eastAsia="宋体" w:cs="宋体"/>
                <w:sz w:val="21"/>
                <w:szCs w:val="21"/>
                <w:lang w:eastAsia="zh-CN"/>
              </w:rPr>
              <w:t>；</w:t>
            </w:r>
          </w:p>
        </w:tc>
      </w:tr>
      <w:tr w14:paraId="5E881DF1">
        <w:tblPrEx>
          <w:tblCellMar>
            <w:top w:w="0" w:type="dxa"/>
            <w:left w:w="108" w:type="dxa"/>
            <w:bottom w:w="0" w:type="dxa"/>
            <w:right w:w="108" w:type="dxa"/>
          </w:tblCellMar>
        </w:tblPrEx>
        <w:trPr>
          <w:trHeight w:val="820" w:hRule="atLeast"/>
          <w:jc w:val="center"/>
        </w:trPr>
        <w:tc>
          <w:tcPr>
            <w:tcW w:w="1762" w:type="dxa"/>
            <w:vMerge w:val="continue"/>
            <w:tcBorders>
              <w:left w:val="single" w:color="auto" w:sz="8" w:space="0"/>
              <w:right w:val="single" w:color="auto" w:sz="8" w:space="0"/>
            </w:tcBorders>
            <w:noWrap w:val="0"/>
            <w:vAlign w:val="center"/>
          </w:tcPr>
          <w:p w14:paraId="2D7997D2">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b/>
                <w:bCs/>
                <w:color w:val="auto"/>
                <w:kern w:val="0"/>
                <w:sz w:val="21"/>
                <w:szCs w:val="21"/>
              </w:rPr>
            </w:pPr>
          </w:p>
        </w:tc>
        <w:tc>
          <w:tcPr>
            <w:tcW w:w="944" w:type="dxa"/>
            <w:tcBorders>
              <w:top w:val="nil"/>
              <w:left w:val="nil"/>
              <w:bottom w:val="single" w:color="auto" w:sz="8" w:space="0"/>
              <w:right w:val="single" w:color="auto" w:sz="8" w:space="0"/>
            </w:tcBorders>
            <w:noWrap w:val="0"/>
            <w:vAlign w:val="center"/>
          </w:tcPr>
          <w:p w14:paraId="27DB45AE">
            <w:pPr>
              <w:keepNext w:val="0"/>
              <w:keepLines w:val="0"/>
              <w:pageBreakBefore w:val="0"/>
              <w:widowControl/>
              <w:kinsoku/>
              <w:wordWrap/>
              <w:overflowPunct/>
              <w:topLinePunct w:val="0"/>
              <w:autoSpaceDE/>
              <w:autoSpaceDN/>
              <w:bidi w:val="0"/>
              <w:snapToGrid/>
              <w:spacing w:line="312" w:lineRule="auto"/>
              <w:jc w:val="both"/>
              <w:rPr>
                <w:rFonts w:hint="default" w:ascii="宋体" w:hAnsi="宋体" w:eastAsia="宋体" w:cs="宋体"/>
                <w:color w:val="auto"/>
                <w:kern w:val="0"/>
                <w:szCs w:val="21"/>
                <w:lang w:val="en-US" w:eastAsia="zh-CN"/>
              </w:rPr>
            </w:pPr>
            <w:r>
              <w:rPr>
                <w:rFonts w:hint="eastAsia" w:ascii="宋体" w:hAnsi="宋体" w:cs="宋体"/>
                <w:color w:val="auto"/>
                <w:kern w:val="0"/>
                <w:szCs w:val="21"/>
                <w:lang w:val="en-US" w:eastAsia="zh-CN"/>
              </w:rPr>
              <w:t>2.13</w:t>
            </w:r>
          </w:p>
        </w:tc>
        <w:tc>
          <w:tcPr>
            <w:tcW w:w="7153" w:type="dxa"/>
            <w:tcBorders>
              <w:top w:val="nil"/>
              <w:left w:val="nil"/>
              <w:bottom w:val="single" w:color="auto" w:sz="8" w:space="0"/>
              <w:right w:val="single" w:color="auto" w:sz="8" w:space="0"/>
            </w:tcBorders>
            <w:noWrap w:val="0"/>
            <w:vAlign w:val="center"/>
          </w:tcPr>
          <w:p w14:paraId="51395666">
            <w:pPr>
              <w:keepNext w:val="0"/>
              <w:keepLines w:val="0"/>
              <w:pageBreakBefore w:val="0"/>
              <w:widowControl/>
              <w:kinsoku/>
              <w:wordWrap/>
              <w:overflowPunct/>
              <w:topLinePunct w:val="0"/>
              <w:autoSpaceDE/>
              <w:autoSpaceDN/>
              <w:bidi w:val="0"/>
              <w:snapToGrid/>
              <w:spacing w:line="312" w:lineRule="auto"/>
              <w:jc w:val="both"/>
              <w:rPr>
                <w:rFonts w:ascii="宋体" w:hAnsi="宋体" w:cs="宋体"/>
                <w:color w:val="FF0000"/>
                <w:kern w:val="0"/>
                <w:szCs w:val="21"/>
              </w:rPr>
            </w:pPr>
            <w:r>
              <w:rPr>
                <w:rFonts w:hint="eastAsia" w:ascii="宋体" w:hAnsi="宋体" w:eastAsia="宋体" w:cs="宋体"/>
                <w:sz w:val="21"/>
                <w:szCs w:val="21"/>
                <w:lang w:val="en-US" w:eastAsia="zh-CN"/>
              </w:rPr>
              <w:t>具备查看申请单进度信息功能（查看申请单处于哪个阶段、各个阶段由哪个人员操作、具体的操作时间等信息）</w:t>
            </w:r>
            <w:r>
              <w:rPr>
                <w:rFonts w:hint="eastAsia" w:ascii="宋体" w:hAnsi="宋体" w:eastAsia="宋体" w:cs="宋体"/>
                <w:sz w:val="21"/>
                <w:szCs w:val="21"/>
                <w:lang w:eastAsia="zh-CN"/>
              </w:rPr>
              <w:t>；</w:t>
            </w:r>
          </w:p>
        </w:tc>
      </w:tr>
      <w:tr w14:paraId="61BA91C6">
        <w:tblPrEx>
          <w:tblCellMar>
            <w:top w:w="0" w:type="dxa"/>
            <w:left w:w="108" w:type="dxa"/>
            <w:bottom w:w="0" w:type="dxa"/>
            <w:right w:w="108" w:type="dxa"/>
          </w:tblCellMar>
        </w:tblPrEx>
        <w:trPr>
          <w:trHeight w:val="820" w:hRule="atLeast"/>
          <w:jc w:val="center"/>
        </w:trPr>
        <w:tc>
          <w:tcPr>
            <w:tcW w:w="1762" w:type="dxa"/>
            <w:vMerge w:val="continue"/>
            <w:tcBorders>
              <w:left w:val="single" w:color="auto" w:sz="8" w:space="0"/>
              <w:right w:val="single" w:color="auto" w:sz="8" w:space="0"/>
            </w:tcBorders>
            <w:noWrap w:val="0"/>
            <w:vAlign w:val="center"/>
          </w:tcPr>
          <w:p w14:paraId="1E88AAFF">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b/>
                <w:bCs/>
                <w:color w:val="auto"/>
                <w:kern w:val="0"/>
                <w:sz w:val="21"/>
                <w:szCs w:val="21"/>
              </w:rPr>
            </w:pPr>
          </w:p>
        </w:tc>
        <w:tc>
          <w:tcPr>
            <w:tcW w:w="944" w:type="dxa"/>
            <w:tcBorders>
              <w:top w:val="nil"/>
              <w:left w:val="nil"/>
              <w:bottom w:val="single" w:color="auto" w:sz="8" w:space="0"/>
              <w:right w:val="single" w:color="auto" w:sz="8" w:space="0"/>
            </w:tcBorders>
            <w:noWrap w:val="0"/>
            <w:vAlign w:val="center"/>
          </w:tcPr>
          <w:p w14:paraId="514AC5CF">
            <w:pPr>
              <w:keepNext w:val="0"/>
              <w:keepLines w:val="0"/>
              <w:pageBreakBefore w:val="0"/>
              <w:widowControl/>
              <w:kinsoku/>
              <w:wordWrap/>
              <w:overflowPunct/>
              <w:topLinePunct w:val="0"/>
              <w:autoSpaceDE/>
              <w:autoSpaceDN/>
              <w:bidi w:val="0"/>
              <w:snapToGrid/>
              <w:spacing w:line="312" w:lineRule="auto"/>
              <w:jc w:val="both"/>
              <w:rPr>
                <w:rFonts w:hint="default" w:ascii="宋体" w:hAnsi="宋体" w:eastAsia="宋体" w:cs="宋体"/>
                <w:color w:val="auto"/>
                <w:kern w:val="0"/>
                <w:szCs w:val="21"/>
                <w:lang w:val="en-US" w:eastAsia="zh-CN"/>
              </w:rPr>
            </w:pPr>
            <w:r>
              <w:rPr>
                <w:rFonts w:hint="eastAsia" w:ascii="宋体" w:hAnsi="宋体" w:cs="宋体"/>
                <w:color w:val="auto"/>
                <w:kern w:val="0"/>
                <w:szCs w:val="21"/>
                <w:lang w:val="en-US" w:eastAsia="zh-CN"/>
              </w:rPr>
              <w:t>2.14</w:t>
            </w:r>
          </w:p>
        </w:tc>
        <w:tc>
          <w:tcPr>
            <w:tcW w:w="7153" w:type="dxa"/>
            <w:tcBorders>
              <w:top w:val="nil"/>
              <w:left w:val="nil"/>
              <w:bottom w:val="single" w:color="auto" w:sz="8" w:space="0"/>
              <w:right w:val="single" w:color="auto" w:sz="8" w:space="0"/>
            </w:tcBorders>
            <w:noWrap w:val="0"/>
            <w:vAlign w:val="center"/>
          </w:tcPr>
          <w:p w14:paraId="2EECAB5C">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color w:val="FF0000"/>
                <w:kern w:val="0"/>
                <w:szCs w:val="21"/>
                <w:lang w:eastAsia="zh-CN"/>
              </w:rPr>
            </w:pPr>
            <w:r>
              <w:rPr>
                <w:rFonts w:hint="eastAsia" w:ascii="宋体" w:hAnsi="宋体" w:eastAsia="宋体" w:cs="宋体"/>
                <w:sz w:val="21"/>
                <w:szCs w:val="21"/>
                <w:lang w:val="en-US" w:eastAsia="zh-CN"/>
              </w:rPr>
              <w:t>支持设置标本外带功能，外带人员通过电子签名方式验证通过后方能带走标本</w:t>
            </w:r>
            <w:r>
              <w:rPr>
                <w:rFonts w:hint="eastAsia" w:ascii="宋体" w:hAnsi="宋体" w:eastAsia="宋体" w:cs="宋体"/>
                <w:sz w:val="21"/>
                <w:szCs w:val="21"/>
                <w:lang w:eastAsia="zh-CN"/>
              </w:rPr>
              <w:t>。</w:t>
            </w:r>
          </w:p>
        </w:tc>
      </w:tr>
      <w:tr w14:paraId="6AC5D1A3">
        <w:tblPrEx>
          <w:tblCellMar>
            <w:top w:w="0" w:type="dxa"/>
            <w:left w:w="108" w:type="dxa"/>
            <w:bottom w:w="0" w:type="dxa"/>
            <w:right w:w="108" w:type="dxa"/>
          </w:tblCellMar>
        </w:tblPrEx>
        <w:trPr>
          <w:trHeight w:val="420" w:hRule="atLeast"/>
          <w:jc w:val="center"/>
        </w:trPr>
        <w:tc>
          <w:tcPr>
            <w:tcW w:w="1762" w:type="dxa"/>
            <w:vMerge w:val="continue"/>
            <w:tcBorders>
              <w:left w:val="single" w:color="auto" w:sz="8" w:space="0"/>
              <w:bottom w:val="single" w:color="000000" w:sz="8" w:space="0"/>
              <w:right w:val="single" w:color="auto" w:sz="8" w:space="0"/>
            </w:tcBorders>
            <w:noWrap w:val="0"/>
            <w:vAlign w:val="center"/>
          </w:tcPr>
          <w:p w14:paraId="5758EF64">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b/>
                <w:bCs/>
                <w:color w:val="auto"/>
                <w:kern w:val="0"/>
                <w:sz w:val="21"/>
                <w:szCs w:val="21"/>
              </w:rPr>
            </w:pPr>
          </w:p>
        </w:tc>
        <w:tc>
          <w:tcPr>
            <w:tcW w:w="944" w:type="dxa"/>
            <w:tcBorders>
              <w:top w:val="nil"/>
              <w:left w:val="nil"/>
              <w:bottom w:val="single" w:color="auto" w:sz="8" w:space="0"/>
              <w:right w:val="single" w:color="auto" w:sz="8" w:space="0"/>
            </w:tcBorders>
            <w:noWrap w:val="0"/>
            <w:vAlign w:val="center"/>
          </w:tcPr>
          <w:p w14:paraId="39D5E837">
            <w:pPr>
              <w:keepNext w:val="0"/>
              <w:keepLines w:val="0"/>
              <w:pageBreakBefore w:val="0"/>
              <w:widowControl/>
              <w:kinsoku/>
              <w:wordWrap/>
              <w:overflowPunct/>
              <w:topLinePunct w:val="0"/>
              <w:autoSpaceDE/>
              <w:autoSpaceDN/>
              <w:bidi w:val="0"/>
              <w:snapToGrid/>
              <w:spacing w:line="312" w:lineRule="auto"/>
              <w:jc w:val="both"/>
              <w:rPr>
                <w:rFonts w:hint="default" w:ascii="宋体" w:hAnsi="宋体" w:cs="宋体"/>
                <w:color w:val="auto"/>
                <w:kern w:val="0"/>
                <w:szCs w:val="21"/>
                <w:lang w:val="en-US" w:eastAsia="zh-CN"/>
              </w:rPr>
            </w:pPr>
            <w:r>
              <w:rPr>
                <w:rFonts w:hint="eastAsia" w:ascii="宋体" w:hAnsi="宋体" w:cs="宋体"/>
                <w:color w:val="auto"/>
                <w:kern w:val="0"/>
                <w:szCs w:val="21"/>
                <w:lang w:val="en-US" w:eastAsia="zh-CN"/>
              </w:rPr>
              <w:t>2.15</w:t>
            </w:r>
          </w:p>
        </w:tc>
        <w:tc>
          <w:tcPr>
            <w:tcW w:w="7153" w:type="dxa"/>
            <w:tcBorders>
              <w:top w:val="nil"/>
              <w:left w:val="nil"/>
              <w:bottom w:val="single" w:color="auto" w:sz="8" w:space="0"/>
              <w:right w:val="single" w:color="auto" w:sz="8" w:space="0"/>
            </w:tcBorders>
            <w:noWrap w:val="0"/>
            <w:vAlign w:val="center"/>
          </w:tcPr>
          <w:p w14:paraId="0E751E8F">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具备打印回执单和标签补打等功能</w:t>
            </w:r>
          </w:p>
        </w:tc>
      </w:tr>
      <w:tr w14:paraId="0D8656A9">
        <w:tblPrEx>
          <w:tblCellMar>
            <w:top w:w="0" w:type="dxa"/>
            <w:left w:w="108" w:type="dxa"/>
            <w:bottom w:w="0" w:type="dxa"/>
            <w:right w:w="108" w:type="dxa"/>
          </w:tblCellMar>
        </w:tblPrEx>
        <w:trPr>
          <w:trHeight w:val="420" w:hRule="atLeast"/>
          <w:jc w:val="center"/>
        </w:trPr>
        <w:tc>
          <w:tcPr>
            <w:tcW w:w="1762" w:type="dxa"/>
            <w:vMerge w:val="restart"/>
            <w:tcBorders>
              <w:top w:val="nil"/>
              <w:left w:val="single" w:color="auto" w:sz="8" w:space="0"/>
              <w:right w:val="single" w:color="auto" w:sz="8" w:space="0"/>
            </w:tcBorders>
            <w:noWrap w:val="0"/>
            <w:vAlign w:val="center"/>
          </w:tcPr>
          <w:p w14:paraId="669DECBD">
            <w:pPr>
              <w:pStyle w:val="246"/>
              <w:keepNext w:val="0"/>
              <w:keepLines w:val="0"/>
              <w:pageBreakBefore w:val="0"/>
              <w:kinsoku/>
              <w:wordWrap/>
              <w:overflowPunct/>
              <w:topLinePunct w:val="0"/>
              <w:autoSpaceDE/>
              <w:autoSpaceDN/>
              <w:bidi w:val="0"/>
              <w:snapToGrid/>
              <w:spacing w:line="312" w:lineRule="auto"/>
              <w:ind w:firstLine="0" w:firstLineChars="0"/>
              <w:jc w:val="both"/>
              <w:outlineLvl w:val="9"/>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3.</w:t>
            </w:r>
            <w:r>
              <w:rPr>
                <w:rFonts w:hint="eastAsia" w:ascii="宋体" w:hAnsi="宋体" w:eastAsia="宋体" w:cs="宋体"/>
                <w:b/>
                <w:bCs/>
                <w:color w:val="auto"/>
                <w:sz w:val="21"/>
                <w:szCs w:val="21"/>
              </w:rPr>
              <w:t>标本采集</w:t>
            </w:r>
          </w:p>
        </w:tc>
        <w:tc>
          <w:tcPr>
            <w:tcW w:w="944" w:type="dxa"/>
            <w:tcBorders>
              <w:top w:val="nil"/>
              <w:left w:val="nil"/>
              <w:bottom w:val="single" w:color="auto" w:sz="8" w:space="0"/>
              <w:right w:val="single" w:color="auto" w:sz="8" w:space="0"/>
            </w:tcBorders>
            <w:noWrap w:val="0"/>
            <w:vAlign w:val="center"/>
          </w:tcPr>
          <w:p w14:paraId="26885BF5">
            <w:pPr>
              <w:keepNext w:val="0"/>
              <w:keepLines w:val="0"/>
              <w:pageBreakBefore w:val="0"/>
              <w:widowControl/>
              <w:kinsoku/>
              <w:wordWrap/>
              <w:overflowPunct/>
              <w:topLinePunct w:val="0"/>
              <w:autoSpaceDE/>
              <w:autoSpaceDN/>
              <w:bidi w:val="0"/>
              <w:snapToGrid/>
              <w:spacing w:line="312" w:lineRule="auto"/>
              <w:jc w:val="both"/>
              <w:rPr>
                <w:rFonts w:ascii="宋体" w:hAnsi="宋体" w:cs="宋体"/>
                <w:color w:val="auto"/>
                <w:kern w:val="0"/>
                <w:szCs w:val="21"/>
              </w:rPr>
            </w:pPr>
            <w:r>
              <w:rPr>
                <w:rFonts w:hint="eastAsia" w:ascii="宋体" w:hAnsi="宋体" w:cs="宋体"/>
                <w:color w:val="auto"/>
                <w:kern w:val="0"/>
                <w:szCs w:val="21"/>
              </w:rPr>
              <w:t>3.1</w:t>
            </w:r>
          </w:p>
        </w:tc>
        <w:tc>
          <w:tcPr>
            <w:tcW w:w="7153" w:type="dxa"/>
            <w:tcBorders>
              <w:top w:val="nil"/>
              <w:left w:val="nil"/>
              <w:bottom w:val="single" w:color="auto" w:sz="8" w:space="0"/>
              <w:right w:val="single" w:color="auto" w:sz="8" w:space="0"/>
            </w:tcBorders>
            <w:noWrap w:val="0"/>
            <w:vAlign w:val="center"/>
          </w:tcPr>
          <w:p w14:paraId="523A7284">
            <w:pPr>
              <w:keepNext w:val="0"/>
              <w:keepLines w:val="0"/>
              <w:pageBreakBefore w:val="0"/>
              <w:widowControl/>
              <w:kinsoku/>
              <w:wordWrap/>
              <w:overflowPunct/>
              <w:topLinePunct w:val="0"/>
              <w:autoSpaceDE/>
              <w:autoSpaceDN/>
              <w:bidi w:val="0"/>
              <w:snapToGrid/>
              <w:spacing w:line="312" w:lineRule="auto"/>
              <w:jc w:val="both"/>
              <w:rPr>
                <w:rFonts w:ascii="宋体" w:hAnsi="宋体" w:cs="宋体"/>
                <w:color w:val="FF0000"/>
                <w:kern w:val="0"/>
                <w:szCs w:val="21"/>
              </w:rPr>
            </w:pPr>
            <w:r>
              <w:rPr>
                <w:rFonts w:hint="eastAsia" w:ascii="宋体" w:hAnsi="宋体" w:eastAsia="宋体" w:cs="宋体"/>
                <w:sz w:val="21"/>
                <w:szCs w:val="21"/>
              </w:rPr>
              <w:t>支持扫描标本二维码，自动读取该二维码所属申请单所有标本</w:t>
            </w:r>
            <w:r>
              <w:rPr>
                <w:rFonts w:hint="eastAsia" w:ascii="宋体" w:hAnsi="宋体" w:eastAsia="宋体" w:cs="宋体"/>
                <w:sz w:val="21"/>
                <w:szCs w:val="21"/>
                <w:lang w:eastAsia="zh-CN"/>
              </w:rPr>
              <w:t>；</w:t>
            </w:r>
          </w:p>
        </w:tc>
      </w:tr>
      <w:tr w14:paraId="1B8C94E0">
        <w:tblPrEx>
          <w:tblCellMar>
            <w:top w:w="0" w:type="dxa"/>
            <w:left w:w="108" w:type="dxa"/>
            <w:bottom w:w="0" w:type="dxa"/>
            <w:right w:w="108" w:type="dxa"/>
          </w:tblCellMar>
        </w:tblPrEx>
        <w:trPr>
          <w:trHeight w:val="420" w:hRule="atLeast"/>
          <w:jc w:val="center"/>
        </w:trPr>
        <w:tc>
          <w:tcPr>
            <w:tcW w:w="1762" w:type="dxa"/>
            <w:vMerge w:val="continue"/>
            <w:tcBorders>
              <w:left w:val="single" w:color="auto" w:sz="8" w:space="0"/>
              <w:right w:val="single" w:color="auto" w:sz="8" w:space="0"/>
            </w:tcBorders>
            <w:noWrap w:val="0"/>
            <w:vAlign w:val="center"/>
          </w:tcPr>
          <w:p w14:paraId="24AFB104">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b/>
                <w:bCs/>
                <w:color w:val="auto"/>
                <w:kern w:val="0"/>
                <w:sz w:val="21"/>
                <w:szCs w:val="21"/>
              </w:rPr>
            </w:pPr>
          </w:p>
        </w:tc>
        <w:tc>
          <w:tcPr>
            <w:tcW w:w="944" w:type="dxa"/>
            <w:tcBorders>
              <w:top w:val="nil"/>
              <w:left w:val="nil"/>
              <w:bottom w:val="single" w:color="auto" w:sz="8" w:space="0"/>
              <w:right w:val="single" w:color="auto" w:sz="8" w:space="0"/>
            </w:tcBorders>
            <w:noWrap w:val="0"/>
            <w:vAlign w:val="center"/>
          </w:tcPr>
          <w:p w14:paraId="24F8428B">
            <w:pPr>
              <w:keepNext w:val="0"/>
              <w:keepLines w:val="0"/>
              <w:pageBreakBefore w:val="0"/>
              <w:widowControl/>
              <w:kinsoku/>
              <w:wordWrap/>
              <w:overflowPunct/>
              <w:topLinePunct w:val="0"/>
              <w:autoSpaceDE/>
              <w:autoSpaceDN/>
              <w:bidi w:val="0"/>
              <w:snapToGrid/>
              <w:spacing w:line="312" w:lineRule="auto"/>
              <w:jc w:val="both"/>
              <w:rPr>
                <w:rFonts w:ascii="宋体" w:hAnsi="宋体" w:cs="宋体"/>
                <w:color w:val="auto"/>
                <w:kern w:val="0"/>
                <w:szCs w:val="21"/>
              </w:rPr>
            </w:pPr>
            <w:r>
              <w:rPr>
                <w:rFonts w:hint="eastAsia" w:ascii="宋体" w:hAnsi="宋体" w:cs="宋体"/>
                <w:color w:val="auto"/>
                <w:kern w:val="0"/>
                <w:szCs w:val="21"/>
              </w:rPr>
              <w:t>3.2</w:t>
            </w:r>
          </w:p>
        </w:tc>
        <w:tc>
          <w:tcPr>
            <w:tcW w:w="7153" w:type="dxa"/>
            <w:tcBorders>
              <w:top w:val="nil"/>
              <w:left w:val="nil"/>
              <w:bottom w:val="single" w:color="auto" w:sz="8" w:space="0"/>
              <w:right w:val="single" w:color="auto" w:sz="8" w:space="0"/>
            </w:tcBorders>
            <w:noWrap w:val="0"/>
            <w:vAlign w:val="center"/>
          </w:tcPr>
          <w:p w14:paraId="02132F1E">
            <w:pPr>
              <w:keepNext w:val="0"/>
              <w:keepLines w:val="0"/>
              <w:pageBreakBefore w:val="0"/>
              <w:widowControl/>
              <w:kinsoku/>
              <w:wordWrap/>
              <w:overflowPunct/>
              <w:topLinePunct w:val="0"/>
              <w:autoSpaceDE/>
              <w:autoSpaceDN/>
              <w:bidi w:val="0"/>
              <w:snapToGrid/>
              <w:spacing w:line="312" w:lineRule="auto"/>
              <w:jc w:val="both"/>
              <w:rPr>
                <w:rFonts w:ascii="宋体" w:hAnsi="宋体" w:cs="宋体"/>
                <w:color w:val="FF0000"/>
                <w:kern w:val="0"/>
                <w:szCs w:val="21"/>
              </w:rPr>
            </w:pPr>
            <w:r>
              <w:rPr>
                <w:rFonts w:hint="eastAsia" w:ascii="宋体" w:hAnsi="宋体" w:eastAsia="宋体" w:cs="宋体"/>
                <w:sz w:val="21"/>
                <w:szCs w:val="21"/>
              </w:rPr>
              <w:t>支持</w:t>
            </w:r>
            <w:r>
              <w:rPr>
                <w:rFonts w:hint="eastAsia" w:ascii="宋体" w:hAnsi="宋体" w:eastAsia="宋体" w:cs="宋体"/>
                <w:sz w:val="21"/>
                <w:szCs w:val="21"/>
                <w:lang w:val="en-US" w:eastAsia="zh-CN"/>
              </w:rPr>
              <w:t>最新扫描的标本在标本列表中处于置顶位置</w:t>
            </w:r>
            <w:r>
              <w:rPr>
                <w:rFonts w:hint="eastAsia" w:ascii="宋体" w:hAnsi="宋体" w:eastAsia="宋体" w:cs="宋体"/>
                <w:sz w:val="21"/>
                <w:szCs w:val="21"/>
                <w:lang w:eastAsia="zh-CN"/>
              </w:rPr>
              <w:t>；</w:t>
            </w:r>
          </w:p>
        </w:tc>
      </w:tr>
      <w:tr w14:paraId="6CBC3DF5">
        <w:tblPrEx>
          <w:tblCellMar>
            <w:top w:w="0" w:type="dxa"/>
            <w:left w:w="108" w:type="dxa"/>
            <w:bottom w:w="0" w:type="dxa"/>
            <w:right w:w="108" w:type="dxa"/>
          </w:tblCellMar>
        </w:tblPrEx>
        <w:trPr>
          <w:trHeight w:val="420" w:hRule="atLeast"/>
          <w:jc w:val="center"/>
        </w:trPr>
        <w:tc>
          <w:tcPr>
            <w:tcW w:w="1762" w:type="dxa"/>
            <w:vMerge w:val="continue"/>
            <w:tcBorders>
              <w:left w:val="single" w:color="auto" w:sz="8" w:space="0"/>
              <w:right w:val="single" w:color="auto" w:sz="8" w:space="0"/>
            </w:tcBorders>
            <w:noWrap w:val="0"/>
            <w:vAlign w:val="center"/>
          </w:tcPr>
          <w:p w14:paraId="567E49C4">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b/>
                <w:bCs/>
                <w:color w:val="auto"/>
                <w:kern w:val="0"/>
                <w:sz w:val="21"/>
                <w:szCs w:val="21"/>
              </w:rPr>
            </w:pPr>
          </w:p>
        </w:tc>
        <w:tc>
          <w:tcPr>
            <w:tcW w:w="944" w:type="dxa"/>
            <w:tcBorders>
              <w:top w:val="nil"/>
              <w:left w:val="nil"/>
              <w:bottom w:val="single" w:color="auto" w:sz="8" w:space="0"/>
              <w:right w:val="single" w:color="auto" w:sz="8" w:space="0"/>
            </w:tcBorders>
            <w:noWrap w:val="0"/>
            <w:vAlign w:val="center"/>
          </w:tcPr>
          <w:p w14:paraId="5C4B2016">
            <w:pPr>
              <w:keepNext w:val="0"/>
              <w:keepLines w:val="0"/>
              <w:pageBreakBefore w:val="0"/>
              <w:widowControl/>
              <w:kinsoku/>
              <w:wordWrap/>
              <w:overflowPunct/>
              <w:topLinePunct w:val="0"/>
              <w:autoSpaceDE/>
              <w:autoSpaceDN/>
              <w:bidi w:val="0"/>
              <w:snapToGrid/>
              <w:spacing w:line="312" w:lineRule="auto"/>
              <w:jc w:val="both"/>
              <w:rPr>
                <w:rFonts w:hint="default" w:ascii="宋体" w:hAnsi="宋体" w:eastAsia="宋体" w:cs="宋体"/>
                <w:color w:val="auto"/>
                <w:kern w:val="0"/>
                <w:szCs w:val="21"/>
                <w:lang w:val="en-US" w:eastAsia="zh-CN"/>
              </w:rPr>
            </w:pPr>
            <w:r>
              <w:rPr>
                <w:rFonts w:hint="eastAsia" w:ascii="宋体" w:hAnsi="宋体" w:cs="宋体"/>
                <w:color w:val="auto"/>
                <w:kern w:val="0"/>
                <w:szCs w:val="21"/>
                <w:lang w:val="en-US" w:eastAsia="zh-CN"/>
              </w:rPr>
              <w:t>3.3</w:t>
            </w:r>
          </w:p>
        </w:tc>
        <w:tc>
          <w:tcPr>
            <w:tcW w:w="7153" w:type="dxa"/>
            <w:tcBorders>
              <w:top w:val="nil"/>
              <w:left w:val="nil"/>
              <w:bottom w:val="single" w:color="auto" w:sz="8" w:space="0"/>
              <w:right w:val="single" w:color="auto" w:sz="8" w:space="0"/>
            </w:tcBorders>
            <w:noWrap w:val="0"/>
            <w:vAlign w:val="center"/>
          </w:tcPr>
          <w:p w14:paraId="35989C13">
            <w:pPr>
              <w:keepNext w:val="0"/>
              <w:keepLines w:val="0"/>
              <w:pageBreakBefore w:val="0"/>
              <w:widowControl/>
              <w:kinsoku/>
              <w:wordWrap/>
              <w:overflowPunct/>
              <w:topLinePunct w:val="0"/>
              <w:autoSpaceDE/>
              <w:autoSpaceDN/>
              <w:bidi w:val="0"/>
              <w:snapToGrid/>
              <w:spacing w:line="312" w:lineRule="auto"/>
              <w:jc w:val="both"/>
              <w:rPr>
                <w:rFonts w:ascii="宋体" w:hAnsi="宋体" w:cs="宋体"/>
                <w:color w:val="FF0000"/>
                <w:kern w:val="0"/>
                <w:szCs w:val="21"/>
              </w:rPr>
            </w:pPr>
            <w:r>
              <w:rPr>
                <w:rFonts w:hint="eastAsia" w:ascii="宋体" w:hAnsi="宋体" w:eastAsia="宋体" w:cs="宋体"/>
                <w:sz w:val="21"/>
                <w:szCs w:val="21"/>
                <w:lang w:val="en-US" w:eastAsia="zh-CN"/>
              </w:rPr>
              <w:t>支持对标本已确认和未确认数量的统计和显示</w:t>
            </w:r>
            <w:r>
              <w:rPr>
                <w:rFonts w:hint="eastAsia" w:ascii="宋体" w:hAnsi="宋体" w:eastAsia="宋体" w:cs="宋体"/>
                <w:sz w:val="21"/>
                <w:szCs w:val="21"/>
                <w:lang w:eastAsia="zh-CN"/>
              </w:rPr>
              <w:t>；</w:t>
            </w:r>
          </w:p>
        </w:tc>
      </w:tr>
      <w:tr w14:paraId="497259B7">
        <w:tblPrEx>
          <w:tblCellMar>
            <w:top w:w="0" w:type="dxa"/>
            <w:left w:w="108" w:type="dxa"/>
            <w:bottom w:w="0" w:type="dxa"/>
            <w:right w:w="108" w:type="dxa"/>
          </w:tblCellMar>
        </w:tblPrEx>
        <w:trPr>
          <w:trHeight w:val="420" w:hRule="atLeast"/>
          <w:jc w:val="center"/>
        </w:trPr>
        <w:tc>
          <w:tcPr>
            <w:tcW w:w="1762" w:type="dxa"/>
            <w:vMerge w:val="continue"/>
            <w:tcBorders>
              <w:left w:val="single" w:color="auto" w:sz="8" w:space="0"/>
              <w:right w:val="single" w:color="auto" w:sz="8" w:space="0"/>
            </w:tcBorders>
            <w:noWrap w:val="0"/>
            <w:vAlign w:val="center"/>
          </w:tcPr>
          <w:p w14:paraId="58A482EA">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b/>
                <w:bCs/>
                <w:color w:val="auto"/>
                <w:kern w:val="0"/>
                <w:sz w:val="21"/>
                <w:szCs w:val="21"/>
              </w:rPr>
            </w:pPr>
          </w:p>
        </w:tc>
        <w:tc>
          <w:tcPr>
            <w:tcW w:w="944" w:type="dxa"/>
            <w:tcBorders>
              <w:top w:val="nil"/>
              <w:left w:val="nil"/>
              <w:bottom w:val="single" w:color="auto" w:sz="8" w:space="0"/>
              <w:right w:val="single" w:color="auto" w:sz="8" w:space="0"/>
            </w:tcBorders>
            <w:noWrap w:val="0"/>
            <w:vAlign w:val="center"/>
          </w:tcPr>
          <w:p w14:paraId="507B37D7">
            <w:pPr>
              <w:keepNext w:val="0"/>
              <w:keepLines w:val="0"/>
              <w:pageBreakBefore w:val="0"/>
              <w:widowControl/>
              <w:kinsoku/>
              <w:wordWrap/>
              <w:overflowPunct/>
              <w:topLinePunct w:val="0"/>
              <w:autoSpaceDE/>
              <w:autoSpaceDN/>
              <w:bidi w:val="0"/>
              <w:snapToGrid/>
              <w:spacing w:line="312" w:lineRule="auto"/>
              <w:jc w:val="both"/>
              <w:rPr>
                <w:rFonts w:hint="default" w:ascii="宋体" w:hAnsi="宋体" w:eastAsia="宋体" w:cs="宋体"/>
                <w:color w:val="auto"/>
                <w:kern w:val="0"/>
                <w:szCs w:val="21"/>
                <w:lang w:val="en-US" w:eastAsia="zh-CN"/>
              </w:rPr>
            </w:pPr>
            <w:r>
              <w:rPr>
                <w:rFonts w:hint="eastAsia" w:ascii="宋体" w:hAnsi="宋体" w:cs="宋体"/>
                <w:color w:val="auto"/>
                <w:kern w:val="0"/>
                <w:szCs w:val="21"/>
                <w:lang w:val="en-US" w:eastAsia="zh-CN"/>
              </w:rPr>
              <w:t>3.4</w:t>
            </w:r>
          </w:p>
        </w:tc>
        <w:tc>
          <w:tcPr>
            <w:tcW w:w="7153" w:type="dxa"/>
            <w:tcBorders>
              <w:top w:val="nil"/>
              <w:left w:val="nil"/>
              <w:bottom w:val="single" w:color="auto" w:sz="8" w:space="0"/>
              <w:right w:val="single" w:color="auto" w:sz="8" w:space="0"/>
            </w:tcBorders>
            <w:noWrap w:val="0"/>
            <w:vAlign w:val="center"/>
          </w:tcPr>
          <w:p w14:paraId="356B4FF1">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color w:val="FF0000"/>
                <w:kern w:val="0"/>
                <w:szCs w:val="21"/>
                <w:lang w:eastAsia="zh-CN"/>
              </w:rPr>
            </w:pPr>
            <w:r>
              <w:rPr>
                <w:rFonts w:hint="eastAsia" w:ascii="宋体" w:hAnsi="宋体" w:eastAsia="宋体" w:cs="宋体"/>
                <w:sz w:val="21"/>
                <w:szCs w:val="21"/>
              </w:rPr>
              <w:t>支持校验标本是否全部通过预检打印</w:t>
            </w:r>
            <w:r>
              <w:rPr>
                <w:rFonts w:hint="eastAsia" w:ascii="宋体" w:hAnsi="宋体" w:eastAsia="宋体" w:cs="宋体"/>
                <w:sz w:val="21"/>
                <w:szCs w:val="21"/>
                <w:lang w:eastAsia="zh-CN"/>
              </w:rPr>
              <w:t>。</w:t>
            </w:r>
          </w:p>
        </w:tc>
      </w:tr>
      <w:tr w14:paraId="776DD83A">
        <w:tblPrEx>
          <w:tblCellMar>
            <w:top w:w="0" w:type="dxa"/>
            <w:left w:w="108" w:type="dxa"/>
            <w:bottom w:w="0" w:type="dxa"/>
            <w:right w:w="108" w:type="dxa"/>
          </w:tblCellMar>
        </w:tblPrEx>
        <w:trPr>
          <w:trHeight w:val="420" w:hRule="atLeast"/>
          <w:jc w:val="center"/>
        </w:trPr>
        <w:tc>
          <w:tcPr>
            <w:tcW w:w="1762" w:type="dxa"/>
            <w:vMerge w:val="continue"/>
            <w:tcBorders>
              <w:left w:val="single" w:color="auto" w:sz="8" w:space="0"/>
              <w:bottom w:val="single" w:color="000000" w:sz="8" w:space="0"/>
              <w:right w:val="single" w:color="auto" w:sz="8" w:space="0"/>
            </w:tcBorders>
            <w:noWrap w:val="0"/>
            <w:vAlign w:val="center"/>
          </w:tcPr>
          <w:p w14:paraId="40F4565B">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b/>
                <w:bCs/>
                <w:color w:val="auto"/>
                <w:kern w:val="0"/>
                <w:sz w:val="21"/>
                <w:szCs w:val="21"/>
              </w:rPr>
            </w:pPr>
          </w:p>
        </w:tc>
        <w:tc>
          <w:tcPr>
            <w:tcW w:w="944" w:type="dxa"/>
            <w:tcBorders>
              <w:top w:val="nil"/>
              <w:left w:val="nil"/>
              <w:bottom w:val="single" w:color="auto" w:sz="8" w:space="0"/>
              <w:right w:val="single" w:color="auto" w:sz="8" w:space="0"/>
            </w:tcBorders>
            <w:noWrap w:val="0"/>
            <w:vAlign w:val="center"/>
          </w:tcPr>
          <w:p w14:paraId="6A4F8EDF">
            <w:pPr>
              <w:keepNext w:val="0"/>
              <w:keepLines w:val="0"/>
              <w:pageBreakBefore w:val="0"/>
              <w:widowControl/>
              <w:kinsoku/>
              <w:wordWrap/>
              <w:overflowPunct/>
              <w:topLinePunct w:val="0"/>
              <w:autoSpaceDE/>
              <w:autoSpaceDN/>
              <w:bidi w:val="0"/>
              <w:snapToGrid/>
              <w:spacing w:line="312" w:lineRule="auto"/>
              <w:jc w:val="both"/>
              <w:rPr>
                <w:rFonts w:hint="default" w:ascii="宋体" w:hAnsi="宋体" w:cs="宋体"/>
                <w:color w:val="auto"/>
                <w:kern w:val="0"/>
                <w:szCs w:val="21"/>
                <w:lang w:val="en-US" w:eastAsia="zh-CN"/>
              </w:rPr>
            </w:pPr>
            <w:r>
              <w:rPr>
                <w:rFonts w:hint="eastAsia" w:ascii="宋体" w:hAnsi="宋体" w:cs="宋体"/>
                <w:color w:val="auto"/>
                <w:kern w:val="0"/>
                <w:szCs w:val="21"/>
                <w:lang w:val="en-US" w:eastAsia="zh-CN"/>
              </w:rPr>
              <w:t>3.5</w:t>
            </w:r>
          </w:p>
        </w:tc>
        <w:tc>
          <w:tcPr>
            <w:tcW w:w="7153" w:type="dxa"/>
            <w:tcBorders>
              <w:top w:val="nil"/>
              <w:left w:val="nil"/>
              <w:bottom w:val="single" w:color="auto" w:sz="8" w:space="0"/>
              <w:right w:val="single" w:color="auto" w:sz="8" w:space="0"/>
            </w:tcBorders>
            <w:noWrap w:val="0"/>
            <w:vAlign w:val="center"/>
          </w:tcPr>
          <w:p w14:paraId="72868A77">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sz w:val="21"/>
                <w:szCs w:val="21"/>
              </w:rPr>
            </w:pPr>
            <w:r>
              <w:rPr>
                <w:rFonts w:hint="eastAsia" w:ascii="宋体" w:hAnsi="宋体" w:eastAsia="宋体" w:cs="宋体"/>
                <w:sz w:val="21"/>
                <w:szCs w:val="21"/>
                <w:lang w:val="en-US" w:eastAsia="zh-CN"/>
              </w:rPr>
              <w:t>支持自动填写采集人，默认为当前登录用户</w:t>
            </w:r>
          </w:p>
        </w:tc>
      </w:tr>
      <w:tr w14:paraId="55E13484">
        <w:tblPrEx>
          <w:tblCellMar>
            <w:top w:w="0" w:type="dxa"/>
            <w:left w:w="108" w:type="dxa"/>
            <w:bottom w:w="0" w:type="dxa"/>
            <w:right w:w="108" w:type="dxa"/>
          </w:tblCellMar>
        </w:tblPrEx>
        <w:trPr>
          <w:trHeight w:val="420" w:hRule="atLeast"/>
          <w:jc w:val="center"/>
        </w:trPr>
        <w:tc>
          <w:tcPr>
            <w:tcW w:w="1762" w:type="dxa"/>
            <w:vMerge w:val="restart"/>
            <w:tcBorders>
              <w:top w:val="nil"/>
              <w:left w:val="single" w:color="auto" w:sz="8" w:space="0"/>
              <w:right w:val="single" w:color="auto" w:sz="8" w:space="0"/>
            </w:tcBorders>
            <w:noWrap w:val="0"/>
            <w:vAlign w:val="center"/>
          </w:tcPr>
          <w:p w14:paraId="78903987">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b/>
                <w:bCs/>
                <w:color w:val="auto"/>
                <w:kern w:val="0"/>
                <w:sz w:val="21"/>
                <w:szCs w:val="21"/>
                <w:lang w:val="en-US" w:eastAsia="zh-CN"/>
              </w:rPr>
            </w:pPr>
            <w:r>
              <w:rPr>
                <w:rFonts w:hint="eastAsia" w:ascii="宋体" w:hAnsi="宋体" w:eastAsia="宋体" w:cs="宋体"/>
                <w:b/>
                <w:bCs/>
                <w:color w:val="auto"/>
                <w:kern w:val="0"/>
                <w:sz w:val="21"/>
                <w:szCs w:val="21"/>
                <w:lang w:val="en-US" w:eastAsia="zh-CN"/>
              </w:rPr>
              <w:t>4.</w:t>
            </w:r>
            <w:r>
              <w:rPr>
                <w:rFonts w:hint="eastAsia" w:ascii="宋体" w:hAnsi="宋体" w:eastAsia="宋体" w:cs="宋体"/>
                <w:b/>
                <w:bCs/>
                <w:color w:val="auto"/>
                <w:sz w:val="21"/>
                <w:szCs w:val="21"/>
              </w:rPr>
              <w:t>标本登记</w:t>
            </w:r>
          </w:p>
        </w:tc>
        <w:tc>
          <w:tcPr>
            <w:tcW w:w="944" w:type="dxa"/>
            <w:tcBorders>
              <w:top w:val="nil"/>
              <w:left w:val="nil"/>
              <w:bottom w:val="single" w:color="auto" w:sz="8" w:space="0"/>
              <w:right w:val="single" w:color="auto" w:sz="8" w:space="0"/>
            </w:tcBorders>
            <w:noWrap w:val="0"/>
            <w:vAlign w:val="center"/>
          </w:tcPr>
          <w:p w14:paraId="57F4C850">
            <w:pPr>
              <w:keepNext w:val="0"/>
              <w:keepLines w:val="0"/>
              <w:pageBreakBefore w:val="0"/>
              <w:widowControl/>
              <w:kinsoku/>
              <w:wordWrap/>
              <w:overflowPunct/>
              <w:topLinePunct w:val="0"/>
              <w:autoSpaceDE/>
              <w:autoSpaceDN/>
              <w:bidi w:val="0"/>
              <w:snapToGrid/>
              <w:spacing w:line="312" w:lineRule="auto"/>
              <w:jc w:val="both"/>
              <w:rPr>
                <w:rFonts w:hint="default" w:ascii="宋体" w:hAnsi="宋体" w:eastAsia="宋体" w:cs="宋体"/>
                <w:color w:val="auto"/>
                <w:kern w:val="0"/>
                <w:szCs w:val="21"/>
                <w:lang w:val="en-US" w:eastAsia="zh-CN"/>
              </w:rPr>
            </w:pPr>
            <w:r>
              <w:rPr>
                <w:rFonts w:hint="eastAsia" w:ascii="宋体" w:hAnsi="宋体" w:cs="宋体"/>
                <w:color w:val="auto"/>
                <w:kern w:val="0"/>
                <w:szCs w:val="21"/>
                <w:lang w:val="en-US" w:eastAsia="zh-CN"/>
              </w:rPr>
              <w:t>4.1</w:t>
            </w:r>
          </w:p>
        </w:tc>
        <w:tc>
          <w:tcPr>
            <w:tcW w:w="7153" w:type="dxa"/>
            <w:tcBorders>
              <w:top w:val="nil"/>
              <w:left w:val="nil"/>
              <w:bottom w:val="single" w:color="auto" w:sz="8" w:space="0"/>
              <w:right w:val="single" w:color="auto" w:sz="8" w:space="0"/>
            </w:tcBorders>
            <w:noWrap w:val="0"/>
            <w:vAlign w:val="center"/>
          </w:tcPr>
          <w:p w14:paraId="6D8284D6">
            <w:pPr>
              <w:keepNext w:val="0"/>
              <w:keepLines w:val="0"/>
              <w:pageBreakBefore w:val="0"/>
              <w:widowControl/>
              <w:kinsoku/>
              <w:wordWrap/>
              <w:overflowPunct/>
              <w:topLinePunct w:val="0"/>
              <w:autoSpaceDE/>
              <w:autoSpaceDN/>
              <w:bidi w:val="0"/>
              <w:snapToGrid/>
              <w:spacing w:line="312" w:lineRule="auto"/>
              <w:jc w:val="both"/>
              <w:rPr>
                <w:rFonts w:ascii="宋体" w:hAnsi="宋体" w:cs="宋体"/>
                <w:color w:val="FF0000"/>
                <w:kern w:val="0"/>
                <w:szCs w:val="21"/>
              </w:rPr>
            </w:pPr>
            <w:r>
              <w:rPr>
                <w:rFonts w:hint="eastAsia" w:ascii="宋体" w:hAnsi="宋体" w:eastAsia="宋体" w:cs="宋体"/>
                <w:sz w:val="21"/>
                <w:szCs w:val="21"/>
              </w:rPr>
              <w:t>支持将已登记和未登记进行分类显示</w:t>
            </w:r>
            <w:r>
              <w:rPr>
                <w:rFonts w:hint="eastAsia" w:ascii="宋体" w:hAnsi="宋体" w:eastAsia="宋体" w:cs="宋体"/>
                <w:sz w:val="21"/>
                <w:szCs w:val="21"/>
                <w:lang w:eastAsia="zh-CN"/>
              </w:rPr>
              <w:t>；</w:t>
            </w:r>
          </w:p>
        </w:tc>
      </w:tr>
      <w:tr w14:paraId="6672074B">
        <w:tblPrEx>
          <w:tblCellMar>
            <w:top w:w="0" w:type="dxa"/>
            <w:left w:w="108" w:type="dxa"/>
            <w:bottom w:w="0" w:type="dxa"/>
            <w:right w:w="108" w:type="dxa"/>
          </w:tblCellMar>
        </w:tblPrEx>
        <w:trPr>
          <w:trHeight w:val="420" w:hRule="atLeast"/>
          <w:jc w:val="center"/>
        </w:trPr>
        <w:tc>
          <w:tcPr>
            <w:tcW w:w="1762" w:type="dxa"/>
            <w:vMerge w:val="continue"/>
            <w:tcBorders>
              <w:left w:val="single" w:color="auto" w:sz="8" w:space="0"/>
              <w:bottom w:val="single" w:color="000000" w:sz="8" w:space="0"/>
              <w:right w:val="single" w:color="auto" w:sz="8" w:space="0"/>
            </w:tcBorders>
            <w:noWrap w:val="0"/>
            <w:vAlign w:val="center"/>
          </w:tcPr>
          <w:p w14:paraId="7B242FD4">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b/>
                <w:bCs/>
                <w:color w:val="auto"/>
                <w:kern w:val="0"/>
                <w:sz w:val="21"/>
                <w:szCs w:val="21"/>
              </w:rPr>
            </w:pPr>
          </w:p>
        </w:tc>
        <w:tc>
          <w:tcPr>
            <w:tcW w:w="944" w:type="dxa"/>
            <w:tcBorders>
              <w:top w:val="nil"/>
              <w:left w:val="nil"/>
              <w:bottom w:val="single" w:color="auto" w:sz="8" w:space="0"/>
              <w:right w:val="single" w:color="auto" w:sz="8" w:space="0"/>
            </w:tcBorders>
            <w:noWrap w:val="0"/>
            <w:vAlign w:val="center"/>
          </w:tcPr>
          <w:p w14:paraId="19E2C5F6">
            <w:pPr>
              <w:keepNext w:val="0"/>
              <w:keepLines w:val="0"/>
              <w:pageBreakBefore w:val="0"/>
              <w:widowControl/>
              <w:kinsoku/>
              <w:wordWrap/>
              <w:overflowPunct/>
              <w:topLinePunct w:val="0"/>
              <w:autoSpaceDE/>
              <w:autoSpaceDN/>
              <w:bidi w:val="0"/>
              <w:snapToGrid/>
              <w:spacing w:line="312" w:lineRule="auto"/>
              <w:jc w:val="both"/>
              <w:rPr>
                <w:rFonts w:hint="default" w:ascii="宋体" w:hAnsi="宋体" w:eastAsia="宋体" w:cs="宋体"/>
                <w:color w:val="auto"/>
                <w:kern w:val="0"/>
                <w:szCs w:val="21"/>
                <w:lang w:val="en-US" w:eastAsia="zh-CN"/>
              </w:rPr>
            </w:pPr>
            <w:r>
              <w:rPr>
                <w:rFonts w:hint="eastAsia" w:ascii="宋体" w:hAnsi="宋体" w:cs="宋体"/>
                <w:color w:val="auto"/>
                <w:kern w:val="0"/>
                <w:szCs w:val="21"/>
                <w:lang w:val="en-US" w:eastAsia="zh-CN"/>
              </w:rPr>
              <w:t>4.2</w:t>
            </w:r>
          </w:p>
        </w:tc>
        <w:tc>
          <w:tcPr>
            <w:tcW w:w="7153" w:type="dxa"/>
            <w:tcBorders>
              <w:top w:val="nil"/>
              <w:left w:val="nil"/>
              <w:bottom w:val="single" w:color="auto" w:sz="8" w:space="0"/>
              <w:right w:val="single" w:color="auto" w:sz="8" w:space="0"/>
            </w:tcBorders>
            <w:noWrap w:val="0"/>
            <w:vAlign w:val="center"/>
          </w:tcPr>
          <w:p w14:paraId="4E2FFFF1">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color w:val="FF0000"/>
                <w:kern w:val="0"/>
                <w:szCs w:val="21"/>
                <w:lang w:eastAsia="zh-CN"/>
              </w:rPr>
            </w:pPr>
            <w:r>
              <w:rPr>
                <w:rFonts w:hint="eastAsia" w:ascii="宋体" w:hAnsi="宋体" w:eastAsia="宋体" w:cs="宋体"/>
                <w:sz w:val="21"/>
                <w:szCs w:val="21"/>
              </w:rPr>
              <w:t>支持校验标本是否全部通过提交</w:t>
            </w:r>
            <w:r>
              <w:rPr>
                <w:rFonts w:hint="eastAsia" w:ascii="宋体" w:hAnsi="宋体" w:eastAsia="宋体" w:cs="宋体"/>
                <w:sz w:val="21"/>
                <w:szCs w:val="21"/>
                <w:lang w:eastAsia="zh-CN"/>
              </w:rPr>
              <w:t>。</w:t>
            </w:r>
          </w:p>
        </w:tc>
      </w:tr>
      <w:tr w14:paraId="0983E2C4">
        <w:tblPrEx>
          <w:tblCellMar>
            <w:top w:w="0" w:type="dxa"/>
            <w:left w:w="108" w:type="dxa"/>
            <w:bottom w:w="0" w:type="dxa"/>
            <w:right w:w="108" w:type="dxa"/>
          </w:tblCellMar>
        </w:tblPrEx>
        <w:trPr>
          <w:trHeight w:val="420" w:hRule="atLeast"/>
          <w:jc w:val="center"/>
        </w:trPr>
        <w:tc>
          <w:tcPr>
            <w:tcW w:w="1762" w:type="dxa"/>
            <w:vMerge w:val="restart"/>
            <w:tcBorders>
              <w:top w:val="nil"/>
              <w:left w:val="single" w:color="auto" w:sz="4" w:space="0"/>
              <w:right w:val="single" w:color="auto" w:sz="8" w:space="0"/>
            </w:tcBorders>
            <w:noWrap w:val="0"/>
            <w:vAlign w:val="center"/>
          </w:tcPr>
          <w:p w14:paraId="4AD07A89">
            <w:pPr>
              <w:pStyle w:val="246"/>
              <w:keepNext w:val="0"/>
              <w:keepLines w:val="0"/>
              <w:pageBreakBefore w:val="0"/>
              <w:kinsoku/>
              <w:wordWrap/>
              <w:overflowPunct/>
              <w:topLinePunct w:val="0"/>
              <w:autoSpaceDE/>
              <w:autoSpaceDN/>
              <w:bidi w:val="0"/>
              <w:snapToGrid/>
              <w:spacing w:line="312" w:lineRule="auto"/>
              <w:ind w:firstLine="0" w:firstLineChars="0"/>
              <w:jc w:val="both"/>
              <w:outlineLvl w:val="9"/>
              <w:rPr>
                <w:rFonts w:hint="eastAsia" w:ascii="宋体" w:hAnsi="宋体" w:eastAsia="宋体" w:cs="宋体"/>
                <w:b/>
                <w:bCs/>
                <w:color w:val="auto"/>
                <w:kern w:val="0"/>
                <w:sz w:val="21"/>
                <w:szCs w:val="21"/>
                <w:lang w:val="en-US" w:eastAsia="zh-CN"/>
              </w:rPr>
            </w:pPr>
            <w:r>
              <w:rPr>
                <w:rFonts w:hint="eastAsia" w:ascii="宋体" w:hAnsi="宋体" w:eastAsia="宋体" w:cs="宋体"/>
                <w:b/>
                <w:bCs/>
                <w:color w:val="auto"/>
                <w:kern w:val="0"/>
                <w:sz w:val="21"/>
                <w:szCs w:val="21"/>
                <w:lang w:val="en-US" w:eastAsia="zh-CN"/>
              </w:rPr>
              <w:t>5.</w:t>
            </w:r>
            <w:r>
              <w:rPr>
                <w:rFonts w:hint="eastAsia" w:ascii="宋体" w:hAnsi="宋体" w:eastAsia="宋体" w:cs="宋体"/>
                <w:b/>
                <w:bCs/>
                <w:color w:val="auto"/>
                <w:sz w:val="21"/>
                <w:szCs w:val="21"/>
              </w:rPr>
              <w:t>标本打包</w:t>
            </w:r>
          </w:p>
        </w:tc>
        <w:tc>
          <w:tcPr>
            <w:tcW w:w="944" w:type="dxa"/>
            <w:tcBorders>
              <w:top w:val="nil"/>
              <w:left w:val="nil"/>
              <w:bottom w:val="single" w:color="auto" w:sz="8" w:space="0"/>
              <w:right w:val="single" w:color="auto" w:sz="8" w:space="0"/>
            </w:tcBorders>
            <w:noWrap w:val="0"/>
            <w:vAlign w:val="center"/>
          </w:tcPr>
          <w:p w14:paraId="5EFCD6BD">
            <w:pPr>
              <w:keepNext w:val="0"/>
              <w:keepLines w:val="0"/>
              <w:pageBreakBefore w:val="0"/>
              <w:widowControl/>
              <w:kinsoku/>
              <w:wordWrap/>
              <w:overflowPunct/>
              <w:topLinePunct w:val="0"/>
              <w:autoSpaceDE/>
              <w:autoSpaceDN/>
              <w:bidi w:val="0"/>
              <w:snapToGrid/>
              <w:spacing w:line="312" w:lineRule="auto"/>
              <w:jc w:val="both"/>
              <w:rPr>
                <w:rFonts w:hint="default" w:ascii="宋体" w:hAnsi="宋体" w:eastAsia="宋体" w:cs="宋体"/>
                <w:color w:val="auto"/>
                <w:kern w:val="0"/>
                <w:szCs w:val="21"/>
                <w:lang w:val="en-US" w:eastAsia="zh-CN"/>
              </w:rPr>
            </w:pPr>
            <w:r>
              <w:rPr>
                <w:rFonts w:hint="eastAsia" w:ascii="宋体" w:hAnsi="宋体" w:cs="宋体"/>
                <w:color w:val="auto"/>
                <w:kern w:val="0"/>
                <w:szCs w:val="21"/>
                <w:lang w:val="en-US" w:eastAsia="zh-CN"/>
              </w:rPr>
              <w:t>5.1</w:t>
            </w:r>
          </w:p>
        </w:tc>
        <w:tc>
          <w:tcPr>
            <w:tcW w:w="7153" w:type="dxa"/>
            <w:tcBorders>
              <w:top w:val="nil"/>
              <w:left w:val="nil"/>
              <w:bottom w:val="single" w:color="auto" w:sz="8" w:space="0"/>
              <w:right w:val="single" w:color="auto" w:sz="8" w:space="0"/>
            </w:tcBorders>
            <w:noWrap w:val="0"/>
            <w:vAlign w:val="center"/>
          </w:tcPr>
          <w:p w14:paraId="55D1C1DC">
            <w:pPr>
              <w:keepNext w:val="0"/>
              <w:keepLines w:val="0"/>
              <w:pageBreakBefore w:val="0"/>
              <w:widowControl/>
              <w:kinsoku/>
              <w:wordWrap/>
              <w:overflowPunct/>
              <w:topLinePunct w:val="0"/>
              <w:autoSpaceDE/>
              <w:autoSpaceDN/>
              <w:bidi w:val="0"/>
              <w:snapToGrid/>
              <w:spacing w:line="312" w:lineRule="auto"/>
              <w:jc w:val="both"/>
              <w:rPr>
                <w:rFonts w:ascii="宋体" w:hAnsi="宋体" w:cs="宋体"/>
                <w:color w:val="FF0000"/>
                <w:kern w:val="0"/>
                <w:szCs w:val="21"/>
              </w:rPr>
            </w:pPr>
            <w:r>
              <w:rPr>
                <w:rFonts w:hint="eastAsia" w:ascii="宋体" w:hAnsi="宋体" w:eastAsia="宋体" w:cs="宋体"/>
                <w:sz w:val="21"/>
                <w:szCs w:val="21"/>
              </w:rPr>
              <w:t>可查看已打包和未打包信息，并提供多条件联合查询</w:t>
            </w:r>
            <w:r>
              <w:rPr>
                <w:rFonts w:hint="eastAsia" w:ascii="宋体" w:hAnsi="宋体" w:eastAsia="宋体" w:cs="宋体"/>
                <w:sz w:val="21"/>
                <w:szCs w:val="21"/>
                <w:lang w:eastAsia="zh-CN"/>
              </w:rPr>
              <w:t>；</w:t>
            </w:r>
          </w:p>
        </w:tc>
      </w:tr>
      <w:tr w14:paraId="4E63D936">
        <w:tblPrEx>
          <w:tblCellMar>
            <w:top w:w="0" w:type="dxa"/>
            <w:left w:w="108" w:type="dxa"/>
            <w:bottom w:w="0" w:type="dxa"/>
            <w:right w:w="108" w:type="dxa"/>
          </w:tblCellMar>
        </w:tblPrEx>
        <w:trPr>
          <w:trHeight w:val="420" w:hRule="atLeast"/>
          <w:jc w:val="center"/>
        </w:trPr>
        <w:tc>
          <w:tcPr>
            <w:tcW w:w="1762" w:type="dxa"/>
            <w:vMerge w:val="continue"/>
            <w:tcBorders>
              <w:left w:val="single" w:color="auto" w:sz="4" w:space="0"/>
              <w:right w:val="single" w:color="auto" w:sz="8" w:space="0"/>
            </w:tcBorders>
            <w:noWrap w:val="0"/>
            <w:vAlign w:val="center"/>
          </w:tcPr>
          <w:p w14:paraId="4127D4D4">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b/>
                <w:bCs/>
                <w:color w:val="auto"/>
                <w:kern w:val="0"/>
                <w:sz w:val="21"/>
                <w:szCs w:val="21"/>
              </w:rPr>
            </w:pPr>
          </w:p>
        </w:tc>
        <w:tc>
          <w:tcPr>
            <w:tcW w:w="944" w:type="dxa"/>
            <w:tcBorders>
              <w:top w:val="nil"/>
              <w:left w:val="nil"/>
              <w:bottom w:val="single" w:color="auto" w:sz="8" w:space="0"/>
              <w:right w:val="single" w:color="auto" w:sz="8" w:space="0"/>
            </w:tcBorders>
            <w:noWrap w:val="0"/>
            <w:vAlign w:val="center"/>
          </w:tcPr>
          <w:p w14:paraId="56EA0ABA">
            <w:pPr>
              <w:keepNext w:val="0"/>
              <w:keepLines w:val="0"/>
              <w:pageBreakBefore w:val="0"/>
              <w:widowControl/>
              <w:kinsoku/>
              <w:wordWrap/>
              <w:overflowPunct/>
              <w:topLinePunct w:val="0"/>
              <w:autoSpaceDE/>
              <w:autoSpaceDN/>
              <w:bidi w:val="0"/>
              <w:snapToGrid/>
              <w:spacing w:line="312" w:lineRule="auto"/>
              <w:jc w:val="both"/>
              <w:rPr>
                <w:rFonts w:hint="default" w:ascii="宋体" w:hAnsi="宋体" w:eastAsia="宋体" w:cs="宋体"/>
                <w:color w:val="auto"/>
                <w:kern w:val="0"/>
                <w:szCs w:val="21"/>
                <w:lang w:val="en-US" w:eastAsia="zh-CN"/>
              </w:rPr>
            </w:pPr>
            <w:r>
              <w:rPr>
                <w:rFonts w:hint="eastAsia" w:ascii="宋体" w:hAnsi="宋体" w:cs="宋体"/>
                <w:color w:val="auto"/>
                <w:kern w:val="0"/>
                <w:szCs w:val="21"/>
                <w:lang w:val="en-US" w:eastAsia="zh-CN"/>
              </w:rPr>
              <w:t>5.2</w:t>
            </w:r>
          </w:p>
        </w:tc>
        <w:tc>
          <w:tcPr>
            <w:tcW w:w="7153" w:type="dxa"/>
            <w:tcBorders>
              <w:top w:val="nil"/>
              <w:left w:val="nil"/>
              <w:bottom w:val="single" w:color="auto" w:sz="8" w:space="0"/>
              <w:right w:val="single" w:color="auto" w:sz="8" w:space="0"/>
            </w:tcBorders>
            <w:noWrap w:val="0"/>
            <w:vAlign w:val="center"/>
          </w:tcPr>
          <w:p w14:paraId="42A0F3A3">
            <w:pPr>
              <w:keepNext w:val="0"/>
              <w:keepLines w:val="0"/>
              <w:pageBreakBefore w:val="0"/>
              <w:widowControl/>
              <w:kinsoku/>
              <w:wordWrap/>
              <w:overflowPunct/>
              <w:topLinePunct w:val="0"/>
              <w:autoSpaceDE/>
              <w:autoSpaceDN/>
              <w:bidi w:val="0"/>
              <w:snapToGrid/>
              <w:spacing w:line="312" w:lineRule="auto"/>
              <w:jc w:val="both"/>
              <w:rPr>
                <w:rFonts w:ascii="宋体" w:hAnsi="宋体" w:cs="宋体"/>
                <w:color w:val="FF0000"/>
                <w:kern w:val="0"/>
                <w:szCs w:val="21"/>
              </w:rPr>
            </w:pPr>
            <w:r>
              <w:rPr>
                <w:rFonts w:hint="eastAsia" w:ascii="宋体" w:hAnsi="宋体" w:eastAsia="宋体" w:cs="宋体"/>
                <w:sz w:val="21"/>
                <w:szCs w:val="21"/>
                <w:lang w:val="en-US" w:eastAsia="zh-CN"/>
              </w:rPr>
              <w:t>支持通过扫描住院号获取打包标本的对应信息</w:t>
            </w:r>
            <w:r>
              <w:rPr>
                <w:rFonts w:hint="eastAsia" w:ascii="宋体" w:hAnsi="宋体" w:eastAsia="宋体" w:cs="宋体"/>
                <w:sz w:val="21"/>
                <w:szCs w:val="21"/>
                <w:lang w:eastAsia="zh-CN"/>
              </w:rPr>
              <w:t>；</w:t>
            </w:r>
          </w:p>
        </w:tc>
      </w:tr>
      <w:tr w14:paraId="243A7042">
        <w:tblPrEx>
          <w:tblCellMar>
            <w:top w:w="0" w:type="dxa"/>
            <w:left w:w="108" w:type="dxa"/>
            <w:bottom w:w="0" w:type="dxa"/>
            <w:right w:w="108" w:type="dxa"/>
          </w:tblCellMar>
        </w:tblPrEx>
        <w:trPr>
          <w:trHeight w:val="420" w:hRule="atLeast"/>
          <w:jc w:val="center"/>
        </w:trPr>
        <w:tc>
          <w:tcPr>
            <w:tcW w:w="1762" w:type="dxa"/>
            <w:vMerge w:val="continue"/>
            <w:tcBorders>
              <w:left w:val="single" w:color="auto" w:sz="4" w:space="0"/>
              <w:right w:val="single" w:color="auto" w:sz="8" w:space="0"/>
            </w:tcBorders>
            <w:noWrap w:val="0"/>
            <w:vAlign w:val="center"/>
          </w:tcPr>
          <w:p w14:paraId="29E957A3">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b/>
                <w:bCs/>
                <w:color w:val="auto"/>
                <w:kern w:val="0"/>
                <w:sz w:val="21"/>
                <w:szCs w:val="21"/>
              </w:rPr>
            </w:pPr>
          </w:p>
        </w:tc>
        <w:tc>
          <w:tcPr>
            <w:tcW w:w="944" w:type="dxa"/>
            <w:tcBorders>
              <w:top w:val="nil"/>
              <w:left w:val="nil"/>
              <w:bottom w:val="single" w:color="auto" w:sz="8" w:space="0"/>
              <w:right w:val="single" w:color="auto" w:sz="8" w:space="0"/>
            </w:tcBorders>
            <w:noWrap w:val="0"/>
            <w:vAlign w:val="center"/>
          </w:tcPr>
          <w:p w14:paraId="59199BA5">
            <w:pPr>
              <w:keepNext w:val="0"/>
              <w:keepLines w:val="0"/>
              <w:pageBreakBefore w:val="0"/>
              <w:widowControl/>
              <w:kinsoku/>
              <w:wordWrap/>
              <w:overflowPunct/>
              <w:topLinePunct w:val="0"/>
              <w:autoSpaceDE/>
              <w:autoSpaceDN/>
              <w:bidi w:val="0"/>
              <w:snapToGrid/>
              <w:spacing w:line="312" w:lineRule="auto"/>
              <w:jc w:val="both"/>
              <w:rPr>
                <w:rFonts w:hint="default" w:ascii="宋体" w:hAnsi="宋体" w:eastAsia="宋体" w:cs="宋体"/>
                <w:color w:val="auto"/>
                <w:kern w:val="0"/>
                <w:szCs w:val="21"/>
                <w:lang w:val="en-US" w:eastAsia="zh-CN"/>
              </w:rPr>
            </w:pPr>
            <w:r>
              <w:rPr>
                <w:rFonts w:hint="eastAsia" w:ascii="宋体" w:hAnsi="宋体" w:cs="宋体"/>
                <w:color w:val="auto"/>
                <w:kern w:val="0"/>
                <w:szCs w:val="21"/>
                <w:lang w:val="en-US" w:eastAsia="zh-CN"/>
              </w:rPr>
              <w:t>5.3</w:t>
            </w:r>
          </w:p>
        </w:tc>
        <w:tc>
          <w:tcPr>
            <w:tcW w:w="7153" w:type="dxa"/>
            <w:tcBorders>
              <w:top w:val="nil"/>
              <w:left w:val="nil"/>
              <w:bottom w:val="single" w:color="auto" w:sz="8" w:space="0"/>
              <w:right w:val="single" w:color="auto" w:sz="8" w:space="0"/>
            </w:tcBorders>
            <w:noWrap w:val="0"/>
            <w:vAlign w:val="center"/>
          </w:tcPr>
          <w:p w14:paraId="4C266BAA">
            <w:pPr>
              <w:keepNext w:val="0"/>
              <w:keepLines w:val="0"/>
              <w:pageBreakBefore w:val="0"/>
              <w:widowControl/>
              <w:kinsoku/>
              <w:wordWrap/>
              <w:overflowPunct/>
              <w:topLinePunct w:val="0"/>
              <w:autoSpaceDE/>
              <w:autoSpaceDN/>
              <w:bidi w:val="0"/>
              <w:snapToGrid/>
              <w:spacing w:line="312" w:lineRule="auto"/>
              <w:jc w:val="both"/>
              <w:rPr>
                <w:rFonts w:ascii="宋体" w:hAnsi="宋体" w:cs="宋体"/>
                <w:color w:val="FF0000"/>
                <w:kern w:val="0"/>
                <w:szCs w:val="21"/>
              </w:rPr>
            </w:pPr>
            <w:r>
              <w:rPr>
                <w:rFonts w:hint="eastAsia" w:ascii="宋体" w:hAnsi="宋体" w:eastAsia="宋体" w:cs="宋体"/>
                <w:sz w:val="21"/>
                <w:szCs w:val="21"/>
                <w:lang w:val="en-US" w:eastAsia="zh-CN"/>
              </w:rPr>
              <w:t>支持通过扫描门诊号获取打包标本对应信息</w:t>
            </w:r>
            <w:r>
              <w:rPr>
                <w:rFonts w:hint="eastAsia" w:ascii="宋体" w:hAnsi="宋体" w:eastAsia="宋体" w:cs="宋体"/>
                <w:sz w:val="21"/>
                <w:szCs w:val="21"/>
                <w:lang w:eastAsia="zh-CN"/>
              </w:rPr>
              <w:t>；</w:t>
            </w:r>
          </w:p>
        </w:tc>
      </w:tr>
      <w:tr w14:paraId="72CA8BA8">
        <w:tblPrEx>
          <w:tblCellMar>
            <w:top w:w="0" w:type="dxa"/>
            <w:left w:w="108" w:type="dxa"/>
            <w:bottom w:w="0" w:type="dxa"/>
            <w:right w:w="108" w:type="dxa"/>
          </w:tblCellMar>
        </w:tblPrEx>
        <w:trPr>
          <w:trHeight w:val="420" w:hRule="atLeast"/>
          <w:jc w:val="center"/>
        </w:trPr>
        <w:tc>
          <w:tcPr>
            <w:tcW w:w="1762" w:type="dxa"/>
            <w:vMerge w:val="continue"/>
            <w:tcBorders>
              <w:left w:val="single" w:color="auto" w:sz="4" w:space="0"/>
              <w:right w:val="single" w:color="auto" w:sz="8" w:space="0"/>
            </w:tcBorders>
            <w:noWrap w:val="0"/>
            <w:vAlign w:val="center"/>
          </w:tcPr>
          <w:p w14:paraId="021C34DA">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b/>
                <w:bCs/>
                <w:color w:val="auto"/>
                <w:kern w:val="0"/>
                <w:sz w:val="21"/>
                <w:szCs w:val="21"/>
              </w:rPr>
            </w:pPr>
          </w:p>
        </w:tc>
        <w:tc>
          <w:tcPr>
            <w:tcW w:w="944" w:type="dxa"/>
            <w:tcBorders>
              <w:top w:val="nil"/>
              <w:left w:val="nil"/>
              <w:bottom w:val="single" w:color="auto" w:sz="8" w:space="0"/>
              <w:right w:val="single" w:color="auto" w:sz="8" w:space="0"/>
            </w:tcBorders>
            <w:noWrap w:val="0"/>
            <w:vAlign w:val="center"/>
          </w:tcPr>
          <w:p w14:paraId="26900C8B">
            <w:pPr>
              <w:keepNext w:val="0"/>
              <w:keepLines w:val="0"/>
              <w:pageBreakBefore w:val="0"/>
              <w:widowControl/>
              <w:kinsoku/>
              <w:wordWrap/>
              <w:overflowPunct/>
              <w:topLinePunct w:val="0"/>
              <w:autoSpaceDE/>
              <w:autoSpaceDN/>
              <w:bidi w:val="0"/>
              <w:snapToGrid/>
              <w:spacing w:line="312" w:lineRule="auto"/>
              <w:jc w:val="both"/>
              <w:rPr>
                <w:rFonts w:hint="default" w:ascii="宋体" w:hAnsi="宋体" w:eastAsia="宋体" w:cs="宋体"/>
                <w:color w:val="auto"/>
                <w:kern w:val="0"/>
                <w:szCs w:val="21"/>
                <w:lang w:val="en-US" w:eastAsia="zh-CN"/>
              </w:rPr>
            </w:pPr>
            <w:r>
              <w:rPr>
                <w:rFonts w:hint="eastAsia" w:ascii="宋体" w:hAnsi="宋体" w:cs="宋体"/>
                <w:color w:val="auto"/>
                <w:kern w:val="0"/>
                <w:szCs w:val="21"/>
                <w:lang w:val="en-US" w:eastAsia="zh-CN"/>
              </w:rPr>
              <w:t>5.4</w:t>
            </w:r>
          </w:p>
        </w:tc>
        <w:tc>
          <w:tcPr>
            <w:tcW w:w="7153" w:type="dxa"/>
            <w:tcBorders>
              <w:top w:val="nil"/>
              <w:left w:val="nil"/>
              <w:bottom w:val="single" w:color="auto" w:sz="8" w:space="0"/>
              <w:right w:val="single" w:color="auto" w:sz="8" w:space="0"/>
            </w:tcBorders>
            <w:noWrap w:val="0"/>
            <w:vAlign w:val="center"/>
          </w:tcPr>
          <w:p w14:paraId="006D2BA0">
            <w:pPr>
              <w:keepNext w:val="0"/>
              <w:keepLines w:val="0"/>
              <w:pageBreakBefore w:val="0"/>
              <w:widowControl/>
              <w:kinsoku/>
              <w:wordWrap/>
              <w:overflowPunct/>
              <w:topLinePunct w:val="0"/>
              <w:autoSpaceDE/>
              <w:autoSpaceDN/>
              <w:bidi w:val="0"/>
              <w:snapToGrid/>
              <w:spacing w:line="312" w:lineRule="auto"/>
              <w:jc w:val="both"/>
              <w:rPr>
                <w:rFonts w:ascii="宋体" w:hAnsi="宋体" w:cs="宋体"/>
                <w:color w:val="FF0000"/>
                <w:kern w:val="0"/>
                <w:szCs w:val="21"/>
              </w:rPr>
            </w:pPr>
            <w:r>
              <w:rPr>
                <w:rFonts w:hint="eastAsia" w:ascii="宋体" w:hAnsi="宋体" w:eastAsia="宋体" w:cs="宋体"/>
                <w:sz w:val="21"/>
                <w:szCs w:val="21"/>
                <w:lang w:val="en-US" w:eastAsia="zh-CN"/>
              </w:rPr>
              <w:t>支持通过扫描标本号获取打包标本信息</w:t>
            </w:r>
            <w:r>
              <w:rPr>
                <w:rFonts w:hint="eastAsia" w:ascii="宋体" w:hAnsi="宋体" w:eastAsia="宋体" w:cs="宋体"/>
                <w:sz w:val="21"/>
                <w:szCs w:val="21"/>
                <w:lang w:eastAsia="zh-CN"/>
              </w:rPr>
              <w:t>；</w:t>
            </w:r>
          </w:p>
        </w:tc>
      </w:tr>
      <w:tr w14:paraId="56D0E51A">
        <w:tblPrEx>
          <w:tblCellMar>
            <w:top w:w="0" w:type="dxa"/>
            <w:left w:w="108" w:type="dxa"/>
            <w:bottom w:w="0" w:type="dxa"/>
            <w:right w:w="108" w:type="dxa"/>
          </w:tblCellMar>
        </w:tblPrEx>
        <w:trPr>
          <w:trHeight w:val="820" w:hRule="atLeast"/>
          <w:jc w:val="center"/>
        </w:trPr>
        <w:tc>
          <w:tcPr>
            <w:tcW w:w="1762" w:type="dxa"/>
            <w:vMerge w:val="continue"/>
            <w:tcBorders>
              <w:left w:val="single" w:color="auto" w:sz="4" w:space="0"/>
              <w:right w:val="single" w:color="auto" w:sz="8" w:space="0"/>
            </w:tcBorders>
            <w:noWrap w:val="0"/>
            <w:vAlign w:val="center"/>
          </w:tcPr>
          <w:p w14:paraId="6A353325">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b/>
                <w:bCs/>
                <w:color w:val="auto"/>
                <w:kern w:val="0"/>
                <w:sz w:val="21"/>
                <w:szCs w:val="21"/>
              </w:rPr>
            </w:pPr>
          </w:p>
        </w:tc>
        <w:tc>
          <w:tcPr>
            <w:tcW w:w="944" w:type="dxa"/>
            <w:tcBorders>
              <w:top w:val="nil"/>
              <w:left w:val="nil"/>
              <w:bottom w:val="single" w:color="auto" w:sz="8" w:space="0"/>
              <w:right w:val="single" w:color="auto" w:sz="8" w:space="0"/>
            </w:tcBorders>
            <w:noWrap w:val="0"/>
            <w:vAlign w:val="center"/>
          </w:tcPr>
          <w:p w14:paraId="754F555B">
            <w:pPr>
              <w:keepNext w:val="0"/>
              <w:keepLines w:val="0"/>
              <w:pageBreakBefore w:val="0"/>
              <w:widowControl/>
              <w:kinsoku/>
              <w:wordWrap/>
              <w:overflowPunct/>
              <w:topLinePunct w:val="0"/>
              <w:autoSpaceDE/>
              <w:autoSpaceDN/>
              <w:bidi w:val="0"/>
              <w:snapToGrid/>
              <w:spacing w:line="312" w:lineRule="auto"/>
              <w:jc w:val="both"/>
              <w:rPr>
                <w:rFonts w:hint="default" w:ascii="宋体" w:hAnsi="宋体" w:eastAsia="宋体" w:cs="宋体"/>
                <w:color w:val="auto"/>
                <w:kern w:val="0"/>
                <w:szCs w:val="21"/>
                <w:lang w:val="en-US" w:eastAsia="zh-CN"/>
              </w:rPr>
            </w:pPr>
            <w:r>
              <w:rPr>
                <w:rFonts w:hint="eastAsia" w:ascii="宋体" w:hAnsi="宋体" w:cs="宋体"/>
                <w:color w:val="auto"/>
                <w:kern w:val="0"/>
                <w:szCs w:val="21"/>
                <w:lang w:val="en-US" w:eastAsia="zh-CN"/>
              </w:rPr>
              <w:t>5.5</w:t>
            </w:r>
          </w:p>
        </w:tc>
        <w:tc>
          <w:tcPr>
            <w:tcW w:w="7153" w:type="dxa"/>
            <w:tcBorders>
              <w:top w:val="nil"/>
              <w:left w:val="nil"/>
              <w:bottom w:val="single" w:color="auto" w:sz="8" w:space="0"/>
              <w:right w:val="single" w:color="auto" w:sz="8" w:space="0"/>
            </w:tcBorders>
            <w:noWrap w:val="0"/>
            <w:vAlign w:val="center"/>
          </w:tcPr>
          <w:p w14:paraId="7F4447C1">
            <w:pPr>
              <w:keepNext w:val="0"/>
              <w:keepLines w:val="0"/>
              <w:pageBreakBefore w:val="0"/>
              <w:kinsoku/>
              <w:wordWrap/>
              <w:overflowPunct/>
              <w:topLinePunct w:val="0"/>
              <w:autoSpaceDE/>
              <w:autoSpaceDN/>
              <w:bidi w:val="0"/>
              <w:snapToGrid/>
              <w:spacing w:line="312" w:lineRule="auto"/>
              <w:jc w:val="both"/>
              <w:rPr>
                <w:rFonts w:ascii="宋体" w:hAnsi="宋体" w:cs="宋体"/>
                <w:color w:val="FF0000"/>
                <w:kern w:val="0"/>
                <w:szCs w:val="21"/>
              </w:rPr>
            </w:pPr>
            <w:r>
              <w:rPr>
                <w:rFonts w:hint="eastAsia" w:ascii="宋体" w:hAnsi="宋体" w:eastAsia="宋体" w:cs="宋体"/>
                <w:sz w:val="21"/>
                <w:szCs w:val="21"/>
              </w:rPr>
              <w:t>支持打包标本完整性校验机制，如果缺少标本或者少扫描标本，将不能通过打包</w:t>
            </w:r>
            <w:r>
              <w:rPr>
                <w:rFonts w:hint="eastAsia" w:ascii="宋体" w:hAnsi="宋体" w:eastAsia="宋体" w:cs="宋体"/>
                <w:sz w:val="21"/>
                <w:szCs w:val="21"/>
                <w:lang w:eastAsia="zh-CN"/>
              </w:rPr>
              <w:t>；</w:t>
            </w:r>
          </w:p>
        </w:tc>
      </w:tr>
      <w:tr w14:paraId="545FEFBD">
        <w:tblPrEx>
          <w:tblCellMar>
            <w:top w:w="0" w:type="dxa"/>
            <w:left w:w="108" w:type="dxa"/>
            <w:bottom w:w="0" w:type="dxa"/>
            <w:right w:w="108" w:type="dxa"/>
          </w:tblCellMar>
        </w:tblPrEx>
        <w:trPr>
          <w:trHeight w:val="420" w:hRule="atLeast"/>
          <w:jc w:val="center"/>
        </w:trPr>
        <w:tc>
          <w:tcPr>
            <w:tcW w:w="1762" w:type="dxa"/>
            <w:vMerge w:val="continue"/>
            <w:tcBorders>
              <w:left w:val="single" w:color="auto" w:sz="4" w:space="0"/>
              <w:right w:val="single" w:color="auto" w:sz="8" w:space="0"/>
            </w:tcBorders>
            <w:noWrap w:val="0"/>
            <w:vAlign w:val="center"/>
          </w:tcPr>
          <w:p w14:paraId="19D1E1CF">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b/>
                <w:bCs/>
                <w:color w:val="auto"/>
                <w:kern w:val="0"/>
                <w:sz w:val="21"/>
                <w:szCs w:val="21"/>
              </w:rPr>
            </w:pPr>
          </w:p>
        </w:tc>
        <w:tc>
          <w:tcPr>
            <w:tcW w:w="944" w:type="dxa"/>
            <w:tcBorders>
              <w:top w:val="nil"/>
              <w:left w:val="nil"/>
              <w:bottom w:val="single" w:color="auto" w:sz="8" w:space="0"/>
              <w:right w:val="single" w:color="auto" w:sz="8" w:space="0"/>
            </w:tcBorders>
            <w:noWrap w:val="0"/>
            <w:vAlign w:val="center"/>
          </w:tcPr>
          <w:p w14:paraId="02D33318">
            <w:pPr>
              <w:keepNext w:val="0"/>
              <w:keepLines w:val="0"/>
              <w:pageBreakBefore w:val="0"/>
              <w:widowControl/>
              <w:kinsoku/>
              <w:wordWrap/>
              <w:overflowPunct/>
              <w:topLinePunct w:val="0"/>
              <w:autoSpaceDE/>
              <w:autoSpaceDN/>
              <w:bidi w:val="0"/>
              <w:snapToGrid/>
              <w:spacing w:line="312" w:lineRule="auto"/>
              <w:jc w:val="both"/>
              <w:rPr>
                <w:rFonts w:hint="default" w:ascii="宋体" w:hAnsi="宋体" w:eastAsia="宋体" w:cs="宋体"/>
                <w:color w:val="auto"/>
                <w:kern w:val="0"/>
                <w:szCs w:val="21"/>
                <w:lang w:val="en-US" w:eastAsia="zh-CN"/>
              </w:rPr>
            </w:pPr>
            <w:r>
              <w:rPr>
                <w:rFonts w:hint="eastAsia" w:ascii="宋体" w:hAnsi="宋体" w:cs="宋体"/>
                <w:color w:val="auto"/>
                <w:kern w:val="0"/>
                <w:szCs w:val="21"/>
                <w:lang w:val="en-US" w:eastAsia="zh-CN"/>
              </w:rPr>
              <w:t>5.6</w:t>
            </w:r>
          </w:p>
        </w:tc>
        <w:tc>
          <w:tcPr>
            <w:tcW w:w="7153" w:type="dxa"/>
            <w:tcBorders>
              <w:top w:val="nil"/>
              <w:left w:val="nil"/>
              <w:bottom w:val="single" w:color="auto" w:sz="8" w:space="0"/>
              <w:right w:val="single" w:color="auto" w:sz="8" w:space="0"/>
            </w:tcBorders>
            <w:noWrap w:val="0"/>
            <w:vAlign w:val="center"/>
          </w:tcPr>
          <w:p w14:paraId="08964346">
            <w:pPr>
              <w:keepNext w:val="0"/>
              <w:keepLines w:val="0"/>
              <w:pageBreakBefore w:val="0"/>
              <w:widowControl/>
              <w:kinsoku/>
              <w:wordWrap/>
              <w:overflowPunct/>
              <w:topLinePunct w:val="0"/>
              <w:autoSpaceDE/>
              <w:autoSpaceDN/>
              <w:bidi w:val="0"/>
              <w:snapToGrid/>
              <w:spacing w:line="312" w:lineRule="auto"/>
              <w:jc w:val="both"/>
              <w:rPr>
                <w:rFonts w:ascii="宋体" w:hAnsi="宋体" w:cs="宋体"/>
                <w:color w:val="FF0000"/>
                <w:kern w:val="0"/>
                <w:szCs w:val="21"/>
              </w:rPr>
            </w:pPr>
            <w:r>
              <w:rPr>
                <w:rFonts w:hint="eastAsia" w:ascii="宋体" w:hAnsi="宋体" w:eastAsia="宋体" w:cs="宋体"/>
                <w:sz w:val="21"/>
                <w:szCs w:val="21"/>
              </w:rPr>
              <w:t>支持对离体固定时间异常校验机制，对异常信息进行红色显示</w:t>
            </w:r>
            <w:r>
              <w:rPr>
                <w:rFonts w:hint="eastAsia" w:ascii="宋体" w:hAnsi="宋体" w:eastAsia="宋体" w:cs="宋体"/>
                <w:sz w:val="21"/>
                <w:szCs w:val="21"/>
                <w:lang w:eastAsia="zh-CN"/>
              </w:rPr>
              <w:t>；</w:t>
            </w:r>
          </w:p>
        </w:tc>
      </w:tr>
      <w:tr w14:paraId="466A81C1">
        <w:tblPrEx>
          <w:tblCellMar>
            <w:top w:w="0" w:type="dxa"/>
            <w:left w:w="108" w:type="dxa"/>
            <w:bottom w:w="0" w:type="dxa"/>
            <w:right w:w="108" w:type="dxa"/>
          </w:tblCellMar>
        </w:tblPrEx>
        <w:trPr>
          <w:trHeight w:val="420" w:hRule="atLeast"/>
          <w:jc w:val="center"/>
        </w:trPr>
        <w:tc>
          <w:tcPr>
            <w:tcW w:w="1762" w:type="dxa"/>
            <w:vMerge w:val="continue"/>
            <w:tcBorders>
              <w:left w:val="single" w:color="auto" w:sz="4" w:space="0"/>
              <w:bottom w:val="single" w:color="auto" w:sz="4" w:space="0"/>
              <w:right w:val="single" w:color="auto" w:sz="8" w:space="0"/>
            </w:tcBorders>
            <w:noWrap w:val="0"/>
            <w:vAlign w:val="center"/>
          </w:tcPr>
          <w:p w14:paraId="6924853E">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b/>
                <w:bCs/>
                <w:color w:val="auto"/>
                <w:kern w:val="0"/>
                <w:sz w:val="21"/>
                <w:szCs w:val="21"/>
              </w:rPr>
            </w:pPr>
          </w:p>
        </w:tc>
        <w:tc>
          <w:tcPr>
            <w:tcW w:w="944" w:type="dxa"/>
            <w:tcBorders>
              <w:top w:val="nil"/>
              <w:left w:val="nil"/>
              <w:bottom w:val="single" w:color="auto" w:sz="4" w:space="0"/>
              <w:right w:val="single" w:color="auto" w:sz="8" w:space="0"/>
            </w:tcBorders>
            <w:noWrap w:val="0"/>
            <w:vAlign w:val="center"/>
          </w:tcPr>
          <w:p w14:paraId="665A7A9E">
            <w:pPr>
              <w:keepNext w:val="0"/>
              <w:keepLines w:val="0"/>
              <w:pageBreakBefore w:val="0"/>
              <w:widowControl/>
              <w:kinsoku/>
              <w:wordWrap/>
              <w:overflowPunct/>
              <w:topLinePunct w:val="0"/>
              <w:autoSpaceDE/>
              <w:autoSpaceDN/>
              <w:bidi w:val="0"/>
              <w:snapToGrid/>
              <w:spacing w:line="312" w:lineRule="auto"/>
              <w:jc w:val="both"/>
              <w:rPr>
                <w:rFonts w:hint="default" w:ascii="宋体" w:hAnsi="宋体" w:eastAsia="宋体" w:cs="宋体"/>
                <w:color w:val="auto"/>
                <w:kern w:val="0"/>
                <w:szCs w:val="21"/>
                <w:lang w:val="en-US" w:eastAsia="zh-CN"/>
              </w:rPr>
            </w:pPr>
            <w:r>
              <w:rPr>
                <w:rFonts w:hint="eastAsia" w:ascii="宋体" w:hAnsi="宋体" w:cs="宋体"/>
                <w:color w:val="auto"/>
                <w:kern w:val="0"/>
                <w:szCs w:val="21"/>
                <w:lang w:val="en-US" w:eastAsia="zh-CN"/>
              </w:rPr>
              <w:t>5.7</w:t>
            </w:r>
          </w:p>
        </w:tc>
        <w:tc>
          <w:tcPr>
            <w:tcW w:w="7153" w:type="dxa"/>
            <w:tcBorders>
              <w:top w:val="nil"/>
              <w:left w:val="nil"/>
              <w:bottom w:val="single" w:color="auto" w:sz="8" w:space="0"/>
              <w:right w:val="single" w:color="auto" w:sz="8" w:space="0"/>
            </w:tcBorders>
            <w:noWrap w:val="0"/>
            <w:vAlign w:val="center"/>
          </w:tcPr>
          <w:p w14:paraId="406C590A">
            <w:pPr>
              <w:keepNext w:val="0"/>
              <w:keepLines w:val="0"/>
              <w:pageBreakBefore w:val="0"/>
              <w:widowControl/>
              <w:kinsoku/>
              <w:wordWrap/>
              <w:overflowPunct/>
              <w:topLinePunct w:val="0"/>
              <w:autoSpaceDE/>
              <w:autoSpaceDN/>
              <w:bidi w:val="0"/>
              <w:snapToGrid/>
              <w:spacing w:line="312" w:lineRule="auto"/>
              <w:jc w:val="both"/>
              <w:rPr>
                <w:rFonts w:ascii="宋体" w:hAnsi="宋体" w:cs="宋体"/>
                <w:color w:val="FF0000"/>
                <w:kern w:val="0"/>
                <w:szCs w:val="21"/>
              </w:rPr>
            </w:pPr>
            <w:r>
              <w:rPr>
                <w:rFonts w:hint="eastAsia" w:ascii="宋体" w:hAnsi="宋体" w:eastAsia="宋体" w:cs="宋体"/>
                <w:sz w:val="21"/>
                <w:szCs w:val="21"/>
                <w:lang w:val="en-US" w:eastAsia="zh-CN"/>
              </w:rPr>
              <w:t>可</w:t>
            </w:r>
            <w:r>
              <w:rPr>
                <w:rFonts w:hint="eastAsia" w:ascii="宋体" w:hAnsi="宋体" w:eastAsia="宋体" w:cs="宋体"/>
                <w:sz w:val="21"/>
                <w:szCs w:val="21"/>
              </w:rPr>
              <w:t>校验打包标本是否通过标本登记环节</w:t>
            </w:r>
            <w:r>
              <w:rPr>
                <w:rFonts w:hint="eastAsia" w:ascii="宋体" w:hAnsi="宋体" w:eastAsia="宋体" w:cs="宋体"/>
                <w:sz w:val="21"/>
                <w:szCs w:val="21"/>
                <w:lang w:eastAsia="zh-CN"/>
              </w:rPr>
              <w:t>；</w:t>
            </w:r>
          </w:p>
        </w:tc>
      </w:tr>
      <w:tr w14:paraId="1AB5B262">
        <w:tblPrEx>
          <w:tblCellMar>
            <w:top w:w="0" w:type="dxa"/>
            <w:left w:w="108" w:type="dxa"/>
            <w:bottom w:w="0" w:type="dxa"/>
            <w:right w:w="108" w:type="dxa"/>
          </w:tblCellMar>
        </w:tblPrEx>
        <w:trPr>
          <w:trHeight w:val="420" w:hRule="atLeast"/>
          <w:jc w:val="center"/>
        </w:trPr>
        <w:tc>
          <w:tcPr>
            <w:tcW w:w="1762" w:type="dxa"/>
            <w:vMerge w:val="continue"/>
            <w:tcBorders>
              <w:top w:val="single" w:color="auto" w:sz="4" w:space="0"/>
              <w:left w:val="single" w:color="auto" w:sz="4" w:space="0"/>
              <w:bottom w:val="single" w:color="auto" w:sz="4" w:space="0"/>
              <w:right w:val="single" w:color="auto" w:sz="4" w:space="0"/>
            </w:tcBorders>
            <w:noWrap w:val="0"/>
            <w:vAlign w:val="center"/>
          </w:tcPr>
          <w:p w14:paraId="7CF8D703">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b/>
                <w:bCs/>
                <w:color w:val="auto"/>
                <w:kern w:val="0"/>
                <w:sz w:val="21"/>
                <w:szCs w:val="21"/>
              </w:rPr>
            </w:pPr>
          </w:p>
        </w:tc>
        <w:tc>
          <w:tcPr>
            <w:tcW w:w="944" w:type="dxa"/>
            <w:tcBorders>
              <w:top w:val="single" w:color="auto" w:sz="4" w:space="0"/>
              <w:left w:val="single" w:color="auto" w:sz="4" w:space="0"/>
              <w:bottom w:val="single" w:color="auto" w:sz="4" w:space="0"/>
              <w:right w:val="single" w:color="auto" w:sz="4" w:space="0"/>
            </w:tcBorders>
            <w:noWrap w:val="0"/>
            <w:vAlign w:val="center"/>
          </w:tcPr>
          <w:p w14:paraId="72CB0D1B">
            <w:pPr>
              <w:keepNext w:val="0"/>
              <w:keepLines w:val="0"/>
              <w:pageBreakBefore w:val="0"/>
              <w:widowControl/>
              <w:kinsoku/>
              <w:wordWrap/>
              <w:overflowPunct/>
              <w:topLinePunct w:val="0"/>
              <w:autoSpaceDE/>
              <w:autoSpaceDN/>
              <w:bidi w:val="0"/>
              <w:snapToGrid/>
              <w:spacing w:line="312" w:lineRule="auto"/>
              <w:jc w:val="both"/>
              <w:rPr>
                <w:rFonts w:hint="default" w:ascii="宋体" w:hAnsi="宋体" w:eastAsia="宋体" w:cs="宋体"/>
                <w:color w:val="auto"/>
                <w:kern w:val="0"/>
                <w:szCs w:val="21"/>
                <w:lang w:val="en-US" w:eastAsia="zh-CN"/>
              </w:rPr>
            </w:pPr>
            <w:r>
              <w:rPr>
                <w:rFonts w:hint="eastAsia" w:ascii="宋体" w:hAnsi="宋体" w:cs="宋体"/>
                <w:color w:val="auto"/>
                <w:kern w:val="0"/>
                <w:szCs w:val="21"/>
                <w:lang w:val="en-US" w:eastAsia="zh-CN"/>
              </w:rPr>
              <w:t>5.8</w:t>
            </w:r>
          </w:p>
        </w:tc>
        <w:tc>
          <w:tcPr>
            <w:tcW w:w="7153" w:type="dxa"/>
            <w:tcBorders>
              <w:top w:val="nil"/>
              <w:left w:val="single" w:color="auto" w:sz="4" w:space="0"/>
              <w:bottom w:val="single" w:color="auto" w:sz="8" w:space="0"/>
              <w:right w:val="single" w:color="auto" w:sz="8" w:space="0"/>
            </w:tcBorders>
            <w:noWrap w:val="0"/>
            <w:vAlign w:val="center"/>
          </w:tcPr>
          <w:p w14:paraId="1AC11FE2">
            <w:pPr>
              <w:keepNext w:val="0"/>
              <w:keepLines w:val="0"/>
              <w:pageBreakBefore w:val="0"/>
              <w:widowControl/>
              <w:kinsoku/>
              <w:wordWrap/>
              <w:overflowPunct/>
              <w:topLinePunct w:val="0"/>
              <w:autoSpaceDE/>
              <w:autoSpaceDN/>
              <w:bidi w:val="0"/>
              <w:snapToGrid/>
              <w:spacing w:line="312" w:lineRule="auto"/>
              <w:jc w:val="both"/>
              <w:rPr>
                <w:rFonts w:ascii="宋体" w:hAnsi="宋体" w:cs="宋体"/>
                <w:color w:val="FF0000"/>
                <w:kern w:val="0"/>
                <w:szCs w:val="21"/>
              </w:rPr>
            </w:pPr>
            <w:r>
              <w:rPr>
                <w:rFonts w:hint="eastAsia" w:ascii="宋体" w:hAnsi="宋体" w:eastAsia="宋体" w:cs="宋体"/>
                <w:sz w:val="21"/>
                <w:szCs w:val="21"/>
                <w:lang w:val="en-US" w:eastAsia="zh-CN"/>
              </w:rPr>
              <w:t>支持打印包裹标签，支持多人联合打包机制</w:t>
            </w:r>
            <w:r>
              <w:rPr>
                <w:rFonts w:hint="eastAsia" w:ascii="宋体" w:hAnsi="宋体" w:eastAsia="宋体" w:cs="宋体"/>
                <w:sz w:val="21"/>
                <w:szCs w:val="21"/>
                <w:lang w:eastAsia="zh-CN"/>
              </w:rPr>
              <w:t>；</w:t>
            </w:r>
          </w:p>
        </w:tc>
      </w:tr>
      <w:tr w14:paraId="512C8096">
        <w:tblPrEx>
          <w:tblCellMar>
            <w:top w:w="0" w:type="dxa"/>
            <w:left w:w="108" w:type="dxa"/>
            <w:bottom w:w="0" w:type="dxa"/>
            <w:right w:w="108" w:type="dxa"/>
          </w:tblCellMar>
        </w:tblPrEx>
        <w:trPr>
          <w:trHeight w:val="420" w:hRule="atLeast"/>
          <w:jc w:val="center"/>
        </w:trPr>
        <w:tc>
          <w:tcPr>
            <w:tcW w:w="1762" w:type="dxa"/>
            <w:vMerge w:val="restart"/>
            <w:tcBorders>
              <w:top w:val="single" w:color="auto" w:sz="4" w:space="0"/>
              <w:left w:val="single" w:color="auto" w:sz="4" w:space="0"/>
              <w:bottom w:val="single" w:color="auto" w:sz="4" w:space="0"/>
              <w:right w:val="single" w:color="auto" w:sz="4" w:space="0"/>
            </w:tcBorders>
            <w:noWrap w:val="0"/>
            <w:vAlign w:val="center"/>
          </w:tcPr>
          <w:p w14:paraId="384A8ECB">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b/>
                <w:bCs/>
                <w:color w:val="auto"/>
                <w:kern w:val="0"/>
                <w:sz w:val="21"/>
                <w:szCs w:val="21"/>
                <w:lang w:val="en-US" w:eastAsia="zh-CN"/>
              </w:rPr>
            </w:pPr>
            <w:r>
              <w:rPr>
                <w:rFonts w:hint="eastAsia" w:ascii="宋体" w:hAnsi="宋体" w:eastAsia="宋体" w:cs="宋体"/>
                <w:b/>
                <w:bCs/>
                <w:color w:val="auto"/>
                <w:kern w:val="0"/>
                <w:sz w:val="21"/>
                <w:szCs w:val="21"/>
                <w:lang w:val="en-US" w:eastAsia="zh-CN"/>
              </w:rPr>
              <w:t>6.</w:t>
            </w:r>
            <w:r>
              <w:rPr>
                <w:rFonts w:hint="eastAsia" w:ascii="宋体" w:hAnsi="宋体" w:eastAsia="宋体" w:cs="宋体"/>
                <w:b/>
                <w:bCs/>
                <w:color w:val="auto"/>
                <w:sz w:val="21"/>
                <w:szCs w:val="21"/>
              </w:rPr>
              <w:t>物流运送</w:t>
            </w:r>
          </w:p>
        </w:tc>
        <w:tc>
          <w:tcPr>
            <w:tcW w:w="944" w:type="dxa"/>
            <w:tcBorders>
              <w:top w:val="single" w:color="auto" w:sz="4" w:space="0"/>
              <w:left w:val="single" w:color="auto" w:sz="4" w:space="0"/>
              <w:bottom w:val="single" w:color="auto" w:sz="4" w:space="0"/>
              <w:right w:val="single" w:color="auto" w:sz="4" w:space="0"/>
            </w:tcBorders>
            <w:noWrap w:val="0"/>
            <w:vAlign w:val="center"/>
          </w:tcPr>
          <w:p w14:paraId="052691C6">
            <w:pPr>
              <w:keepNext w:val="0"/>
              <w:keepLines w:val="0"/>
              <w:pageBreakBefore w:val="0"/>
              <w:widowControl/>
              <w:kinsoku/>
              <w:wordWrap/>
              <w:overflowPunct/>
              <w:topLinePunct w:val="0"/>
              <w:autoSpaceDE/>
              <w:autoSpaceDN/>
              <w:bidi w:val="0"/>
              <w:snapToGrid/>
              <w:spacing w:line="312" w:lineRule="auto"/>
              <w:jc w:val="both"/>
              <w:rPr>
                <w:rFonts w:hint="default" w:ascii="宋体" w:hAnsi="宋体" w:eastAsia="宋体" w:cs="宋体"/>
                <w:color w:val="auto"/>
                <w:kern w:val="0"/>
                <w:szCs w:val="21"/>
                <w:lang w:val="en-US" w:eastAsia="zh-CN"/>
              </w:rPr>
            </w:pPr>
            <w:r>
              <w:rPr>
                <w:rFonts w:hint="eastAsia" w:ascii="宋体" w:hAnsi="宋体" w:cs="宋体"/>
                <w:color w:val="auto"/>
                <w:kern w:val="0"/>
                <w:szCs w:val="21"/>
                <w:lang w:val="en-US" w:eastAsia="zh-CN"/>
              </w:rPr>
              <w:t>6.1</w:t>
            </w:r>
          </w:p>
        </w:tc>
        <w:tc>
          <w:tcPr>
            <w:tcW w:w="7153" w:type="dxa"/>
            <w:tcBorders>
              <w:top w:val="nil"/>
              <w:left w:val="single" w:color="auto" w:sz="4" w:space="0"/>
              <w:bottom w:val="single" w:color="auto" w:sz="8" w:space="0"/>
              <w:right w:val="single" w:color="auto" w:sz="8" w:space="0"/>
            </w:tcBorders>
            <w:noWrap w:val="0"/>
            <w:vAlign w:val="center"/>
          </w:tcPr>
          <w:p w14:paraId="214C7A6F">
            <w:pPr>
              <w:keepNext w:val="0"/>
              <w:keepLines w:val="0"/>
              <w:pageBreakBefore w:val="0"/>
              <w:kinsoku/>
              <w:wordWrap/>
              <w:overflowPunct/>
              <w:topLinePunct w:val="0"/>
              <w:autoSpaceDE/>
              <w:autoSpaceDN/>
              <w:bidi w:val="0"/>
              <w:snapToGrid/>
              <w:spacing w:line="312" w:lineRule="auto"/>
              <w:jc w:val="both"/>
              <w:rPr>
                <w:rFonts w:hint="eastAsia" w:ascii="宋体" w:hAnsi="宋体" w:eastAsia="宋体" w:cs="宋体"/>
                <w:color w:val="FF0000"/>
                <w:kern w:val="0"/>
                <w:szCs w:val="21"/>
                <w:lang w:eastAsia="zh-CN"/>
              </w:rPr>
            </w:pPr>
            <w:r>
              <w:rPr>
                <w:rFonts w:hint="eastAsia" w:ascii="宋体" w:hAnsi="宋体" w:eastAsia="宋体" w:cs="宋体"/>
                <w:sz w:val="21"/>
                <w:szCs w:val="21"/>
                <w:lang w:val="en-US" w:eastAsia="zh-CN"/>
              </w:rPr>
              <w:t>支持以多条件联合查询打包标本的具体信息</w:t>
            </w:r>
            <w:r>
              <w:rPr>
                <w:rFonts w:hint="eastAsia" w:ascii="宋体" w:hAnsi="宋体" w:eastAsia="宋体" w:cs="宋体"/>
                <w:sz w:val="21"/>
                <w:szCs w:val="21"/>
                <w:lang w:eastAsia="zh-CN"/>
              </w:rPr>
              <w:t>；</w:t>
            </w:r>
          </w:p>
        </w:tc>
      </w:tr>
      <w:tr w14:paraId="3D0B839A">
        <w:tblPrEx>
          <w:tblCellMar>
            <w:top w:w="0" w:type="dxa"/>
            <w:left w:w="108" w:type="dxa"/>
            <w:bottom w:w="0" w:type="dxa"/>
            <w:right w:w="108" w:type="dxa"/>
          </w:tblCellMar>
        </w:tblPrEx>
        <w:trPr>
          <w:trHeight w:val="420" w:hRule="atLeast"/>
          <w:jc w:val="center"/>
        </w:trPr>
        <w:tc>
          <w:tcPr>
            <w:tcW w:w="1762" w:type="dxa"/>
            <w:vMerge w:val="continue"/>
            <w:tcBorders>
              <w:top w:val="single" w:color="auto" w:sz="4" w:space="0"/>
              <w:left w:val="single" w:color="auto" w:sz="4" w:space="0"/>
              <w:right w:val="single" w:color="auto" w:sz="8" w:space="0"/>
            </w:tcBorders>
            <w:noWrap w:val="0"/>
            <w:vAlign w:val="center"/>
          </w:tcPr>
          <w:p w14:paraId="11112C6B">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b/>
                <w:bCs/>
                <w:color w:val="auto"/>
                <w:kern w:val="0"/>
                <w:sz w:val="21"/>
                <w:szCs w:val="21"/>
              </w:rPr>
            </w:pPr>
          </w:p>
        </w:tc>
        <w:tc>
          <w:tcPr>
            <w:tcW w:w="944" w:type="dxa"/>
            <w:tcBorders>
              <w:top w:val="single" w:color="auto" w:sz="4" w:space="0"/>
              <w:left w:val="nil"/>
              <w:bottom w:val="single" w:color="auto" w:sz="8" w:space="0"/>
              <w:right w:val="single" w:color="auto" w:sz="8" w:space="0"/>
            </w:tcBorders>
            <w:noWrap w:val="0"/>
            <w:vAlign w:val="center"/>
          </w:tcPr>
          <w:p w14:paraId="1330C895">
            <w:pPr>
              <w:keepNext w:val="0"/>
              <w:keepLines w:val="0"/>
              <w:pageBreakBefore w:val="0"/>
              <w:widowControl/>
              <w:kinsoku/>
              <w:wordWrap/>
              <w:overflowPunct/>
              <w:topLinePunct w:val="0"/>
              <w:autoSpaceDE/>
              <w:autoSpaceDN/>
              <w:bidi w:val="0"/>
              <w:snapToGrid/>
              <w:spacing w:line="312" w:lineRule="auto"/>
              <w:jc w:val="both"/>
              <w:rPr>
                <w:rFonts w:hint="default" w:ascii="宋体" w:hAnsi="宋体" w:eastAsia="宋体" w:cs="宋体"/>
                <w:color w:val="auto"/>
                <w:kern w:val="0"/>
                <w:szCs w:val="21"/>
                <w:lang w:val="en-US" w:eastAsia="zh-CN"/>
              </w:rPr>
            </w:pPr>
            <w:r>
              <w:rPr>
                <w:rFonts w:hint="eastAsia" w:ascii="宋体" w:hAnsi="宋体" w:cs="宋体"/>
                <w:color w:val="auto"/>
                <w:kern w:val="0"/>
                <w:szCs w:val="21"/>
                <w:lang w:val="en-US" w:eastAsia="zh-CN"/>
              </w:rPr>
              <w:t>6.2</w:t>
            </w:r>
          </w:p>
        </w:tc>
        <w:tc>
          <w:tcPr>
            <w:tcW w:w="7153" w:type="dxa"/>
            <w:tcBorders>
              <w:top w:val="nil"/>
              <w:left w:val="nil"/>
              <w:bottom w:val="single" w:color="auto" w:sz="8" w:space="0"/>
              <w:right w:val="single" w:color="auto" w:sz="8" w:space="0"/>
            </w:tcBorders>
            <w:noWrap w:val="0"/>
            <w:vAlign w:val="center"/>
          </w:tcPr>
          <w:p w14:paraId="3B3FB01F">
            <w:pPr>
              <w:keepNext w:val="0"/>
              <w:keepLines w:val="0"/>
              <w:pageBreakBefore w:val="0"/>
              <w:widowControl/>
              <w:kinsoku/>
              <w:wordWrap/>
              <w:overflowPunct/>
              <w:topLinePunct w:val="0"/>
              <w:autoSpaceDE/>
              <w:autoSpaceDN/>
              <w:bidi w:val="0"/>
              <w:snapToGrid/>
              <w:spacing w:line="312" w:lineRule="auto"/>
              <w:jc w:val="both"/>
              <w:rPr>
                <w:rFonts w:ascii="宋体" w:hAnsi="宋体" w:cs="宋体"/>
                <w:color w:val="FF0000"/>
                <w:kern w:val="0"/>
                <w:szCs w:val="21"/>
              </w:rPr>
            </w:pPr>
            <w:r>
              <w:rPr>
                <w:rFonts w:hint="eastAsia" w:ascii="宋体" w:hAnsi="宋体" w:eastAsia="宋体" w:cs="宋体"/>
                <w:sz w:val="21"/>
                <w:szCs w:val="21"/>
              </w:rPr>
              <w:t>支持查看待运送包裹标本列表</w:t>
            </w:r>
            <w:r>
              <w:rPr>
                <w:rFonts w:hint="eastAsia" w:ascii="宋体" w:hAnsi="宋体" w:eastAsia="宋体" w:cs="宋体"/>
                <w:sz w:val="21"/>
                <w:szCs w:val="21"/>
                <w:lang w:eastAsia="zh-CN"/>
              </w:rPr>
              <w:t>；</w:t>
            </w:r>
          </w:p>
        </w:tc>
      </w:tr>
      <w:tr w14:paraId="3F462213">
        <w:tblPrEx>
          <w:tblCellMar>
            <w:top w:w="0" w:type="dxa"/>
            <w:left w:w="108" w:type="dxa"/>
            <w:bottom w:w="0" w:type="dxa"/>
            <w:right w:w="108" w:type="dxa"/>
          </w:tblCellMar>
        </w:tblPrEx>
        <w:trPr>
          <w:trHeight w:val="820" w:hRule="atLeast"/>
          <w:jc w:val="center"/>
        </w:trPr>
        <w:tc>
          <w:tcPr>
            <w:tcW w:w="1762" w:type="dxa"/>
            <w:vMerge w:val="continue"/>
            <w:tcBorders>
              <w:left w:val="single" w:color="auto" w:sz="4" w:space="0"/>
              <w:right w:val="single" w:color="auto" w:sz="8" w:space="0"/>
            </w:tcBorders>
            <w:noWrap w:val="0"/>
            <w:vAlign w:val="center"/>
          </w:tcPr>
          <w:p w14:paraId="1546D8D2">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b/>
                <w:bCs/>
                <w:color w:val="auto"/>
                <w:kern w:val="0"/>
                <w:sz w:val="21"/>
                <w:szCs w:val="21"/>
              </w:rPr>
            </w:pPr>
          </w:p>
        </w:tc>
        <w:tc>
          <w:tcPr>
            <w:tcW w:w="944" w:type="dxa"/>
            <w:tcBorders>
              <w:top w:val="nil"/>
              <w:left w:val="nil"/>
              <w:bottom w:val="single" w:color="auto" w:sz="8" w:space="0"/>
              <w:right w:val="single" w:color="auto" w:sz="8" w:space="0"/>
            </w:tcBorders>
            <w:noWrap w:val="0"/>
            <w:vAlign w:val="center"/>
          </w:tcPr>
          <w:p w14:paraId="25244257">
            <w:pPr>
              <w:keepNext w:val="0"/>
              <w:keepLines w:val="0"/>
              <w:pageBreakBefore w:val="0"/>
              <w:widowControl/>
              <w:kinsoku/>
              <w:wordWrap/>
              <w:overflowPunct/>
              <w:topLinePunct w:val="0"/>
              <w:autoSpaceDE/>
              <w:autoSpaceDN/>
              <w:bidi w:val="0"/>
              <w:snapToGrid/>
              <w:spacing w:line="312" w:lineRule="auto"/>
              <w:jc w:val="both"/>
              <w:rPr>
                <w:rFonts w:hint="default" w:ascii="宋体" w:hAnsi="宋体" w:eastAsia="宋体" w:cs="宋体"/>
                <w:color w:val="auto"/>
                <w:kern w:val="0"/>
                <w:szCs w:val="21"/>
                <w:lang w:val="en-US" w:eastAsia="zh-CN"/>
              </w:rPr>
            </w:pPr>
            <w:r>
              <w:rPr>
                <w:rFonts w:hint="eastAsia" w:ascii="宋体" w:hAnsi="宋体" w:cs="宋体"/>
                <w:color w:val="auto"/>
                <w:kern w:val="0"/>
                <w:szCs w:val="21"/>
                <w:lang w:val="en-US" w:eastAsia="zh-CN"/>
              </w:rPr>
              <w:t>6.3</w:t>
            </w:r>
          </w:p>
        </w:tc>
        <w:tc>
          <w:tcPr>
            <w:tcW w:w="7153" w:type="dxa"/>
            <w:tcBorders>
              <w:top w:val="nil"/>
              <w:left w:val="nil"/>
              <w:bottom w:val="single" w:color="auto" w:sz="8" w:space="0"/>
              <w:right w:val="single" w:color="auto" w:sz="8" w:space="0"/>
            </w:tcBorders>
            <w:noWrap w:val="0"/>
            <w:vAlign w:val="center"/>
          </w:tcPr>
          <w:p w14:paraId="60A95C90">
            <w:pPr>
              <w:keepNext w:val="0"/>
              <w:keepLines w:val="0"/>
              <w:pageBreakBefore w:val="0"/>
              <w:widowControl/>
              <w:kinsoku/>
              <w:wordWrap/>
              <w:overflowPunct/>
              <w:topLinePunct w:val="0"/>
              <w:autoSpaceDE/>
              <w:autoSpaceDN/>
              <w:bidi w:val="0"/>
              <w:snapToGrid/>
              <w:spacing w:line="312" w:lineRule="auto"/>
              <w:jc w:val="both"/>
              <w:rPr>
                <w:rFonts w:ascii="宋体" w:hAnsi="宋体" w:cs="宋体"/>
                <w:color w:val="FF0000"/>
                <w:kern w:val="0"/>
                <w:szCs w:val="21"/>
              </w:rPr>
            </w:pPr>
            <w:r>
              <w:rPr>
                <w:rFonts w:hint="eastAsia" w:ascii="宋体" w:hAnsi="宋体" w:eastAsia="宋体" w:cs="宋体"/>
                <w:sz w:val="21"/>
                <w:szCs w:val="21"/>
                <w:lang w:val="en-US" w:eastAsia="zh-CN"/>
              </w:rPr>
              <w:t>支持对运送标本完整性进行检查的校验机制，所有标本必须通过一一扫码确认，缺少或少扫将不允许运送</w:t>
            </w:r>
            <w:r>
              <w:rPr>
                <w:rFonts w:hint="eastAsia" w:ascii="宋体" w:hAnsi="宋体" w:eastAsia="宋体" w:cs="宋体"/>
                <w:sz w:val="21"/>
                <w:szCs w:val="21"/>
                <w:lang w:eastAsia="zh-CN"/>
              </w:rPr>
              <w:t>；</w:t>
            </w:r>
          </w:p>
        </w:tc>
      </w:tr>
      <w:tr w14:paraId="2584B310">
        <w:tblPrEx>
          <w:tblCellMar>
            <w:top w:w="0" w:type="dxa"/>
            <w:left w:w="108" w:type="dxa"/>
            <w:bottom w:w="0" w:type="dxa"/>
            <w:right w:w="108" w:type="dxa"/>
          </w:tblCellMar>
        </w:tblPrEx>
        <w:trPr>
          <w:trHeight w:val="820" w:hRule="atLeast"/>
          <w:jc w:val="center"/>
        </w:trPr>
        <w:tc>
          <w:tcPr>
            <w:tcW w:w="1762" w:type="dxa"/>
            <w:vMerge w:val="continue"/>
            <w:tcBorders>
              <w:left w:val="single" w:color="auto" w:sz="4" w:space="0"/>
              <w:right w:val="single" w:color="auto" w:sz="8" w:space="0"/>
            </w:tcBorders>
            <w:noWrap w:val="0"/>
            <w:vAlign w:val="center"/>
          </w:tcPr>
          <w:p w14:paraId="12E63BA1">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b/>
                <w:bCs/>
                <w:color w:val="auto"/>
                <w:kern w:val="0"/>
                <w:sz w:val="21"/>
                <w:szCs w:val="21"/>
              </w:rPr>
            </w:pPr>
          </w:p>
        </w:tc>
        <w:tc>
          <w:tcPr>
            <w:tcW w:w="944" w:type="dxa"/>
            <w:tcBorders>
              <w:top w:val="nil"/>
              <w:left w:val="nil"/>
              <w:bottom w:val="single" w:color="auto" w:sz="8" w:space="0"/>
              <w:right w:val="single" w:color="auto" w:sz="8" w:space="0"/>
            </w:tcBorders>
            <w:noWrap w:val="0"/>
            <w:vAlign w:val="center"/>
          </w:tcPr>
          <w:p w14:paraId="4608533E">
            <w:pPr>
              <w:keepNext w:val="0"/>
              <w:keepLines w:val="0"/>
              <w:pageBreakBefore w:val="0"/>
              <w:widowControl/>
              <w:kinsoku/>
              <w:wordWrap/>
              <w:overflowPunct/>
              <w:topLinePunct w:val="0"/>
              <w:autoSpaceDE/>
              <w:autoSpaceDN/>
              <w:bidi w:val="0"/>
              <w:snapToGrid/>
              <w:spacing w:line="312" w:lineRule="auto"/>
              <w:jc w:val="both"/>
              <w:rPr>
                <w:rFonts w:hint="default" w:ascii="宋体" w:hAnsi="宋体" w:eastAsia="宋体" w:cs="宋体"/>
                <w:color w:val="auto"/>
                <w:kern w:val="0"/>
                <w:szCs w:val="21"/>
                <w:lang w:val="en-US" w:eastAsia="zh-CN"/>
              </w:rPr>
            </w:pPr>
            <w:r>
              <w:rPr>
                <w:rFonts w:hint="eastAsia" w:ascii="宋体" w:hAnsi="宋体" w:cs="宋体"/>
                <w:color w:val="auto"/>
                <w:kern w:val="0"/>
                <w:szCs w:val="21"/>
                <w:lang w:val="en-US" w:eastAsia="zh-CN"/>
              </w:rPr>
              <w:t>6.4</w:t>
            </w:r>
          </w:p>
        </w:tc>
        <w:tc>
          <w:tcPr>
            <w:tcW w:w="7153" w:type="dxa"/>
            <w:tcBorders>
              <w:top w:val="nil"/>
              <w:left w:val="nil"/>
              <w:bottom w:val="single" w:color="auto" w:sz="8" w:space="0"/>
              <w:right w:val="single" w:color="auto" w:sz="8" w:space="0"/>
            </w:tcBorders>
            <w:noWrap w:val="0"/>
            <w:vAlign w:val="center"/>
          </w:tcPr>
          <w:p w14:paraId="08E14B0B">
            <w:pPr>
              <w:keepNext w:val="0"/>
              <w:keepLines w:val="0"/>
              <w:pageBreakBefore w:val="0"/>
              <w:widowControl/>
              <w:kinsoku/>
              <w:wordWrap/>
              <w:overflowPunct/>
              <w:topLinePunct w:val="0"/>
              <w:autoSpaceDE/>
              <w:autoSpaceDN/>
              <w:bidi w:val="0"/>
              <w:snapToGrid/>
              <w:spacing w:line="312" w:lineRule="auto"/>
              <w:jc w:val="both"/>
              <w:rPr>
                <w:rFonts w:ascii="宋体" w:hAnsi="宋体" w:cs="宋体"/>
                <w:color w:val="FF0000"/>
                <w:kern w:val="0"/>
                <w:szCs w:val="21"/>
              </w:rPr>
            </w:pPr>
            <w:r>
              <w:rPr>
                <w:rFonts w:hint="eastAsia" w:ascii="宋体" w:hAnsi="宋体" w:eastAsia="宋体" w:cs="宋体"/>
                <w:sz w:val="21"/>
                <w:szCs w:val="21"/>
                <w:lang w:val="en-US" w:eastAsia="zh-CN"/>
              </w:rPr>
              <w:t>支持对运送标本信息的完整性进行校验，标本信息异常将通过红色备注进行提示</w:t>
            </w:r>
            <w:r>
              <w:rPr>
                <w:rFonts w:hint="eastAsia" w:ascii="宋体" w:hAnsi="宋体" w:eastAsia="宋体" w:cs="宋体"/>
                <w:sz w:val="21"/>
                <w:szCs w:val="21"/>
                <w:lang w:eastAsia="zh-CN"/>
              </w:rPr>
              <w:t>；</w:t>
            </w:r>
          </w:p>
        </w:tc>
      </w:tr>
      <w:tr w14:paraId="4E810245">
        <w:tblPrEx>
          <w:tblCellMar>
            <w:top w:w="0" w:type="dxa"/>
            <w:left w:w="108" w:type="dxa"/>
            <w:bottom w:w="0" w:type="dxa"/>
            <w:right w:w="108" w:type="dxa"/>
          </w:tblCellMar>
        </w:tblPrEx>
        <w:trPr>
          <w:trHeight w:val="820" w:hRule="atLeast"/>
          <w:jc w:val="center"/>
        </w:trPr>
        <w:tc>
          <w:tcPr>
            <w:tcW w:w="1762" w:type="dxa"/>
            <w:vMerge w:val="continue"/>
            <w:tcBorders>
              <w:left w:val="single" w:color="auto" w:sz="4" w:space="0"/>
              <w:right w:val="single" w:color="auto" w:sz="8" w:space="0"/>
            </w:tcBorders>
            <w:noWrap w:val="0"/>
            <w:vAlign w:val="center"/>
          </w:tcPr>
          <w:p w14:paraId="20A3D8F9">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b/>
                <w:bCs/>
                <w:color w:val="auto"/>
                <w:kern w:val="0"/>
                <w:sz w:val="21"/>
                <w:szCs w:val="21"/>
              </w:rPr>
            </w:pPr>
          </w:p>
        </w:tc>
        <w:tc>
          <w:tcPr>
            <w:tcW w:w="944" w:type="dxa"/>
            <w:tcBorders>
              <w:top w:val="nil"/>
              <w:left w:val="nil"/>
              <w:bottom w:val="single" w:color="auto" w:sz="8" w:space="0"/>
              <w:right w:val="single" w:color="auto" w:sz="8" w:space="0"/>
            </w:tcBorders>
            <w:noWrap w:val="0"/>
            <w:vAlign w:val="center"/>
          </w:tcPr>
          <w:p w14:paraId="17DC9F5E">
            <w:pPr>
              <w:keepNext w:val="0"/>
              <w:keepLines w:val="0"/>
              <w:pageBreakBefore w:val="0"/>
              <w:widowControl/>
              <w:kinsoku/>
              <w:wordWrap/>
              <w:overflowPunct/>
              <w:topLinePunct w:val="0"/>
              <w:autoSpaceDE/>
              <w:autoSpaceDN/>
              <w:bidi w:val="0"/>
              <w:snapToGrid/>
              <w:spacing w:line="312" w:lineRule="auto"/>
              <w:jc w:val="both"/>
              <w:rPr>
                <w:rFonts w:hint="default" w:ascii="宋体" w:hAnsi="宋体" w:eastAsia="宋体" w:cs="宋体"/>
                <w:color w:val="auto"/>
                <w:kern w:val="0"/>
                <w:szCs w:val="21"/>
                <w:lang w:val="en-US" w:eastAsia="zh-CN"/>
              </w:rPr>
            </w:pPr>
            <w:r>
              <w:rPr>
                <w:rFonts w:hint="eastAsia" w:ascii="宋体" w:hAnsi="宋体" w:cs="宋体"/>
                <w:color w:val="auto"/>
                <w:kern w:val="0"/>
                <w:szCs w:val="21"/>
                <w:lang w:val="en-US" w:eastAsia="zh-CN"/>
              </w:rPr>
              <w:t>6.5</w:t>
            </w:r>
          </w:p>
        </w:tc>
        <w:tc>
          <w:tcPr>
            <w:tcW w:w="7153" w:type="dxa"/>
            <w:tcBorders>
              <w:top w:val="nil"/>
              <w:left w:val="nil"/>
              <w:bottom w:val="single" w:color="auto" w:sz="8" w:space="0"/>
              <w:right w:val="single" w:color="auto" w:sz="8" w:space="0"/>
            </w:tcBorders>
            <w:noWrap w:val="0"/>
            <w:vAlign w:val="center"/>
          </w:tcPr>
          <w:p w14:paraId="09CC6762">
            <w:pPr>
              <w:keepNext w:val="0"/>
              <w:keepLines w:val="0"/>
              <w:pageBreakBefore w:val="0"/>
              <w:widowControl/>
              <w:kinsoku/>
              <w:wordWrap/>
              <w:overflowPunct/>
              <w:topLinePunct w:val="0"/>
              <w:autoSpaceDE/>
              <w:autoSpaceDN/>
              <w:bidi w:val="0"/>
              <w:snapToGrid/>
              <w:spacing w:line="312" w:lineRule="auto"/>
              <w:jc w:val="both"/>
              <w:rPr>
                <w:rFonts w:ascii="宋体" w:hAnsi="宋体" w:cs="宋体"/>
                <w:color w:val="FF0000"/>
                <w:kern w:val="0"/>
                <w:szCs w:val="21"/>
              </w:rPr>
            </w:pPr>
            <w:r>
              <w:rPr>
                <w:rFonts w:hint="eastAsia" w:ascii="宋体" w:hAnsi="宋体" w:eastAsia="宋体" w:cs="宋体"/>
                <w:sz w:val="21"/>
                <w:szCs w:val="21"/>
                <w:lang w:val="en-US" w:eastAsia="zh-CN"/>
              </w:rPr>
              <w:t>支持对运送标本离体固定时间异常的情形进行校验，离体时间大于或者和正常时间差不符者将予以提示</w:t>
            </w:r>
            <w:r>
              <w:rPr>
                <w:rFonts w:hint="eastAsia" w:ascii="宋体" w:hAnsi="宋体" w:eastAsia="宋体" w:cs="宋体"/>
                <w:sz w:val="21"/>
                <w:szCs w:val="21"/>
                <w:lang w:eastAsia="zh-CN"/>
              </w:rPr>
              <w:t>；</w:t>
            </w:r>
          </w:p>
        </w:tc>
      </w:tr>
      <w:tr w14:paraId="1F3BF39E">
        <w:tblPrEx>
          <w:tblCellMar>
            <w:top w:w="0" w:type="dxa"/>
            <w:left w:w="108" w:type="dxa"/>
            <w:bottom w:w="0" w:type="dxa"/>
            <w:right w:w="108" w:type="dxa"/>
          </w:tblCellMar>
        </w:tblPrEx>
        <w:trPr>
          <w:trHeight w:val="420" w:hRule="atLeast"/>
          <w:jc w:val="center"/>
        </w:trPr>
        <w:tc>
          <w:tcPr>
            <w:tcW w:w="1762" w:type="dxa"/>
            <w:vMerge w:val="continue"/>
            <w:tcBorders>
              <w:left w:val="single" w:color="auto" w:sz="4" w:space="0"/>
              <w:right w:val="single" w:color="auto" w:sz="8" w:space="0"/>
            </w:tcBorders>
            <w:noWrap w:val="0"/>
            <w:vAlign w:val="center"/>
          </w:tcPr>
          <w:p w14:paraId="363A8611">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b/>
                <w:bCs/>
                <w:color w:val="auto"/>
                <w:kern w:val="0"/>
                <w:sz w:val="21"/>
                <w:szCs w:val="21"/>
              </w:rPr>
            </w:pPr>
          </w:p>
        </w:tc>
        <w:tc>
          <w:tcPr>
            <w:tcW w:w="944" w:type="dxa"/>
            <w:tcBorders>
              <w:top w:val="nil"/>
              <w:left w:val="nil"/>
              <w:bottom w:val="single" w:color="auto" w:sz="8" w:space="0"/>
              <w:right w:val="single" w:color="auto" w:sz="8" w:space="0"/>
            </w:tcBorders>
            <w:noWrap w:val="0"/>
            <w:vAlign w:val="center"/>
          </w:tcPr>
          <w:p w14:paraId="22ACF7F3">
            <w:pPr>
              <w:keepNext w:val="0"/>
              <w:keepLines w:val="0"/>
              <w:pageBreakBefore w:val="0"/>
              <w:widowControl/>
              <w:kinsoku/>
              <w:wordWrap/>
              <w:overflowPunct/>
              <w:topLinePunct w:val="0"/>
              <w:autoSpaceDE/>
              <w:autoSpaceDN/>
              <w:bidi w:val="0"/>
              <w:snapToGrid/>
              <w:spacing w:line="312" w:lineRule="auto"/>
              <w:jc w:val="both"/>
              <w:rPr>
                <w:rFonts w:hint="default" w:ascii="宋体" w:hAnsi="宋体" w:eastAsia="宋体" w:cs="宋体"/>
                <w:color w:val="auto"/>
                <w:kern w:val="0"/>
                <w:szCs w:val="21"/>
                <w:lang w:val="en-US" w:eastAsia="zh-CN"/>
              </w:rPr>
            </w:pPr>
            <w:r>
              <w:rPr>
                <w:rFonts w:hint="eastAsia" w:ascii="宋体" w:hAnsi="宋体" w:cs="宋体"/>
                <w:color w:val="auto"/>
                <w:kern w:val="0"/>
                <w:szCs w:val="21"/>
                <w:lang w:val="en-US" w:eastAsia="zh-CN"/>
              </w:rPr>
              <w:t>6.6</w:t>
            </w:r>
          </w:p>
        </w:tc>
        <w:tc>
          <w:tcPr>
            <w:tcW w:w="7153" w:type="dxa"/>
            <w:tcBorders>
              <w:top w:val="nil"/>
              <w:left w:val="nil"/>
              <w:bottom w:val="single" w:color="auto" w:sz="8" w:space="0"/>
              <w:right w:val="single" w:color="auto" w:sz="8" w:space="0"/>
            </w:tcBorders>
            <w:noWrap w:val="0"/>
            <w:vAlign w:val="center"/>
          </w:tcPr>
          <w:p w14:paraId="1F4536D8">
            <w:pPr>
              <w:keepNext w:val="0"/>
              <w:keepLines w:val="0"/>
              <w:pageBreakBefore w:val="0"/>
              <w:widowControl/>
              <w:kinsoku/>
              <w:wordWrap/>
              <w:overflowPunct/>
              <w:topLinePunct w:val="0"/>
              <w:autoSpaceDE/>
              <w:autoSpaceDN/>
              <w:bidi w:val="0"/>
              <w:snapToGrid/>
              <w:spacing w:line="312" w:lineRule="auto"/>
              <w:jc w:val="both"/>
              <w:rPr>
                <w:rFonts w:ascii="宋体" w:hAnsi="宋体" w:cs="宋体"/>
                <w:color w:val="FF0000"/>
                <w:kern w:val="0"/>
                <w:szCs w:val="21"/>
              </w:rPr>
            </w:pPr>
            <w:r>
              <w:rPr>
                <w:rFonts w:hint="eastAsia" w:ascii="宋体" w:hAnsi="宋体" w:eastAsia="宋体" w:cs="宋体"/>
                <w:sz w:val="21"/>
                <w:szCs w:val="21"/>
                <w:lang w:val="en-US" w:eastAsia="zh-CN"/>
              </w:rPr>
              <w:t>支持对运送人员信息进行校验，不是正式运送人员将不能运送标本</w:t>
            </w:r>
            <w:r>
              <w:rPr>
                <w:rFonts w:hint="eastAsia" w:ascii="宋体" w:hAnsi="宋体" w:eastAsia="宋体" w:cs="宋体"/>
                <w:sz w:val="21"/>
                <w:szCs w:val="21"/>
                <w:lang w:eastAsia="zh-CN"/>
              </w:rPr>
              <w:t>；</w:t>
            </w:r>
          </w:p>
        </w:tc>
      </w:tr>
      <w:tr w14:paraId="438F245F">
        <w:tblPrEx>
          <w:tblCellMar>
            <w:top w:w="0" w:type="dxa"/>
            <w:left w:w="108" w:type="dxa"/>
            <w:bottom w:w="0" w:type="dxa"/>
            <w:right w:w="108" w:type="dxa"/>
          </w:tblCellMar>
        </w:tblPrEx>
        <w:trPr>
          <w:trHeight w:val="420" w:hRule="atLeast"/>
          <w:jc w:val="center"/>
        </w:trPr>
        <w:tc>
          <w:tcPr>
            <w:tcW w:w="1762" w:type="dxa"/>
            <w:vMerge w:val="continue"/>
            <w:tcBorders>
              <w:left w:val="single" w:color="auto" w:sz="4" w:space="0"/>
              <w:right w:val="single" w:color="auto" w:sz="8" w:space="0"/>
            </w:tcBorders>
            <w:noWrap w:val="0"/>
            <w:vAlign w:val="center"/>
          </w:tcPr>
          <w:p w14:paraId="78B3A54D">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b/>
                <w:bCs/>
                <w:color w:val="auto"/>
                <w:kern w:val="0"/>
                <w:sz w:val="21"/>
                <w:szCs w:val="21"/>
              </w:rPr>
            </w:pPr>
          </w:p>
        </w:tc>
        <w:tc>
          <w:tcPr>
            <w:tcW w:w="944" w:type="dxa"/>
            <w:tcBorders>
              <w:top w:val="nil"/>
              <w:left w:val="nil"/>
              <w:bottom w:val="single" w:color="auto" w:sz="8" w:space="0"/>
              <w:right w:val="single" w:color="auto" w:sz="8" w:space="0"/>
            </w:tcBorders>
            <w:noWrap w:val="0"/>
            <w:vAlign w:val="center"/>
          </w:tcPr>
          <w:p w14:paraId="6D3363D4">
            <w:pPr>
              <w:keepNext w:val="0"/>
              <w:keepLines w:val="0"/>
              <w:pageBreakBefore w:val="0"/>
              <w:widowControl/>
              <w:kinsoku/>
              <w:wordWrap/>
              <w:overflowPunct/>
              <w:topLinePunct w:val="0"/>
              <w:autoSpaceDE/>
              <w:autoSpaceDN/>
              <w:bidi w:val="0"/>
              <w:snapToGrid/>
              <w:spacing w:line="312" w:lineRule="auto"/>
              <w:jc w:val="both"/>
              <w:rPr>
                <w:rFonts w:hint="default" w:ascii="宋体" w:hAnsi="宋体" w:eastAsia="宋体" w:cs="宋体"/>
                <w:color w:val="auto"/>
                <w:kern w:val="0"/>
                <w:szCs w:val="21"/>
                <w:lang w:val="en-US" w:eastAsia="zh-CN"/>
              </w:rPr>
            </w:pPr>
            <w:r>
              <w:rPr>
                <w:rFonts w:hint="eastAsia" w:ascii="宋体" w:hAnsi="宋体" w:cs="宋体"/>
                <w:color w:val="auto"/>
                <w:kern w:val="0"/>
                <w:szCs w:val="21"/>
                <w:lang w:val="en-US" w:eastAsia="zh-CN"/>
              </w:rPr>
              <w:t>6.7</w:t>
            </w:r>
          </w:p>
        </w:tc>
        <w:tc>
          <w:tcPr>
            <w:tcW w:w="7153" w:type="dxa"/>
            <w:tcBorders>
              <w:top w:val="nil"/>
              <w:left w:val="nil"/>
              <w:bottom w:val="single" w:color="auto" w:sz="8" w:space="0"/>
              <w:right w:val="single" w:color="auto" w:sz="8" w:space="0"/>
            </w:tcBorders>
            <w:noWrap w:val="0"/>
            <w:vAlign w:val="center"/>
          </w:tcPr>
          <w:p w14:paraId="1BF75B10">
            <w:pPr>
              <w:keepNext w:val="0"/>
              <w:keepLines w:val="0"/>
              <w:pageBreakBefore w:val="0"/>
              <w:widowControl/>
              <w:kinsoku/>
              <w:wordWrap/>
              <w:overflowPunct/>
              <w:topLinePunct w:val="0"/>
              <w:autoSpaceDE/>
              <w:autoSpaceDN/>
              <w:bidi w:val="0"/>
              <w:snapToGrid/>
              <w:spacing w:line="312" w:lineRule="auto"/>
              <w:jc w:val="both"/>
              <w:rPr>
                <w:rFonts w:ascii="宋体" w:hAnsi="宋体" w:cs="宋体"/>
                <w:color w:val="FF0000"/>
                <w:kern w:val="0"/>
                <w:szCs w:val="21"/>
              </w:rPr>
            </w:pPr>
            <w:r>
              <w:rPr>
                <w:rFonts w:hint="eastAsia" w:ascii="宋体" w:hAnsi="宋体" w:eastAsia="宋体" w:cs="宋体"/>
                <w:sz w:val="21"/>
                <w:szCs w:val="21"/>
              </w:rPr>
              <w:t>支持一键扫描包裹码快速扫码确认所有标本</w:t>
            </w:r>
            <w:r>
              <w:rPr>
                <w:rFonts w:hint="eastAsia" w:ascii="宋体" w:hAnsi="宋体" w:eastAsia="宋体" w:cs="宋体"/>
                <w:sz w:val="21"/>
                <w:szCs w:val="21"/>
                <w:lang w:eastAsia="zh-CN"/>
              </w:rPr>
              <w:t>；</w:t>
            </w:r>
          </w:p>
        </w:tc>
      </w:tr>
      <w:tr w14:paraId="14900E19">
        <w:tblPrEx>
          <w:tblCellMar>
            <w:top w:w="0" w:type="dxa"/>
            <w:left w:w="108" w:type="dxa"/>
            <w:bottom w:w="0" w:type="dxa"/>
            <w:right w:w="108" w:type="dxa"/>
          </w:tblCellMar>
        </w:tblPrEx>
        <w:trPr>
          <w:trHeight w:val="420" w:hRule="atLeast"/>
          <w:jc w:val="center"/>
        </w:trPr>
        <w:tc>
          <w:tcPr>
            <w:tcW w:w="1762" w:type="dxa"/>
            <w:vMerge w:val="continue"/>
            <w:tcBorders>
              <w:left w:val="single" w:color="auto" w:sz="4" w:space="0"/>
              <w:bottom w:val="single" w:color="000000" w:sz="8" w:space="0"/>
              <w:right w:val="single" w:color="auto" w:sz="8" w:space="0"/>
            </w:tcBorders>
            <w:noWrap w:val="0"/>
            <w:vAlign w:val="center"/>
          </w:tcPr>
          <w:p w14:paraId="0062BF64">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b/>
                <w:bCs/>
                <w:color w:val="auto"/>
                <w:kern w:val="0"/>
                <w:sz w:val="21"/>
                <w:szCs w:val="21"/>
              </w:rPr>
            </w:pPr>
          </w:p>
        </w:tc>
        <w:tc>
          <w:tcPr>
            <w:tcW w:w="944" w:type="dxa"/>
            <w:tcBorders>
              <w:top w:val="nil"/>
              <w:left w:val="nil"/>
              <w:bottom w:val="single" w:color="auto" w:sz="8" w:space="0"/>
              <w:right w:val="single" w:color="auto" w:sz="8" w:space="0"/>
            </w:tcBorders>
            <w:noWrap w:val="0"/>
            <w:vAlign w:val="center"/>
          </w:tcPr>
          <w:p w14:paraId="0356666E">
            <w:pPr>
              <w:keepNext w:val="0"/>
              <w:keepLines w:val="0"/>
              <w:pageBreakBefore w:val="0"/>
              <w:widowControl/>
              <w:kinsoku/>
              <w:wordWrap/>
              <w:overflowPunct/>
              <w:topLinePunct w:val="0"/>
              <w:autoSpaceDE/>
              <w:autoSpaceDN/>
              <w:bidi w:val="0"/>
              <w:snapToGrid/>
              <w:spacing w:line="312" w:lineRule="auto"/>
              <w:jc w:val="both"/>
              <w:rPr>
                <w:rFonts w:hint="default" w:ascii="宋体" w:hAnsi="宋体" w:eastAsia="宋体" w:cs="宋体"/>
                <w:color w:val="auto"/>
                <w:kern w:val="0"/>
                <w:szCs w:val="21"/>
                <w:lang w:val="en-US" w:eastAsia="zh-CN"/>
              </w:rPr>
            </w:pPr>
            <w:r>
              <w:rPr>
                <w:rFonts w:hint="eastAsia" w:ascii="宋体" w:hAnsi="宋体" w:cs="宋体"/>
                <w:color w:val="auto"/>
                <w:kern w:val="0"/>
                <w:szCs w:val="21"/>
                <w:lang w:val="en-US" w:eastAsia="zh-CN"/>
              </w:rPr>
              <w:t>6.8</w:t>
            </w:r>
          </w:p>
        </w:tc>
        <w:tc>
          <w:tcPr>
            <w:tcW w:w="7153" w:type="dxa"/>
            <w:tcBorders>
              <w:top w:val="nil"/>
              <w:left w:val="nil"/>
              <w:bottom w:val="single" w:color="auto" w:sz="8" w:space="0"/>
              <w:right w:val="single" w:color="auto" w:sz="8" w:space="0"/>
            </w:tcBorders>
            <w:noWrap w:val="0"/>
            <w:vAlign w:val="center"/>
          </w:tcPr>
          <w:p w14:paraId="6F6E7EE6">
            <w:pPr>
              <w:keepNext w:val="0"/>
              <w:keepLines w:val="0"/>
              <w:pageBreakBefore w:val="0"/>
              <w:widowControl/>
              <w:kinsoku/>
              <w:wordWrap/>
              <w:overflowPunct/>
              <w:topLinePunct w:val="0"/>
              <w:autoSpaceDE/>
              <w:autoSpaceDN/>
              <w:bidi w:val="0"/>
              <w:snapToGrid/>
              <w:spacing w:line="312" w:lineRule="auto"/>
              <w:jc w:val="both"/>
              <w:rPr>
                <w:rFonts w:ascii="宋体" w:hAnsi="宋体" w:cs="宋体"/>
                <w:color w:val="FF0000"/>
                <w:kern w:val="0"/>
                <w:szCs w:val="21"/>
              </w:rPr>
            </w:pPr>
            <w:r>
              <w:rPr>
                <w:rFonts w:hint="eastAsia" w:ascii="宋体" w:hAnsi="宋体" w:eastAsia="宋体" w:cs="宋体"/>
                <w:sz w:val="21"/>
                <w:szCs w:val="21"/>
              </w:rPr>
              <w:t>支持无登录简洁版扫码运送</w:t>
            </w:r>
            <w:r>
              <w:rPr>
                <w:rFonts w:hint="eastAsia" w:ascii="宋体" w:hAnsi="宋体" w:eastAsia="宋体" w:cs="宋体"/>
                <w:sz w:val="21"/>
                <w:szCs w:val="21"/>
                <w:lang w:eastAsia="zh-CN"/>
              </w:rPr>
              <w:t>。</w:t>
            </w:r>
          </w:p>
        </w:tc>
      </w:tr>
      <w:tr w14:paraId="692A1465">
        <w:tblPrEx>
          <w:tblCellMar>
            <w:top w:w="0" w:type="dxa"/>
            <w:left w:w="108" w:type="dxa"/>
            <w:bottom w:w="0" w:type="dxa"/>
            <w:right w:w="108" w:type="dxa"/>
          </w:tblCellMar>
        </w:tblPrEx>
        <w:trPr>
          <w:trHeight w:val="420" w:hRule="atLeast"/>
          <w:jc w:val="center"/>
        </w:trPr>
        <w:tc>
          <w:tcPr>
            <w:tcW w:w="1762" w:type="dxa"/>
            <w:vMerge w:val="restart"/>
            <w:tcBorders>
              <w:top w:val="nil"/>
              <w:left w:val="single" w:color="auto" w:sz="8" w:space="0"/>
              <w:right w:val="single" w:color="auto" w:sz="8" w:space="0"/>
            </w:tcBorders>
            <w:noWrap w:val="0"/>
            <w:vAlign w:val="center"/>
          </w:tcPr>
          <w:p w14:paraId="5C89DCCC">
            <w:pPr>
              <w:pStyle w:val="246"/>
              <w:keepNext w:val="0"/>
              <w:keepLines w:val="0"/>
              <w:pageBreakBefore w:val="0"/>
              <w:kinsoku/>
              <w:wordWrap/>
              <w:overflowPunct/>
              <w:topLinePunct w:val="0"/>
              <w:autoSpaceDE/>
              <w:autoSpaceDN/>
              <w:bidi w:val="0"/>
              <w:snapToGrid/>
              <w:spacing w:line="312" w:lineRule="auto"/>
              <w:ind w:firstLine="0" w:firstLineChars="0"/>
              <w:jc w:val="both"/>
              <w:outlineLvl w:val="9"/>
              <w:rPr>
                <w:rFonts w:hint="eastAsia" w:ascii="宋体" w:hAnsi="宋体" w:eastAsia="宋体" w:cs="宋体"/>
                <w:b/>
                <w:bCs/>
                <w:color w:val="auto"/>
                <w:kern w:val="0"/>
                <w:sz w:val="21"/>
                <w:szCs w:val="21"/>
                <w:lang w:val="en-US" w:eastAsia="zh-CN"/>
              </w:rPr>
            </w:pPr>
            <w:r>
              <w:rPr>
                <w:rFonts w:hint="eastAsia" w:ascii="宋体" w:hAnsi="宋体" w:eastAsia="宋体" w:cs="宋体"/>
                <w:b/>
                <w:bCs/>
                <w:color w:val="auto"/>
                <w:kern w:val="0"/>
                <w:sz w:val="21"/>
                <w:szCs w:val="21"/>
                <w:lang w:val="en-US" w:eastAsia="zh-CN"/>
              </w:rPr>
              <w:t>7.</w:t>
            </w:r>
            <w:r>
              <w:rPr>
                <w:rFonts w:hint="eastAsia" w:ascii="宋体" w:hAnsi="宋体" w:eastAsia="宋体" w:cs="宋体"/>
                <w:b/>
                <w:bCs/>
                <w:color w:val="auto"/>
                <w:sz w:val="21"/>
                <w:szCs w:val="21"/>
              </w:rPr>
              <w:t>运送接收</w:t>
            </w:r>
          </w:p>
        </w:tc>
        <w:tc>
          <w:tcPr>
            <w:tcW w:w="944" w:type="dxa"/>
            <w:tcBorders>
              <w:top w:val="nil"/>
              <w:left w:val="nil"/>
              <w:bottom w:val="single" w:color="auto" w:sz="8" w:space="0"/>
              <w:right w:val="single" w:color="auto" w:sz="8" w:space="0"/>
            </w:tcBorders>
            <w:noWrap w:val="0"/>
            <w:vAlign w:val="center"/>
          </w:tcPr>
          <w:p w14:paraId="784CD4D2">
            <w:pPr>
              <w:keepNext w:val="0"/>
              <w:keepLines w:val="0"/>
              <w:pageBreakBefore w:val="0"/>
              <w:widowControl/>
              <w:kinsoku/>
              <w:wordWrap/>
              <w:overflowPunct/>
              <w:topLinePunct w:val="0"/>
              <w:autoSpaceDE/>
              <w:autoSpaceDN/>
              <w:bidi w:val="0"/>
              <w:snapToGrid/>
              <w:spacing w:line="312" w:lineRule="auto"/>
              <w:jc w:val="both"/>
              <w:rPr>
                <w:rFonts w:hint="default" w:ascii="宋体" w:hAnsi="宋体" w:eastAsia="宋体" w:cs="宋体"/>
                <w:color w:val="auto"/>
                <w:kern w:val="0"/>
                <w:szCs w:val="21"/>
                <w:lang w:val="en-US" w:eastAsia="zh-CN"/>
              </w:rPr>
            </w:pPr>
            <w:r>
              <w:rPr>
                <w:rFonts w:hint="eastAsia" w:ascii="宋体" w:hAnsi="宋体" w:cs="宋体"/>
                <w:color w:val="auto"/>
                <w:kern w:val="0"/>
                <w:szCs w:val="21"/>
                <w:lang w:val="en-US" w:eastAsia="zh-CN"/>
              </w:rPr>
              <w:t>7.1</w:t>
            </w:r>
          </w:p>
        </w:tc>
        <w:tc>
          <w:tcPr>
            <w:tcW w:w="7153" w:type="dxa"/>
            <w:tcBorders>
              <w:top w:val="nil"/>
              <w:left w:val="nil"/>
              <w:bottom w:val="single" w:color="auto" w:sz="8" w:space="0"/>
              <w:right w:val="single" w:color="auto" w:sz="8" w:space="0"/>
            </w:tcBorders>
            <w:noWrap w:val="0"/>
            <w:vAlign w:val="center"/>
          </w:tcPr>
          <w:p w14:paraId="0E554A84">
            <w:pPr>
              <w:keepNext w:val="0"/>
              <w:keepLines w:val="0"/>
              <w:pageBreakBefore w:val="0"/>
              <w:kinsoku/>
              <w:wordWrap/>
              <w:overflowPunct/>
              <w:topLinePunct w:val="0"/>
              <w:autoSpaceDE/>
              <w:autoSpaceDN/>
              <w:bidi w:val="0"/>
              <w:snapToGrid/>
              <w:spacing w:line="312" w:lineRule="auto"/>
              <w:jc w:val="both"/>
              <w:rPr>
                <w:rFonts w:ascii="宋体" w:hAnsi="宋体" w:cs="宋体"/>
                <w:color w:val="FF0000"/>
                <w:kern w:val="0"/>
                <w:szCs w:val="21"/>
              </w:rPr>
            </w:pPr>
            <w:r>
              <w:rPr>
                <w:rFonts w:hint="eastAsia" w:ascii="宋体" w:hAnsi="宋体" w:eastAsia="宋体" w:cs="宋体"/>
                <w:sz w:val="21"/>
                <w:szCs w:val="21"/>
                <w:lang w:val="en-US" w:eastAsia="zh-CN"/>
              </w:rPr>
              <w:t>支持以多条件联合查询运送单详细信息</w:t>
            </w:r>
            <w:r>
              <w:rPr>
                <w:rFonts w:hint="eastAsia" w:ascii="宋体" w:hAnsi="宋体" w:eastAsia="宋体" w:cs="宋体"/>
                <w:sz w:val="21"/>
                <w:szCs w:val="21"/>
                <w:lang w:eastAsia="zh-CN"/>
              </w:rPr>
              <w:t>；</w:t>
            </w:r>
          </w:p>
        </w:tc>
      </w:tr>
      <w:tr w14:paraId="22405E10">
        <w:tblPrEx>
          <w:tblCellMar>
            <w:top w:w="0" w:type="dxa"/>
            <w:left w:w="108" w:type="dxa"/>
            <w:bottom w:w="0" w:type="dxa"/>
            <w:right w:w="108" w:type="dxa"/>
          </w:tblCellMar>
        </w:tblPrEx>
        <w:trPr>
          <w:trHeight w:val="420" w:hRule="atLeast"/>
          <w:jc w:val="center"/>
        </w:trPr>
        <w:tc>
          <w:tcPr>
            <w:tcW w:w="1762" w:type="dxa"/>
            <w:vMerge w:val="continue"/>
            <w:tcBorders>
              <w:left w:val="single" w:color="auto" w:sz="8" w:space="0"/>
              <w:right w:val="single" w:color="auto" w:sz="8" w:space="0"/>
            </w:tcBorders>
            <w:noWrap w:val="0"/>
            <w:vAlign w:val="center"/>
          </w:tcPr>
          <w:p w14:paraId="0D451542">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b/>
                <w:bCs/>
                <w:color w:val="auto"/>
                <w:kern w:val="0"/>
                <w:sz w:val="21"/>
                <w:szCs w:val="21"/>
              </w:rPr>
            </w:pPr>
          </w:p>
        </w:tc>
        <w:tc>
          <w:tcPr>
            <w:tcW w:w="944" w:type="dxa"/>
            <w:tcBorders>
              <w:top w:val="nil"/>
              <w:left w:val="nil"/>
              <w:bottom w:val="single" w:color="auto" w:sz="8" w:space="0"/>
              <w:right w:val="single" w:color="auto" w:sz="8" w:space="0"/>
            </w:tcBorders>
            <w:noWrap w:val="0"/>
            <w:vAlign w:val="center"/>
          </w:tcPr>
          <w:p w14:paraId="2FFCA866">
            <w:pPr>
              <w:keepNext w:val="0"/>
              <w:keepLines w:val="0"/>
              <w:pageBreakBefore w:val="0"/>
              <w:widowControl/>
              <w:kinsoku/>
              <w:wordWrap/>
              <w:overflowPunct/>
              <w:topLinePunct w:val="0"/>
              <w:autoSpaceDE/>
              <w:autoSpaceDN/>
              <w:bidi w:val="0"/>
              <w:snapToGrid/>
              <w:spacing w:line="312" w:lineRule="auto"/>
              <w:jc w:val="both"/>
              <w:rPr>
                <w:rFonts w:hint="default" w:ascii="宋体" w:hAnsi="宋体" w:eastAsia="宋体" w:cs="宋体"/>
                <w:color w:val="auto"/>
                <w:kern w:val="0"/>
                <w:szCs w:val="21"/>
                <w:lang w:val="en-US" w:eastAsia="zh-CN"/>
              </w:rPr>
            </w:pPr>
            <w:r>
              <w:rPr>
                <w:rFonts w:hint="eastAsia" w:ascii="宋体" w:hAnsi="宋体" w:cs="宋体"/>
                <w:color w:val="auto"/>
                <w:kern w:val="0"/>
                <w:szCs w:val="21"/>
                <w:lang w:val="en-US" w:eastAsia="zh-CN"/>
              </w:rPr>
              <w:t>7.2</w:t>
            </w:r>
          </w:p>
        </w:tc>
        <w:tc>
          <w:tcPr>
            <w:tcW w:w="7153" w:type="dxa"/>
            <w:tcBorders>
              <w:top w:val="nil"/>
              <w:left w:val="nil"/>
              <w:bottom w:val="single" w:color="auto" w:sz="8" w:space="0"/>
              <w:right w:val="single" w:color="auto" w:sz="8" w:space="0"/>
            </w:tcBorders>
            <w:noWrap w:val="0"/>
            <w:vAlign w:val="center"/>
          </w:tcPr>
          <w:p w14:paraId="080B771F">
            <w:pPr>
              <w:keepNext w:val="0"/>
              <w:keepLines w:val="0"/>
              <w:pageBreakBefore w:val="0"/>
              <w:widowControl/>
              <w:kinsoku/>
              <w:wordWrap/>
              <w:overflowPunct/>
              <w:topLinePunct w:val="0"/>
              <w:autoSpaceDE/>
              <w:autoSpaceDN/>
              <w:bidi w:val="0"/>
              <w:snapToGrid/>
              <w:spacing w:line="312" w:lineRule="auto"/>
              <w:jc w:val="both"/>
              <w:rPr>
                <w:rFonts w:ascii="宋体" w:hAnsi="宋体" w:cs="宋体"/>
                <w:color w:val="FF0000"/>
                <w:kern w:val="0"/>
                <w:szCs w:val="21"/>
              </w:rPr>
            </w:pPr>
            <w:r>
              <w:rPr>
                <w:rFonts w:hint="eastAsia" w:ascii="宋体" w:hAnsi="宋体" w:eastAsia="宋体" w:cs="宋体"/>
                <w:sz w:val="21"/>
                <w:szCs w:val="21"/>
                <w:lang w:val="en-US" w:eastAsia="zh-CN"/>
              </w:rPr>
              <w:t>支持接收前核实运送人员，确保实际运送人员和运送操作人员一致</w:t>
            </w:r>
            <w:r>
              <w:rPr>
                <w:rFonts w:hint="eastAsia" w:ascii="宋体" w:hAnsi="宋体" w:eastAsia="宋体" w:cs="宋体"/>
                <w:sz w:val="21"/>
                <w:szCs w:val="21"/>
                <w:lang w:eastAsia="zh-CN"/>
              </w:rPr>
              <w:t>；</w:t>
            </w:r>
          </w:p>
        </w:tc>
      </w:tr>
      <w:tr w14:paraId="486EB30D">
        <w:tblPrEx>
          <w:tblCellMar>
            <w:top w:w="0" w:type="dxa"/>
            <w:left w:w="108" w:type="dxa"/>
            <w:bottom w:w="0" w:type="dxa"/>
            <w:right w:w="108" w:type="dxa"/>
          </w:tblCellMar>
        </w:tblPrEx>
        <w:trPr>
          <w:trHeight w:val="420" w:hRule="atLeast"/>
          <w:jc w:val="center"/>
        </w:trPr>
        <w:tc>
          <w:tcPr>
            <w:tcW w:w="1762" w:type="dxa"/>
            <w:vMerge w:val="continue"/>
            <w:tcBorders>
              <w:left w:val="single" w:color="auto" w:sz="8" w:space="0"/>
              <w:right w:val="single" w:color="auto" w:sz="8" w:space="0"/>
            </w:tcBorders>
            <w:noWrap w:val="0"/>
            <w:vAlign w:val="center"/>
          </w:tcPr>
          <w:p w14:paraId="53497847">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b/>
                <w:bCs/>
                <w:color w:val="auto"/>
                <w:kern w:val="0"/>
                <w:sz w:val="21"/>
                <w:szCs w:val="21"/>
              </w:rPr>
            </w:pPr>
          </w:p>
        </w:tc>
        <w:tc>
          <w:tcPr>
            <w:tcW w:w="944" w:type="dxa"/>
            <w:tcBorders>
              <w:top w:val="nil"/>
              <w:left w:val="nil"/>
              <w:bottom w:val="single" w:color="auto" w:sz="8" w:space="0"/>
              <w:right w:val="single" w:color="auto" w:sz="8" w:space="0"/>
            </w:tcBorders>
            <w:noWrap w:val="0"/>
            <w:vAlign w:val="center"/>
          </w:tcPr>
          <w:p w14:paraId="35D18836">
            <w:pPr>
              <w:keepNext w:val="0"/>
              <w:keepLines w:val="0"/>
              <w:pageBreakBefore w:val="0"/>
              <w:widowControl/>
              <w:kinsoku/>
              <w:wordWrap/>
              <w:overflowPunct/>
              <w:topLinePunct w:val="0"/>
              <w:autoSpaceDE/>
              <w:autoSpaceDN/>
              <w:bidi w:val="0"/>
              <w:snapToGrid/>
              <w:spacing w:line="312" w:lineRule="auto"/>
              <w:jc w:val="both"/>
              <w:rPr>
                <w:rFonts w:hint="default" w:ascii="宋体" w:hAnsi="宋体" w:eastAsia="宋体" w:cs="宋体"/>
                <w:color w:val="auto"/>
                <w:kern w:val="0"/>
                <w:szCs w:val="21"/>
                <w:lang w:val="en-US" w:eastAsia="zh-CN"/>
              </w:rPr>
            </w:pPr>
            <w:r>
              <w:rPr>
                <w:rFonts w:hint="eastAsia" w:ascii="宋体" w:hAnsi="宋体" w:cs="宋体"/>
                <w:color w:val="auto"/>
                <w:kern w:val="0"/>
                <w:szCs w:val="21"/>
                <w:lang w:val="en-US" w:eastAsia="zh-CN"/>
              </w:rPr>
              <w:t>7.3</w:t>
            </w:r>
          </w:p>
        </w:tc>
        <w:tc>
          <w:tcPr>
            <w:tcW w:w="7153" w:type="dxa"/>
            <w:tcBorders>
              <w:top w:val="nil"/>
              <w:left w:val="nil"/>
              <w:bottom w:val="single" w:color="auto" w:sz="8" w:space="0"/>
              <w:right w:val="single" w:color="auto" w:sz="8" w:space="0"/>
            </w:tcBorders>
            <w:noWrap w:val="0"/>
            <w:vAlign w:val="center"/>
          </w:tcPr>
          <w:p w14:paraId="3485CA5B">
            <w:pPr>
              <w:keepNext w:val="0"/>
              <w:keepLines w:val="0"/>
              <w:pageBreakBefore w:val="0"/>
              <w:widowControl/>
              <w:kinsoku/>
              <w:wordWrap/>
              <w:overflowPunct/>
              <w:topLinePunct w:val="0"/>
              <w:autoSpaceDE/>
              <w:autoSpaceDN/>
              <w:bidi w:val="0"/>
              <w:snapToGrid/>
              <w:spacing w:line="312" w:lineRule="auto"/>
              <w:jc w:val="both"/>
              <w:rPr>
                <w:rFonts w:ascii="宋体" w:hAnsi="宋体" w:cs="宋体"/>
                <w:color w:val="FF0000"/>
                <w:kern w:val="0"/>
                <w:szCs w:val="21"/>
              </w:rPr>
            </w:pPr>
            <w:r>
              <w:rPr>
                <w:rFonts w:hint="eastAsia" w:ascii="宋体" w:hAnsi="宋体" w:eastAsia="宋体" w:cs="宋体"/>
                <w:sz w:val="21"/>
                <w:szCs w:val="21"/>
                <w:lang w:val="en-US" w:eastAsia="zh-CN"/>
              </w:rPr>
              <w:t>支持对标本完整性进行校验，未校验的标本将不能开展接收操作</w:t>
            </w:r>
            <w:r>
              <w:rPr>
                <w:rFonts w:hint="eastAsia" w:ascii="宋体" w:hAnsi="宋体" w:eastAsia="宋体" w:cs="宋体"/>
                <w:sz w:val="21"/>
                <w:szCs w:val="21"/>
                <w:lang w:eastAsia="zh-CN"/>
              </w:rPr>
              <w:t>；</w:t>
            </w:r>
          </w:p>
        </w:tc>
      </w:tr>
      <w:tr w14:paraId="34AE7D65">
        <w:tblPrEx>
          <w:tblCellMar>
            <w:top w:w="0" w:type="dxa"/>
            <w:left w:w="108" w:type="dxa"/>
            <w:bottom w:w="0" w:type="dxa"/>
            <w:right w:w="108" w:type="dxa"/>
          </w:tblCellMar>
        </w:tblPrEx>
        <w:trPr>
          <w:trHeight w:val="420" w:hRule="atLeast"/>
          <w:jc w:val="center"/>
        </w:trPr>
        <w:tc>
          <w:tcPr>
            <w:tcW w:w="1762" w:type="dxa"/>
            <w:vMerge w:val="continue"/>
            <w:tcBorders>
              <w:left w:val="single" w:color="auto" w:sz="8" w:space="0"/>
              <w:right w:val="single" w:color="auto" w:sz="8" w:space="0"/>
            </w:tcBorders>
            <w:noWrap w:val="0"/>
            <w:vAlign w:val="center"/>
          </w:tcPr>
          <w:p w14:paraId="1F75ADBE">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b/>
                <w:bCs/>
                <w:color w:val="auto"/>
                <w:kern w:val="0"/>
                <w:sz w:val="21"/>
                <w:szCs w:val="21"/>
              </w:rPr>
            </w:pPr>
          </w:p>
        </w:tc>
        <w:tc>
          <w:tcPr>
            <w:tcW w:w="944" w:type="dxa"/>
            <w:tcBorders>
              <w:top w:val="nil"/>
              <w:left w:val="nil"/>
              <w:bottom w:val="single" w:color="auto" w:sz="8" w:space="0"/>
              <w:right w:val="single" w:color="auto" w:sz="8" w:space="0"/>
            </w:tcBorders>
            <w:noWrap w:val="0"/>
            <w:vAlign w:val="center"/>
          </w:tcPr>
          <w:p w14:paraId="52577846">
            <w:pPr>
              <w:keepNext w:val="0"/>
              <w:keepLines w:val="0"/>
              <w:pageBreakBefore w:val="0"/>
              <w:widowControl/>
              <w:kinsoku/>
              <w:wordWrap/>
              <w:overflowPunct/>
              <w:topLinePunct w:val="0"/>
              <w:autoSpaceDE/>
              <w:autoSpaceDN/>
              <w:bidi w:val="0"/>
              <w:snapToGrid/>
              <w:spacing w:line="312" w:lineRule="auto"/>
              <w:jc w:val="both"/>
              <w:rPr>
                <w:rFonts w:hint="default" w:ascii="宋体" w:hAnsi="宋体" w:eastAsia="宋体" w:cs="宋体"/>
                <w:color w:val="auto"/>
                <w:kern w:val="0"/>
                <w:szCs w:val="21"/>
                <w:lang w:val="en-US" w:eastAsia="zh-CN"/>
              </w:rPr>
            </w:pPr>
            <w:r>
              <w:rPr>
                <w:rFonts w:hint="eastAsia" w:ascii="宋体" w:hAnsi="宋体" w:cs="宋体"/>
                <w:color w:val="auto"/>
                <w:kern w:val="0"/>
                <w:szCs w:val="21"/>
                <w:lang w:val="en-US" w:eastAsia="zh-CN"/>
              </w:rPr>
              <w:t>7.4</w:t>
            </w:r>
          </w:p>
        </w:tc>
        <w:tc>
          <w:tcPr>
            <w:tcW w:w="7153" w:type="dxa"/>
            <w:tcBorders>
              <w:top w:val="nil"/>
              <w:left w:val="nil"/>
              <w:bottom w:val="single" w:color="auto" w:sz="8" w:space="0"/>
              <w:right w:val="single" w:color="auto" w:sz="8" w:space="0"/>
            </w:tcBorders>
            <w:noWrap w:val="0"/>
            <w:vAlign w:val="center"/>
          </w:tcPr>
          <w:p w14:paraId="2D6B6024">
            <w:pPr>
              <w:keepNext w:val="0"/>
              <w:keepLines w:val="0"/>
              <w:pageBreakBefore w:val="0"/>
              <w:widowControl/>
              <w:kinsoku/>
              <w:wordWrap/>
              <w:overflowPunct/>
              <w:topLinePunct w:val="0"/>
              <w:autoSpaceDE/>
              <w:autoSpaceDN/>
              <w:bidi w:val="0"/>
              <w:snapToGrid/>
              <w:spacing w:line="312" w:lineRule="auto"/>
              <w:jc w:val="both"/>
              <w:rPr>
                <w:rFonts w:ascii="宋体" w:hAnsi="宋体" w:cs="宋体"/>
                <w:color w:val="FF0000"/>
                <w:kern w:val="0"/>
                <w:szCs w:val="21"/>
              </w:rPr>
            </w:pPr>
            <w:r>
              <w:rPr>
                <w:rFonts w:hint="eastAsia" w:ascii="宋体" w:hAnsi="宋体" w:eastAsia="宋体" w:cs="宋体"/>
                <w:sz w:val="21"/>
                <w:szCs w:val="21"/>
              </w:rPr>
              <w:t>支持单个标本扫码接收</w:t>
            </w:r>
            <w:r>
              <w:rPr>
                <w:rFonts w:hint="eastAsia" w:ascii="宋体" w:hAnsi="宋体" w:eastAsia="宋体" w:cs="宋体"/>
                <w:sz w:val="21"/>
                <w:szCs w:val="21"/>
                <w:lang w:eastAsia="zh-CN"/>
              </w:rPr>
              <w:t>；</w:t>
            </w:r>
          </w:p>
        </w:tc>
      </w:tr>
      <w:tr w14:paraId="761E191A">
        <w:tblPrEx>
          <w:tblCellMar>
            <w:top w:w="0" w:type="dxa"/>
            <w:left w:w="108" w:type="dxa"/>
            <w:bottom w:w="0" w:type="dxa"/>
            <w:right w:w="108" w:type="dxa"/>
          </w:tblCellMar>
        </w:tblPrEx>
        <w:trPr>
          <w:trHeight w:val="420" w:hRule="atLeast"/>
          <w:jc w:val="center"/>
        </w:trPr>
        <w:tc>
          <w:tcPr>
            <w:tcW w:w="1762" w:type="dxa"/>
            <w:vMerge w:val="continue"/>
            <w:tcBorders>
              <w:left w:val="single" w:color="auto" w:sz="8" w:space="0"/>
              <w:right w:val="single" w:color="auto" w:sz="8" w:space="0"/>
            </w:tcBorders>
            <w:noWrap w:val="0"/>
            <w:vAlign w:val="center"/>
          </w:tcPr>
          <w:p w14:paraId="49658999">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b/>
                <w:bCs/>
                <w:color w:val="auto"/>
                <w:kern w:val="0"/>
                <w:sz w:val="21"/>
                <w:szCs w:val="21"/>
              </w:rPr>
            </w:pPr>
          </w:p>
        </w:tc>
        <w:tc>
          <w:tcPr>
            <w:tcW w:w="944" w:type="dxa"/>
            <w:tcBorders>
              <w:top w:val="nil"/>
              <w:left w:val="nil"/>
              <w:bottom w:val="single" w:color="auto" w:sz="8" w:space="0"/>
              <w:right w:val="single" w:color="auto" w:sz="8" w:space="0"/>
            </w:tcBorders>
            <w:noWrap w:val="0"/>
            <w:vAlign w:val="center"/>
          </w:tcPr>
          <w:p w14:paraId="1F0828F4">
            <w:pPr>
              <w:keepNext w:val="0"/>
              <w:keepLines w:val="0"/>
              <w:pageBreakBefore w:val="0"/>
              <w:widowControl/>
              <w:kinsoku/>
              <w:wordWrap/>
              <w:overflowPunct/>
              <w:topLinePunct w:val="0"/>
              <w:autoSpaceDE/>
              <w:autoSpaceDN/>
              <w:bidi w:val="0"/>
              <w:snapToGrid/>
              <w:spacing w:line="312" w:lineRule="auto"/>
              <w:jc w:val="both"/>
              <w:rPr>
                <w:rFonts w:hint="default" w:ascii="宋体" w:hAnsi="宋体" w:eastAsia="宋体" w:cs="宋体"/>
                <w:color w:val="auto"/>
                <w:kern w:val="0"/>
                <w:szCs w:val="21"/>
                <w:lang w:val="en-US" w:eastAsia="zh-CN"/>
              </w:rPr>
            </w:pPr>
            <w:r>
              <w:rPr>
                <w:rFonts w:hint="eastAsia" w:ascii="宋体" w:hAnsi="宋体" w:cs="宋体"/>
                <w:color w:val="auto"/>
                <w:kern w:val="0"/>
                <w:szCs w:val="21"/>
                <w:lang w:val="en-US" w:eastAsia="zh-CN"/>
              </w:rPr>
              <w:t>7.5</w:t>
            </w:r>
          </w:p>
        </w:tc>
        <w:tc>
          <w:tcPr>
            <w:tcW w:w="7153" w:type="dxa"/>
            <w:tcBorders>
              <w:top w:val="nil"/>
              <w:left w:val="nil"/>
              <w:bottom w:val="single" w:color="auto" w:sz="8" w:space="0"/>
              <w:right w:val="single" w:color="auto" w:sz="8" w:space="0"/>
            </w:tcBorders>
            <w:noWrap w:val="0"/>
            <w:vAlign w:val="center"/>
          </w:tcPr>
          <w:p w14:paraId="32594A17">
            <w:pPr>
              <w:keepNext w:val="0"/>
              <w:keepLines w:val="0"/>
              <w:pageBreakBefore w:val="0"/>
              <w:widowControl/>
              <w:kinsoku/>
              <w:wordWrap/>
              <w:overflowPunct/>
              <w:topLinePunct w:val="0"/>
              <w:autoSpaceDE/>
              <w:autoSpaceDN/>
              <w:bidi w:val="0"/>
              <w:snapToGrid/>
              <w:spacing w:line="312" w:lineRule="auto"/>
              <w:jc w:val="both"/>
              <w:rPr>
                <w:rFonts w:ascii="宋体" w:hAnsi="宋体" w:cs="宋体"/>
                <w:color w:val="FF0000"/>
                <w:kern w:val="0"/>
                <w:szCs w:val="21"/>
              </w:rPr>
            </w:pPr>
            <w:r>
              <w:rPr>
                <w:rFonts w:hint="eastAsia" w:ascii="宋体" w:hAnsi="宋体" w:eastAsia="宋体" w:cs="宋体"/>
                <w:sz w:val="21"/>
                <w:szCs w:val="21"/>
              </w:rPr>
              <w:t>支持申请单批量扫码接收标本</w:t>
            </w:r>
            <w:r>
              <w:rPr>
                <w:rFonts w:hint="eastAsia" w:ascii="宋体" w:hAnsi="宋体" w:eastAsia="宋体" w:cs="宋体"/>
                <w:sz w:val="21"/>
                <w:szCs w:val="21"/>
                <w:lang w:eastAsia="zh-CN"/>
              </w:rPr>
              <w:t>；</w:t>
            </w:r>
          </w:p>
        </w:tc>
      </w:tr>
      <w:tr w14:paraId="3B068D67">
        <w:tblPrEx>
          <w:tblCellMar>
            <w:top w:w="0" w:type="dxa"/>
            <w:left w:w="108" w:type="dxa"/>
            <w:bottom w:w="0" w:type="dxa"/>
            <w:right w:w="108" w:type="dxa"/>
          </w:tblCellMar>
        </w:tblPrEx>
        <w:trPr>
          <w:trHeight w:val="420" w:hRule="atLeast"/>
          <w:jc w:val="center"/>
        </w:trPr>
        <w:tc>
          <w:tcPr>
            <w:tcW w:w="1762" w:type="dxa"/>
            <w:vMerge w:val="continue"/>
            <w:tcBorders>
              <w:left w:val="single" w:color="auto" w:sz="8" w:space="0"/>
              <w:right w:val="single" w:color="auto" w:sz="8" w:space="0"/>
            </w:tcBorders>
            <w:noWrap w:val="0"/>
            <w:vAlign w:val="center"/>
          </w:tcPr>
          <w:p w14:paraId="25655BC5">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b/>
                <w:bCs/>
                <w:color w:val="auto"/>
                <w:kern w:val="0"/>
                <w:sz w:val="21"/>
                <w:szCs w:val="21"/>
              </w:rPr>
            </w:pPr>
          </w:p>
        </w:tc>
        <w:tc>
          <w:tcPr>
            <w:tcW w:w="944" w:type="dxa"/>
            <w:tcBorders>
              <w:top w:val="nil"/>
              <w:left w:val="nil"/>
              <w:bottom w:val="single" w:color="auto" w:sz="8" w:space="0"/>
              <w:right w:val="single" w:color="auto" w:sz="8" w:space="0"/>
            </w:tcBorders>
            <w:noWrap w:val="0"/>
            <w:vAlign w:val="center"/>
          </w:tcPr>
          <w:p w14:paraId="397AB158">
            <w:pPr>
              <w:keepNext w:val="0"/>
              <w:keepLines w:val="0"/>
              <w:pageBreakBefore w:val="0"/>
              <w:widowControl/>
              <w:kinsoku/>
              <w:wordWrap/>
              <w:overflowPunct/>
              <w:topLinePunct w:val="0"/>
              <w:autoSpaceDE/>
              <w:autoSpaceDN/>
              <w:bidi w:val="0"/>
              <w:snapToGrid/>
              <w:spacing w:line="312" w:lineRule="auto"/>
              <w:jc w:val="both"/>
              <w:rPr>
                <w:rFonts w:hint="default" w:ascii="宋体" w:hAnsi="宋体" w:eastAsia="宋体" w:cs="宋体"/>
                <w:color w:val="auto"/>
                <w:kern w:val="0"/>
                <w:szCs w:val="21"/>
                <w:lang w:val="en-US" w:eastAsia="zh-CN"/>
              </w:rPr>
            </w:pPr>
            <w:r>
              <w:rPr>
                <w:rFonts w:hint="eastAsia" w:ascii="宋体" w:hAnsi="宋体" w:cs="宋体"/>
                <w:color w:val="auto"/>
                <w:kern w:val="0"/>
                <w:szCs w:val="21"/>
                <w:lang w:val="en-US" w:eastAsia="zh-CN"/>
              </w:rPr>
              <w:t>7.6</w:t>
            </w:r>
          </w:p>
        </w:tc>
        <w:tc>
          <w:tcPr>
            <w:tcW w:w="7153" w:type="dxa"/>
            <w:tcBorders>
              <w:top w:val="nil"/>
              <w:left w:val="nil"/>
              <w:bottom w:val="single" w:color="auto" w:sz="8" w:space="0"/>
              <w:right w:val="single" w:color="auto" w:sz="8" w:space="0"/>
            </w:tcBorders>
            <w:noWrap w:val="0"/>
            <w:vAlign w:val="center"/>
          </w:tcPr>
          <w:p w14:paraId="6327CA88">
            <w:pPr>
              <w:keepNext w:val="0"/>
              <w:keepLines w:val="0"/>
              <w:pageBreakBefore w:val="0"/>
              <w:widowControl/>
              <w:kinsoku/>
              <w:wordWrap/>
              <w:overflowPunct/>
              <w:topLinePunct w:val="0"/>
              <w:autoSpaceDE/>
              <w:autoSpaceDN/>
              <w:bidi w:val="0"/>
              <w:snapToGrid/>
              <w:spacing w:line="312" w:lineRule="auto"/>
              <w:jc w:val="both"/>
              <w:rPr>
                <w:rFonts w:ascii="宋体" w:hAnsi="宋体" w:cs="宋体"/>
                <w:color w:val="FF0000"/>
                <w:kern w:val="0"/>
                <w:szCs w:val="21"/>
              </w:rPr>
            </w:pPr>
            <w:r>
              <w:rPr>
                <w:rFonts w:hint="eastAsia" w:ascii="宋体" w:hAnsi="宋体" w:eastAsia="宋体" w:cs="宋体"/>
                <w:sz w:val="21"/>
                <w:szCs w:val="21"/>
                <w:lang w:val="en-US" w:eastAsia="zh-CN"/>
              </w:rPr>
              <w:t>对于不合格标本，支持单个或批量模式退回标本</w:t>
            </w:r>
            <w:r>
              <w:rPr>
                <w:rFonts w:hint="eastAsia" w:ascii="宋体" w:hAnsi="宋体" w:eastAsia="宋体" w:cs="宋体"/>
                <w:sz w:val="21"/>
                <w:szCs w:val="21"/>
                <w:lang w:eastAsia="zh-CN"/>
              </w:rPr>
              <w:t>；</w:t>
            </w:r>
          </w:p>
        </w:tc>
      </w:tr>
      <w:tr w14:paraId="0C69C6AC">
        <w:tblPrEx>
          <w:tblCellMar>
            <w:top w:w="0" w:type="dxa"/>
            <w:left w:w="108" w:type="dxa"/>
            <w:bottom w:w="0" w:type="dxa"/>
            <w:right w:w="108" w:type="dxa"/>
          </w:tblCellMar>
        </w:tblPrEx>
        <w:trPr>
          <w:trHeight w:val="420" w:hRule="atLeast"/>
          <w:jc w:val="center"/>
        </w:trPr>
        <w:tc>
          <w:tcPr>
            <w:tcW w:w="1762" w:type="dxa"/>
            <w:vMerge w:val="continue"/>
            <w:tcBorders>
              <w:left w:val="single" w:color="auto" w:sz="8" w:space="0"/>
              <w:right w:val="single" w:color="auto" w:sz="8" w:space="0"/>
            </w:tcBorders>
            <w:noWrap w:val="0"/>
            <w:vAlign w:val="center"/>
          </w:tcPr>
          <w:p w14:paraId="33706AFA">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b/>
                <w:bCs/>
                <w:color w:val="auto"/>
                <w:kern w:val="0"/>
                <w:sz w:val="21"/>
                <w:szCs w:val="21"/>
              </w:rPr>
            </w:pPr>
          </w:p>
        </w:tc>
        <w:tc>
          <w:tcPr>
            <w:tcW w:w="944" w:type="dxa"/>
            <w:tcBorders>
              <w:top w:val="nil"/>
              <w:left w:val="nil"/>
              <w:bottom w:val="single" w:color="auto" w:sz="8" w:space="0"/>
              <w:right w:val="single" w:color="auto" w:sz="8" w:space="0"/>
            </w:tcBorders>
            <w:noWrap w:val="0"/>
            <w:vAlign w:val="center"/>
          </w:tcPr>
          <w:p w14:paraId="538F3294">
            <w:pPr>
              <w:keepNext w:val="0"/>
              <w:keepLines w:val="0"/>
              <w:pageBreakBefore w:val="0"/>
              <w:widowControl/>
              <w:kinsoku/>
              <w:wordWrap/>
              <w:overflowPunct/>
              <w:topLinePunct w:val="0"/>
              <w:autoSpaceDE/>
              <w:autoSpaceDN/>
              <w:bidi w:val="0"/>
              <w:snapToGrid/>
              <w:spacing w:line="312" w:lineRule="auto"/>
              <w:jc w:val="both"/>
              <w:rPr>
                <w:rFonts w:hint="default" w:ascii="宋体" w:hAnsi="宋体" w:eastAsia="宋体" w:cs="宋体"/>
                <w:color w:val="auto"/>
                <w:kern w:val="0"/>
                <w:szCs w:val="21"/>
                <w:lang w:val="en-US" w:eastAsia="zh-CN"/>
              </w:rPr>
            </w:pPr>
            <w:r>
              <w:rPr>
                <w:rFonts w:hint="eastAsia" w:ascii="宋体" w:hAnsi="宋体" w:cs="宋体"/>
                <w:color w:val="auto"/>
                <w:kern w:val="0"/>
                <w:szCs w:val="21"/>
                <w:lang w:val="en-US" w:eastAsia="zh-CN"/>
              </w:rPr>
              <w:t>7.7</w:t>
            </w:r>
          </w:p>
        </w:tc>
        <w:tc>
          <w:tcPr>
            <w:tcW w:w="7153" w:type="dxa"/>
            <w:tcBorders>
              <w:top w:val="nil"/>
              <w:left w:val="nil"/>
              <w:bottom w:val="single" w:color="auto" w:sz="8" w:space="0"/>
              <w:right w:val="single" w:color="auto" w:sz="8" w:space="0"/>
            </w:tcBorders>
            <w:noWrap w:val="0"/>
            <w:vAlign w:val="center"/>
          </w:tcPr>
          <w:p w14:paraId="0C774EA9">
            <w:pPr>
              <w:keepNext w:val="0"/>
              <w:keepLines w:val="0"/>
              <w:pageBreakBefore w:val="0"/>
              <w:widowControl/>
              <w:kinsoku/>
              <w:wordWrap/>
              <w:overflowPunct/>
              <w:topLinePunct w:val="0"/>
              <w:autoSpaceDE/>
              <w:autoSpaceDN/>
              <w:bidi w:val="0"/>
              <w:snapToGrid/>
              <w:spacing w:line="312" w:lineRule="auto"/>
              <w:jc w:val="both"/>
              <w:rPr>
                <w:rFonts w:ascii="宋体" w:hAnsi="宋体" w:cs="宋体"/>
                <w:color w:val="FF0000"/>
                <w:kern w:val="0"/>
                <w:szCs w:val="21"/>
              </w:rPr>
            </w:pPr>
            <w:r>
              <w:rPr>
                <w:rFonts w:hint="eastAsia" w:ascii="宋体" w:hAnsi="宋体" w:eastAsia="宋体" w:cs="宋体"/>
                <w:sz w:val="21"/>
                <w:szCs w:val="21"/>
                <w:lang w:val="en-US" w:eastAsia="zh-CN"/>
              </w:rPr>
              <w:t>支持以选择项接收部分标本</w:t>
            </w:r>
            <w:r>
              <w:rPr>
                <w:rFonts w:hint="eastAsia" w:ascii="宋体" w:hAnsi="宋体" w:eastAsia="宋体" w:cs="宋体"/>
                <w:sz w:val="21"/>
                <w:szCs w:val="21"/>
                <w:lang w:eastAsia="zh-CN"/>
              </w:rPr>
              <w:t>；</w:t>
            </w:r>
          </w:p>
        </w:tc>
      </w:tr>
      <w:tr w14:paraId="0BD969E3">
        <w:tblPrEx>
          <w:tblCellMar>
            <w:top w:w="0" w:type="dxa"/>
            <w:left w:w="108" w:type="dxa"/>
            <w:bottom w:w="0" w:type="dxa"/>
            <w:right w:w="108" w:type="dxa"/>
          </w:tblCellMar>
        </w:tblPrEx>
        <w:trPr>
          <w:trHeight w:val="420" w:hRule="atLeast"/>
          <w:jc w:val="center"/>
        </w:trPr>
        <w:tc>
          <w:tcPr>
            <w:tcW w:w="1762" w:type="dxa"/>
            <w:vMerge w:val="continue"/>
            <w:tcBorders>
              <w:left w:val="single" w:color="auto" w:sz="8" w:space="0"/>
              <w:right w:val="single" w:color="auto" w:sz="8" w:space="0"/>
            </w:tcBorders>
            <w:noWrap w:val="0"/>
            <w:vAlign w:val="center"/>
          </w:tcPr>
          <w:p w14:paraId="0013C547">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b/>
                <w:bCs/>
                <w:color w:val="auto"/>
                <w:kern w:val="0"/>
                <w:sz w:val="21"/>
                <w:szCs w:val="21"/>
              </w:rPr>
            </w:pPr>
          </w:p>
        </w:tc>
        <w:tc>
          <w:tcPr>
            <w:tcW w:w="944" w:type="dxa"/>
            <w:tcBorders>
              <w:top w:val="nil"/>
              <w:left w:val="nil"/>
              <w:bottom w:val="single" w:color="auto" w:sz="8" w:space="0"/>
              <w:right w:val="single" w:color="auto" w:sz="8" w:space="0"/>
            </w:tcBorders>
            <w:noWrap w:val="0"/>
            <w:vAlign w:val="center"/>
          </w:tcPr>
          <w:p w14:paraId="5FE419DF">
            <w:pPr>
              <w:keepNext w:val="0"/>
              <w:keepLines w:val="0"/>
              <w:pageBreakBefore w:val="0"/>
              <w:widowControl/>
              <w:kinsoku/>
              <w:wordWrap/>
              <w:overflowPunct/>
              <w:topLinePunct w:val="0"/>
              <w:autoSpaceDE/>
              <w:autoSpaceDN/>
              <w:bidi w:val="0"/>
              <w:snapToGrid/>
              <w:spacing w:line="312" w:lineRule="auto"/>
              <w:jc w:val="both"/>
              <w:rPr>
                <w:rFonts w:hint="default" w:ascii="宋体" w:hAnsi="宋体" w:eastAsia="宋体" w:cs="宋体"/>
                <w:color w:val="auto"/>
                <w:kern w:val="0"/>
                <w:szCs w:val="21"/>
                <w:lang w:val="en-US" w:eastAsia="zh-CN"/>
              </w:rPr>
            </w:pPr>
            <w:r>
              <w:rPr>
                <w:rFonts w:hint="eastAsia" w:ascii="宋体" w:hAnsi="宋体" w:cs="宋体"/>
                <w:color w:val="auto"/>
                <w:kern w:val="0"/>
                <w:szCs w:val="21"/>
                <w:lang w:val="en-US" w:eastAsia="zh-CN"/>
              </w:rPr>
              <w:t>7.8</w:t>
            </w:r>
          </w:p>
        </w:tc>
        <w:tc>
          <w:tcPr>
            <w:tcW w:w="7153" w:type="dxa"/>
            <w:tcBorders>
              <w:top w:val="nil"/>
              <w:left w:val="nil"/>
              <w:bottom w:val="single" w:color="auto" w:sz="8" w:space="0"/>
              <w:right w:val="single" w:color="auto" w:sz="8" w:space="0"/>
            </w:tcBorders>
            <w:noWrap w:val="0"/>
            <w:vAlign w:val="center"/>
          </w:tcPr>
          <w:p w14:paraId="6311A918">
            <w:pPr>
              <w:keepNext w:val="0"/>
              <w:keepLines w:val="0"/>
              <w:pageBreakBefore w:val="0"/>
              <w:widowControl/>
              <w:kinsoku/>
              <w:wordWrap/>
              <w:overflowPunct/>
              <w:topLinePunct w:val="0"/>
              <w:autoSpaceDE/>
              <w:autoSpaceDN/>
              <w:bidi w:val="0"/>
              <w:snapToGrid/>
              <w:spacing w:line="312" w:lineRule="auto"/>
              <w:jc w:val="both"/>
              <w:rPr>
                <w:rFonts w:ascii="宋体" w:hAnsi="宋体" w:cs="宋体"/>
                <w:color w:val="FF0000"/>
                <w:kern w:val="0"/>
                <w:szCs w:val="21"/>
              </w:rPr>
            </w:pPr>
            <w:r>
              <w:rPr>
                <w:rFonts w:hint="eastAsia" w:ascii="宋体" w:hAnsi="宋体" w:eastAsia="宋体" w:cs="宋体"/>
                <w:sz w:val="21"/>
                <w:szCs w:val="21"/>
                <w:lang w:val="en-US" w:eastAsia="zh-CN"/>
              </w:rPr>
              <w:t>支持对离体固定时间异常的校验机制，不符合设定的标本将予以提示</w:t>
            </w:r>
            <w:r>
              <w:rPr>
                <w:rFonts w:hint="eastAsia" w:ascii="宋体" w:hAnsi="宋体" w:eastAsia="宋体" w:cs="宋体"/>
                <w:sz w:val="21"/>
                <w:szCs w:val="21"/>
                <w:lang w:eastAsia="zh-CN"/>
              </w:rPr>
              <w:t>；</w:t>
            </w:r>
          </w:p>
        </w:tc>
      </w:tr>
      <w:tr w14:paraId="5173461B">
        <w:tblPrEx>
          <w:tblCellMar>
            <w:top w:w="0" w:type="dxa"/>
            <w:left w:w="108" w:type="dxa"/>
            <w:bottom w:w="0" w:type="dxa"/>
            <w:right w:w="108" w:type="dxa"/>
          </w:tblCellMar>
        </w:tblPrEx>
        <w:trPr>
          <w:trHeight w:val="420" w:hRule="atLeast"/>
          <w:jc w:val="center"/>
        </w:trPr>
        <w:tc>
          <w:tcPr>
            <w:tcW w:w="1762" w:type="dxa"/>
            <w:vMerge w:val="continue"/>
            <w:tcBorders>
              <w:left w:val="single" w:color="auto" w:sz="8" w:space="0"/>
              <w:bottom w:val="single" w:color="000000" w:sz="8" w:space="0"/>
              <w:right w:val="single" w:color="auto" w:sz="8" w:space="0"/>
            </w:tcBorders>
            <w:noWrap w:val="0"/>
            <w:vAlign w:val="center"/>
          </w:tcPr>
          <w:p w14:paraId="577A443B">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b/>
                <w:bCs/>
                <w:color w:val="auto"/>
                <w:kern w:val="0"/>
                <w:sz w:val="21"/>
                <w:szCs w:val="21"/>
              </w:rPr>
            </w:pPr>
          </w:p>
        </w:tc>
        <w:tc>
          <w:tcPr>
            <w:tcW w:w="944" w:type="dxa"/>
            <w:tcBorders>
              <w:top w:val="nil"/>
              <w:left w:val="nil"/>
              <w:bottom w:val="single" w:color="auto" w:sz="8" w:space="0"/>
              <w:right w:val="single" w:color="auto" w:sz="8" w:space="0"/>
            </w:tcBorders>
            <w:noWrap w:val="0"/>
            <w:vAlign w:val="center"/>
          </w:tcPr>
          <w:p w14:paraId="6BF7F881">
            <w:pPr>
              <w:keepNext w:val="0"/>
              <w:keepLines w:val="0"/>
              <w:pageBreakBefore w:val="0"/>
              <w:widowControl/>
              <w:kinsoku/>
              <w:wordWrap/>
              <w:overflowPunct/>
              <w:topLinePunct w:val="0"/>
              <w:autoSpaceDE/>
              <w:autoSpaceDN/>
              <w:bidi w:val="0"/>
              <w:snapToGrid/>
              <w:spacing w:line="312" w:lineRule="auto"/>
              <w:jc w:val="both"/>
              <w:rPr>
                <w:rFonts w:hint="default" w:ascii="宋体" w:hAnsi="宋体" w:eastAsia="宋体" w:cs="宋体"/>
                <w:color w:val="auto"/>
                <w:kern w:val="0"/>
                <w:szCs w:val="21"/>
                <w:lang w:val="en-US" w:eastAsia="zh-CN"/>
              </w:rPr>
            </w:pPr>
            <w:r>
              <w:rPr>
                <w:rFonts w:hint="eastAsia" w:ascii="宋体" w:hAnsi="宋体" w:cs="宋体"/>
                <w:color w:val="auto"/>
                <w:kern w:val="0"/>
                <w:szCs w:val="21"/>
                <w:lang w:val="en-US" w:eastAsia="zh-CN"/>
              </w:rPr>
              <w:t>7.9</w:t>
            </w:r>
          </w:p>
        </w:tc>
        <w:tc>
          <w:tcPr>
            <w:tcW w:w="7153" w:type="dxa"/>
            <w:tcBorders>
              <w:top w:val="nil"/>
              <w:left w:val="nil"/>
              <w:bottom w:val="single" w:color="auto" w:sz="8" w:space="0"/>
              <w:right w:val="single" w:color="auto" w:sz="8" w:space="0"/>
            </w:tcBorders>
            <w:noWrap w:val="0"/>
            <w:vAlign w:val="center"/>
          </w:tcPr>
          <w:p w14:paraId="27956BF3">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color w:val="FF0000"/>
                <w:kern w:val="0"/>
                <w:szCs w:val="21"/>
                <w:lang w:eastAsia="zh-CN"/>
              </w:rPr>
            </w:pPr>
            <w:r>
              <w:rPr>
                <w:rFonts w:hint="eastAsia" w:ascii="宋体" w:hAnsi="宋体" w:eastAsia="宋体" w:cs="宋体"/>
                <w:sz w:val="21"/>
                <w:szCs w:val="21"/>
                <w:lang w:val="en-US" w:eastAsia="zh-CN"/>
              </w:rPr>
              <w:t>支持对已接收的申请单进行标本追加操作</w:t>
            </w:r>
            <w:r>
              <w:rPr>
                <w:rFonts w:hint="eastAsia" w:ascii="宋体" w:hAnsi="宋体" w:eastAsia="宋体" w:cs="宋体"/>
                <w:sz w:val="21"/>
                <w:szCs w:val="21"/>
                <w:lang w:eastAsia="zh-CN"/>
              </w:rPr>
              <w:t>。</w:t>
            </w:r>
          </w:p>
        </w:tc>
      </w:tr>
      <w:tr w14:paraId="6F0F4F6B">
        <w:tblPrEx>
          <w:tblCellMar>
            <w:top w:w="0" w:type="dxa"/>
            <w:left w:w="108" w:type="dxa"/>
            <w:bottom w:w="0" w:type="dxa"/>
            <w:right w:w="108" w:type="dxa"/>
          </w:tblCellMar>
        </w:tblPrEx>
        <w:trPr>
          <w:trHeight w:val="420" w:hRule="atLeast"/>
          <w:jc w:val="center"/>
        </w:trPr>
        <w:tc>
          <w:tcPr>
            <w:tcW w:w="1762" w:type="dxa"/>
            <w:tcBorders>
              <w:left w:val="single" w:color="auto" w:sz="8" w:space="0"/>
              <w:bottom w:val="single" w:color="000000" w:sz="8" w:space="0"/>
              <w:right w:val="single" w:color="auto" w:sz="8" w:space="0"/>
            </w:tcBorders>
            <w:noWrap w:val="0"/>
            <w:vAlign w:val="center"/>
          </w:tcPr>
          <w:p w14:paraId="55C86F1B">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lang w:val="en-US" w:eastAsia="zh-CN"/>
              </w:rPr>
              <w:t>8.</w:t>
            </w:r>
            <w:r>
              <w:rPr>
                <w:rFonts w:hint="eastAsia" w:ascii="宋体" w:hAnsi="宋体" w:eastAsia="宋体" w:cs="宋体"/>
                <w:b/>
                <w:bCs/>
                <w:color w:val="auto"/>
                <w:kern w:val="0"/>
                <w:sz w:val="21"/>
                <w:szCs w:val="21"/>
              </w:rPr>
              <w:t>冰冻预约</w:t>
            </w:r>
          </w:p>
        </w:tc>
        <w:tc>
          <w:tcPr>
            <w:tcW w:w="944" w:type="dxa"/>
            <w:tcBorders>
              <w:top w:val="nil"/>
              <w:left w:val="nil"/>
              <w:bottom w:val="single" w:color="auto" w:sz="8" w:space="0"/>
              <w:right w:val="single" w:color="auto" w:sz="8" w:space="0"/>
            </w:tcBorders>
            <w:noWrap w:val="0"/>
            <w:vAlign w:val="center"/>
          </w:tcPr>
          <w:p w14:paraId="6537AB25">
            <w:pPr>
              <w:keepNext w:val="0"/>
              <w:keepLines w:val="0"/>
              <w:pageBreakBefore w:val="0"/>
              <w:widowControl/>
              <w:kinsoku/>
              <w:wordWrap/>
              <w:overflowPunct/>
              <w:topLinePunct w:val="0"/>
              <w:autoSpaceDE/>
              <w:autoSpaceDN/>
              <w:bidi w:val="0"/>
              <w:snapToGrid/>
              <w:spacing w:line="312" w:lineRule="auto"/>
              <w:jc w:val="both"/>
              <w:rPr>
                <w:rFonts w:hint="default" w:ascii="宋体" w:hAnsi="宋体" w:cs="宋体"/>
                <w:color w:val="auto"/>
                <w:kern w:val="0"/>
                <w:szCs w:val="21"/>
                <w:lang w:val="en-US" w:eastAsia="zh-CN"/>
              </w:rPr>
            </w:pPr>
            <w:r>
              <w:rPr>
                <w:rFonts w:hint="eastAsia" w:ascii="宋体" w:hAnsi="宋体" w:cs="宋体"/>
                <w:color w:val="auto"/>
                <w:kern w:val="0"/>
                <w:szCs w:val="21"/>
                <w:lang w:val="en-US" w:eastAsia="zh-CN"/>
              </w:rPr>
              <w:t>8.1</w:t>
            </w:r>
          </w:p>
        </w:tc>
        <w:tc>
          <w:tcPr>
            <w:tcW w:w="7153" w:type="dxa"/>
            <w:tcBorders>
              <w:top w:val="nil"/>
              <w:left w:val="nil"/>
              <w:bottom w:val="single" w:color="auto" w:sz="8" w:space="0"/>
              <w:right w:val="single" w:color="auto" w:sz="8" w:space="0"/>
            </w:tcBorders>
            <w:noWrap w:val="0"/>
            <w:vAlign w:val="center"/>
          </w:tcPr>
          <w:p w14:paraId="2B8E363D">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病理申请单冰冻预约列表，可以查询到具体冰冻流程的预约信息。</w:t>
            </w:r>
          </w:p>
        </w:tc>
      </w:tr>
      <w:tr w14:paraId="1B2D8D85">
        <w:tblPrEx>
          <w:tblCellMar>
            <w:top w:w="0" w:type="dxa"/>
            <w:left w:w="108" w:type="dxa"/>
            <w:bottom w:w="0" w:type="dxa"/>
            <w:right w:w="108" w:type="dxa"/>
          </w:tblCellMar>
        </w:tblPrEx>
        <w:trPr>
          <w:trHeight w:val="420" w:hRule="atLeast"/>
          <w:jc w:val="center"/>
        </w:trPr>
        <w:tc>
          <w:tcPr>
            <w:tcW w:w="1762" w:type="dxa"/>
            <w:vMerge w:val="restart"/>
            <w:tcBorders>
              <w:top w:val="nil"/>
              <w:left w:val="single" w:color="auto" w:sz="4" w:space="0"/>
              <w:right w:val="single" w:color="auto" w:sz="8" w:space="0"/>
            </w:tcBorders>
            <w:noWrap w:val="0"/>
            <w:vAlign w:val="center"/>
          </w:tcPr>
          <w:p w14:paraId="5191C706">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b/>
                <w:bCs/>
                <w:color w:val="auto"/>
                <w:kern w:val="0"/>
                <w:sz w:val="21"/>
                <w:szCs w:val="21"/>
                <w:lang w:val="en-US" w:eastAsia="zh-CN"/>
              </w:rPr>
            </w:pPr>
            <w:r>
              <w:rPr>
                <w:rFonts w:hint="eastAsia" w:ascii="宋体" w:hAnsi="宋体" w:eastAsia="宋体" w:cs="宋体"/>
                <w:b/>
                <w:bCs/>
                <w:color w:val="auto"/>
                <w:kern w:val="0"/>
                <w:sz w:val="21"/>
                <w:szCs w:val="21"/>
                <w:lang w:val="en-US" w:eastAsia="zh-CN"/>
              </w:rPr>
              <w:t>9.</w:t>
            </w:r>
            <w:r>
              <w:rPr>
                <w:rFonts w:hint="eastAsia" w:ascii="宋体" w:hAnsi="宋体" w:eastAsia="宋体" w:cs="宋体"/>
                <w:b/>
                <w:bCs/>
                <w:color w:val="auto"/>
                <w:sz w:val="21"/>
                <w:szCs w:val="21"/>
              </w:rPr>
              <w:t>报告中心</w:t>
            </w:r>
          </w:p>
        </w:tc>
        <w:tc>
          <w:tcPr>
            <w:tcW w:w="944" w:type="dxa"/>
            <w:tcBorders>
              <w:top w:val="nil"/>
              <w:left w:val="nil"/>
              <w:bottom w:val="single" w:color="auto" w:sz="8" w:space="0"/>
              <w:right w:val="single" w:color="auto" w:sz="8" w:space="0"/>
            </w:tcBorders>
            <w:noWrap w:val="0"/>
            <w:vAlign w:val="center"/>
          </w:tcPr>
          <w:p w14:paraId="35439F1F">
            <w:pPr>
              <w:keepNext w:val="0"/>
              <w:keepLines w:val="0"/>
              <w:pageBreakBefore w:val="0"/>
              <w:widowControl/>
              <w:kinsoku/>
              <w:wordWrap/>
              <w:overflowPunct/>
              <w:topLinePunct w:val="0"/>
              <w:autoSpaceDE/>
              <w:autoSpaceDN/>
              <w:bidi w:val="0"/>
              <w:snapToGrid/>
              <w:spacing w:line="312" w:lineRule="auto"/>
              <w:jc w:val="both"/>
              <w:rPr>
                <w:rFonts w:hint="default" w:ascii="宋体" w:hAnsi="宋体" w:eastAsia="宋体" w:cs="宋体"/>
                <w:color w:val="auto"/>
                <w:kern w:val="0"/>
                <w:szCs w:val="21"/>
                <w:lang w:val="en-US" w:eastAsia="zh-CN"/>
              </w:rPr>
            </w:pPr>
            <w:r>
              <w:rPr>
                <w:rFonts w:hint="eastAsia" w:ascii="宋体" w:hAnsi="宋体" w:cs="宋体"/>
                <w:color w:val="auto"/>
                <w:kern w:val="0"/>
                <w:szCs w:val="21"/>
                <w:lang w:val="en-US" w:eastAsia="zh-CN"/>
              </w:rPr>
              <w:t>9.1</w:t>
            </w:r>
          </w:p>
        </w:tc>
        <w:tc>
          <w:tcPr>
            <w:tcW w:w="7153" w:type="dxa"/>
            <w:tcBorders>
              <w:top w:val="nil"/>
              <w:left w:val="nil"/>
              <w:bottom w:val="single" w:color="auto" w:sz="8" w:space="0"/>
              <w:right w:val="single" w:color="auto" w:sz="8" w:space="0"/>
            </w:tcBorders>
            <w:noWrap w:val="0"/>
            <w:vAlign w:val="center"/>
          </w:tcPr>
          <w:p w14:paraId="2AA8FBB0">
            <w:pPr>
              <w:keepNext w:val="0"/>
              <w:keepLines w:val="0"/>
              <w:pageBreakBefore w:val="0"/>
              <w:kinsoku/>
              <w:wordWrap/>
              <w:overflowPunct/>
              <w:topLinePunct w:val="0"/>
              <w:autoSpaceDE/>
              <w:autoSpaceDN/>
              <w:bidi w:val="0"/>
              <w:snapToGrid/>
              <w:spacing w:line="312" w:lineRule="auto"/>
              <w:jc w:val="both"/>
              <w:rPr>
                <w:rFonts w:ascii="宋体" w:hAnsi="宋体" w:cs="宋体"/>
                <w:color w:val="FF0000"/>
                <w:kern w:val="0"/>
                <w:szCs w:val="21"/>
              </w:rPr>
            </w:pPr>
            <w:r>
              <w:rPr>
                <w:rFonts w:hint="eastAsia" w:ascii="宋体" w:hAnsi="宋体" w:eastAsia="宋体" w:cs="宋体"/>
                <w:sz w:val="21"/>
                <w:szCs w:val="21"/>
                <w:lang w:val="en-US" w:eastAsia="zh-CN"/>
              </w:rPr>
              <w:t>支持以多条件进行诊断报告的联合查询</w:t>
            </w:r>
            <w:r>
              <w:rPr>
                <w:rFonts w:hint="eastAsia" w:ascii="宋体" w:hAnsi="宋体" w:eastAsia="宋体" w:cs="宋体"/>
                <w:sz w:val="21"/>
                <w:szCs w:val="21"/>
                <w:lang w:eastAsia="zh-CN"/>
              </w:rPr>
              <w:t>；</w:t>
            </w:r>
          </w:p>
        </w:tc>
      </w:tr>
      <w:tr w14:paraId="111738C0">
        <w:tblPrEx>
          <w:tblCellMar>
            <w:top w:w="0" w:type="dxa"/>
            <w:left w:w="108" w:type="dxa"/>
            <w:bottom w:w="0" w:type="dxa"/>
            <w:right w:w="108" w:type="dxa"/>
          </w:tblCellMar>
        </w:tblPrEx>
        <w:trPr>
          <w:trHeight w:val="420" w:hRule="atLeast"/>
          <w:jc w:val="center"/>
        </w:trPr>
        <w:tc>
          <w:tcPr>
            <w:tcW w:w="1762" w:type="dxa"/>
            <w:vMerge w:val="continue"/>
            <w:tcBorders>
              <w:left w:val="single" w:color="auto" w:sz="4" w:space="0"/>
              <w:bottom w:val="single" w:color="auto" w:sz="4" w:space="0"/>
              <w:right w:val="single" w:color="auto" w:sz="8" w:space="0"/>
            </w:tcBorders>
            <w:noWrap w:val="0"/>
            <w:vAlign w:val="center"/>
          </w:tcPr>
          <w:p w14:paraId="73AEA3DB">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b/>
                <w:bCs/>
                <w:color w:val="auto"/>
                <w:kern w:val="0"/>
                <w:sz w:val="21"/>
                <w:szCs w:val="21"/>
              </w:rPr>
            </w:pPr>
          </w:p>
        </w:tc>
        <w:tc>
          <w:tcPr>
            <w:tcW w:w="944" w:type="dxa"/>
            <w:tcBorders>
              <w:top w:val="nil"/>
              <w:left w:val="nil"/>
              <w:bottom w:val="single" w:color="auto" w:sz="4" w:space="0"/>
              <w:right w:val="single" w:color="auto" w:sz="8" w:space="0"/>
            </w:tcBorders>
            <w:noWrap w:val="0"/>
            <w:vAlign w:val="center"/>
          </w:tcPr>
          <w:p w14:paraId="7DF33984">
            <w:pPr>
              <w:keepNext w:val="0"/>
              <w:keepLines w:val="0"/>
              <w:pageBreakBefore w:val="0"/>
              <w:widowControl/>
              <w:kinsoku/>
              <w:wordWrap/>
              <w:overflowPunct/>
              <w:topLinePunct w:val="0"/>
              <w:autoSpaceDE/>
              <w:autoSpaceDN/>
              <w:bidi w:val="0"/>
              <w:snapToGrid/>
              <w:spacing w:line="312" w:lineRule="auto"/>
              <w:jc w:val="both"/>
              <w:rPr>
                <w:rFonts w:hint="default" w:ascii="宋体" w:hAnsi="宋体" w:eastAsia="宋体" w:cs="宋体"/>
                <w:color w:val="auto"/>
                <w:kern w:val="0"/>
                <w:szCs w:val="21"/>
                <w:lang w:val="en-US" w:eastAsia="zh-CN"/>
              </w:rPr>
            </w:pPr>
            <w:r>
              <w:rPr>
                <w:rFonts w:hint="eastAsia" w:ascii="宋体" w:hAnsi="宋体" w:cs="宋体"/>
                <w:color w:val="auto"/>
                <w:kern w:val="0"/>
                <w:szCs w:val="21"/>
                <w:lang w:val="en-US" w:eastAsia="zh-CN"/>
              </w:rPr>
              <w:t>9.2</w:t>
            </w:r>
          </w:p>
        </w:tc>
        <w:tc>
          <w:tcPr>
            <w:tcW w:w="7153" w:type="dxa"/>
            <w:tcBorders>
              <w:top w:val="nil"/>
              <w:left w:val="nil"/>
              <w:bottom w:val="single" w:color="auto" w:sz="8" w:space="0"/>
              <w:right w:val="single" w:color="auto" w:sz="8" w:space="0"/>
            </w:tcBorders>
            <w:noWrap w:val="0"/>
            <w:vAlign w:val="center"/>
          </w:tcPr>
          <w:p w14:paraId="75F9B638">
            <w:pPr>
              <w:keepNext w:val="0"/>
              <w:keepLines w:val="0"/>
              <w:pageBreakBefore w:val="0"/>
              <w:widowControl/>
              <w:kinsoku/>
              <w:wordWrap/>
              <w:overflowPunct/>
              <w:topLinePunct w:val="0"/>
              <w:autoSpaceDE/>
              <w:autoSpaceDN/>
              <w:bidi w:val="0"/>
              <w:snapToGrid/>
              <w:spacing w:line="312" w:lineRule="auto"/>
              <w:jc w:val="both"/>
              <w:rPr>
                <w:rFonts w:ascii="宋体" w:hAnsi="宋体" w:cs="宋体"/>
                <w:color w:val="FF0000"/>
                <w:kern w:val="0"/>
                <w:szCs w:val="21"/>
              </w:rPr>
            </w:pPr>
            <w:r>
              <w:rPr>
                <w:rFonts w:hint="eastAsia" w:ascii="宋体" w:hAnsi="宋体" w:eastAsia="宋体" w:cs="宋体"/>
                <w:sz w:val="21"/>
                <w:szCs w:val="21"/>
                <w:lang w:val="en-US" w:eastAsia="zh-CN"/>
              </w:rPr>
              <w:t>支持阅读查看对应申请单的诊断报告</w:t>
            </w:r>
            <w:r>
              <w:rPr>
                <w:rFonts w:hint="eastAsia" w:ascii="宋体" w:hAnsi="宋体" w:eastAsia="宋体" w:cs="宋体"/>
                <w:sz w:val="21"/>
                <w:szCs w:val="21"/>
                <w:lang w:eastAsia="zh-CN"/>
              </w:rPr>
              <w:t>；</w:t>
            </w:r>
          </w:p>
        </w:tc>
      </w:tr>
      <w:tr w14:paraId="4B8F8355">
        <w:tblPrEx>
          <w:tblCellMar>
            <w:top w:w="0" w:type="dxa"/>
            <w:left w:w="108" w:type="dxa"/>
            <w:bottom w:w="0" w:type="dxa"/>
            <w:right w:w="108" w:type="dxa"/>
          </w:tblCellMar>
        </w:tblPrEx>
        <w:trPr>
          <w:trHeight w:val="420" w:hRule="atLeast"/>
          <w:jc w:val="center"/>
        </w:trPr>
        <w:tc>
          <w:tcPr>
            <w:tcW w:w="1762" w:type="dxa"/>
            <w:vMerge w:val="continue"/>
            <w:tcBorders>
              <w:top w:val="single" w:color="auto" w:sz="4" w:space="0"/>
              <w:left w:val="single" w:color="auto" w:sz="4" w:space="0"/>
              <w:bottom w:val="single" w:color="auto" w:sz="4" w:space="0"/>
              <w:right w:val="single" w:color="auto" w:sz="4" w:space="0"/>
            </w:tcBorders>
            <w:noWrap w:val="0"/>
            <w:vAlign w:val="center"/>
          </w:tcPr>
          <w:p w14:paraId="2A217212">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b/>
                <w:bCs/>
                <w:color w:val="auto"/>
                <w:kern w:val="0"/>
                <w:sz w:val="21"/>
                <w:szCs w:val="21"/>
              </w:rPr>
            </w:pPr>
          </w:p>
        </w:tc>
        <w:tc>
          <w:tcPr>
            <w:tcW w:w="944" w:type="dxa"/>
            <w:tcBorders>
              <w:top w:val="single" w:color="auto" w:sz="4" w:space="0"/>
              <w:left w:val="single" w:color="auto" w:sz="4" w:space="0"/>
              <w:bottom w:val="single" w:color="auto" w:sz="4" w:space="0"/>
              <w:right w:val="single" w:color="auto" w:sz="4" w:space="0"/>
            </w:tcBorders>
            <w:noWrap w:val="0"/>
            <w:vAlign w:val="center"/>
          </w:tcPr>
          <w:p w14:paraId="3C464CD6">
            <w:pPr>
              <w:keepNext w:val="0"/>
              <w:keepLines w:val="0"/>
              <w:pageBreakBefore w:val="0"/>
              <w:widowControl/>
              <w:kinsoku/>
              <w:wordWrap/>
              <w:overflowPunct/>
              <w:topLinePunct w:val="0"/>
              <w:autoSpaceDE/>
              <w:autoSpaceDN/>
              <w:bidi w:val="0"/>
              <w:snapToGrid/>
              <w:spacing w:line="312" w:lineRule="auto"/>
              <w:jc w:val="both"/>
              <w:rPr>
                <w:rFonts w:hint="default" w:ascii="宋体" w:hAnsi="宋体" w:eastAsia="宋体" w:cs="宋体"/>
                <w:color w:val="auto"/>
                <w:kern w:val="0"/>
                <w:szCs w:val="21"/>
                <w:lang w:val="en-US" w:eastAsia="zh-CN"/>
              </w:rPr>
            </w:pPr>
            <w:r>
              <w:rPr>
                <w:rFonts w:hint="eastAsia" w:ascii="宋体" w:hAnsi="宋体" w:cs="宋体"/>
                <w:color w:val="auto"/>
                <w:kern w:val="0"/>
                <w:szCs w:val="21"/>
                <w:lang w:val="en-US" w:eastAsia="zh-CN"/>
              </w:rPr>
              <w:t>9.3</w:t>
            </w:r>
          </w:p>
        </w:tc>
        <w:tc>
          <w:tcPr>
            <w:tcW w:w="7153" w:type="dxa"/>
            <w:tcBorders>
              <w:top w:val="nil"/>
              <w:left w:val="single" w:color="auto" w:sz="4" w:space="0"/>
              <w:bottom w:val="single" w:color="auto" w:sz="8" w:space="0"/>
              <w:right w:val="single" w:color="auto" w:sz="8" w:space="0"/>
            </w:tcBorders>
            <w:noWrap w:val="0"/>
            <w:vAlign w:val="center"/>
          </w:tcPr>
          <w:p w14:paraId="54CD4CAB">
            <w:pPr>
              <w:keepNext w:val="0"/>
              <w:keepLines w:val="0"/>
              <w:pageBreakBefore w:val="0"/>
              <w:widowControl/>
              <w:kinsoku/>
              <w:wordWrap/>
              <w:overflowPunct/>
              <w:topLinePunct w:val="0"/>
              <w:autoSpaceDE/>
              <w:autoSpaceDN/>
              <w:bidi w:val="0"/>
              <w:snapToGrid/>
              <w:spacing w:line="312" w:lineRule="auto"/>
              <w:jc w:val="both"/>
              <w:rPr>
                <w:rFonts w:ascii="宋体" w:hAnsi="宋体" w:cs="宋体"/>
                <w:color w:val="FF0000"/>
                <w:kern w:val="0"/>
                <w:szCs w:val="21"/>
              </w:rPr>
            </w:pPr>
            <w:r>
              <w:rPr>
                <w:rFonts w:hint="eastAsia" w:ascii="宋体" w:hAnsi="宋体" w:eastAsia="宋体" w:cs="宋体"/>
                <w:sz w:val="21"/>
                <w:szCs w:val="21"/>
                <w:lang w:val="en-US" w:eastAsia="zh-CN"/>
              </w:rPr>
              <w:t>支持手动确认阅读诊断报告</w:t>
            </w:r>
            <w:r>
              <w:rPr>
                <w:rFonts w:hint="eastAsia" w:ascii="宋体" w:hAnsi="宋体" w:eastAsia="宋体" w:cs="宋体"/>
                <w:sz w:val="21"/>
                <w:szCs w:val="21"/>
                <w:lang w:eastAsia="zh-CN"/>
              </w:rPr>
              <w:t>；</w:t>
            </w:r>
          </w:p>
        </w:tc>
      </w:tr>
      <w:tr w14:paraId="4A108726">
        <w:tblPrEx>
          <w:tblCellMar>
            <w:top w:w="0" w:type="dxa"/>
            <w:left w:w="108" w:type="dxa"/>
            <w:bottom w:w="0" w:type="dxa"/>
            <w:right w:w="108" w:type="dxa"/>
          </w:tblCellMar>
        </w:tblPrEx>
        <w:trPr>
          <w:trHeight w:val="420" w:hRule="atLeast"/>
          <w:jc w:val="center"/>
        </w:trPr>
        <w:tc>
          <w:tcPr>
            <w:tcW w:w="1762" w:type="dxa"/>
            <w:vMerge w:val="continue"/>
            <w:tcBorders>
              <w:top w:val="single" w:color="auto" w:sz="4" w:space="0"/>
              <w:left w:val="single" w:color="auto" w:sz="4" w:space="0"/>
              <w:bottom w:val="single" w:color="auto" w:sz="4" w:space="0"/>
              <w:right w:val="single" w:color="auto" w:sz="4" w:space="0"/>
            </w:tcBorders>
            <w:noWrap w:val="0"/>
            <w:vAlign w:val="center"/>
          </w:tcPr>
          <w:p w14:paraId="147A63C7">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b/>
                <w:bCs/>
                <w:color w:val="auto"/>
                <w:kern w:val="0"/>
                <w:sz w:val="21"/>
                <w:szCs w:val="21"/>
              </w:rPr>
            </w:pPr>
          </w:p>
        </w:tc>
        <w:tc>
          <w:tcPr>
            <w:tcW w:w="944" w:type="dxa"/>
            <w:tcBorders>
              <w:top w:val="single" w:color="auto" w:sz="4" w:space="0"/>
              <w:left w:val="single" w:color="auto" w:sz="4" w:space="0"/>
              <w:bottom w:val="single" w:color="auto" w:sz="4" w:space="0"/>
              <w:right w:val="single" w:color="auto" w:sz="4" w:space="0"/>
            </w:tcBorders>
            <w:noWrap w:val="0"/>
            <w:vAlign w:val="center"/>
          </w:tcPr>
          <w:p w14:paraId="41BB635E">
            <w:pPr>
              <w:keepNext w:val="0"/>
              <w:keepLines w:val="0"/>
              <w:pageBreakBefore w:val="0"/>
              <w:widowControl/>
              <w:kinsoku/>
              <w:wordWrap/>
              <w:overflowPunct/>
              <w:topLinePunct w:val="0"/>
              <w:autoSpaceDE/>
              <w:autoSpaceDN/>
              <w:bidi w:val="0"/>
              <w:snapToGrid/>
              <w:spacing w:line="312" w:lineRule="auto"/>
              <w:jc w:val="both"/>
              <w:rPr>
                <w:rFonts w:hint="default" w:ascii="宋体" w:hAnsi="宋体" w:eastAsia="宋体" w:cs="宋体"/>
                <w:color w:val="auto"/>
                <w:kern w:val="0"/>
                <w:szCs w:val="21"/>
                <w:lang w:val="en-US" w:eastAsia="zh-CN"/>
              </w:rPr>
            </w:pPr>
            <w:r>
              <w:rPr>
                <w:rFonts w:hint="eastAsia" w:ascii="宋体" w:hAnsi="宋体" w:cs="宋体"/>
                <w:color w:val="auto"/>
                <w:kern w:val="0"/>
                <w:szCs w:val="21"/>
                <w:lang w:val="en-US" w:eastAsia="zh-CN"/>
              </w:rPr>
              <w:t>9.4</w:t>
            </w:r>
          </w:p>
        </w:tc>
        <w:tc>
          <w:tcPr>
            <w:tcW w:w="7153" w:type="dxa"/>
            <w:tcBorders>
              <w:top w:val="nil"/>
              <w:left w:val="single" w:color="auto" w:sz="4" w:space="0"/>
              <w:bottom w:val="single" w:color="auto" w:sz="8" w:space="0"/>
              <w:right w:val="single" w:color="auto" w:sz="8" w:space="0"/>
            </w:tcBorders>
            <w:noWrap w:val="0"/>
            <w:vAlign w:val="center"/>
          </w:tcPr>
          <w:p w14:paraId="386EC999">
            <w:pPr>
              <w:keepNext w:val="0"/>
              <w:keepLines w:val="0"/>
              <w:pageBreakBefore w:val="0"/>
              <w:widowControl/>
              <w:kinsoku/>
              <w:wordWrap/>
              <w:overflowPunct/>
              <w:topLinePunct w:val="0"/>
              <w:autoSpaceDE/>
              <w:autoSpaceDN/>
              <w:bidi w:val="0"/>
              <w:snapToGrid/>
              <w:spacing w:line="312" w:lineRule="auto"/>
              <w:jc w:val="both"/>
              <w:rPr>
                <w:rFonts w:ascii="宋体" w:hAnsi="宋体" w:cs="宋体"/>
                <w:color w:val="FF0000"/>
                <w:kern w:val="0"/>
                <w:szCs w:val="21"/>
              </w:rPr>
            </w:pPr>
            <w:r>
              <w:rPr>
                <w:rFonts w:hint="eastAsia" w:ascii="宋体" w:hAnsi="宋体" w:eastAsia="宋体" w:cs="宋体"/>
                <w:sz w:val="21"/>
                <w:szCs w:val="21"/>
                <w:lang w:val="en-US" w:eastAsia="zh-CN"/>
              </w:rPr>
              <w:t>系统支持对报告签发进行提示，并支持对重复签发报告的信息更新</w:t>
            </w:r>
            <w:r>
              <w:rPr>
                <w:rFonts w:hint="eastAsia" w:ascii="宋体" w:hAnsi="宋体" w:eastAsia="宋体" w:cs="宋体"/>
                <w:sz w:val="21"/>
                <w:szCs w:val="21"/>
                <w:lang w:eastAsia="zh-CN"/>
              </w:rPr>
              <w:t>；</w:t>
            </w:r>
          </w:p>
        </w:tc>
      </w:tr>
      <w:tr w14:paraId="57B1F0BC">
        <w:tblPrEx>
          <w:tblCellMar>
            <w:top w:w="0" w:type="dxa"/>
            <w:left w:w="108" w:type="dxa"/>
            <w:bottom w:w="0" w:type="dxa"/>
            <w:right w:w="108" w:type="dxa"/>
          </w:tblCellMar>
        </w:tblPrEx>
        <w:trPr>
          <w:trHeight w:val="420" w:hRule="atLeast"/>
          <w:jc w:val="center"/>
        </w:trPr>
        <w:tc>
          <w:tcPr>
            <w:tcW w:w="1762" w:type="dxa"/>
            <w:vMerge w:val="restart"/>
            <w:tcBorders>
              <w:top w:val="single" w:color="auto" w:sz="4" w:space="0"/>
              <w:left w:val="single" w:color="auto" w:sz="4" w:space="0"/>
              <w:bottom w:val="single" w:color="auto" w:sz="4" w:space="0"/>
              <w:right w:val="single" w:color="auto" w:sz="4" w:space="0"/>
            </w:tcBorders>
            <w:noWrap w:val="0"/>
            <w:vAlign w:val="center"/>
          </w:tcPr>
          <w:p w14:paraId="305AC486">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b/>
                <w:bCs/>
                <w:color w:val="auto"/>
                <w:kern w:val="0"/>
                <w:sz w:val="21"/>
                <w:szCs w:val="21"/>
                <w:lang w:val="en-US" w:eastAsia="zh-CN"/>
              </w:rPr>
            </w:pPr>
            <w:r>
              <w:rPr>
                <w:rFonts w:hint="eastAsia" w:ascii="宋体" w:hAnsi="宋体" w:eastAsia="宋体" w:cs="宋体"/>
                <w:b/>
                <w:bCs/>
                <w:color w:val="auto"/>
                <w:kern w:val="0"/>
                <w:sz w:val="21"/>
                <w:szCs w:val="21"/>
                <w:lang w:val="en-US" w:eastAsia="zh-CN"/>
              </w:rPr>
              <w:t>10.</w:t>
            </w:r>
            <w:r>
              <w:rPr>
                <w:rFonts w:hint="eastAsia" w:ascii="宋体" w:hAnsi="宋体" w:eastAsia="宋体" w:cs="宋体"/>
                <w:b/>
                <w:bCs/>
                <w:color w:val="auto"/>
                <w:sz w:val="21"/>
                <w:szCs w:val="21"/>
              </w:rPr>
              <w:t>标本查询</w:t>
            </w:r>
          </w:p>
        </w:tc>
        <w:tc>
          <w:tcPr>
            <w:tcW w:w="944" w:type="dxa"/>
            <w:tcBorders>
              <w:top w:val="single" w:color="auto" w:sz="4" w:space="0"/>
              <w:left w:val="single" w:color="auto" w:sz="4" w:space="0"/>
              <w:bottom w:val="single" w:color="auto" w:sz="4" w:space="0"/>
              <w:right w:val="single" w:color="auto" w:sz="4" w:space="0"/>
            </w:tcBorders>
            <w:noWrap w:val="0"/>
            <w:vAlign w:val="center"/>
          </w:tcPr>
          <w:p w14:paraId="40E44E84">
            <w:pPr>
              <w:keepNext w:val="0"/>
              <w:keepLines w:val="0"/>
              <w:pageBreakBefore w:val="0"/>
              <w:widowControl/>
              <w:kinsoku/>
              <w:wordWrap/>
              <w:overflowPunct/>
              <w:topLinePunct w:val="0"/>
              <w:autoSpaceDE/>
              <w:autoSpaceDN/>
              <w:bidi w:val="0"/>
              <w:snapToGrid/>
              <w:spacing w:line="312" w:lineRule="auto"/>
              <w:jc w:val="both"/>
              <w:rPr>
                <w:rFonts w:hint="default" w:ascii="宋体" w:hAnsi="宋体" w:eastAsia="宋体" w:cs="宋体"/>
                <w:color w:val="auto"/>
                <w:kern w:val="0"/>
                <w:szCs w:val="21"/>
                <w:lang w:val="en-US" w:eastAsia="zh-CN"/>
              </w:rPr>
            </w:pPr>
            <w:r>
              <w:rPr>
                <w:rFonts w:hint="eastAsia" w:ascii="宋体" w:hAnsi="宋体" w:cs="宋体"/>
                <w:color w:val="auto"/>
                <w:kern w:val="0"/>
                <w:szCs w:val="21"/>
                <w:lang w:val="en-US" w:eastAsia="zh-CN"/>
              </w:rPr>
              <w:t>10.1</w:t>
            </w:r>
          </w:p>
        </w:tc>
        <w:tc>
          <w:tcPr>
            <w:tcW w:w="7153" w:type="dxa"/>
            <w:tcBorders>
              <w:top w:val="nil"/>
              <w:left w:val="single" w:color="auto" w:sz="4" w:space="0"/>
              <w:bottom w:val="single" w:color="auto" w:sz="8" w:space="0"/>
              <w:right w:val="single" w:color="auto" w:sz="8" w:space="0"/>
            </w:tcBorders>
            <w:noWrap w:val="0"/>
            <w:vAlign w:val="center"/>
          </w:tcPr>
          <w:p w14:paraId="42E37480">
            <w:pPr>
              <w:keepNext w:val="0"/>
              <w:keepLines w:val="0"/>
              <w:pageBreakBefore w:val="0"/>
              <w:kinsoku/>
              <w:wordWrap/>
              <w:overflowPunct/>
              <w:topLinePunct w:val="0"/>
              <w:autoSpaceDE/>
              <w:autoSpaceDN/>
              <w:bidi w:val="0"/>
              <w:snapToGrid/>
              <w:spacing w:line="312" w:lineRule="auto"/>
              <w:jc w:val="both"/>
              <w:rPr>
                <w:rFonts w:ascii="宋体" w:hAnsi="宋体" w:cs="宋体"/>
                <w:color w:val="FF0000"/>
                <w:kern w:val="0"/>
                <w:szCs w:val="21"/>
              </w:rPr>
            </w:pPr>
            <w:r>
              <w:rPr>
                <w:rFonts w:hint="eastAsia" w:ascii="宋体" w:hAnsi="宋体" w:eastAsia="宋体" w:cs="宋体"/>
                <w:sz w:val="21"/>
                <w:szCs w:val="21"/>
                <w:lang w:val="en-US" w:eastAsia="zh-CN"/>
              </w:rPr>
              <w:t>支持以多条件进行对标本的联合查询</w:t>
            </w:r>
            <w:r>
              <w:rPr>
                <w:rFonts w:hint="eastAsia" w:ascii="宋体" w:hAnsi="宋体" w:eastAsia="宋体" w:cs="宋体"/>
                <w:sz w:val="21"/>
                <w:szCs w:val="21"/>
                <w:lang w:eastAsia="zh-CN"/>
              </w:rPr>
              <w:t>；</w:t>
            </w:r>
          </w:p>
        </w:tc>
      </w:tr>
      <w:tr w14:paraId="31E3737F">
        <w:tblPrEx>
          <w:tblCellMar>
            <w:top w:w="0" w:type="dxa"/>
            <w:left w:w="108" w:type="dxa"/>
            <w:bottom w:w="0" w:type="dxa"/>
            <w:right w:w="108" w:type="dxa"/>
          </w:tblCellMar>
        </w:tblPrEx>
        <w:trPr>
          <w:trHeight w:val="420" w:hRule="atLeast"/>
          <w:jc w:val="center"/>
        </w:trPr>
        <w:tc>
          <w:tcPr>
            <w:tcW w:w="1762" w:type="dxa"/>
            <w:vMerge w:val="continue"/>
            <w:tcBorders>
              <w:top w:val="single" w:color="auto" w:sz="4" w:space="0"/>
              <w:left w:val="single" w:color="auto" w:sz="4" w:space="0"/>
              <w:right w:val="single" w:color="auto" w:sz="8" w:space="0"/>
            </w:tcBorders>
            <w:noWrap w:val="0"/>
            <w:vAlign w:val="center"/>
          </w:tcPr>
          <w:p w14:paraId="7E054C92">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b/>
                <w:bCs/>
                <w:color w:val="auto"/>
                <w:kern w:val="0"/>
                <w:sz w:val="21"/>
                <w:szCs w:val="21"/>
                <w:lang w:val="en-US" w:eastAsia="zh-CN"/>
              </w:rPr>
            </w:pPr>
          </w:p>
        </w:tc>
        <w:tc>
          <w:tcPr>
            <w:tcW w:w="944" w:type="dxa"/>
            <w:tcBorders>
              <w:top w:val="single" w:color="auto" w:sz="4" w:space="0"/>
              <w:left w:val="nil"/>
              <w:bottom w:val="single" w:color="auto" w:sz="8" w:space="0"/>
              <w:right w:val="single" w:color="auto" w:sz="8" w:space="0"/>
            </w:tcBorders>
            <w:noWrap w:val="0"/>
            <w:vAlign w:val="center"/>
          </w:tcPr>
          <w:p w14:paraId="75D4E103">
            <w:pPr>
              <w:keepNext w:val="0"/>
              <w:keepLines w:val="0"/>
              <w:pageBreakBefore w:val="0"/>
              <w:widowControl/>
              <w:kinsoku/>
              <w:wordWrap/>
              <w:overflowPunct/>
              <w:topLinePunct w:val="0"/>
              <w:autoSpaceDE/>
              <w:autoSpaceDN/>
              <w:bidi w:val="0"/>
              <w:snapToGrid/>
              <w:spacing w:line="312" w:lineRule="auto"/>
              <w:jc w:val="both"/>
              <w:rPr>
                <w:rFonts w:hint="default" w:ascii="宋体" w:hAnsi="宋体" w:eastAsia="宋体" w:cs="宋体"/>
                <w:color w:val="auto"/>
                <w:kern w:val="0"/>
                <w:szCs w:val="21"/>
                <w:lang w:val="en-US" w:eastAsia="zh-CN"/>
              </w:rPr>
            </w:pPr>
            <w:r>
              <w:rPr>
                <w:rFonts w:hint="eastAsia" w:ascii="宋体" w:hAnsi="宋体" w:cs="宋体"/>
                <w:color w:val="auto"/>
                <w:kern w:val="0"/>
                <w:szCs w:val="21"/>
                <w:lang w:val="en-US" w:eastAsia="zh-CN"/>
              </w:rPr>
              <w:t>10.2</w:t>
            </w:r>
          </w:p>
        </w:tc>
        <w:tc>
          <w:tcPr>
            <w:tcW w:w="7153" w:type="dxa"/>
            <w:tcBorders>
              <w:top w:val="nil"/>
              <w:left w:val="nil"/>
              <w:bottom w:val="single" w:color="auto" w:sz="8" w:space="0"/>
              <w:right w:val="single" w:color="auto" w:sz="8" w:space="0"/>
            </w:tcBorders>
            <w:noWrap w:val="0"/>
            <w:vAlign w:val="center"/>
          </w:tcPr>
          <w:p w14:paraId="2A9D700F">
            <w:pPr>
              <w:keepNext w:val="0"/>
              <w:keepLines w:val="0"/>
              <w:pageBreakBefore w:val="0"/>
              <w:widowControl/>
              <w:kinsoku/>
              <w:wordWrap/>
              <w:overflowPunct/>
              <w:topLinePunct w:val="0"/>
              <w:autoSpaceDE/>
              <w:autoSpaceDN/>
              <w:bidi w:val="0"/>
              <w:snapToGrid/>
              <w:spacing w:line="312" w:lineRule="auto"/>
              <w:jc w:val="both"/>
              <w:rPr>
                <w:rFonts w:ascii="宋体" w:hAnsi="宋体" w:cs="宋体"/>
                <w:color w:val="FF0000"/>
                <w:kern w:val="0"/>
                <w:szCs w:val="21"/>
              </w:rPr>
            </w:pPr>
            <w:r>
              <w:rPr>
                <w:rFonts w:hint="eastAsia" w:ascii="宋体" w:hAnsi="宋体" w:eastAsia="宋体" w:cs="宋体"/>
                <w:sz w:val="21"/>
                <w:szCs w:val="21"/>
                <w:lang w:val="en-US" w:eastAsia="zh-CN"/>
              </w:rPr>
              <w:t>支持对标本轨迹进行追踪，可以查看到标本对应流程节点的具体操作信息</w:t>
            </w:r>
            <w:r>
              <w:rPr>
                <w:rFonts w:hint="eastAsia" w:ascii="宋体" w:hAnsi="宋体" w:eastAsia="宋体" w:cs="宋体"/>
                <w:sz w:val="21"/>
                <w:szCs w:val="21"/>
                <w:lang w:eastAsia="zh-CN"/>
              </w:rPr>
              <w:t>；</w:t>
            </w:r>
          </w:p>
        </w:tc>
      </w:tr>
      <w:tr w14:paraId="45BAF23F">
        <w:tblPrEx>
          <w:tblCellMar>
            <w:top w:w="0" w:type="dxa"/>
            <w:left w:w="108" w:type="dxa"/>
            <w:bottom w:w="0" w:type="dxa"/>
            <w:right w:w="108" w:type="dxa"/>
          </w:tblCellMar>
        </w:tblPrEx>
        <w:trPr>
          <w:trHeight w:val="820" w:hRule="atLeast"/>
          <w:jc w:val="center"/>
        </w:trPr>
        <w:tc>
          <w:tcPr>
            <w:tcW w:w="1762" w:type="dxa"/>
            <w:vMerge w:val="continue"/>
            <w:tcBorders>
              <w:left w:val="single" w:color="auto" w:sz="4" w:space="0"/>
              <w:bottom w:val="single" w:color="000000" w:sz="8" w:space="0"/>
              <w:right w:val="single" w:color="auto" w:sz="8" w:space="0"/>
            </w:tcBorders>
            <w:noWrap w:val="0"/>
            <w:vAlign w:val="center"/>
          </w:tcPr>
          <w:p w14:paraId="364A3488">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b/>
                <w:bCs/>
                <w:color w:val="auto"/>
                <w:kern w:val="0"/>
                <w:sz w:val="21"/>
                <w:szCs w:val="21"/>
                <w:lang w:val="en-US" w:eastAsia="zh-CN"/>
              </w:rPr>
            </w:pPr>
          </w:p>
        </w:tc>
        <w:tc>
          <w:tcPr>
            <w:tcW w:w="944" w:type="dxa"/>
            <w:tcBorders>
              <w:top w:val="nil"/>
              <w:left w:val="nil"/>
              <w:bottom w:val="single" w:color="auto" w:sz="8" w:space="0"/>
              <w:right w:val="single" w:color="auto" w:sz="8" w:space="0"/>
            </w:tcBorders>
            <w:noWrap w:val="0"/>
            <w:vAlign w:val="center"/>
          </w:tcPr>
          <w:p w14:paraId="0AAF5D76">
            <w:pPr>
              <w:keepNext w:val="0"/>
              <w:keepLines w:val="0"/>
              <w:pageBreakBefore w:val="0"/>
              <w:widowControl/>
              <w:kinsoku/>
              <w:wordWrap/>
              <w:overflowPunct/>
              <w:topLinePunct w:val="0"/>
              <w:autoSpaceDE/>
              <w:autoSpaceDN/>
              <w:bidi w:val="0"/>
              <w:snapToGrid/>
              <w:spacing w:line="312" w:lineRule="auto"/>
              <w:jc w:val="both"/>
              <w:rPr>
                <w:rFonts w:hint="default" w:ascii="宋体" w:hAnsi="宋体" w:eastAsia="宋体" w:cs="宋体"/>
                <w:color w:val="auto"/>
                <w:kern w:val="0"/>
                <w:szCs w:val="21"/>
                <w:lang w:val="en-US" w:eastAsia="zh-CN"/>
              </w:rPr>
            </w:pPr>
            <w:r>
              <w:rPr>
                <w:rFonts w:hint="eastAsia" w:ascii="宋体" w:hAnsi="宋体" w:cs="宋体"/>
                <w:color w:val="auto"/>
                <w:kern w:val="0"/>
                <w:szCs w:val="21"/>
                <w:lang w:val="en-US" w:eastAsia="zh-CN"/>
              </w:rPr>
              <w:t>10.3</w:t>
            </w:r>
          </w:p>
        </w:tc>
        <w:tc>
          <w:tcPr>
            <w:tcW w:w="7153" w:type="dxa"/>
            <w:tcBorders>
              <w:top w:val="nil"/>
              <w:left w:val="nil"/>
              <w:bottom w:val="single" w:color="auto" w:sz="8" w:space="0"/>
              <w:right w:val="single" w:color="auto" w:sz="8" w:space="0"/>
            </w:tcBorders>
            <w:noWrap w:val="0"/>
            <w:vAlign w:val="center"/>
          </w:tcPr>
          <w:p w14:paraId="4F4A9635">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color w:val="FF0000"/>
                <w:kern w:val="0"/>
                <w:szCs w:val="21"/>
                <w:lang w:eastAsia="zh-CN"/>
              </w:rPr>
            </w:pPr>
            <w:r>
              <w:rPr>
                <w:rFonts w:hint="eastAsia" w:ascii="宋体" w:hAnsi="宋体" w:eastAsia="宋体" w:cs="宋体"/>
                <w:sz w:val="21"/>
                <w:szCs w:val="21"/>
                <w:lang w:val="en-US" w:eastAsia="zh-CN"/>
              </w:rPr>
              <w:t>支持标本快速查询，通过输入标本码、申请单号、打包编号、住院号、门诊号等关键信息查询关联标本的具体信息并进行轨迹追溯</w:t>
            </w:r>
            <w:r>
              <w:rPr>
                <w:rFonts w:hint="eastAsia" w:ascii="宋体" w:hAnsi="宋体" w:eastAsia="宋体" w:cs="宋体"/>
                <w:sz w:val="21"/>
                <w:szCs w:val="21"/>
                <w:lang w:eastAsia="zh-CN"/>
              </w:rPr>
              <w:t>。</w:t>
            </w:r>
          </w:p>
        </w:tc>
      </w:tr>
      <w:tr w14:paraId="321D2EEF">
        <w:tblPrEx>
          <w:tblCellMar>
            <w:top w:w="0" w:type="dxa"/>
            <w:left w:w="108" w:type="dxa"/>
            <w:bottom w:w="0" w:type="dxa"/>
            <w:right w:w="108" w:type="dxa"/>
          </w:tblCellMar>
        </w:tblPrEx>
        <w:trPr>
          <w:trHeight w:val="820" w:hRule="atLeast"/>
          <w:jc w:val="center"/>
        </w:trPr>
        <w:tc>
          <w:tcPr>
            <w:tcW w:w="1762" w:type="dxa"/>
            <w:tcBorders>
              <w:top w:val="nil"/>
              <w:left w:val="single" w:color="auto" w:sz="8" w:space="0"/>
              <w:bottom w:val="single" w:color="000000" w:sz="8" w:space="0"/>
              <w:right w:val="single" w:color="auto" w:sz="8" w:space="0"/>
            </w:tcBorders>
            <w:noWrap w:val="0"/>
            <w:vAlign w:val="center"/>
          </w:tcPr>
          <w:p w14:paraId="796AB25F">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b/>
                <w:bCs/>
                <w:color w:val="auto"/>
                <w:kern w:val="0"/>
                <w:sz w:val="21"/>
                <w:szCs w:val="21"/>
                <w:lang w:val="en-US" w:eastAsia="zh-CN"/>
              </w:rPr>
            </w:pPr>
            <w:r>
              <w:rPr>
                <w:rFonts w:hint="eastAsia" w:ascii="宋体" w:hAnsi="宋体" w:eastAsia="宋体" w:cs="宋体"/>
                <w:b/>
                <w:bCs/>
                <w:color w:val="auto"/>
                <w:kern w:val="0"/>
                <w:sz w:val="21"/>
                <w:szCs w:val="21"/>
                <w:lang w:val="en-US" w:eastAsia="zh-CN"/>
              </w:rPr>
              <w:t>11.</w:t>
            </w:r>
            <w:r>
              <w:rPr>
                <w:rFonts w:hint="eastAsia" w:ascii="宋体" w:hAnsi="宋体" w:eastAsia="宋体" w:cs="宋体"/>
                <w:b/>
                <w:bCs/>
                <w:color w:val="auto"/>
                <w:sz w:val="21"/>
                <w:szCs w:val="21"/>
              </w:rPr>
              <w:t>任务追踪</w:t>
            </w:r>
          </w:p>
        </w:tc>
        <w:tc>
          <w:tcPr>
            <w:tcW w:w="944" w:type="dxa"/>
            <w:tcBorders>
              <w:top w:val="nil"/>
              <w:left w:val="nil"/>
              <w:bottom w:val="single" w:color="auto" w:sz="8" w:space="0"/>
              <w:right w:val="single" w:color="auto" w:sz="8" w:space="0"/>
            </w:tcBorders>
            <w:noWrap w:val="0"/>
            <w:vAlign w:val="center"/>
          </w:tcPr>
          <w:p w14:paraId="4D9A4769">
            <w:pPr>
              <w:keepNext w:val="0"/>
              <w:keepLines w:val="0"/>
              <w:pageBreakBefore w:val="0"/>
              <w:widowControl/>
              <w:kinsoku/>
              <w:wordWrap/>
              <w:overflowPunct/>
              <w:topLinePunct w:val="0"/>
              <w:autoSpaceDE/>
              <w:autoSpaceDN/>
              <w:bidi w:val="0"/>
              <w:snapToGrid/>
              <w:spacing w:line="312" w:lineRule="auto"/>
              <w:jc w:val="both"/>
              <w:rPr>
                <w:rFonts w:hint="default" w:ascii="宋体" w:hAnsi="宋体" w:eastAsia="宋体" w:cs="宋体"/>
                <w:color w:val="auto"/>
                <w:kern w:val="0"/>
                <w:szCs w:val="21"/>
                <w:lang w:val="en-US" w:eastAsia="zh-CN"/>
              </w:rPr>
            </w:pPr>
            <w:r>
              <w:rPr>
                <w:rFonts w:hint="eastAsia" w:ascii="宋体" w:hAnsi="宋体" w:cs="宋体"/>
                <w:color w:val="auto"/>
                <w:kern w:val="0"/>
                <w:szCs w:val="21"/>
                <w:lang w:val="en-US" w:eastAsia="zh-CN"/>
              </w:rPr>
              <w:t>11.1</w:t>
            </w:r>
          </w:p>
        </w:tc>
        <w:tc>
          <w:tcPr>
            <w:tcW w:w="7153" w:type="dxa"/>
            <w:tcBorders>
              <w:top w:val="nil"/>
              <w:left w:val="nil"/>
              <w:bottom w:val="single" w:color="auto" w:sz="8" w:space="0"/>
              <w:right w:val="single" w:color="auto" w:sz="8" w:space="0"/>
            </w:tcBorders>
            <w:noWrap w:val="0"/>
            <w:vAlign w:val="center"/>
          </w:tcPr>
          <w:p w14:paraId="7C59B8B5">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color w:val="FF0000"/>
                <w:kern w:val="0"/>
                <w:szCs w:val="21"/>
                <w:lang w:eastAsia="zh-CN"/>
              </w:rPr>
            </w:pPr>
            <w:r>
              <w:rPr>
                <w:rFonts w:hint="eastAsia" w:ascii="宋体" w:hAnsi="宋体" w:eastAsia="宋体" w:cs="宋体"/>
                <w:sz w:val="21"/>
                <w:szCs w:val="21"/>
                <w:lang w:val="en-US" w:eastAsia="zh-CN"/>
              </w:rPr>
              <w:t>对当前已触发流程的申请单进行信息跟踪，并可对长时间不接收的申请单进行系统提示。</w:t>
            </w:r>
          </w:p>
        </w:tc>
      </w:tr>
      <w:tr w14:paraId="58FC3910">
        <w:tblPrEx>
          <w:tblCellMar>
            <w:top w:w="0" w:type="dxa"/>
            <w:left w:w="108" w:type="dxa"/>
            <w:bottom w:w="0" w:type="dxa"/>
            <w:right w:w="108" w:type="dxa"/>
          </w:tblCellMar>
        </w:tblPrEx>
        <w:trPr>
          <w:trHeight w:val="420" w:hRule="atLeast"/>
          <w:jc w:val="center"/>
        </w:trPr>
        <w:tc>
          <w:tcPr>
            <w:tcW w:w="1762" w:type="dxa"/>
            <w:tcBorders>
              <w:top w:val="nil"/>
              <w:left w:val="single" w:color="auto" w:sz="8" w:space="0"/>
              <w:bottom w:val="single" w:color="000000" w:sz="8" w:space="0"/>
              <w:right w:val="single" w:color="auto" w:sz="8" w:space="0"/>
            </w:tcBorders>
            <w:noWrap w:val="0"/>
            <w:vAlign w:val="center"/>
          </w:tcPr>
          <w:p w14:paraId="6A50E6E7">
            <w:pPr>
              <w:keepNext w:val="0"/>
              <w:keepLines w:val="0"/>
              <w:pageBreakBefore w:val="0"/>
              <w:widowControl/>
              <w:kinsoku/>
              <w:wordWrap/>
              <w:overflowPunct/>
              <w:topLinePunct w:val="0"/>
              <w:autoSpaceDE/>
              <w:autoSpaceDN/>
              <w:bidi w:val="0"/>
              <w:snapToGrid/>
              <w:spacing w:line="312" w:lineRule="auto"/>
              <w:jc w:val="both"/>
              <w:rPr>
                <w:rFonts w:hint="default" w:ascii="宋体" w:hAnsi="宋体" w:eastAsia="宋体" w:cs="宋体"/>
                <w:b/>
                <w:bCs/>
                <w:color w:val="auto"/>
                <w:kern w:val="0"/>
                <w:sz w:val="21"/>
                <w:szCs w:val="21"/>
                <w:lang w:val="en-US" w:eastAsia="zh-CN"/>
              </w:rPr>
            </w:pPr>
            <w:r>
              <w:rPr>
                <w:rFonts w:hint="eastAsia" w:ascii="宋体" w:hAnsi="宋体" w:eastAsia="宋体" w:cs="宋体"/>
                <w:b/>
                <w:bCs/>
                <w:color w:val="auto"/>
                <w:kern w:val="0"/>
                <w:sz w:val="21"/>
                <w:szCs w:val="21"/>
                <w:lang w:val="en-US" w:eastAsia="zh-CN"/>
              </w:rPr>
              <w:t>12.标本外带</w:t>
            </w:r>
          </w:p>
        </w:tc>
        <w:tc>
          <w:tcPr>
            <w:tcW w:w="944" w:type="dxa"/>
            <w:tcBorders>
              <w:top w:val="nil"/>
              <w:left w:val="nil"/>
              <w:bottom w:val="single" w:color="auto" w:sz="8" w:space="0"/>
              <w:right w:val="single" w:color="auto" w:sz="8" w:space="0"/>
            </w:tcBorders>
            <w:noWrap w:val="0"/>
            <w:vAlign w:val="center"/>
          </w:tcPr>
          <w:p w14:paraId="3562D985">
            <w:pPr>
              <w:keepNext w:val="0"/>
              <w:keepLines w:val="0"/>
              <w:pageBreakBefore w:val="0"/>
              <w:widowControl/>
              <w:kinsoku/>
              <w:wordWrap/>
              <w:overflowPunct/>
              <w:topLinePunct w:val="0"/>
              <w:autoSpaceDE/>
              <w:autoSpaceDN/>
              <w:bidi w:val="0"/>
              <w:snapToGrid/>
              <w:spacing w:line="312" w:lineRule="auto"/>
              <w:jc w:val="both"/>
              <w:rPr>
                <w:rFonts w:hint="default" w:ascii="宋体" w:hAnsi="宋体" w:cs="宋体"/>
                <w:color w:val="auto"/>
                <w:kern w:val="0"/>
                <w:szCs w:val="21"/>
                <w:lang w:val="en-US" w:eastAsia="zh-CN"/>
              </w:rPr>
            </w:pPr>
            <w:r>
              <w:rPr>
                <w:rFonts w:hint="eastAsia" w:ascii="宋体" w:hAnsi="宋体" w:cs="宋体"/>
                <w:color w:val="auto"/>
                <w:kern w:val="0"/>
                <w:szCs w:val="21"/>
                <w:lang w:val="en-US" w:eastAsia="zh-CN"/>
              </w:rPr>
              <w:t>12.1</w:t>
            </w:r>
          </w:p>
        </w:tc>
        <w:tc>
          <w:tcPr>
            <w:tcW w:w="7153" w:type="dxa"/>
            <w:tcBorders>
              <w:top w:val="nil"/>
              <w:left w:val="nil"/>
              <w:bottom w:val="single" w:color="auto" w:sz="8" w:space="0"/>
              <w:right w:val="single" w:color="auto" w:sz="8" w:space="0"/>
            </w:tcBorders>
            <w:noWrap w:val="0"/>
            <w:vAlign w:val="center"/>
          </w:tcPr>
          <w:p w14:paraId="50BED491">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提供标本外带列表，可以查询具体标本外带的详细信息资料。</w:t>
            </w:r>
          </w:p>
        </w:tc>
      </w:tr>
      <w:tr w14:paraId="605A66E7">
        <w:tblPrEx>
          <w:tblCellMar>
            <w:top w:w="0" w:type="dxa"/>
            <w:left w:w="108" w:type="dxa"/>
            <w:bottom w:w="0" w:type="dxa"/>
            <w:right w:w="108" w:type="dxa"/>
          </w:tblCellMar>
        </w:tblPrEx>
        <w:trPr>
          <w:trHeight w:val="820" w:hRule="atLeast"/>
          <w:jc w:val="center"/>
        </w:trPr>
        <w:tc>
          <w:tcPr>
            <w:tcW w:w="1762" w:type="dxa"/>
            <w:tcBorders>
              <w:top w:val="nil"/>
              <w:left w:val="single" w:color="auto" w:sz="8" w:space="0"/>
              <w:bottom w:val="single" w:color="000000" w:sz="8" w:space="0"/>
              <w:right w:val="single" w:color="auto" w:sz="8" w:space="0"/>
            </w:tcBorders>
            <w:noWrap w:val="0"/>
            <w:vAlign w:val="center"/>
          </w:tcPr>
          <w:p w14:paraId="2CD6DA2F">
            <w:pPr>
              <w:keepNext w:val="0"/>
              <w:keepLines w:val="0"/>
              <w:pageBreakBefore w:val="0"/>
              <w:widowControl/>
              <w:kinsoku/>
              <w:wordWrap/>
              <w:overflowPunct/>
              <w:topLinePunct w:val="0"/>
              <w:autoSpaceDE/>
              <w:autoSpaceDN/>
              <w:bidi w:val="0"/>
              <w:snapToGrid/>
              <w:spacing w:line="312" w:lineRule="auto"/>
              <w:jc w:val="both"/>
              <w:rPr>
                <w:rFonts w:hint="default" w:ascii="宋体" w:hAnsi="宋体" w:eastAsia="宋体" w:cs="宋体"/>
                <w:b/>
                <w:bCs/>
                <w:color w:val="auto"/>
                <w:kern w:val="0"/>
                <w:sz w:val="21"/>
                <w:szCs w:val="21"/>
                <w:lang w:val="en-US" w:eastAsia="zh-CN"/>
              </w:rPr>
            </w:pPr>
            <w:r>
              <w:rPr>
                <w:rFonts w:hint="eastAsia" w:ascii="宋体" w:hAnsi="宋体" w:eastAsia="宋体" w:cs="宋体"/>
                <w:b/>
                <w:bCs/>
                <w:color w:val="auto"/>
                <w:kern w:val="0"/>
                <w:sz w:val="21"/>
                <w:szCs w:val="21"/>
                <w:lang w:val="en-US" w:eastAsia="zh-CN"/>
              </w:rPr>
              <w:t>13.患者标本轨迹查询</w:t>
            </w:r>
          </w:p>
        </w:tc>
        <w:tc>
          <w:tcPr>
            <w:tcW w:w="944" w:type="dxa"/>
            <w:tcBorders>
              <w:top w:val="nil"/>
              <w:left w:val="nil"/>
              <w:bottom w:val="single" w:color="auto" w:sz="8" w:space="0"/>
              <w:right w:val="single" w:color="auto" w:sz="8" w:space="0"/>
            </w:tcBorders>
            <w:noWrap w:val="0"/>
            <w:vAlign w:val="center"/>
          </w:tcPr>
          <w:p w14:paraId="0F67AF2C">
            <w:pPr>
              <w:keepNext w:val="0"/>
              <w:keepLines w:val="0"/>
              <w:pageBreakBefore w:val="0"/>
              <w:widowControl/>
              <w:kinsoku/>
              <w:wordWrap/>
              <w:overflowPunct/>
              <w:topLinePunct w:val="0"/>
              <w:autoSpaceDE/>
              <w:autoSpaceDN/>
              <w:bidi w:val="0"/>
              <w:snapToGrid/>
              <w:spacing w:line="312" w:lineRule="auto"/>
              <w:jc w:val="both"/>
              <w:rPr>
                <w:rFonts w:hint="default" w:ascii="宋体" w:hAnsi="宋体" w:cs="宋体"/>
                <w:color w:val="auto"/>
                <w:kern w:val="0"/>
                <w:szCs w:val="21"/>
                <w:lang w:val="en-US" w:eastAsia="zh-CN"/>
              </w:rPr>
            </w:pPr>
            <w:r>
              <w:rPr>
                <w:rFonts w:hint="eastAsia" w:ascii="宋体" w:hAnsi="宋体" w:cs="宋体"/>
                <w:color w:val="auto"/>
                <w:kern w:val="0"/>
                <w:szCs w:val="21"/>
                <w:lang w:val="en-US" w:eastAsia="zh-CN"/>
              </w:rPr>
              <w:t>13.1</w:t>
            </w:r>
          </w:p>
        </w:tc>
        <w:tc>
          <w:tcPr>
            <w:tcW w:w="7153" w:type="dxa"/>
            <w:tcBorders>
              <w:top w:val="nil"/>
              <w:left w:val="nil"/>
              <w:bottom w:val="single" w:color="auto" w:sz="8" w:space="0"/>
              <w:right w:val="single" w:color="auto" w:sz="8" w:space="0"/>
            </w:tcBorders>
            <w:noWrap w:val="0"/>
            <w:vAlign w:val="center"/>
          </w:tcPr>
          <w:p w14:paraId="5B1EA4A1">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提供患者标本查询列表，可以查询患者标本的流转轨迹信息。</w:t>
            </w:r>
          </w:p>
        </w:tc>
      </w:tr>
      <w:tr w14:paraId="4F0B2402">
        <w:tblPrEx>
          <w:tblCellMar>
            <w:top w:w="0" w:type="dxa"/>
            <w:left w:w="108" w:type="dxa"/>
            <w:bottom w:w="0" w:type="dxa"/>
            <w:right w:w="108" w:type="dxa"/>
          </w:tblCellMar>
        </w:tblPrEx>
        <w:trPr>
          <w:trHeight w:val="820" w:hRule="atLeast"/>
          <w:jc w:val="center"/>
        </w:trPr>
        <w:tc>
          <w:tcPr>
            <w:tcW w:w="1762" w:type="dxa"/>
            <w:tcBorders>
              <w:top w:val="nil"/>
              <w:left w:val="single" w:color="auto" w:sz="8" w:space="0"/>
              <w:bottom w:val="single" w:color="000000" w:sz="8" w:space="0"/>
              <w:right w:val="single" w:color="auto" w:sz="8" w:space="0"/>
            </w:tcBorders>
            <w:noWrap w:val="0"/>
            <w:vAlign w:val="center"/>
          </w:tcPr>
          <w:p w14:paraId="33DC8DB4">
            <w:pPr>
              <w:keepNext w:val="0"/>
              <w:keepLines w:val="0"/>
              <w:pageBreakBefore w:val="0"/>
              <w:widowControl/>
              <w:kinsoku/>
              <w:wordWrap/>
              <w:overflowPunct/>
              <w:topLinePunct w:val="0"/>
              <w:autoSpaceDE/>
              <w:autoSpaceDN/>
              <w:bidi w:val="0"/>
              <w:snapToGrid/>
              <w:spacing w:line="312" w:lineRule="auto"/>
              <w:jc w:val="both"/>
              <w:rPr>
                <w:rFonts w:hint="default" w:ascii="宋体" w:hAnsi="宋体" w:eastAsia="宋体" w:cs="宋体"/>
                <w:b/>
                <w:bCs/>
                <w:color w:val="auto"/>
                <w:kern w:val="0"/>
                <w:sz w:val="21"/>
                <w:szCs w:val="21"/>
                <w:lang w:val="en-US" w:eastAsia="zh-CN"/>
              </w:rPr>
            </w:pPr>
            <w:r>
              <w:rPr>
                <w:rFonts w:hint="eastAsia" w:ascii="宋体" w:hAnsi="宋体" w:eastAsia="宋体" w:cs="宋体"/>
                <w:b/>
                <w:bCs/>
                <w:color w:val="auto"/>
                <w:kern w:val="0"/>
                <w:sz w:val="21"/>
                <w:szCs w:val="21"/>
                <w:lang w:val="en-US" w:eastAsia="zh-CN"/>
              </w:rPr>
              <w:t>14.退回标本列表</w:t>
            </w:r>
          </w:p>
        </w:tc>
        <w:tc>
          <w:tcPr>
            <w:tcW w:w="944" w:type="dxa"/>
            <w:tcBorders>
              <w:top w:val="nil"/>
              <w:left w:val="nil"/>
              <w:bottom w:val="single" w:color="auto" w:sz="8" w:space="0"/>
              <w:right w:val="single" w:color="auto" w:sz="8" w:space="0"/>
            </w:tcBorders>
            <w:noWrap w:val="0"/>
            <w:vAlign w:val="center"/>
          </w:tcPr>
          <w:p w14:paraId="230A331E">
            <w:pPr>
              <w:keepNext w:val="0"/>
              <w:keepLines w:val="0"/>
              <w:pageBreakBefore w:val="0"/>
              <w:widowControl/>
              <w:kinsoku/>
              <w:wordWrap/>
              <w:overflowPunct/>
              <w:topLinePunct w:val="0"/>
              <w:autoSpaceDE/>
              <w:autoSpaceDN/>
              <w:bidi w:val="0"/>
              <w:snapToGrid/>
              <w:spacing w:line="312" w:lineRule="auto"/>
              <w:jc w:val="both"/>
              <w:rPr>
                <w:rFonts w:hint="default" w:ascii="宋体" w:hAnsi="宋体" w:cs="宋体"/>
                <w:color w:val="auto"/>
                <w:kern w:val="0"/>
                <w:szCs w:val="21"/>
                <w:lang w:val="en-US" w:eastAsia="zh-CN"/>
              </w:rPr>
            </w:pPr>
            <w:r>
              <w:rPr>
                <w:rFonts w:hint="eastAsia" w:ascii="宋体" w:hAnsi="宋体" w:cs="宋体"/>
                <w:color w:val="auto"/>
                <w:kern w:val="0"/>
                <w:szCs w:val="21"/>
                <w:lang w:val="en-US" w:eastAsia="zh-CN"/>
              </w:rPr>
              <w:t>14.1</w:t>
            </w:r>
          </w:p>
        </w:tc>
        <w:tc>
          <w:tcPr>
            <w:tcW w:w="7153" w:type="dxa"/>
            <w:tcBorders>
              <w:top w:val="nil"/>
              <w:left w:val="nil"/>
              <w:bottom w:val="single" w:color="auto" w:sz="8" w:space="0"/>
              <w:right w:val="single" w:color="auto" w:sz="8" w:space="0"/>
            </w:tcBorders>
            <w:noWrap w:val="0"/>
            <w:vAlign w:val="center"/>
          </w:tcPr>
          <w:p w14:paraId="35256208">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提供标本退回列表，可以查询到标本退回的详细情况。</w:t>
            </w:r>
          </w:p>
        </w:tc>
      </w:tr>
      <w:tr w14:paraId="619599C4">
        <w:tblPrEx>
          <w:tblCellMar>
            <w:top w:w="0" w:type="dxa"/>
            <w:left w:w="108" w:type="dxa"/>
            <w:bottom w:w="0" w:type="dxa"/>
            <w:right w:w="108" w:type="dxa"/>
          </w:tblCellMar>
        </w:tblPrEx>
        <w:trPr>
          <w:trHeight w:val="420" w:hRule="atLeast"/>
          <w:jc w:val="center"/>
        </w:trPr>
        <w:tc>
          <w:tcPr>
            <w:tcW w:w="1762" w:type="dxa"/>
            <w:tcBorders>
              <w:top w:val="nil"/>
              <w:left w:val="single" w:color="auto" w:sz="8" w:space="0"/>
              <w:bottom w:val="single" w:color="000000" w:sz="8" w:space="0"/>
              <w:right w:val="single" w:color="auto" w:sz="8" w:space="0"/>
            </w:tcBorders>
            <w:noWrap w:val="0"/>
            <w:vAlign w:val="center"/>
          </w:tcPr>
          <w:p w14:paraId="6413F3E8">
            <w:pPr>
              <w:keepNext w:val="0"/>
              <w:keepLines w:val="0"/>
              <w:pageBreakBefore w:val="0"/>
              <w:widowControl/>
              <w:kinsoku/>
              <w:wordWrap/>
              <w:overflowPunct/>
              <w:topLinePunct w:val="0"/>
              <w:autoSpaceDE/>
              <w:autoSpaceDN/>
              <w:bidi w:val="0"/>
              <w:snapToGrid/>
              <w:spacing w:line="312" w:lineRule="auto"/>
              <w:jc w:val="both"/>
              <w:rPr>
                <w:rFonts w:hint="default" w:ascii="宋体" w:hAnsi="宋体" w:eastAsia="宋体" w:cs="宋体"/>
                <w:b/>
                <w:bCs/>
                <w:color w:val="auto"/>
                <w:kern w:val="0"/>
                <w:sz w:val="21"/>
                <w:szCs w:val="21"/>
                <w:lang w:val="en-US" w:eastAsia="zh-CN"/>
              </w:rPr>
            </w:pPr>
            <w:r>
              <w:rPr>
                <w:rFonts w:hint="eastAsia" w:ascii="宋体" w:hAnsi="宋体" w:eastAsia="宋体" w:cs="宋体"/>
                <w:b/>
                <w:bCs/>
                <w:color w:val="auto"/>
                <w:kern w:val="0"/>
                <w:sz w:val="21"/>
                <w:szCs w:val="21"/>
                <w:lang w:val="en-US" w:eastAsia="zh-CN"/>
              </w:rPr>
              <w:t>15.作废申请单</w:t>
            </w:r>
          </w:p>
        </w:tc>
        <w:tc>
          <w:tcPr>
            <w:tcW w:w="944" w:type="dxa"/>
            <w:tcBorders>
              <w:top w:val="nil"/>
              <w:left w:val="nil"/>
              <w:bottom w:val="single" w:color="auto" w:sz="8" w:space="0"/>
              <w:right w:val="single" w:color="auto" w:sz="8" w:space="0"/>
            </w:tcBorders>
            <w:noWrap w:val="0"/>
            <w:vAlign w:val="center"/>
          </w:tcPr>
          <w:p w14:paraId="486B57E6">
            <w:pPr>
              <w:keepNext w:val="0"/>
              <w:keepLines w:val="0"/>
              <w:pageBreakBefore w:val="0"/>
              <w:widowControl/>
              <w:kinsoku/>
              <w:wordWrap/>
              <w:overflowPunct/>
              <w:topLinePunct w:val="0"/>
              <w:autoSpaceDE/>
              <w:autoSpaceDN/>
              <w:bidi w:val="0"/>
              <w:snapToGrid/>
              <w:spacing w:line="312" w:lineRule="auto"/>
              <w:jc w:val="both"/>
              <w:rPr>
                <w:rFonts w:hint="default" w:ascii="宋体" w:hAnsi="宋体" w:cs="宋体"/>
                <w:color w:val="auto"/>
                <w:kern w:val="0"/>
                <w:szCs w:val="21"/>
                <w:lang w:val="en-US" w:eastAsia="zh-CN"/>
              </w:rPr>
            </w:pPr>
            <w:r>
              <w:rPr>
                <w:rFonts w:hint="eastAsia" w:ascii="宋体" w:hAnsi="宋体" w:cs="宋体"/>
                <w:color w:val="auto"/>
                <w:kern w:val="0"/>
                <w:szCs w:val="21"/>
                <w:lang w:val="en-US" w:eastAsia="zh-CN"/>
              </w:rPr>
              <w:t>15.1</w:t>
            </w:r>
          </w:p>
        </w:tc>
        <w:tc>
          <w:tcPr>
            <w:tcW w:w="7153" w:type="dxa"/>
            <w:tcBorders>
              <w:top w:val="nil"/>
              <w:left w:val="nil"/>
              <w:bottom w:val="single" w:color="auto" w:sz="8" w:space="0"/>
              <w:right w:val="single" w:color="auto" w:sz="8" w:space="0"/>
            </w:tcBorders>
            <w:noWrap w:val="0"/>
            <w:vAlign w:val="center"/>
          </w:tcPr>
          <w:p w14:paraId="687B2495">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提供申请单作废列表，可以查询已作废申请单的具体情况。</w:t>
            </w:r>
          </w:p>
        </w:tc>
      </w:tr>
      <w:tr w14:paraId="55319E8D">
        <w:tblPrEx>
          <w:tblCellMar>
            <w:top w:w="0" w:type="dxa"/>
            <w:left w:w="108" w:type="dxa"/>
            <w:bottom w:w="0" w:type="dxa"/>
            <w:right w:w="108" w:type="dxa"/>
          </w:tblCellMar>
        </w:tblPrEx>
        <w:trPr>
          <w:trHeight w:val="820" w:hRule="atLeast"/>
          <w:jc w:val="center"/>
        </w:trPr>
        <w:tc>
          <w:tcPr>
            <w:tcW w:w="1762" w:type="dxa"/>
            <w:vMerge w:val="restart"/>
            <w:tcBorders>
              <w:top w:val="nil"/>
              <w:left w:val="single" w:color="auto" w:sz="8" w:space="0"/>
              <w:right w:val="single" w:color="auto" w:sz="8" w:space="0"/>
            </w:tcBorders>
            <w:noWrap w:val="0"/>
            <w:vAlign w:val="center"/>
          </w:tcPr>
          <w:p w14:paraId="040C1FF0">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b/>
                <w:bCs/>
                <w:color w:val="auto"/>
                <w:kern w:val="0"/>
                <w:sz w:val="21"/>
                <w:szCs w:val="21"/>
                <w:lang w:val="en-US" w:eastAsia="zh-CN"/>
              </w:rPr>
            </w:pPr>
            <w:r>
              <w:rPr>
                <w:rFonts w:hint="eastAsia" w:ascii="宋体" w:hAnsi="宋体" w:eastAsia="宋体" w:cs="宋体"/>
                <w:b/>
                <w:bCs/>
                <w:color w:val="auto"/>
                <w:kern w:val="0"/>
                <w:sz w:val="21"/>
                <w:szCs w:val="21"/>
                <w:lang w:val="en-US" w:eastAsia="zh-CN"/>
              </w:rPr>
              <w:t>16.</w:t>
            </w:r>
            <w:r>
              <w:rPr>
                <w:rFonts w:hint="eastAsia" w:ascii="宋体" w:hAnsi="宋体" w:eastAsia="宋体" w:cs="宋体"/>
                <w:b/>
                <w:bCs/>
                <w:color w:val="auto"/>
                <w:sz w:val="21"/>
                <w:szCs w:val="21"/>
              </w:rPr>
              <w:t>数据统计</w:t>
            </w:r>
          </w:p>
        </w:tc>
        <w:tc>
          <w:tcPr>
            <w:tcW w:w="944" w:type="dxa"/>
            <w:tcBorders>
              <w:top w:val="nil"/>
              <w:left w:val="nil"/>
              <w:bottom w:val="single" w:color="auto" w:sz="8" w:space="0"/>
              <w:right w:val="single" w:color="auto" w:sz="8" w:space="0"/>
            </w:tcBorders>
            <w:noWrap w:val="0"/>
            <w:vAlign w:val="center"/>
          </w:tcPr>
          <w:p w14:paraId="7A800F36">
            <w:pPr>
              <w:keepNext w:val="0"/>
              <w:keepLines w:val="0"/>
              <w:pageBreakBefore w:val="0"/>
              <w:widowControl/>
              <w:kinsoku/>
              <w:wordWrap/>
              <w:overflowPunct/>
              <w:topLinePunct w:val="0"/>
              <w:autoSpaceDE/>
              <w:autoSpaceDN/>
              <w:bidi w:val="0"/>
              <w:snapToGrid/>
              <w:spacing w:line="312" w:lineRule="auto"/>
              <w:jc w:val="both"/>
              <w:rPr>
                <w:rFonts w:hint="default" w:ascii="宋体" w:hAnsi="宋体" w:eastAsia="宋体" w:cs="宋体"/>
                <w:color w:val="auto"/>
                <w:kern w:val="0"/>
                <w:szCs w:val="21"/>
                <w:lang w:val="en-US" w:eastAsia="zh-CN"/>
              </w:rPr>
            </w:pPr>
            <w:r>
              <w:rPr>
                <w:rFonts w:hint="eastAsia" w:ascii="宋体" w:hAnsi="宋体" w:cs="宋体"/>
                <w:color w:val="auto"/>
                <w:kern w:val="0"/>
                <w:szCs w:val="21"/>
                <w:lang w:val="en-US" w:eastAsia="zh-CN"/>
              </w:rPr>
              <w:t>16.1</w:t>
            </w:r>
          </w:p>
        </w:tc>
        <w:tc>
          <w:tcPr>
            <w:tcW w:w="7153" w:type="dxa"/>
            <w:tcBorders>
              <w:top w:val="nil"/>
              <w:left w:val="nil"/>
              <w:bottom w:val="single" w:color="auto" w:sz="8" w:space="0"/>
              <w:right w:val="single" w:color="auto" w:sz="8" w:space="0"/>
            </w:tcBorders>
            <w:noWrap w:val="0"/>
            <w:vAlign w:val="center"/>
          </w:tcPr>
          <w:p w14:paraId="528E393B">
            <w:pPr>
              <w:keepNext w:val="0"/>
              <w:keepLines w:val="0"/>
              <w:pageBreakBefore w:val="0"/>
              <w:kinsoku/>
              <w:wordWrap/>
              <w:overflowPunct/>
              <w:topLinePunct w:val="0"/>
              <w:autoSpaceDE/>
              <w:autoSpaceDN/>
              <w:bidi w:val="0"/>
              <w:snapToGrid/>
              <w:spacing w:line="312" w:lineRule="auto"/>
              <w:jc w:val="both"/>
              <w:rPr>
                <w:rFonts w:ascii="宋体" w:hAnsi="宋体" w:cs="宋体"/>
                <w:color w:val="FF0000"/>
                <w:kern w:val="0"/>
                <w:szCs w:val="21"/>
              </w:rPr>
            </w:pPr>
            <w:r>
              <w:rPr>
                <w:rFonts w:hint="eastAsia" w:ascii="宋体" w:hAnsi="宋体" w:eastAsia="宋体" w:cs="宋体"/>
                <w:sz w:val="21"/>
                <w:szCs w:val="21"/>
                <w:lang w:val="en-US" w:eastAsia="zh-CN"/>
              </w:rPr>
              <w:t>科室申请单送检情况：明细统计申请单数量、标本数量，支持对统计结果的打印和/或导出</w:t>
            </w:r>
            <w:r>
              <w:rPr>
                <w:rFonts w:hint="eastAsia" w:ascii="宋体" w:hAnsi="宋体" w:eastAsia="宋体" w:cs="宋体"/>
                <w:sz w:val="21"/>
                <w:szCs w:val="21"/>
                <w:lang w:eastAsia="zh-CN"/>
              </w:rPr>
              <w:t>；</w:t>
            </w:r>
          </w:p>
        </w:tc>
      </w:tr>
      <w:tr w14:paraId="0F5BA861">
        <w:tblPrEx>
          <w:tblCellMar>
            <w:top w:w="0" w:type="dxa"/>
            <w:left w:w="108" w:type="dxa"/>
            <w:bottom w:w="0" w:type="dxa"/>
            <w:right w:w="108" w:type="dxa"/>
          </w:tblCellMar>
        </w:tblPrEx>
        <w:trPr>
          <w:trHeight w:val="420" w:hRule="atLeast"/>
          <w:jc w:val="center"/>
        </w:trPr>
        <w:tc>
          <w:tcPr>
            <w:tcW w:w="1762" w:type="dxa"/>
            <w:vMerge w:val="continue"/>
            <w:tcBorders>
              <w:left w:val="single" w:color="auto" w:sz="8" w:space="0"/>
              <w:right w:val="single" w:color="auto" w:sz="8" w:space="0"/>
            </w:tcBorders>
            <w:noWrap w:val="0"/>
            <w:vAlign w:val="center"/>
          </w:tcPr>
          <w:p w14:paraId="451ECFD4">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color w:val="FF0000"/>
                <w:kern w:val="0"/>
                <w:sz w:val="21"/>
                <w:szCs w:val="21"/>
                <w:lang w:val="en-US" w:eastAsia="zh-CN"/>
              </w:rPr>
            </w:pPr>
          </w:p>
        </w:tc>
        <w:tc>
          <w:tcPr>
            <w:tcW w:w="944" w:type="dxa"/>
            <w:tcBorders>
              <w:top w:val="nil"/>
              <w:left w:val="nil"/>
              <w:bottom w:val="single" w:color="auto" w:sz="8" w:space="0"/>
              <w:right w:val="single" w:color="auto" w:sz="8" w:space="0"/>
            </w:tcBorders>
            <w:noWrap w:val="0"/>
            <w:vAlign w:val="center"/>
          </w:tcPr>
          <w:p w14:paraId="4838C72B">
            <w:pPr>
              <w:keepNext w:val="0"/>
              <w:keepLines w:val="0"/>
              <w:pageBreakBefore w:val="0"/>
              <w:widowControl/>
              <w:kinsoku/>
              <w:wordWrap/>
              <w:overflowPunct/>
              <w:topLinePunct w:val="0"/>
              <w:autoSpaceDE/>
              <w:autoSpaceDN/>
              <w:bidi w:val="0"/>
              <w:snapToGrid/>
              <w:spacing w:line="312" w:lineRule="auto"/>
              <w:jc w:val="both"/>
              <w:rPr>
                <w:rFonts w:hint="default" w:ascii="宋体" w:hAnsi="宋体" w:eastAsia="宋体" w:cs="宋体"/>
                <w:color w:val="auto"/>
                <w:kern w:val="0"/>
                <w:szCs w:val="21"/>
                <w:lang w:val="en-US" w:eastAsia="zh-CN"/>
              </w:rPr>
            </w:pPr>
            <w:r>
              <w:rPr>
                <w:rFonts w:hint="eastAsia" w:ascii="宋体" w:hAnsi="宋体" w:cs="宋体"/>
                <w:color w:val="auto"/>
                <w:kern w:val="0"/>
                <w:szCs w:val="21"/>
                <w:lang w:val="en-US" w:eastAsia="zh-CN"/>
              </w:rPr>
              <w:t>16.2</w:t>
            </w:r>
          </w:p>
        </w:tc>
        <w:tc>
          <w:tcPr>
            <w:tcW w:w="7153" w:type="dxa"/>
            <w:tcBorders>
              <w:top w:val="nil"/>
              <w:left w:val="nil"/>
              <w:bottom w:val="single" w:color="auto" w:sz="8" w:space="0"/>
              <w:right w:val="single" w:color="auto" w:sz="8" w:space="0"/>
            </w:tcBorders>
            <w:noWrap w:val="0"/>
            <w:vAlign w:val="center"/>
          </w:tcPr>
          <w:p w14:paraId="5C1F25FC">
            <w:pPr>
              <w:keepNext w:val="0"/>
              <w:keepLines w:val="0"/>
              <w:pageBreakBefore w:val="0"/>
              <w:widowControl/>
              <w:kinsoku/>
              <w:wordWrap/>
              <w:overflowPunct/>
              <w:topLinePunct w:val="0"/>
              <w:autoSpaceDE/>
              <w:autoSpaceDN/>
              <w:bidi w:val="0"/>
              <w:snapToGrid/>
              <w:spacing w:line="312" w:lineRule="auto"/>
              <w:jc w:val="both"/>
              <w:rPr>
                <w:rFonts w:ascii="宋体" w:hAnsi="宋体" w:cs="宋体"/>
                <w:color w:val="FF0000"/>
                <w:kern w:val="0"/>
                <w:szCs w:val="21"/>
              </w:rPr>
            </w:pPr>
            <w:r>
              <w:rPr>
                <w:rFonts w:hint="eastAsia" w:ascii="宋体" w:hAnsi="宋体" w:eastAsia="宋体" w:cs="宋体"/>
                <w:sz w:val="21"/>
                <w:szCs w:val="21"/>
                <w:lang w:val="en-US" w:eastAsia="zh-CN"/>
              </w:rPr>
              <w:t>提供标本固定异常列表，支持根据离体固定时间差来筛选数据</w:t>
            </w:r>
            <w:r>
              <w:rPr>
                <w:rFonts w:hint="eastAsia" w:ascii="宋体" w:hAnsi="宋体" w:eastAsia="宋体" w:cs="宋体"/>
                <w:sz w:val="21"/>
                <w:szCs w:val="21"/>
                <w:lang w:eastAsia="zh-CN"/>
              </w:rPr>
              <w:t>；</w:t>
            </w:r>
          </w:p>
        </w:tc>
      </w:tr>
      <w:tr w14:paraId="608528C7">
        <w:tblPrEx>
          <w:tblCellMar>
            <w:top w:w="0" w:type="dxa"/>
            <w:left w:w="108" w:type="dxa"/>
            <w:bottom w:w="0" w:type="dxa"/>
            <w:right w:w="108" w:type="dxa"/>
          </w:tblCellMar>
        </w:tblPrEx>
        <w:trPr>
          <w:trHeight w:val="420" w:hRule="atLeast"/>
          <w:jc w:val="center"/>
        </w:trPr>
        <w:tc>
          <w:tcPr>
            <w:tcW w:w="1762" w:type="dxa"/>
            <w:vMerge w:val="continue"/>
            <w:tcBorders>
              <w:left w:val="single" w:color="auto" w:sz="8" w:space="0"/>
              <w:right w:val="single" w:color="auto" w:sz="8" w:space="0"/>
            </w:tcBorders>
            <w:noWrap w:val="0"/>
            <w:vAlign w:val="center"/>
          </w:tcPr>
          <w:p w14:paraId="05E9761D">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color w:val="FF0000"/>
                <w:kern w:val="0"/>
                <w:sz w:val="21"/>
                <w:szCs w:val="21"/>
                <w:lang w:val="en-US" w:eastAsia="zh-CN"/>
              </w:rPr>
            </w:pPr>
          </w:p>
        </w:tc>
        <w:tc>
          <w:tcPr>
            <w:tcW w:w="944" w:type="dxa"/>
            <w:tcBorders>
              <w:top w:val="nil"/>
              <w:left w:val="nil"/>
              <w:bottom w:val="single" w:color="auto" w:sz="8" w:space="0"/>
              <w:right w:val="single" w:color="auto" w:sz="8" w:space="0"/>
            </w:tcBorders>
            <w:noWrap w:val="0"/>
            <w:vAlign w:val="center"/>
          </w:tcPr>
          <w:p w14:paraId="03D4432D">
            <w:pPr>
              <w:keepNext w:val="0"/>
              <w:keepLines w:val="0"/>
              <w:pageBreakBefore w:val="0"/>
              <w:widowControl/>
              <w:kinsoku/>
              <w:wordWrap/>
              <w:overflowPunct/>
              <w:topLinePunct w:val="0"/>
              <w:autoSpaceDE/>
              <w:autoSpaceDN/>
              <w:bidi w:val="0"/>
              <w:snapToGrid/>
              <w:spacing w:line="312" w:lineRule="auto"/>
              <w:jc w:val="both"/>
              <w:rPr>
                <w:rFonts w:hint="default" w:ascii="宋体" w:hAnsi="宋体" w:eastAsia="宋体" w:cs="宋体"/>
                <w:color w:val="auto"/>
                <w:kern w:val="0"/>
                <w:szCs w:val="21"/>
                <w:lang w:val="en-US" w:eastAsia="zh-CN"/>
              </w:rPr>
            </w:pPr>
            <w:r>
              <w:rPr>
                <w:rFonts w:hint="eastAsia" w:ascii="宋体" w:hAnsi="宋体" w:cs="宋体"/>
                <w:color w:val="auto"/>
                <w:kern w:val="0"/>
                <w:szCs w:val="21"/>
                <w:lang w:val="en-US" w:eastAsia="zh-CN"/>
              </w:rPr>
              <w:t>16.3</w:t>
            </w:r>
          </w:p>
        </w:tc>
        <w:tc>
          <w:tcPr>
            <w:tcW w:w="7153" w:type="dxa"/>
            <w:tcBorders>
              <w:top w:val="nil"/>
              <w:left w:val="nil"/>
              <w:bottom w:val="single" w:color="auto" w:sz="8" w:space="0"/>
              <w:right w:val="single" w:color="auto" w:sz="8" w:space="0"/>
            </w:tcBorders>
            <w:noWrap w:val="0"/>
            <w:vAlign w:val="center"/>
          </w:tcPr>
          <w:p w14:paraId="4A57F3C8">
            <w:pPr>
              <w:keepNext w:val="0"/>
              <w:keepLines w:val="0"/>
              <w:pageBreakBefore w:val="0"/>
              <w:widowControl/>
              <w:kinsoku/>
              <w:wordWrap/>
              <w:overflowPunct/>
              <w:topLinePunct w:val="0"/>
              <w:autoSpaceDE/>
              <w:autoSpaceDN/>
              <w:bidi w:val="0"/>
              <w:snapToGrid/>
              <w:spacing w:line="312" w:lineRule="auto"/>
              <w:jc w:val="both"/>
              <w:rPr>
                <w:rFonts w:ascii="宋体" w:hAnsi="宋体" w:cs="宋体"/>
                <w:color w:val="FF0000"/>
                <w:kern w:val="0"/>
                <w:szCs w:val="21"/>
              </w:rPr>
            </w:pPr>
            <w:r>
              <w:rPr>
                <w:rFonts w:hint="eastAsia" w:ascii="宋体" w:hAnsi="宋体" w:eastAsia="宋体" w:cs="宋体"/>
                <w:sz w:val="21"/>
                <w:szCs w:val="21"/>
                <w:lang w:val="en-US" w:eastAsia="zh-CN"/>
              </w:rPr>
              <w:t>提供标本接收异常列表，支持根据离体到接收之间的时间差来筛选数据</w:t>
            </w:r>
            <w:r>
              <w:rPr>
                <w:rFonts w:hint="eastAsia" w:ascii="宋体" w:hAnsi="宋体" w:eastAsia="宋体" w:cs="宋体"/>
                <w:sz w:val="21"/>
                <w:szCs w:val="21"/>
                <w:lang w:eastAsia="zh-CN"/>
              </w:rPr>
              <w:t>；</w:t>
            </w:r>
          </w:p>
        </w:tc>
      </w:tr>
      <w:tr w14:paraId="3D54CF9B">
        <w:tblPrEx>
          <w:tblCellMar>
            <w:top w:w="0" w:type="dxa"/>
            <w:left w:w="108" w:type="dxa"/>
            <w:bottom w:w="0" w:type="dxa"/>
            <w:right w:w="108" w:type="dxa"/>
          </w:tblCellMar>
        </w:tblPrEx>
        <w:trPr>
          <w:trHeight w:val="420" w:hRule="atLeast"/>
          <w:jc w:val="center"/>
        </w:trPr>
        <w:tc>
          <w:tcPr>
            <w:tcW w:w="1762" w:type="dxa"/>
            <w:vMerge w:val="continue"/>
            <w:tcBorders>
              <w:left w:val="single" w:color="auto" w:sz="8" w:space="0"/>
              <w:right w:val="single" w:color="auto" w:sz="8" w:space="0"/>
            </w:tcBorders>
            <w:noWrap w:val="0"/>
            <w:vAlign w:val="center"/>
          </w:tcPr>
          <w:p w14:paraId="3E6EE498">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color w:val="FF0000"/>
                <w:kern w:val="0"/>
                <w:sz w:val="21"/>
                <w:szCs w:val="21"/>
                <w:lang w:val="en-US" w:eastAsia="zh-CN"/>
              </w:rPr>
            </w:pPr>
          </w:p>
        </w:tc>
        <w:tc>
          <w:tcPr>
            <w:tcW w:w="944" w:type="dxa"/>
            <w:tcBorders>
              <w:top w:val="nil"/>
              <w:left w:val="nil"/>
              <w:bottom w:val="single" w:color="auto" w:sz="8" w:space="0"/>
              <w:right w:val="single" w:color="auto" w:sz="8" w:space="0"/>
            </w:tcBorders>
            <w:noWrap w:val="0"/>
            <w:vAlign w:val="center"/>
          </w:tcPr>
          <w:p w14:paraId="7C58D777">
            <w:pPr>
              <w:keepNext w:val="0"/>
              <w:keepLines w:val="0"/>
              <w:pageBreakBefore w:val="0"/>
              <w:widowControl/>
              <w:kinsoku/>
              <w:wordWrap/>
              <w:overflowPunct/>
              <w:topLinePunct w:val="0"/>
              <w:autoSpaceDE/>
              <w:autoSpaceDN/>
              <w:bidi w:val="0"/>
              <w:snapToGrid/>
              <w:spacing w:line="312" w:lineRule="auto"/>
              <w:jc w:val="both"/>
              <w:rPr>
                <w:rFonts w:hint="default" w:ascii="宋体" w:hAnsi="宋体" w:eastAsia="宋体" w:cs="宋体"/>
                <w:color w:val="auto"/>
                <w:kern w:val="0"/>
                <w:szCs w:val="21"/>
                <w:lang w:val="en-US" w:eastAsia="zh-CN"/>
              </w:rPr>
            </w:pPr>
            <w:r>
              <w:rPr>
                <w:rFonts w:hint="eastAsia" w:ascii="宋体" w:hAnsi="宋体" w:cs="宋体"/>
                <w:color w:val="auto"/>
                <w:kern w:val="0"/>
                <w:szCs w:val="21"/>
                <w:lang w:val="en-US" w:eastAsia="zh-CN"/>
              </w:rPr>
              <w:t>16.4</w:t>
            </w:r>
          </w:p>
        </w:tc>
        <w:tc>
          <w:tcPr>
            <w:tcW w:w="7153" w:type="dxa"/>
            <w:tcBorders>
              <w:top w:val="nil"/>
              <w:left w:val="nil"/>
              <w:bottom w:val="single" w:color="auto" w:sz="8" w:space="0"/>
              <w:right w:val="single" w:color="auto" w:sz="8" w:space="0"/>
            </w:tcBorders>
            <w:noWrap w:val="0"/>
            <w:vAlign w:val="center"/>
          </w:tcPr>
          <w:p w14:paraId="6B97B001">
            <w:pPr>
              <w:keepNext w:val="0"/>
              <w:keepLines w:val="0"/>
              <w:pageBreakBefore w:val="0"/>
              <w:widowControl/>
              <w:kinsoku/>
              <w:wordWrap/>
              <w:overflowPunct/>
              <w:topLinePunct w:val="0"/>
              <w:autoSpaceDE/>
              <w:autoSpaceDN/>
              <w:bidi w:val="0"/>
              <w:snapToGrid/>
              <w:spacing w:line="312" w:lineRule="auto"/>
              <w:jc w:val="both"/>
              <w:rPr>
                <w:rFonts w:ascii="宋体" w:hAnsi="宋体" w:cs="宋体"/>
                <w:color w:val="FF0000"/>
                <w:kern w:val="0"/>
                <w:szCs w:val="21"/>
              </w:rPr>
            </w:pPr>
            <w:r>
              <w:rPr>
                <w:rFonts w:hint="eastAsia" w:ascii="宋体" w:hAnsi="宋体" w:eastAsia="宋体" w:cs="宋体"/>
                <w:sz w:val="21"/>
                <w:szCs w:val="21"/>
                <w:lang w:val="en-US" w:eastAsia="zh-CN"/>
              </w:rPr>
              <w:t>提供标本运送异常列表，支持依据运送时间到接收时间之差来筛选数据</w:t>
            </w:r>
            <w:r>
              <w:rPr>
                <w:rFonts w:hint="eastAsia" w:ascii="宋体" w:hAnsi="宋体" w:eastAsia="宋体" w:cs="宋体"/>
                <w:sz w:val="21"/>
                <w:szCs w:val="21"/>
                <w:lang w:eastAsia="zh-CN"/>
              </w:rPr>
              <w:t>；</w:t>
            </w:r>
          </w:p>
        </w:tc>
      </w:tr>
      <w:tr w14:paraId="7576A20D">
        <w:tblPrEx>
          <w:tblCellMar>
            <w:top w:w="0" w:type="dxa"/>
            <w:left w:w="108" w:type="dxa"/>
            <w:bottom w:w="0" w:type="dxa"/>
            <w:right w:w="108" w:type="dxa"/>
          </w:tblCellMar>
        </w:tblPrEx>
        <w:trPr>
          <w:trHeight w:val="820" w:hRule="atLeast"/>
          <w:jc w:val="center"/>
        </w:trPr>
        <w:tc>
          <w:tcPr>
            <w:tcW w:w="1762" w:type="dxa"/>
            <w:vMerge w:val="continue"/>
            <w:tcBorders>
              <w:left w:val="single" w:color="auto" w:sz="8" w:space="0"/>
              <w:right w:val="single" w:color="auto" w:sz="8" w:space="0"/>
            </w:tcBorders>
            <w:noWrap w:val="0"/>
            <w:vAlign w:val="center"/>
          </w:tcPr>
          <w:p w14:paraId="5BB98959">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color w:val="FF0000"/>
                <w:kern w:val="0"/>
                <w:sz w:val="21"/>
                <w:szCs w:val="21"/>
                <w:lang w:val="en-US" w:eastAsia="zh-CN"/>
              </w:rPr>
            </w:pPr>
          </w:p>
        </w:tc>
        <w:tc>
          <w:tcPr>
            <w:tcW w:w="944" w:type="dxa"/>
            <w:tcBorders>
              <w:top w:val="nil"/>
              <w:left w:val="nil"/>
              <w:bottom w:val="single" w:color="auto" w:sz="8" w:space="0"/>
              <w:right w:val="single" w:color="auto" w:sz="8" w:space="0"/>
            </w:tcBorders>
            <w:noWrap w:val="0"/>
            <w:vAlign w:val="center"/>
          </w:tcPr>
          <w:p w14:paraId="1545A5AF">
            <w:pPr>
              <w:keepNext w:val="0"/>
              <w:keepLines w:val="0"/>
              <w:pageBreakBefore w:val="0"/>
              <w:widowControl/>
              <w:kinsoku/>
              <w:wordWrap/>
              <w:overflowPunct/>
              <w:topLinePunct w:val="0"/>
              <w:autoSpaceDE/>
              <w:autoSpaceDN/>
              <w:bidi w:val="0"/>
              <w:snapToGrid/>
              <w:spacing w:line="312" w:lineRule="auto"/>
              <w:jc w:val="both"/>
              <w:rPr>
                <w:rFonts w:hint="default" w:ascii="宋体" w:hAnsi="宋体" w:eastAsia="宋体" w:cs="宋体"/>
                <w:color w:val="auto"/>
                <w:kern w:val="0"/>
                <w:szCs w:val="21"/>
                <w:lang w:val="en-US" w:eastAsia="zh-CN"/>
              </w:rPr>
            </w:pPr>
            <w:r>
              <w:rPr>
                <w:rFonts w:hint="eastAsia" w:ascii="宋体" w:hAnsi="宋体" w:cs="宋体"/>
                <w:color w:val="auto"/>
                <w:kern w:val="0"/>
                <w:szCs w:val="21"/>
                <w:lang w:val="en-US" w:eastAsia="zh-CN"/>
              </w:rPr>
              <w:t>16.5</w:t>
            </w:r>
          </w:p>
        </w:tc>
        <w:tc>
          <w:tcPr>
            <w:tcW w:w="7153" w:type="dxa"/>
            <w:tcBorders>
              <w:top w:val="nil"/>
              <w:left w:val="nil"/>
              <w:bottom w:val="single" w:color="auto" w:sz="8" w:space="0"/>
              <w:right w:val="single" w:color="auto" w:sz="8" w:space="0"/>
            </w:tcBorders>
            <w:noWrap w:val="0"/>
            <w:vAlign w:val="center"/>
          </w:tcPr>
          <w:p w14:paraId="71255A79">
            <w:pPr>
              <w:keepNext w:val="0"/>
              <w:keepLines w:val="0"/>
              <w:pageBreakBefore w:val="0"/>
              <w:widowControl/>
              <w:kinsoku/>
              <w:wordWrap/>
              <w:overflowPunct/>
              <w:topLinePunct w:val="0"/>
              <w:autoSpaceDE/>
              <w:autoSpaceDN/>
              <w:bidi w:val="0"/>
              <w:snapToGrid/>
              <w:spacing w:line="312" w:lineRule="auto"/>
              <w:jc w:val="both"/>
              <w:rPr>
                <w:rFonts w:ascii="宋体" w:hAnsi="宋体" w:cs="宋体"/>
                <w:color w:val="FF0000"/>
                <w:kern w:val="0"/>
                <w:szCs w:val="21"/>
              </w:rPr>
            </w:pPr>
            <w:r>
              <w:rPr>
                <w:rFonts w:hint="eastAsia" w:ascii="宋体" w:hAnsi="宋体" w:eastAsia="宋体" w:cs="宋体"/>
                <w:sz w:val="21"/>
                <w:szCs w:val="21"/>
                <w:lang w:val="en-US" w:eastAsia="zh-CN"/>
              </w:rPr>
              <w:t>送检单据信息统计：支持操作人员对本科室状态为已接收标本的送检信息查询</w:t>
            </w:r>
            <w:r>
              <w:rPr>
                <w:rFonts w:hint="eastAsia" w:ascii="宋体" w:hAnsi="宋体" w:eastAsia="宋体" w:cs="宋体"/>
                <w:sz w:val="21"/>
                <w:szCs w:val="21"/>
                <w:lang w:eastAsia="zh-CN"/>
              </w:rPr>
              <w:t>；</w:t>
            </w:r>
          </w:p>
        </w:tc>
      </w:tr>
      <w:tr w14:paraId="44DB73CD">
        <w:tblPrEx>
          <w:tblCellMar>
            <w:top w:w="0" w:type="dxa"/>
            <w:left w:w="108" w:type="dxa"/>
            <w:bottom w:w="0" w:type="dxa"/>
            <w:right w:w="108" w:type="dxa"/>
          </w:tblCellMar>
        </w:tblPrEx>
        <w:trPr>
          <w:trHeight w:val="820" w:hRule="atLeast"/>
          <w:jc w:val="center"/>
        </w:trPr>
        <w:tc>
          <w:tcPr>
            <w:tcW w:w="1762" w:type="dxa"/>
            <w:vMerge w:val="continue"/>
            <w:tcBorders>
              <w:left w:val="single" w:color="auto" w:sz="8" w:space="0"/>
              <w:right w:val="single" w:color="auto" w:sz="8" w:space="0"/>
            </w:tcBorders>
            <w:noWrap w:val="0"/>
            <w:vAlign w:val="center"/>
          </w:tcPr>
          <w:p w14:paraId="64B1011A">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color w:val="FF0000"/>
                <w:kern w:val="0"/>
                <w:sz w:val="21"/>
                <w:szCs w:val="21"/>
                <w:lang w:val="en-US" w:eastAsia="zh-CN"/>
              </w:rPr>
            </w:pPr>
          </w:p>
        </w:tc>
        <w:tc>
          <w:tcPr>
            <w:tcW w:w="944" w:type="dxa"/>
            <w:tcBorders>
              <w:top w:val="nil"/>
              <w:left w:val="nil"/>
              <w:bottom w:val="single" w:color="auto" w:sz="8" w:space="0"/>
              <w:right w:val="single" w:color="auto" w:sz="8" w:space="0"/>
            </w:tcBorders>
            <w:noWrap w:val="0"/>
            <w:vAlign w:val="center"/>
          </w:tcPr>
          <w:p w14:paraId="6FC19F30">
            <w:pPr>
              <w:keepNext w:val="0"/>
              <w:keepLines w:val="0"/>
              <w:pageBreakBefore w:val="0"/>
              <w:widowControl/>
              <w:kinsoku/>
              <w:wordWrap/>
              <w:overflowPunct/>
              <w:topLinePunct w:val="0"/>
              <w:autoSpaceDE/>
              <w:autoSpaceDN/>
              <w:bidi w:val="0"/>
              <w:snapToGrid/>
              <w:spacing w:line="312" w:lineRule="auto"/>
              <w:jc w:val="both"/>
              <w:rPr>
                <w:rFonts w:hint="default" w:ascii="宋体" w:hAnsi="宋体" w:eastAsia="宋体" w:cs="宋体"/>
                <w:color w:val="auto"/>
                <w:kern w:val="0"/>
                <w:szCs w:val="21"/>
                <w:lang w:val="en-US" w:eastAsia="zh-CN"/>
              </w:rPr>
            </w:pPr>
            <w:r>
              <w:rPr>
                <w:rFonts w:hint="eastAsia" w:ascii="宋体" w:hAnsi="宋体" w:cs="宋体"/>
                <w:color w:val="auto"/>
                <w:kern w:val="0"/>
                <w:szCs w:val="21"/>
                <w:lang w:val="en-US" w:eastAsia="zh-CN"/>
              </w:rPr>
              <w:t>16.6</w:t>
            </w:r>
          </w:p>
        </w:tc>
        <w:tc>
          <w:tcPr>
            <w:tcW w:w="7153" w:type="dxa"/>
            <w:tcBorders>
              <w:top w:val="nil"/>
              <w:left w:val="nil"/>
              <w:bottom w:val="single" w:color="auto" w:sz="8" w:space="0"/>
              <w:right w:val="single" w:color="auto" w:sz="8" w:space="0"/>
            </w:tcBorders>
            <w:noWrap w:val="0"/>
            <w:vAlign w:val="center"/>
          </w:tcPr>
          <w:p w14:paraId="6FDB06DF">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color w:val="FF0000"/>
                <w:kern w:val="0"/>
                <w:szCs w:val="21"/>
                <w:lang w:eastAsia="zh-CN"/>
              </w:rPr>
            </w:pPr>
            <w:r>
              <w:rPr>
                <w:rFonts w:hint="eastAsia" w:ascii="宋体" w:hAnsi="宋体" w:eastAsia="宋体" w:cs="宋体"/>
                <w:sz w:val="21"/>
                <w:szCs w:val="21"/>
                <w:lang w:val="en-US" w:eastAsia="zh-CN"/>
              </w:rPr>
              <w:t>提供科室送检批次列表，支持根据运送时间、科室、送检类型等字段筛选标本运送的相关数据，可批量打印标本登记表；</w:t>
            </w:r>
          </w:p>
        </w:tc>
      </w:tr>
      <w:tr w14:paraId="4C4625D8">
        <w:tblPrEx>
          <w:tblCellMar>
            <w:top w:w="0" w:type="dxa"/>
            <w:left w:w="108" w:type="dxa"/>
            <w:bottom w:w="0" w:type="dxa"/>
            <w:right w:w="108" w:type="dxa"/>
          </w:tblCellMar>
        </w:tblPrEx>
        <w:trPr>
          <w:trHeight w:val="820" w:hRule="atLeast"/>
          <w:jc w:val="center"/>
        </w:trPr>
        <w:tc>
          <w:tcPr>
            <w:tcW w:w="1762" w:type="dxa"/>
            <w:vMerge w:val="continue"/>
            <w:tcBorders>
              <w:left w:val="single" w:color="auto" w:sz="8" w:space="0"/>
              <w:right w:val="single" w:color="auto" w:sz="8" w:space="0"/>
            </w:tcBorders>
            <w:noWrap w:val="0"/>
            <w:vAlign w:val="center"/>
          </w:tcPr>
          <w:p w14:paraId="628A349B">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color w:val="FF0000"/>
                <w:kern w:val="0"/>
                <w:sz w:val="21"/>
                <w:szCs w:val="21"/>
                <w:lang w:val="en-US" w:eastAsia="zh-CN"/>
              </w:rPr>
            </w:pPr>
          </w:p>
        </w:tc>
        <w:tc>
          <w:tcPr>
            <w:tcW w:w="944" w:type="dxa"/>
            <w:tcBorders>
              <w:top w:val="nil"/>
              <w:left w:val="nil"/>
              <w:bottom w:val="single" w:color="auto" w:sz="8" w:space="0"/>
              <w:right w:val="single" w:color="auto" w:sz="8" w:space="0"/>
            </w:tcBorders>
            <w:noWrap w:val="0"/>
            <w:vAlign w:val="center"/>
          </w:tcPr>
          <w:p w14:paraId="76419CF0">
            <w:pPr>
              <w:keepNext w:val="0"/>
              <w:keepLines w:val="0"/>
              <w:pageBreakBefore w:val="0"/>
              <w:widowControl/>
              <w:kinsoku/>
              <w:wordWrap/>
              <w:overflowPunct/>
              <w:topLinePunct w:val="0"/>
              <w:autoSpaceDE/>
              <w:autoSpaceDN/>
              <w:bidi w:val="0"/>
              <w:snapToGrid/>
              <w:spacing w:line="312" w:lineRule="auto"/>
              <w:jc w:val="both"/>
              <w:rPr>
                <w:rFonts w:hint="default" w:ascii="宋体" w:hAnsi="宋体" w:cs="宋体"/>
                <w:color w:val="auto"/>
                <w:kern w:val="0"/>
                <w:szCs w:val="21"/>
                <w:lang w:val="en-US" w:eastAsia="zh-CN"/>
              </w:rPr>
            </w:pPr>
            <w:r>
              <w:rPr>
                <w:rFonts w:hint="eastAsia" w:ascii="宋体" w:hAnsi="宋体" w:cs="宋体"/>
                <w:color w:val="auto"/>
                <w:kern w:val="0"/>
                <w:szCs w:val="21"/>
                <w:lang w:val="en-US" w:eastAsia="zh-CN"/>
              </w:rPr>
              <w:t>16.7</w:t>
            </w:r>
          </w:p>
        </w:tc>
        <w:tc>
          <w:tcPr>
            <w:tcW w:w="7153" w:type="dxa"/>
            <w:tcBorders>
              <w:top w:val="nil"/>
              <w:left w:val="nil"/>
              <w:bottom w:val="single" w:color="auto" w:sz="8" w:space="0"/>
              <w:right w:val="single" w:color="auto" w:sz="8" w:space="0"/>
            </w:tcBorders>
            <w:noWrap w:val="0"/>
            <w:vAlign w:val="center"/>
          </w:tcPr>
          <w:p w14:paraId="142F1E3D">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提供科室签收批次列表，可查看所有签收的信息，可批量打印申请单和签收清单；</w:t>
            </w:r>
          </w:p>
        </w:tc>
      </w:tr>
      <w:tr w14:paraId="0DD65A0F">
        <w:tblPrEx>
          <w:tblCellMar>
            <w:top w:w="0" w:type="dxa"/>
            <w:left w:w="108" w:type="dxa"/>
            <w:bottom w:w="0" w:type="dxa"/>
            <w:right w:w="108" w:type="dxa"/>
          </w:tblCellMar>
        </w:tblPrEx>
        <w:trPr>
          <w:trHeight w:val="420" w:hRule="atLeast"/>
          <w:jc w:val="center"/>
        </w:trPr>
        <w:tc>
          <w:tcPr>
            <w:tcW w:w="1762" w:type="dxa"/>
            <w:vMerge w:val="continue"/>
            <w:tcBorders>
              <w:left w:val="single" w:color="auto" w:sz="8" w:space="0"/>
              <w:right w:val="single" w:color="auto" w:sz="8" w:space="0"/>
            </w:tcBorders>
            <w:noWrap w:val="0"/>
            <w:vAlign w:val="center"/>
          </w:tcPr>
          <w:p w14:paraId="6EE07006">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color w:val="FF0000"/>
                <w:kern w:val="0"/>
                <w:sz w:val="21"/>
                <w:szCs w:val="21"/>
                <w:lang w:val="en-US" w:eastAsia="zh-CN"/>
              </w:rPr>
            </w:pPr>
          </w:p>
        </w:tc>
        <w:tc>
          <w:tcPr>
            <w:tcW w:w="944" w:type="dxa"/>
            <w:tcBorders>
              <w:top w:val="nil"/>
              <w:left w:val="nil"/>
              <w:bottom w:val="single" w:color="auto" w:sz="8" w:space="0"/>
              <w:right w:val="single" w:color="auto" w:sz="8" w:space="0"/>
            </w:tcBorders>
            <w:noWrap w:val="0"/>
            <w:vAlign w:val="center"/>
          </w:tcPr>
          <w:p w14:paraId="281D0300">
            <w:pPr>
              <w:keepNext w:val="0"/>
              <w:keepLines w:val="0"/>
              <w:pageBreakBefore w:val="0"/>
              <w:widowControl/>
              <w:kinsoku/>
              <w:wordWrap/>
              <w:overflowPunct/>
              <w:topLinePunct w:val="0"/>
              <w:autoSpaceDE/>
              <w:autoSpaceDN/>
              <w:bidi w:val="0"/>
              <w:snapToGrid/>
              <w:spacing w:line="312" w:lineRule="auto"/>
              <w:jc w:val="both"/>
              <w:rPr>
                <w:rFonts w:hint="default" w:ascii="宋体" w:hAnsi="宋体" w:cs="宋体"/>
                <w:color w:val="auto"/>
                <w:kern w:val="0"/>
                <w:szCs w:val="21"/>
                <w:lang w:val="en-US" w:eastAsia="zh-CN"/>
              </w:rPr>
            </w:pPr>
            <w:r>
              <w:rPr>
                <w:rFonts w:hint="eastAsia" w:ascii="宋体" w:hAnsi="宋体" w:cs="宋体"/>
                <w:color w:val="auto"/>
                <w:kern w:val="0"/>
                <w:szCs w:val="21"/>
                <w:lang w:val="en-US" w:eastAsia="zh-CN"/>
              </w:rPr>
              <w:t>16.8</w:t>
            </w:r>
          </w:p>
        </w:tc>
        <w:tc>
          <w:tcPr>
            <w:tcW w:w="7153" w:type="dxa"/>
            <w:tcBorders>
              <w:top w:val="nil"/>
              <w:left w:val="nil"/>
              <w:bottom w:val="single" w:color="auto" w:sz="8" w:space="0"/>
              <w:right w:val="single" w:color="auto" w:sz="8" w:space="0"/>
            </w:tcBorders>
            <w:noWrap w:val="0"/>
            <w:vAlign w:val="center"/>
          </w:tcPr>
          <w:p w14:paraId="58043DF3">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查看今日申请单：可查看今日的所有申请单，并支持导出和清单打印功能；</w:t>
            </w:r>
          </w:p>
        </w:tc>
      </w:tr>
      <w:tr w14:paraId="2090C4DC">
        <w:tblPrEx>
          <w:tblCellMar>
            <w:top w:w="0" w:type="dxa"/>
            <w:left w:w="108" w:type="dxa"/>
            <w:bottom w:w="0" w:type="dxa"/>
            <w:right w:w="108" w:type="dxa"/>
          </w:tblCellMar>
        </w:tblPrEx>
        <w:trPr>
          <w:trHeight w:val="420" w:hRule="atLeast"/>
          <w:jc w:val="center"/>
        </w:trPr>
        <w:tc>
          <w:tcPr>
            <w:tcW w:w="1762" w:type="dxa"/>
            <w:vMerge w:val="continue"/>
            <w:tcBorders>
              <w:left w:val="single" w:color="auto" w:sz="8" w:space="0"/>
              <w:right w:val="single" w:color="auto" w:sz="8" w:space="0"/>
            </w:tcBorders>
            <w:noWrap w:val="0"/>
            <w:vAlign w:val="center"/>
          </w:tcPr>
          <w:p w14:paraId="64417FCB">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color w:val="FF0000"/>
                <w:kern w:val="0"/>
                <w:sz w:val="21"/>
                <w:szCs w:val="21"/>
                <w:lang w:val="en-US" w:eastAsia="zh-CN"/>
              </w:rPr>
            </w:pPr>
          </w:p>
        </w:tc>
        <w:tc>
          <w:tcPr>
            <w:tcW w:w="944" w:type="dxa"/>
            <w:tcBorders>
              <w:top w:val="nil"/>
              <w:left w:val="nil"/>
              <w:bottom w:val="single" w:color="auto" w:sz="8" w:space="0"/>
              <w:right w:val="single" w:color="auto" w:sz="8" w:space="0"/>
            </w:tcBorders>
            <w:noWrap w:val="0"/>
            <w:vAlign w:val="center"/>
          </w:tcPr>
          <w:p w14:paraId="0BDE7973">
            <w:pPr>
              <w:keepNext w:val="0"/>
              <w:keepLines w:val="0"/>
              <w:pageBreakBefore w:val="0"/>
              <w:widowControl/>
              <w:kinsoku/>
              <w:wordWrap/>
              <w:overflowPunct/>
              <w:topLinePunct w:val="0"/>
              <w:autoSpaceDE/>
              <w:autoSpaceDN/>
              <w:bidi w:val="0"/>
              <w:snapToGrid/>
              <w:spacing w:line="312" w:lineRule="auto"/>
              <w:jc w:val="both"/>
              <w:rPr>
                <w:rFonts w:hint="default" w:ascii="宋体" w:hAnsi="宋体" w:cs="宋体"/>
                <w:color w:val="auto"/>
                <w:kern w:val="0"/>
                <w:szCs w:val="21"/>
                <w:lang w:val="en-US" w:eastAsia="zh-CN"/>
              </w:rPr>
            </w:pPr>
            <w:r>
              <w:rPr>
                <w:rFonts w:hint="eastAsia" w:ascii="宋体" w:hAnsi="宋体" w:cs="宋体"/>
                <w:color w:val="auto"/>
                <w:kern w:val="0"/>
                <w:szCs w:val="21"/>
                <w:lang w:val="en-US" w:eastAsia="zh-CN"/>
              </w:rPr>
              <w:t>16.9</w:t>
            </w:r>
          </w:p>
        </w:tc>
        <w:tc>
          <w:tcPr>
            <w:tcW w:w="7153" w:type="dxa"/>
            <w:tcBorders>
              <w:top w:val="nil"/>
              <w:left w:val="nil"/>
              <w:bottom w:val="single" w:color="auto" w:sz="8" w:space="0"/>
              <w:right w:val="single" w:color="auto" w:sz="8" w:space="0"/>
            </w:tcBorders>
            <w:noWrap w:val="0"/>
            <w:vAlign w:val="center"/>
          </w:tcPr>
          <w:p w14:paraId="61DCB90C">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备注标本信息统计，统计所有含有标本备注的资料数据；</w:t>
            </w:r>
          </w:p>
        </w:tc>
      </w:tr>
      <w:tr w14:paraId="1D814399">
        <w:tblPrEx>
          <w:tblCellMar>
            <w:top w:w="0" w:type="dxa"/>
            <w:left w:w="108" w:type="dxa"/>
            <w:bottom w:w="0" w:type="dxa"/>
            <w:right w:w="108" w:type="dxa"/>
          </w:tblCellMar>
        </w:tblPrEx>
        <w:trPr>
          <w:trHeight w:val="420" w:hRule="atLeast"/>
          <w:jc w:val="center"/>
        </w:trPr>
        <w:tc>
          <w:tcPr>
            <w:tcW w:w="1762" w:type="dxa"/>
            <w:vMerge w:val="continue"/>
            <w:tcBorders>
              <w:left w:val="single" w:color="auto" w:sz="8" w:space="0"/>
              <w:right w:val="single" w:color="auto" w:sz="8" w:space="0"/>
            </w:tcBorders>
            <w:noWrap w:val="0"/>
            <w:vAlign w:val="center"/>
          </w:tcPr>
          <w:p w14:paraId="554566C9">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color w:val="FF0000"/>
                <w:kern w:val="0"/>
                <w:sz w:val="21"/>
                <w:szCs w:val="21"/>
                <w:lang w:val="en-US" w:eastAsia="zh-CN"/>
              </w:rPr>
            </w:pPr>
          </w:p>
        </w:tc>
        <w:tc>
          <w:tcPr>
            <w:tcW w:w="944" w:type="dxa"/>
            <w:tcBorders>
              <w:top w:val="nil"/>
              <w:left w:val="nil"/>
              <w:bottom w:val="single" w:color="auto" w:sz="8" w:space="0"/>
              <w:right w:val="single" w:color="auto" w:sz="8" w:space="0"/>
            </w:tcBorders>
            <w:noWrap w:val="0"/>
            <w:vAlign w:val="center"/>
          </w:tcPr>
          <w:p w14:paraId="11D2210E">
            <w:pPr>
              <w:keepNext w:val="0"/>
              <w:keepLines w:val="0"/>
              <w:pageBreakBefore w:val="0"/>
              <w:widowControl/>
              <w:kinsoku/>
              <w:wordWrap/>
              <w:overflowPunct/>
              <w:topLinePunct w:val="0"/>
              <w:autoSpaceDE/>
              <w:autoSpaceDN/>
              <w:bidi w:val="0"/>
              <w:snapToGrid/>
              <w:spacing w:line="312" w:lineRule="auto"/>
              <w:jc w:val="both"/>
              <w:rPr>
                <w:rFonts w:hint="default" w:ascii="宋体" w:hAnsi="宋体" w:cs="宋体"/>
                <w:color w:val="auto"/>
                <w:kern w:val="0"/>
                <w:szCs w:val="21"/>
                <w:lang w:val="en-US" w:eastAsia="zh-CN"/>
              </w:rPr>
            </w:pPr>
            <w:r>
              <w:rPr>
                <w:rFonts w:hint="eastAsia" w:ascii="宋体" w:hAnsi="宋体" w:cs="宋体"/>
                <w:color w:val="auto"/>
                <w:kern w:val="0"/>
                <w:szCs w:val="21"/>
                <w:lang w:val="en-US" w:eastAsia="zh-CN"/>
              </w:rPr>
              <w:t>16.10</w:t>
            </w:r>
          </w:p>
        </w:tc>
        <w:tc>
          <w:tcPr>
            <w:tcW w:w="7153" w:type="dxa"/>
            <w:tcBorders>
              <w:top w:val="nil"/>
              <w:left w:val="nil"/>
              <w:bottom w:val="single" w:color="auto" w:sz="8" w:space="0"/>
              <w:right w:val="single" w:color="auto" w:sz="8" w:space="0"/>
            </w:tcBorders>
            <w:noWrap w:val="0"/>
            <w:vAlign w:val="center"/>
          </w:tcPr>
          <w:p w14:paraId="24D105DE">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外院送检信息统计，统计所有外院的送检例数、联系人及联系方式；</w:t>
            </w:r>
          </w:p>
        </w:tc>
      </w:tr>
      <w:tr w14:paraId="62F8A0FB">
        <w:tblPrEx>
          <w:tblCellMar>
            <w:top w:w="0" w:type="dxa"/>
            <w:left w:w="108" w:type="dxa"/>
            <w:bottom w:w="0" w:type="dxa"/>
            <w:right w:w="108" w:type="dxa"/>
          </w:tblCellMar>
        </w:tblPrEx>
        <w:trPr>
          <w:trHeight w:val="820" w:hRule="atLeast"/>
          <w:jc w:val="center"/>
        </w:trPr>
        <w:tc>
          <w:tcPr>
            <w:tcW w:w="1762" w:type="dxa"/>
            <w:vMerge w:val="continue"/>
            <w:tcBorders>
              <w:left w:val="single" w:color="auto" w:sz="8" w:space="0"/>
              <w:right w:val="single" w:color="auto" w:sz="8" w:space="0"/>
            </w:tcBorders>
            <w:noWrap w:val="0"/>
            <w:vAlign w:val="center"/>
          </w:tcPr>
          <w:p w14:paraId="42173362">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color w:val="FF0000"/>
                <w:kern w:val="0"/>
                <w:sz w:val="21"/>
                <w:szCs w:val="21"/>
                <w:lang w:val="en-US" w:eastAsia="zh-CN"/>
              </w:rPr>
            </w:pPr>
          </w:p>
        </w:tc>
        <w:tc>
          <w:tcPr>
            <w:tcW w:w="944" w:type="dxa"/>
            <w:tcBorders>
              <w:top w:val="nil"/>
              <w:left w:val="nil"/>
              <w:bottom w:val="single" w:color="auto" w:sz="8" w:space="0"/>
              <w:right w:val="single" w:color="auto" w:sz="8" w:space="0"/>
            </w:tcBorders>
            <w:noWrap w:val="0"/>
            <w:vAlign w:val="center"/>
          </w:tcPr>
          <w:p w14:paraId="1F34ACEC">
            <w:pPr>
              <w:keepNext w:val="0"/>
              <w:keepLines w:val="0"/>
              <w:pageBreakBefore w:val="0"/>
              <w:widowControl/>
              <w:kinsoku/>
              <w:wordWrap/>
              <w:overflowPunct/>
              <w:topLinePunct w:val="0"/>
              <w:autoSpaceDE/>
              <w:autoSpaceDN/>
              <w:bidi w:val="0"/>
              <w:snapToGrid/>
              <w:spacing w:line="312" w:lineRule="auto"/>
              <w:jc w:val="both"/>
              <w:rPr>
                <w:rFonts w:hint="default" w:ascii="宋体" w:hAnsi="宋体" w:cs="宋体"/>
                <w:color w:val="auto"/>
                <w:kern w:val="0"/>
                <w:szCs w:val="21"/>
                <w:lang w:val="en-US" w:eastAsia="zh-CN"/>
              </w:rPr>
            </w:pPr>
            <w:r>
              <w:rPr>
                <w:rFonts w:hint="eastAsia" w:ascii="宋体" w:hAnsi="宋体" w:cs="宋体"/>
                <w:color w:val="auto"/>
                <w:kern w:val="0"/>
                <w:szCs w:val="21"/>
                <w:lang w:val="en-US" w:eastAsia="zh-CN"/>
              </w:rPr>
              <w:t>16.11</w:t>
            </w:r>
          </w:p>
        </w:tc>
        <w:tc>
          <w:tcPr>
            <w:tcW w:w="7153" w:type="dxa"/>
            <w:tcBorders>
              <w:top w:val="nil"/>
              <w:left w:val="nil"/>
              <w:bottom w:val="single" w:color="auto" w:sz="8" w:space="0"/>
              <w:right w:val="single" w:color="auto" w:sz="8" w:space="0"/>
            </w:tcBorders>
            <w:noWrap w:val="0"/>
            <w:vAlign w:val="center"/>
          </w:tcPr>
          <w:p w14:paraId="71D23F75">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科室统计，支持按当前登录用户的归属科室进行统计，默认查询一年（4个季度）的资料数据；</w:t>
            </w:r>
          </w:p>
        </w:tc>
      </w:tr>
      <w:tr w14:paraId="24641C7D">
        <w:tblPrEx>
          <w:tblCellMar>
            <w:top w:w="0" w:type="dxa"/>
            <w:left w:w="108" w:type="dxa"/>
            <w:bottom w:w="0" w:type="dxa"/>
            <w:right w:w="108" w:type="dxa"/>
          </w:tblCellMar>
        </w:tblPrEx>
        <w:trPr>
          <w:trHeight w:val="420" w:hRule="atLeast"/>
          <w:jc w:val="center"/>
        </w:trPr>
        <w:tc>
          <w:tcPr>
            <w:tcW w:w="1762" w:type="dxa"/>
            <w:vMerge w:val="continue"/>
            <w:tcBorders>
              <w:left w:val="single" w:color="auto" w:sz="8" w:space="0"/>
              <w:bottom w:val="single" w:color="000000" w:sz="8" w:space="0"/>
              <w:right w:val="single" w:color="auto" w:sz="8" w:space="0"/>
            </w:tcBorders>
            <w:noWrap w:val="0"/>
            <w:vAlign w:val="center"/>
          </w:tcPr>
          <w:p w14:paraId="7C39CABB">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color w:val="FF0000"/>
                <w:kern w:val="0"/>
                <w:sz w:val="21"/>
                <w:szCs w:val="21"/>
                <w:lang w:val="en-US" w:eastAsia="zh-CN"/>
              </w:rPr>
            </w:pPr>
          </w:p>
        </w:tc>
        <w:tc>
          <w:tcPr>
            <w:tcW w:w="944" w:type="dxa"/>
            <w:tcBorders>
              <w:top w:val="nil"/>
              <w:left w:val="nil"/>
              <w:bottom w:val="single" w:color="auto" w:sz="8" w:space="0"/>
              <w:right w:val="single" w:color="auto" w:sz="8" w:space="0"/>
            </w:tcBorders>
            <w:noWrap w:val="0"/>
            <w:vAlign w:val="center"/>
          </w:tcPr>
          <w:p w14:paraId="524F842A">
            <w:pPr>
              <w:keepNext w:val="0"/>
              <w:keepLines w:val="0"/>
              <w:pageBreakBefore w:val="0"/>
              <w:widowControl/>
              <w:kinsoku/>
              <w:wordWrap/>
              <w:overflowPunct/>
              <w:topLinePunct w:val="0"/>
              <w:autoSpaceDE/>
              <w:autoSpaceDN/>
              <w:bidi w:val="0"/>
              <w:snapToGrid/>
              <w:spacing w:line="312" w:lineRule="auto"/>
              <w:jc w:val="both"/>
              <w:rPr>
                <w:rFonts w:hint="default" w:ascii="宋体" w:hAnsi="宋体" w:cs="宋体"/>
                <w:color w:val="auto"/>
                <w:kern w:val="0"/>
                <w:szCs w:val="21"/>
                <w:lang w:val="en-US" w:eastAsia="zh-CN"/>
              </w:rPr>
            </w:pPr>
            <w:r>
              <w:rPr>
                <w:rFonts w:hint="eastAsia" w:ascii="宋体" w:hAnsi="宋体" w:cs="宋体"/>
                <w:color w:val="auto"/>
                <w:kern w:val="0"/>
                <w:szCs w:val="21"/>
                <w:lang w:val="en-US" w:eastAsia="zh-CN"/>
              </w:rPr>
              <w:t>16.12</w:t>
            </w:r>
          </w:p>
        </w:tc>
        <w:tc>
          <w:tcPr>
            <w:tcW w:w="7153" w:type="dxa"/>
            <w:tcBorders>
              <w:top w:val="nil"/>
              <w:left w:val="nil"/>
              <w:bottom w:val="single" w:color="auto" w:sz="8" w:space="0"/>
              <w:right w:val="single" w:color="auto" w:sz="8" w:space="0"/>
            </w:tcBorders>
            <w:noWrap w:val="0"/>
            <w:vAlign w:val="center"/>
          </w:tcPr>
          <w:p w14:paraId="3E2F6A69">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送检信息统计，支持按“标本确认护士”为归属科室进行数据统计。</w:t>
            </w:r>
          </w:p>
        </w:tc>
      </w:tr>
      <w:tr w14:paraId="6C510697">
        <w:tblPrEx>
          <w:tblCellMar>
            <w:top w:w="0" w:type="dxa"/>
            <w:left w:w="108" w:type="dxa"/>
            <w:bottom w:w="0" w:type="dxa"/>
            <w:right w:w="108" w:type="dxa"/>
          </w:tblCellMar>
        </w:tblPrEx>
        <w:trPr>
          <w:trHeight w:val="420" w:hRule="atLeast"/>
          <w:jc w:val="center"/>
        </w:trPr>
        <w:tc>
          <w:tcPr>
            <w:tcW w:w="1762" w:type="dxa"/>
            <w:vMerge w:val="restart"/>
            <w:tcBorders>
              <w:left w:val="single" w:color="auto" w:sz="8" w:space="0"/>
              <w:right w:val="single" w:color="auto" w:sz="8" w:space="0"/>
            </w:tcBorders>
            <w:noWrap w:val="0"/>
            <w:vAlign w:val="center"/>
          </w:tcPr>
          <w:p w14:paraId="7A973E9D">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color w:val="FF0000"/>
                <w:kern w:val="0"/>
                <w:sz w:val="21"/>
                <w:szCs w:val="21"/>
                <w:lang w:val="en-US" w:eastAsia="zh-CN"/>
              </w:rPr>
            </w:pPr>
            <w:r>
              <w:rPr>
                <w:rFonts w:hint="eastAsia" w:ascii="宋体" w:hAnsi="宋体" w:cs="宋体"/>
                <w:color w:val="FF0000"/>
                <w:kern w:val="0"/>
                <w:sz w:val="21"/>
                <w:szCs w:val="21"/>
                <w:lang w:val="en-US" w:eastAsia="zh-CN"/>
              </w:rPr>
              <w:t>17.手麻系统对接</w:t>
            </w:r>
          </w:p>
        </w:tc>
        <w:tc>
          <w:tcPr>
            <w:tcW w:w="944" w:type="dxa"/>
            <w:tcBorders>
              <w:top w:val="nil"/>
              <w:left w:val="nil"/>
              <w:bottom w:val="single" w:color="auto" w:sz="8" w:space="0"/>
              <w:right w:val="single" w:color="auto" w:sz="8" w:space="0"/>
            </w:tcBorders>
            <w:noWrap w:val="0"/>
            <w:vAlign w:val="center"/>
          </w:tcPr>
          <w:p w14:paraId="2EE7D85D">
            <w:pPr>
              <w:keepNext w:val="0"/>
              <w:keepLines w:val="0"/>
              <w:widowControl/>
              <w:suppressLineNumbers w:val="0"/>
              <w:spacing w:line="312" w:lineRule="auto"/>
              <w:jc w:val="both"/>
              <w:rPr>
                <w:rFonts w:hint="eastAsia" w:ascii="宋体" w:hAnsi="宋体" w:cs="宋体"/>
                <w:color w:val="auto"/>
                <w:kern w:val="0"/>
                <w:szCs w:val="21"/>
                <w:lang w:val="en-US" w:eastAsia="zh-CN"/>
              </w:rPr>
            </w:pPr>
            <w:r>
              <w:rPr>
                <w:rStyle w:val="48"/>
                <w:rFonts w:hint="eastAsia" w:ascii="宋体" w:hAnsi="宋体" w:eastAsia="宋体" w:cs="宋体"/>
                <w:b w:val="0"/>
                <w:bCs w:val="0"/>
                <w:i w:val="0"/>
                <w:iCs w:val="0"/>
                <w:caps w:val="0"/>
                <w:color w:val="0F1115"/>
                <w:spacing w:val="0"/>
                <w:kern w:val="2"/>
                <w:sz w:val="21"/>
                <w:szCs w:val="21"/>
                <w:lang w:val="en-US" w:eastAsia="zh-CN" w:bidi="ar"/>
              </w:rPr>
              <w:t>1</w:t>
            </w:r>
            <w:r>
              <w:rPr>
                <w:rFonts w:hint="eastAsia" w:ascii="宋体" w:hAnsi="宋体" w:cs="宋体"/>
                <w:b w:val="0"/>
                <w:bCs w:val="0"/>
                <w:i w:val="0"/>
                <w:iCs w:val="0"/>
                <w:caps w:val="0"/>
                <w:spacing w:val="0"/>
                <w:kern w:val="2"/>
                <w:sz w:val="21"/>
                <w:szCs w:val="21"/>
                <w:lang w:val="en-US" w:eastAsia="zh-CN" w:bidi="ar"/>
              </w:rPr>
              <w:t>7</w:t>
            </w:r>
            <w:r>
              <w:rPr>
                <w:rStyle w:val="48"/>
                <w:rFonts w:hint="eastAsia" w:ascii="宋体" w:hAnsi="宋体" w:eastAsia="宋体" w:cs="宋体"/>
                <w:b w:val="0"/>
                <w:bCs w:val="0"/>
                <w:i w:val="0"/>
                <w:iCs w:val="0"/>
                <w:caps w:val="0"/>
                <w:color w:val="0F1115"/>
                <w:spacing w:val="0"/>
                <w:kern w:val="2"/>
                <w:sz w:val="21"/>
                <w:szCs w:val="21"/>
                <w:lang w:val="en-US" w:eastAsia="zh-CN" w:bidi="ar"/>
              </w:rPr>
              <w:t>.1</w:t>
            </w:r>
          </w:p>
        </w:tc>
        <w:tc>
          <w:tcPr>
            <w:tcW w:w="7153" w:type="dxa"/>
            <w:tcBorders>
              <w:top w:val="nil"/>
              <w:left w:val="nil"/>
              <w:bottom w:val="single" w:color="auto" w:sz="8" w:space="0"/>
              <w:right w:val="single" w:color="auto" w:sz="8" w:space="0"/>
            </w:tcBorders>
            <w:noWrap w:val="0"/>
            <w:vAlign w:val="center"/>
          </w:tcPr>
          <w:p w14:paraId="6974D779">
            <w:pPr>
              <w:pStyle w:val="268"/>
              <w:keepNext w:val="0"/>
              <w:keepLines w:val="0"/>
              <w:widowControl/>
              <w:suppressLineNumbers w:val="0"/>
              <w:spacing w:line="360" w:lineRule="auto"/>
              <w:ind w:firstLine="0" w:firstLineChars="0"/>
              <w:jc w:val="left"/>
              <w:rPr>
                <w:rFonts w:hint="eastAsia" w:ascii="宋体" w:hAnsi="宋体" w:eastAsia="宋体" w:cs="宋体"/>
                <w:sz w:val="21"/>
                <w:szCs w:val="21"/>
                <w:lang w:val="en-US" w:eastAsia="zh-CN"/>
              </w:rPr>
            </w:pPr>
            <w:r>
              <w:rPr>
                <w:rFonts w:hint="eastAsia" w:ascii="宋体" w:hAnsi="宋体" w:eastAsia="宋体" w:cs="宋体"/>
                <w:i w:val="0"/>
                <w:iCs w:val="0"/>
                <w:caps w:val="0"/>
                <w:color w:val="auto"/>
                <w:spacing w:val="0"/>
                <w:kern w:val="2"/>
                <w:sz w:val="21"/>
                <w:szCs w:val="21"/>
                <w:lang w:val="en-US" w:eastAsia="zh-CN" w:bidi="ar"/>
              </w:rPr>
              <w:t>本章节针对术中病理</w:t>
            </w:r>
            <w:r>
              <w:rPr>
                <w:rFonts w:hint="eastAsia" w:ascii="宋体" w:hAnsi="宋体" w:cs="宋体"/>
                <w:i w:val="0"/>
                <w:iCs w:val="0"/>
                <w:caps w:val="0"/>
                <w:spacing w:val="0"/>
                <w:kern w:val="2"/>
                <w:sz w:val="21"/>
                <w:szCs w:val="21"/>
                <w:lang w:val="en-US" w:eastAsia="zh-CN" w:bidi="ar"/>
              </w:rPr>
              <w:t>送检</w:t>
            </w:r>
            <w:r>
              <w:rPr>
                <w:rFonts w:hint="eastAsia" w:ascii="宋体" w:hAnsi="宋体" w:eastAsia="宋体" w:cs="宋体"/>
                <w:i w:val="0"/>
                <w:iCs w:val="0"/>
                <w:caps w:val="0"/>
                <w:color w:val="auto"/>
                <w:spacing w:val="0"/>
                <w:kern w:val="2"/>
                <w:sz w:val="21"/>
                <w:szCs w:val="21"/>
                <w:lang w:val="en-US" w:eastAsia="zh-CN" w:bidi="ar"/>
              </w:rPr>
              <w:t>与手麻系统协同场景进行补充</w:t>
            </w:r>
            <w:r>
              <w:rPr>
                <w:rFonts w:hint="eastAsia" w:ascii="宋体" w:hAnsi="宋体" w:cs="宋体"/>
                <w:bCs/>
                <w:spacing w:val="10"/>
                <w:kern w:val="0"/>
                <w:sz w:val="21"/>
                <w:szCs w:val="21"/>
                <w:lang w:eastAsia="zh-CN"/>
              </w:rPr>
              <w:t>（可通过嵌入式界面或者接口方式实现）</w:t>
            </w:r>
            <w:r>
              <w:rPr>
                <w:rFonts w:hint="eastAsia" w:ascii="宋体" w:hAnsi="宋体" w:eastAsia="宋体" w:cs="宋体"/>
                <w:i w:val="0"/>
                <w:iCs w:val="0"/>
                <w:caps w:val="0"/>
                <w:color w:val="auto"/>
                <w:spacing w:val="0"/>
                <w:kern w:val="2"/>
                <w:sz w:val="21"/>
                <w:szCs w:val="21"/>
                <w:lang w:val="en-US" w:eastAsia="zh-CN" w:bidi="ar"/>
              </w:rPr>
              <w:t>。</w:t>
            </w:r>
          </w:p>
        </w:tc>
      </w:tr>
      <w:tr w14:paraId="488FB3EB">
        <w:tblPrEx>
          <w:tblCellMar>
            <w:top w:w="0" w:type="dxa"/>
            <w:left w:w="108" w:type="dxa"/>
            <w:bottom w:w="0" w:type="dxa"/>
            <w:right w:w="108" w:type="dxa"/>
          </w:tblCellMar>
        </w:tblPrEx>
        <w:trPr>
          <w:trHeight w:val="420" w:hRule="atLeast"/>
          <w:jc w:val="center"/>
        </w:trPr>
        <w:tc>
          <w:tcPr>
            <w:tcW w:w="1762" w:type="dxa"/>
            <w:vMerge w:val="continue"/>
            <w:tcBorders>
              <w:left w:val="single" w:color="auto" w:sz="8" w:space="0"/>
              <w:right w:val="single" w:color="auto" w:sz="8" w:space="0"/>
            </w:tcBorders>
            <w:noWrap w:val="0"/>
            <w:vAlign w:val="center"/>
          </w:tcPr>
          <w:p w14:paraId="222344D7">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color w:val="FF0000"/>
                <w:kern w:val="0"/>
                <w:sz w:val="21"/>
                <w:szCs w:val="21"/>
                <w:lang w:val="en-US" w:eastAsia="zh-CN"/>
              </w:rPr>
            </w:pPr>
          </w:p>
        </w:tc>
        <w:tc>
          <w:tcPr>
            <w:tcW w:w="944" w:type="dxa"/>
            <w:tcBorders>
              <w:top w:val="nil"/>
              <w:left w:val="nil"/>
              <w:bottom w:val="single" w:color="auto" w:sz="8" w:space="0"/>
              <w:right w:val="single" w:color="auto" w:sz="8" w:space="0"/>
            </w:tcBorders>
            <w:noWrap w:val="0"/>
            <w:vAlign w:val="center"/>
          </w:tcPr>
          <w:p w14:paraId="42478128">
            <w:pPr>
              <w:keepNext w:val="0"/>
              <w:keepLines w:val="0"/>
              <w:widowControl/>
              <w:suppressLineNumbers w:val="0"/>
              <w:spacing w:line="312" w:lineRule="auto"/>
              <w:jc w:val="both"/>
              <w:rPr>
                <w:rFonts w:hint="eastAsia" w:ascii="宋体" w:hAnsi="宋体" w:cs="宋体"/>
                <w:color w:val="auto"/>
                <w:kern w:val="0"/>
                <w:szCs w:val="21"/>
                <w:lang w:val="en-US" w:eastAsia="zh-CN"/>
              </w:rPr>
            </w:pPr>
            <w:r>
              <w:rPr>
                <w:rStyle w:val="48"/>
                <w:rFonts w:hint="eastAsia" w:ascii="宋体" w:hAnsi="宋体" w:eastAsia="宋体" w:cs="宋体"/>
                <w:b w:val="0"/>
                <w:bCs w:val="0"/>
                <w:i w:val="0"/>
                <w:iCs w:val="0"/>
                <w:caps w:val="0"/>
                <w:color w:val="0F1115"/>
                <w:spacing w:val="0"/>
                <w:kern w:val="2"/>
                <w:sz w:val="21"/>
                <w:szCs w:val="21"/>
                <w:lang w:val="en-US" w:eastAsia="zh-CN" w:bidi="ar"/>
              </w:rPr>
              <w:t>1</w:t>
            </w:r>
            <w:r>
              <w:rPr>
                <w:rFonts w:hint="eastAsia" w:ascii="宋体" w:hAnsi="宋体" w:cs="宋体"/>
                <w:b w:val="0"/>
                <w:bCs w:val="0"/>
                <w:i w:val="0"/>
                <w:iCs w:val="0"/>
                <w:caps w:val="0"/>
                <w:spacing w:val="0"/>
                <w:kern w:val="2"/>
                <w:sz w:val="21"/>
                <w:szCs w:val="21"/>
                <w:lang w:val="en-US" w:eastAsia="zh-CN" w:bidi="ar"/>
              </w:rPr>
              <w:t>7</w:t>
            </w:r>
            <w:r>
              <w:rPr>
                <w:rStyle w:val="48"/>
                <w:rFonts w:hint="eastAsia" w:ascii="宋体" w:hAnsi="宋体" w:eastAsia="宋体" w:cs="宋体"/>
                <w:b w:val="0"/>
                <w:bCs w:val="0"/>
                <w:i w:val="0"/>
                <w:iCs w:val="0"/>
                <w:caps w:val="0"/>
                <w:color w:val="0F1115"/>
                <w:spacing w:val="0"/>
                <w:kern w:val="2"/>
                <w:sz w:val="21"/>
                <w:szCs w:val="21"/>
                <w:lang w:val="en-US" w:eastAsia="zh-CN" w:bidi="ar"/>
              </w:rPr>
              <w:t>.2</w:t>
            </w:r>
          </w:p>
        </w:tc>
        <w:tc>
          <w:tcPr>
            <w:tcW w:w="7153" w:type="dxa"/>
            <w:tcBorders>
              <w:top w:val="nil"/>
              <w:left w:val="nil"/>
              <w:bottom w:val="single" w:color="auto" w:sz="8" w:space="0"/>
              <w:right w:val="single" w:color="auto" w:sz="8" w:space="0"/>
            </w:tcBorders>
            <w:noWrap w:val="0"/>
            <w:vAlign w:val="center"/>
          </w:tcPr>
          <w:p w14:paraId="7264BEA6">
            <w:pPr>
              <w:keepNext w:val="0"/>
              <w:keepLines w:val="0"/>
              <w:widowControl/>
              <w:suppressLineNumbers w:val="0"/>
              <w:spacing w:line="312" w:lineRule="auto"/>
              <w:jc w:val="both"/>
              <w:rPr>
                <w:rFonts w:hint="eastAsia" w:ascii="宋体" w:hAnsi="宋体" w:eastAsia="宋体" w:cs="宋体"/>
                <w:sz w:val="21"/>
                <w:szCs w:val="21"/>
                <w:lang w:val="en-US" w:eastAsia="zh-CN"/>
              </w:rPr>
            </w:pPr>
            <w:r>
              <w:rPr>
                <w:rFonts w:hint="eastAsia" w:ascii="宋体" w:hAnsi="宋体" w:eastAsia="宋体" w:cs="宋体"/>
                <w:i w:val="0"/>
                <w:iCs w:val="0"/>
                <w:caps w:val="0"/>
                <w:color w:val="auto"/>
                <w:spacing w:val="0"/>
                <w:kern w:val="2"/>
                <w:sz w:val="21"/>
                <w:szCs w:val="21"/>
                <w:lang w:val="en-US" w:eastAsia="zh-CN" w:bidi="ar"/>
              </w:rPr>
              <w:t>支持与手麻系统对接，可在手麻系统内完成病理申请单填写提交，支持选择常规、快速、冰冻等类型及组织学、细胞学等标本类别。</w:t>
            </w:r>
          </w:p>
        </w:tc>
      </w:tr>
      <w:tr w14:paraId="25733F83">
        <w:tblPrEx>
          <w:tblCellMar>
            <w:top w:w="0" w:type="dxa"/>
            <w:left w:w="108" w:type="dxa"/>
            <w:bottom w:w="0" w:type="dxa"/>
            <w:right w:w="108" w:type="dxa"/>
          </w:tblCellMar>
        </w:tblPrEx>
        <w:trPr>
          <w:trHeight w:val="420" w:hRule="atLeast"/>
          <w:jc w:val="center"/>
        </w:trPr>
        <w:tc>
          <w:tcPr>
            <w:tcW w:w="1762" w:type="dxa"/>
            <w:vMerge w:val="continue"/>
            <w:tcBorders>
              <w:left w:val="single" w:color="auto" w:sz="8" w:space="0"/>
              <w:right w:val="single" w:color="auto" w:sz="8" w:space="0"/>
            </w:tcBorders>
            <w:noWrap w:val="0"/>
            <w:vAlign w:val="center"/>
          </w:tcPr>
          <w:p w14:paraId="281480DD">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color w:val="FF0000"/>
                <w:kern w:val="0"/>
                <w:sz w:val="21"/>
                <w:szCs w:val="21"/>
                <w:lang w:val="en-US" w:eastAsia="zh-CN"/>
              </w:rPr>
            </w:pPr>
          </w:p>
        </w:tc>
        <w:tc>
          <w:tcPr>
            <w:tcW w:w="944" w:type="dxa"/>
            <w:tcBorders>
              <w:top w:val="nil"/>
              <w:left w:val="nil"/>
              <w:bottom w:val="single" w:color="auto" w:sz="8" w:space="0"/>
              <w:right w:val="single" w:color="auto" w:sz="8" w:space="0"/>
            </w:tcBorders>
            <w:noWrap w:val="0"/>
            <w:vAlign w:val="center"/>
          </w:tcPr>
          <w:p w14:paraId="73A01E83">
            <w:pPr>
              <w:keepNext w:val="0"/>
              <w:keepLines w:val="0"/>
              <w:widowControl/>
              <w:suppressLineNumbers w:val="0"/>
              <w:spacing w:line="312" w:lineRule="auto"/>
              <w:jc w:val="both"/>
              <w:rPr>
                <w:rFonts w:hint="eastAsia" w:ascii="宋体" w:hAnsi="宋体" w:cs="宋体"/>
                <w:color w:val="auto"/>
                <w:kern w:val="0"/>
                <w:szCs w:val="21"/>
                <w:lang w:val="en-US" w:eastAsia="zh-CN"/>
              </w:rPr>
            </w:pPr>
            <w:r>
              <w:rPr>
                <w:rStyle w:val="48"/>
                <w:rFonts w:hint="eastAsia" w:ascii="宋体" w:hAnsi="宋体" w:eastAsia="宋体" w:cs="宋体"/>
                <w:b w:val="0"/>
                <w:bCs w:val="0"/>
                <w:i w:val="0"/>
                <w:iCs w:val="0"/>
                <w:caps w:val="0"/>
                <w:color w:val="0F1115"/>
                <w:spacing w:val="0"/>
                <w:kern w:val="2"/>
                <w:sz w:val="21"/>
                <w:szCs w:val="21"/>
                <w:lang w:val="en-US" w:eastAsia="zh-CN" w:bidi="ar"/>
              </w:rPr>
              <w:t>1</w:t>
            </w:r>
            <w:r>
              <w:rPr>
                <w:rFonts w:hint="eastAsia" w:ascii="宋体" w:hAnsi="宋体" w:cs="宋体"/>
                <w:b w:val="0"/>
                <w:bCs w:val="0"/>
                <w:i w:val="0"/>
                <w:iCs w:val="0"/>
                <w:caps w:val="0"/>
                <w:spacing w:val="0"/>
                <w:kern w:val="2"/>
                <w:sz w:val="21"/>
                <w:szCs w:val="21"/>
                <w:lang w:val="en-US" w:eastAsia="zh-CN" w:bidi="ar"/>
              </w:rPr>
              <w:t>7</w:t>
            </w:r>
            <w:r>
              <w:rPr>
                <w:rStyle w:val="48"/>
                <w:rFonts w:hint="eastAsia" w:ascii="宋体" w:hAnsi="宋体" w:eastAsia="宋体" w:cs="宋体"/>
                <w:b w:val="0"/>
                <w:bCs w:val="0"/>
                <w:i w:val="0"/>
                <w:iCs w:val="0"/>
                <w:caps w:val="0"/>
                <w:color w:val="0F1115"/>
                <w:spacing w:val="0"/>
                <w:kern w:val="2"/>
                <w:sz w:val="21"/>
                <w:szCs w:val="21"/>
                <w:lang w:val="en-US" w:eastAsia="zh-CN" w:bidi="ar"/>
              </w:rPr>
              <w:t>.3</w:t>
            </w:r>
          </w:p>
        </w:tc>
        <w:tc>
          <w:tcPr>
            <w:tcW w:w="7153" w:type="dxa"/>
            <w:tcBorders>
              <w:top w:val="nil"/>
              <w:left w:val="nil"/>
              <w:bottom w:val="single" w:color="auto" w:sz="8" w:space="0"/>
              <w:right w:val="single" w:color="auto" w:sz="8" w:space="0"/>
            </w:tcBorders>
            <w:noWrap w:val="0"/>
            <w:vAlign w:val="center"/>
          </w:tcPr>
          <w:p w14:paraId="71F0C109">
            <w:pPr>
              <w:keepNext w:val="0"/>
              <w:keepLines w:val="0"/>
              <w:widowControl/>
              <w:suppressLineNumbers w:val="0"/>
              <w:spacing w:line="312" w:lineRule="auto"/>
              <w:jc w:val="both"/>
              <w:rPr>
                <w:rFonts w:hint="eastAsia" w:ascii="宋体" w:hAnsi="宋体" w:eastAsia="宋体" w:cs="宋体"/>
                <w:sz w:val="21"/>
                <w:szCs w:val="21"/>
                <w:lang w:val="en-US" w:eastAsia="zh-CN"/>
              </w:rPr>
            </w:pPr>
            <w:r>
              <w:rPr>
                <w:rFonts w:hint="eastAsia" w:ascii="宋体" w:hAnsi="宋体" w:eastAsia="宋体" w:cs="宋体"/>
                <w:i w:val="0"/>
                <w:iCs w:val="0"/>
                <w:caps w:val="0"/>
                <w:color w:val="auto"/>
                <w:spacing w:val="0"/>
                <w:kern w:val="2"/>
                <w:sz w:val="21"/>
                <w:szCs w:val="21"/>
                <w:lang w:val="en-US" w:eastAsia="zh-CN" w:bidi="ar"/>
              </w:rPr>
              <w:t>支持打印标本标签及患者标本汇总单。</w:t>
            </w:r>
          </w:p>
        </w:tc>
      </w:tr>
      <w:tr w14:paraId="766FDC6C">
        <w:tblPrEx>
          <w:tblCellMar>
            <w:top w:w="0" w:type="dxa"/>
            <w:left w:w="108" w:type="dxa"/>
            <w:bottom w:w="0" w:type="dxa"/>
            <w:right w:w="108" w:type="dxa"/>
          </w:tblCellMar>
        </w:tblPrEx>
        <w:trPr>
          <w:trHeight w:val="420" w:hRule="atLeast"/>
          <w:jc w:val="center"/>
        </w:trPr>
        <w:tc>
          <w:tcPr>
            <w:tcW w:w="1762" w:type="dxa"/>
            <w:vMerge w:val="continue"/>
            <w:tcBorders>
              <w:left w:val="single" w:color="auto" w:sz="8" w:space="0"/>
              <w:right w:val="single" w:color="auto" w:sz="8" w:space="0"/>
            </w:tcBorders>
            <w:noWrap w:val="0"/>
            <w:vAlign w:val="center"/>
          </w:tcPr>
          <w:p w14:paraId="68228F30">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color w:val="FF0000"/>
                <w:kern w:val="0"/>
                <w:sz w:val="21"/>
                <w:szCs w:val="21"/>
                <w:lang w:val="en-US" w:eastAsia="zh-CN"/>
              </w:rPr>
            </w:pPr>
          </w:p>
        </w:tc>
        <w:tc>
          <w:tcPr>
            <w:tcW w:w="944" w:type="dxa"/>
            <w:tcBorders>
              <w:top w:val="nil"/>
              <w:left w:val="nil"/>
              <w:bottom w:val="single" w:color="auto" w:sz="8" w:space="0"/>
              <w:right w:val="single" w:color="auto" w:sz="8" w:space="0"/>
            </w:tcBorders>
            <w:noWrap w:val="0"/>
            <w:vAlign w:val="center"/>
          </w:tcPr>
          <w:p w14:paraId="3051FD00">
            <w:pPr>
              <w:keepNext w:val="0"/>
              <w:keepLines w:val="0"/>
              <w:widowControl/>
              <w:suppressLineNumbers w:val="0"/>
              <w:spacing w:line="312" w:lineRule="auto"/>
              <w:jc w:val="both"/>
              <w:rPr>
                <w:rFonts w:hint="eastAsia" w:ascii="宋体" w:hAnsi="宋体" w:cs="宋体"/>
                <w:color w:val="auto"/>
                <w:kern w:val="0"/>
                <w:szCs w:val="21"/>
                <w:lang w:val="en-US" w:eastAsia="zh-CN"/>
              </w:rPr>
            </w:pPr>
            <w:r>
              <w:rPr>
                <w:rStyle w:val="48"/>
                <w:rFonts w:hint="eastAsia" w:ascii="宋体" w:hAnsi="宋体" w:eastAsia="宋体" w:cs="宋体"/>
                <w:b w:val="0"/>
                <w:bCs w:val="0"/>
                <w:i w:val="0"/>
                <w:iCs w:val="0"/>
                <w:caps w:val="0"/>
                <w:color w:val="0F1115"/>
                <w:spacing w:val="0"/>
                <w:kern w:val="2"/>
                <w:sz w:val="21"/>
                <w:szCs w:val="21"/>
                <w:lang w:val="en-US" w:eastAsia="zh-CN" w:bidi="ar"/>
              </w:rPr>
              <w:t>1</w:t>
            </w:r>
            <w:r>
              <w:rPr>
                <w:rFonts w:hint="eastAsia" w:ascii="宋体" w:hAnsi="宋体" w:cs="宋体"/>
                <w:b w:val="0"/>
                <w:bCs w:val="0"/>
                <w:i w:val="0"/>
                <w:iCs w:val="0"/>
                <w:caps w:val="0"/>
                <w:spacing w:val="0"/>
                <w:kern w:val="2"/>
                <w:sz w:val="21"/>
                <w:szCs w:val="21"/>
                <w:lang w:val="en-US" w:eastAsia="zh-CN" w:bidi="ar"/>
              </w:rPr>
              <w:t>7</w:t>
            </w:r>
            <w:r>
              <w:rPr>
                <w:rStyle w:val="48"/>
                <w:rFonts w:hint="eastAsia" w:ascii="宋体" w:hAnsi="宋体" w:eastAsia="宋体" w:cs="宋体"/>
                <w:b w:val="0"/>
                <w:bCs w:val="0"/>
                <w:i w:val="0"/>
                <w:iCs w:val="0"/>
                <w:caps w:val="0"/>
                <w:color w:val="0F1115"/>
                <w:spacing w:val="0"/>
                <w:kern w:val="2"/>
                <w:sz w:val="21"/>
                <w:szCs w:val="21"/>
                <w:lang w:val="en-US" w:eastAsia="zh-CN" w:bidi="ar"/>
              </w:rPr>
              <w:t>.4</w:t>
            </w:r>
          </w:p>
        </w:tc>
        <w:tc>
          <w:tcPr>
            <w:tcW w:w="7153" w:type="dxa"/>
            <w:tcBorders>
              <w:top w:val="nil"/>
              <w:left w:val="nil"/>
              <w:bottom w:val="single" w:color="auto" w:sz="8" w:space="0"/>
              <w:right w:val="single" w:color="auto" w:sz="8" w:space="0"/>
            </w:tcBorders>
            <w:noWrap w:val="0"/>
            <w:vAlign w:val="center"/>
          </w:tcPr>
          <w:p w14:paraId="5F1D0CD3">
            <w:pPr>
              <w:keepNext w:val="0"/>
              <w:keepLines w:val="0"/>
              <w:widowControl/>
              <w:suppressLineNumbers w:val="0"/>
              <w:spacing w:line="312" w:lineRule="auto"/>
              <w:jc w:val="both"/>
              <w:rPr>
                <w:rFonts w:hint="eastAsia" w:ascii="宋体" w:hAnsi="宋体" w:eastAsia="宋体" w:cs="宋体"/>
                <w:sz w:val="21"/>
                <w:szCs w:val="21"/>
                <w:lang w:val="en-US" w:eastAsia="zh-CN"/>
              </w:rPr>
            </w:pPr>
            <w:r>
              <w:rPr>
                <w:rFonts w:hint="eastAsia" w:ascii="宋体" w:hAnsi="宋体" w:eastAsia="宋体" w:cs="宋体"/>
                <w:i w:val="0"/>
                <w:iCs w:val="0"/>
                <w:caps w:val="0"/>
                <w:color w:val="auto"/>
                <w:spacing w:val="0"/>
                <w:kern w:val="2"/>
                <w:sz w:val="21"/>
                <w:szCs w:val="21"/>
                <w:lang w:val="en-US" w:eastAsia="zh-CN" w:bidi="ar"/>
              </w:rPr>
              <w:t>支持在手麻系统查看冰冻病理结果，结果出具时主动提醒；支持查看标本采集、留取、运送、接收、退回等流转状态，并对异常数据进行预警提示。</w:t>
            </w:r>
          </w:p>
        </w:tc>
      </w:tr>
      <w:tr w14:paraId="03281B67">
        <w:tblPrEx>
          <w:tblCellMar>
            <w:top w:w="0" w:type="dxa"/>
            <w:left w:w="108" w:type="dxa"/>
            <w:bottom w:w="0" w:type="dxa"/>
            <w:right w:w="108" w:type="dxa"/>
          </w:tblCellMar>
        </w:tblPrEx>
        <w:trPr>
          <w:trHeight w:val="420" w:hRule="atLeast"/>
          <w:jc w:val="center"/>
        </w:trPr>
        <w:tc>
          <w:tcPr>
            <w:tcW w:w="1762" w:type="dxa"/>
            <w:vMerge w:val="continue"/>
            <w:tcBorders>
              <w:left w:val="single" w:color="auto" w:sz="8" w:space="0"/>
              <w:bottom w:val="single" w:color="000000" w:sz="8" w:space="0"/>
              <w:right w:val="single" w:color="auto" w:sz="8" w:space="0"/>
            </w:tcBorders>
            <w:noWrap w:val="0"/>
            <w:vAlign w:val="center"/>
          </w:tcPr>
          <w:p w14:paraId="040FB750">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color w:val="FF0000"/>
                <w:kern w:val="0"/>
                <w:sz w:val="21"/>
                <w:szCs w:val="21"/>
                <w:lang w:val="en-US" w:eastAsia="zh-CN"/>
              </w:rPr>
            </w:pPr>
          </w:p>
        </w:tc>
        <w:tc>
          <w:tcPr>
            <w:tcW w:w="944" w:type="dxa"/>
            <w:tcBorders>
              <w:top w:val="nil"/>
              <w:left w:val="nil"/>
              <w:bottom w:val="single" w:color="auto" w:sz="8" w:space="0"/>
              <w:right w:val="single" w:color="auto" w:sz="8" w:space="0"/>
            </w:tcBorders>
            <w:noWrap w:val="0"/>
            <w:vAlign w:val="center"/>
          </w:tcPr>
          <w:p w14:paraId="424BD7D8">
            <w:pPr>
              <w:keepNext w:val="0"/>
              <w:keepLines w:val="0"/>
              <w:widowControl/>
              <w:suppressLineNumbers w:val="0"/>
              <w:spacing w:line="312" w:lineRule="auto"/>
              <w:jc w:val="both"/>
              <w:rPr>
                <w:rFonts w:hint="eastAsia" w:ascii="宋体" w:hAnsi="宋体" w:cs="宋体"/>
                <w:color w:val="auto"/>
                <w:kern w:val="0"/>
                <w:szCs w:val="21"/>
                <w:lang w:val="en-US" w:eastAsia="zh-CN"/>
              </w:rPr>
            </w:pPr>
            <w:r>
              <w:rPr>
                <w:rStyle w:val="48"/>
                <w:rFonts w:hint="eastAsia" w:ascii="宋体" w:hAnsi="宋体" w:eastAsia="宋体" w:cs="宋体"/>
                <w:b w:val="0"/>
                <w:bCs w:val="0"/>
                <w:i w:val="0"/>
                <w:iCs w:val="0"/>
                <w:caps w:val="0"/>
                <w:color w:val="0F1115"/>
                <w:spacing w:val="0"/>
                <w:kern w:val="2"/>
                <w:sz w:val="21"/>
                <w:szCs w:val="21"/>
                <w:lang w:val="en-US" w:eastAsia="zh-CN" w:bidi="ar"/>
              </w:rPr>
              <w:t>1</w:t>
            </w:r>
            <w:r>
              <w:rPr>
                <w:rFonts w:hint="eastAsia" w:ascii="宋体" w:hAnsi="宋体" w:cs="宋体"/>
                <w:b w:val="0"/>
                <w:bCs w:val="0"/>
                <w:i w:val="0"/>
                <w:iCs w:val="0"/>
                <w:caps w:val="0"/>
                <w:spacing w:val="0"/>
                <w:kern w:val="2"/>
                <w:sz w:val="21"/>
                <w:szCs w:val="21"/>
                <w:lang w:val="en-US" w:eastAsia="zh-CN" w:bidi="ar"/>
              </w:rPr>
              <w:t>7</w:t>
            </w:r>
            <w:r>
              <w:rPr>
                <w:rStyle w:val="48"/>
                <w:rFonts w:hint="eastAsia" w:ascii="宋体" w:hAnsi="宋体" w:eastAsia="宋体" w:cs="宋体"/>
                <w:b w:val="0"/>
                <w:bCs w:val="0"/>
                <w:i w:val="0"/>
                <w:iCs w:val="0"/>
                <w:caps w:val="0"/>
                <w:color w:val="0F1115"/>
                <w:spacing w:val="0"/>
                <w:kern w:val="2"/>
                <w:sz w:val="21"/>
                <w:szCs w:val="21"/>
                <w:lang w:val="en-US" w:eastAsia="zh-CN" w:bidi="ar"/>
              </w:rPr>
              <w:t>.5</w:t>
            </w:r>
          </w:p>
        </w:tc>
        <w:tc>
          <w:tcPr>
            <w:tcW w:w="7153" w:type="dxa"/>
            <w:tcBorders>
              <w:top w:val="nil"/>
              <w:left w:val="nil"/>
              <w:bottom w:val="single" w:color="auto" w:sz="8" w:space="0"/>
              <w:right w:val="single" w:color="auto" w:sz="8" w:space="0"/>
            </w:tcBorders>
            <w:noWrap w:val="0"/>
            <w:vAlign w:val="center"/>
          </w:tcPr>
          <w:p w14:paraId="15608E0C">
            <w:pPr>
              <w:keepNext w:val="0"/>
              <w:keepLines w:val="0"/>
              <w:widowControl/>
              <w:suppressLineNumbers w:val="0"/>
              <w:spacing w:line="312" w:lineRule="auto"/>
              <w:jc w:val="both"/>
              <w:rPr>
                <w:rFonts w:hint="eastAsia" w:ascii="宋体" w:hAnsi="宋体" w:eastAsia="宋体" w:cs="宋体"/>
                <w:sz w:val="21"/>
                <w:szCs w:val="21"/>
                <w:lang w:val="en-US" w:eastAsia="zh-CN"/>
              </w:rPr>
            </w:pPr>
            <w:r>
              <w:rPr>
                <w:rFonts w:hint="eastAsia" w:ascii="宋体" w:hAnsi="宋体" w:eastAsia="宋体" w:cs="宋体"/>
                <w:i w:val="0"/>
                <w:iCs w:val="0"/>
                <w:caps w:val="0"/>
                <w:color w:val="auto"/>
                <w:spacing w:val="0"/>
                <w:kern w:val="2"/>
                <w:sz w:val="21"/>
                <w:szCs w:val="21"/>
                <w:lang w:val="en-US" w:eastAsia="zh-CN" w:bidi="ar"/>
              </w:rPr>
              <w:t>支持术中冰冻全流程时效记录（含申请、</w:t>
            </w:r>
            <w:r>
              <w:rPr>
                <w:rFonts w:hint="eastAsia" w:ascii="宋体" w:hAnsi="宋体" w:cs="宋体"/>
                <w:i w:val="0"/>
                <w:iCs w:val="0"/>
                <w:caps w:val="0"/>
                <w:spacing w:val="0"/>
                <w:kern w:val="2"/>
                <w:sz w:val="21"/>
                <w:szCs w:val="21"/>
                <w:lang w:val="en-US" w:eastAsia="zh-CN" w:bidi="ar"/>
              </w:rPr>
              <w:t>病理</w:t>
            </w:r>
            <w:r>
              <w:rPr>
                <w:rFonts w:hint="eastAsia" w:ascii="宋体" w:hAnsi="宋体" w:eastAsia="宋体" w:cs="宋体"/>
                <w:i w:val="0"/>
                <w:iCs w:val="0"/>
                <w:caps w:val="0"/>
                <w:color w:val="auto"/>
                <w:spacing w:val="0"/>
                <w:kern w:val="2"/>
                <w:sz w:val="21"/>
                <w:szCs w:val="21"/>
                <w:lang w:val="en-US" w:eastAsia="zh-CN" w:bidi="ar"/>
              </w:rPr>
              <w:t>接收、</w:t>
            </w:r>
            <w:r>
              <w:rPr>
                <w:rFonts w:hint="eastAsia" w:ascii="宋体" w:hAnsi="宋体" w:cs="宋体"/>
                <w:i w:val="0"/>
                <w:iCs w:val="0"/>
                <w:caps w:val="0"/>
                <w:spacing w:val="0"/>
                <w:kern w:val="2"/>
                <w:sz w:val="21"/>
                <w:szCs w:val="21"/>
                <w:lang w:val="en-US" w:eastAsia="zh-CN" w:bidi="ar"/>
              </w:rPr>
              <w:t>报告</w:t>
            </w:r>
            <w:r>
              <w:rPr>
                <w:rFonts w:hint="eastAsia" w:ascii="宋体" w:hAnsi="宋体" w:eastAsia="宋体" w:cs="宋体"/>
                <w:i w:val="0"/>
                <w:iCs w:val="0"/>
                <w:caps w:val="0"/>
                <w:color w:val="auto"/>
                <w:spacing w:val="0"/>
                <w:kern w:val="2"/>
                <w:sz w:val="21"/>
                <w:szCs w:val="21"/>
                <w:lang w:val="en-US" w:eastAsia="zh-CN" w:bidi="ar"/>
              </w:rPr>
              <w:t>签发时间），超时自动预警；对接后手麻系统可自动刷新冰冻结果直至确认接收。</w:t>
            </w:r>
          </w:p>
        </w:tc>
      </w:tr>
      <w:tr w14:paraId="619F90A1">
        <w:tblPrEx>
          <w:tblCellMar>
            <w:top w:w="0" w:type="dxa"/>
            <w:left w:w="108" w:type="dxa"/>
            <w:bottom w:w="0" w:type="dxa"/>
            <w:right w:w="108" w:type="dxa"/>
          </w:tblCellMar>
        </w:tblPrEx>
        <w:trPr>
          <w:trHeight w:val="420" w:hRule="atLeast"/>
          <w:jc w:val="center"/>
        </w:trPr>
        <w:tc>
          <w:tcPr>
            <w:tcW w:w="9859" w:type="dxa"/>
            <w:gridSpan w:val="3"/>
            <w:tcBorders>
              <w:top w:val="nil"/>
              <w:left w:val="single" w:color="auto" w:sz="8" w:space="0"/>
              <w:bottom w:val="single" w:color="000000" w:sz="8" w:space="0"/>
              <w:right w:val="single" w:color="auto" w:sz="8" w:space="0"/>
            </w:tcBorders>
            <w:noWrap w:val="0"/>
            <w:vAlign w:val="center"/>
          </w:tcPr>
          <w:p w14:paraId="58BA0B10">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其他技术需求</w:t>
            </w:r>
          </w:p>
        </w:tc>
      </w:tr>
      <w:tr w14:paraId="77C692DF">
        <w:tblPrEx>
          <w:tblCellMar>
            <w:top w:w="0" w:type="dxa"/>
            <w:left w:w="108" w:type="dxa"/>
            <w:bottom w:w="0" w:type="dxa"/>
            <w:right w:w="108" w:type="dxa"/>
          </w:tblCellMar>
        </w:tblPrEx>
        <w:trPr>
          <w:trHeight w:val="440" w:hRule="atLeast"/>
          <w:jc w:val="center"/>
        </w:trPr>
        <w:tc>
          <w:tcPr>
            <w:tcW w:w="1762" w:type="dxa"/>
            <w:tcBorders>
              <w:top w:val="nil"/>
              <w:left w:val="single" w:color="auto" w:sz="8" w:space="0"/>
              <w:bottom w:val="single" w:color="000000" w:sz="8" w:space="0"/>
              <w:right w:val="single" w:color="auto" w:sz="8" w:space="0"/>
            </w:tcBorders>
            <w:noWrap w:val="0"/>
            <w:vAlign w:val="center"/>
          </w:tcPr>
          <w:p w14:paraId="380C6D09">
            <w:pPr>
              <w:keepNext w:val="0"/>
              <w:keepLines w:val="0"/>
              <w:pageBreakBefore w:val="0"/>
              <w:widowControl/>
              <w:kinsoku/>
              <w:wordWrap/>
              <w:overflowPunct/>
              <w:topLinePunct w:val="0"/>
              <w:autoSpaceDE/>
              <w:autoSpaceDN/>
              <w:bidi w:val="0"/>
              <w:snapToGrid/>
              <w:spacing w:line="312" w:lineRule="auto"/>
              <w:jc w:val="both"/>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val="en-US" w:eastAsia="zh-CN"/>
              </w:rPr>
              <w:t>1</w:t>
            </w:r>
            <w:r>
              <w:rPr>
                <w:rFonts w:hint="eastAsia" w:ascii="宋体" w:hAnsi="宋体" w:cs="宋体"/>
                <w:color w:val="auto"/>
                <w:kern w:val="0"/>
                <w:sz w:val="21"/>
                <w:szCs w:val="21"/>
                <w:lang w:val="en-US" w:eastAsia="zh-CN"/>
              </w:rPr>
              <w:t>8</w:t>
            </w:r>
            <w:r>
              <w:rPr>
                <w:rFonts w:hint="eastAsia" w:ascii="宋体" w:hAnsi="宋体" w:eastAsia="宋体" w:cs="宋体"/>
                <w:color w:val="auto"/>
                <w:kern w:val="0"/>
                <w:sz w:val="21"/>
                <w:szCs w:val="21"/>
              </w:rPr>
              <w:t>.对接需求</w:t>
            </w:r>
          </w:p>
        </w:tc>
        <w:tc>
          <w:tcPr>
            <w:tcW w:w="944" w:type="dxa"/>
            <w:tcBorders>
              <w:top w:val="nil"/>
              <w:left w:val="nil"/>
              <w:bottom w:val="single" w:color="auto" w:sz="8" w:space="0"/>
              <w:right w:val="single" w:color="auto" w:sz="8" w:space="0"/>
            </w:tcBorders>
            <w:noWrap w:val="0"/>
            <w:vAlign w:val="center"/>
          </w:tcPr>
          <w:p w14:paraId="3E32973E">
            <w:pPr>
              <w:keepNext w:val="0"/>
              <w:keepLines w:val="0"/>
              <w:pageBreakBefore w:val="0"/>
              <w:widowControl/>
              <w:kinsoku/>
              <w:wordWrap/>
              <w:overflowPunct/>
              <w:topLinePunct w:val="0"/>
              <w:autoSpaceDE/>
              <w:autoSpaceDN/>
              <w:bidi w:val="0"/>
              <w:snapToGrid/>
              <w:spacing w:line="312" w:lineRule="auto"/>
              <w:jc w:val="both"/>
              <w:rPr>
                <w:rFonts w:hint="eastAsia" w:ascii="宋体" w:hAnsi="宋体" w:cs="宋体"/>
                <w:color w:val="auto"/>
                <w:kern w:val="0"/>
                <w:szCs w:val="21"/>
              </w:rPr>
            </w:pPr>
            <w:r>
              <w:rPr>
                <w:rFonts w:hint="eastAsia" w:ascii="宋体" w:hAnsi="宋体" w:cs="宋体"/>
                <w:color w:val="auto"/>
                <w:kern w:val="0"/>
                <w:szCs w:val="21"/>
                <w:lang w:val="en-US" w:eastAsia="zh-CN"/>
              </w:rPr>
              <w:t>18</w:t>
            </w:r>
            <w:r>
              <w:rPr>
                <w:rFonts w:ascii="宋体" w:hAnsi="宋体" w:cs="宋体"/>
                <w:color w:val="auto"/>
                <w:kern w:val="0"/>
                <w:szCs w:val="21"/>
              </w:rPr>
              <w:t>.1</w:t>
            </w:r>
          </w:p>
        </w:tc>
        <w:tc>
          <w:tcPr>
            <w:tcW w:w="7153" w:type="dxa"/>
            <w:tcBorders>
              <w:top w:val="nil"/>
              <w:left w:val="nil"/>
              <w:bottom w:val="single" w:color="auto" w:sz="8" w:space="0"/>
              <w:right w:val="single" w:color="auto" w:sz="8" w:space="0"/>
            </w:tcBorders>
            <w:noWrap w:val="0"/>
            <w:vAlign w:val="center"/>
          </w:tcPr>
          <w:p w14:paraId="0635EE42">
            <w:pPr>
              <w:pStyle w:val="58"/>
              <w:keepNext w:val="0"/>
              <w:keepLines w:val="0"/>
              <w:pageBreakBefore w:val="0"/>
              <w:kinsoku/>
              <w:wordWrap/>
              <w:overflowPunct/>
              <w:topLinePunct w:val="0"/>
              <w:autoSpaceDE/>
              <w:autoSpaceDN/>
              <w:bidi w:val="0"/>
              <w:snapToGrid/>
              <w:spacing w:line="312" w:lineRule="auto"/>
              <w:ind w:firstLine="0" w:firstLineChars="0"/>
              <w:jc w:val="both"/>
              <w:rPr>
                <w:rFonts w:hint="eastAsia"/>
                <w:color w:val="auto"/>
              </w:rPr>
            </w:pPr>
            <w:r>
              <w:rPr>
                <w:rFonts w:hint="eastAsia"/>
                <w:color w:val="auto"/>
              </w:rPr>
              <w:t>与现有病理系统、HIS信息系统、手麻系统、体检系统实现对接。</w:t>
            </w:r>
          </w:p>
        </w:tc>
      </w:tr>
    </w:tbl>
    <w:p w14:paraId="346645CA">
      <w:pPr>
        <w:rPr>
          <w:rFonts w:hint="default"/>
          <w:b/>
          <w:bCs/>
          <w:lang w:val="en-US" w:eastAsia="zh-CN"/>
        </w:rPr>
      </w:pPr>
    </w:p>
    <w:p w14:paraId="0239A9C3">
      <w:pPr>
        <w:pStyle w:val="3"/>
        <w:bidi w:val="0"/>
        <w:rPr>
          <w:lang w:val="en-US" w:eastAsia="zh-CN"/>
        </w:rPr>
      </w:pPr>
      <w:bookmarkStart w:id="200" w:name="_Toc17351"/>
      <w:bookmarkStart w:id="201" w:name="_Toc18484"/>
      <w:bookmarkStart w:id="202" w:name="_Toc25004"/>
      <w:bookmarkStart w:id="203" w:name="_Toc30379"/>
      <w:bookmarkStart w:id="204" w:name="_Toc650"/>
      <w:r>
        <w:rPr>
          <w:lang w:val="en-US" w:eastAsia="zh-CN"/>
        </w:rPr>
        <w:t>随访</w:t>
      </w:r>
      <w:r>
        <w:rPr>
          <w:rFonts w:hint="eastAsia"/>
          <w:lang w:val="en-US" w:eastAsia="zh-CN"/>
        </w:rPr>
        <w:t>管理</w:t>
      </w:r>
      <w:r>
        <w:rPr>
          <w:lang w:val="en-US" w:eastAsia="zh-CN"/>
        </w:rPr>
        <w:t>系统</w:t>
      </w:r>
      <w:bookmarkEnd w:id="200"/>
      <w:bookmarkEnd w:id="201"/>
      <w:bookmarkEnd w:id="202"/>
      <w:bookmarkEnd w:id="203"/>
      <w:bookmarkEnd w:id="204"/>
    </w:p>
    <w:tbl>
      <w:tblPr>
        <w:tblStyle w:val="46"/>
        <w:tblW w:w="9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322"/>
        <w:gridCol w:w="1241"/>
        <w:gridCol w:w="7076"/>
      </w:tblGrid>
      <w:tr w14:paraId="39CDD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5" w:hRule="atLeast"/>
          <w:jc w:val="center"/>
        </w:trPr>
        <w:tc>
          <w:tcPr>
            <w:tcW w:w="1322" w:type="dxa"/>
            <w:shd w:val="clear" w:color="auto" w:fill="auto"/>
            <w:noWrap/>
            <w:vAlign w:val="center"/>
          </w:tcPr>
          <w:p w14:paraId="74AA9633">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ascii="宋体" w:hAnsi="宋体" w:eastAsia="宋体" w:cs="宋体"/>
                <w:i w:val="0"/>
                <w:iCs w:val="0"/>
                <w:color w:val="000000"/>
                <w:sz w:val="21"/>
                <w:szCs w:val="21"/>
                <w:highlight w:val="none"/>
                <w:u w:val="none"/>
              </w:rPr>
            </w:pPr>
            <w:r>
              <w:rPr>
                <w:rFonts w:ascii="宋体" w:hAnsi="宋体" w:eastAsia="宋体" w:cs="宋体"/>
                <w:i w:val="0"/>
                <w:iCs w:val="0"/>
                <w:color w:val="000000"/>
                <w:kern w:val="0"/>
                <w:sz w:val="21"/>
                <w:szCs w:val="21"/>
                <w:highlight w:val="none"/>
                <w:u w:val="none"/>
                <w:lang w:val="en-US" w:eastAsia="zh-CN" w:bidi="ar"/>
              </w:rPr>
              <w:t>需求名称</w:t>
            </w:r>
          </w:p>
        </w:tc>
        <w:tc>
          <w:tcPr>
            <w:tcW w:w="1241" w:type="dxa"/>
            <w:shd w:val="clear" w:color="auto" w:fill="auto"/>
            <w:noWrap/>
            <w:vAlign w:val="center"/>
          </w:tcPr>
          <w:p w14:paraId="08420B3B">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ascii="宋体" w:hAnsi="宋体" w:eastAsia="宋体" w:cs="宋体"/>
                <w:i w:val="0"/>
                <w:iCs w:val="0"/>
                <w:color w:val="000000"/>
                <w:sz w:val="21"/>
                <w:szCs w:val="21"/>
                <w:highlight w:val="none"/>
                <w:u w:val="none"/>
              </w:rPr>
            </w:pPr>
            <w:r>
              <w:rPr>
                <w:rFonts w:ascii="宋体" w:hAnsi="宋体" w:eastAsia="宋体" w:cs="宋体"/>
                <w:i w:val="0"/>
                <w:iCs w:val="0"/>
                <w:color w:val="000000"/>
                <w:kern w:val="0"/>
                <w:sz w:val="21"/>
                <w:szCs w:val="21"/>
                <w:highlight w:val="none"/>
                <w:u w:val="none"/>
                <w:lang w:val="en-US" w:eastAsia="zh-CN" w:bidi="ar"/>
              </w:rPr>
              <w:t>序号</w:t>
            </w:r>
          </w:p>
        </w:tc>
        <w:tc>
          <w:tcPr>
            <w:tcW w:w="7076" w:type="dxa"/>
            <w:shd w:val="clear" w:color="auto" w:fill="auto"/>
            <w:vAlign w:val="center"/>
          </w:tcPr>
          <w:p w14:paraId="7069BD17">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ascii="宋体" w:hAnsi="宋体" w:eastAsia="宋体" w:cs="宋体"/>
                <w:i w:val="0"/>
                <w:iCs w:val="0"/>
                <w:color w:val="000000"/>
                <w:sz w:val="21"/>
                <w:szCs w:val="21"/>
                <w:highlight w:val="none"/>
                <w:u w:val="none"/>
              </w:rPr>
            </w:pPr>
            <w:r>
              <w:rPr>
                <w:rFonts w:ascii="宋体" w:hAnsi="宋体" w:eastAsia="宋体" w:cs="宋体"/>
                <w:i w:val="0"/>
                <w:iCs w:val="0"/>
                <w:color w:val="000000"/>
                <w:kern w:val="0"/>
                <w:sz w:val="21"/>
                <w:szCs w:val="21"/>
                <w:highlight w:val="none"/>
                <w:u w:val="none"/>
                <w:lang w:val="en-US" w:eastAsia="zh-CN" w:bidi="ar"/>
              </w:rPr>
              <w:t>需求描述</w:t>
            </w:r>
          </w:p>
        </w:tc>
      </w:tr>
      <w:tr w14:paraId="47886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3" w:hRule="atLeast"/>
          <w:jc w:val="center"/>
        </w:trPr>
        <w:tc>
          <w:tcPr>
            <w:tcW w:w="1322" w:type="dxa"/>
            <w:vMerge w:val="restart"/>
            <w:shd w:val="clear" w:color="auto" w:fill="auto"/>
            <w:noWrap/>
            <w:vAlign w:val="center"/>
          </w:tcPr>
          <w:p w14:paraId="78B5691A">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ascii="宋体" w:hAnsi="宋体" w:eastAsia="宋体" w:cs="宋体"/>
                <w:i w:val="0"/>
                <w:iCs w:val="0"/>
                <w:color w:val="000000"/>
                <w:sz w:val="21"/>
                <w:szCs w:val="21"/>
                <w:highlight w:val="none"/>
                <w:u w:val="none"/>
              </w:rPr>
            </w:pPr>
            <w:r>
              <w:rPr>
                <w:rFonts w:ascii="宋体" w:hAnsi="宋体" w:eastAsia="宋体" w:cs="宋体"/>
                <w:i w:val="0"/>
                <w:iCs w:val="0"/>
                <w:color w:val="000000"/>
                <w:kern w:val="0"/>
                <w:sz w:val="21"/>
                <w:szCs w:val="21"/>
                <w:highlight w:val="none"/>
                <w:u w:val="none"/>
                <w:lang w:val="en-US" w:eastAsia="zh-CN" w:bidi="ar"/>
              </w:rPr>
              <w:t>新增系统功能模块</w:t>
            </w:r>
          </w:p>
        </w:tc>
        <w:tc>
          <w:tcPr>
            <w:tcW w:w="1241" w:type="dxa"/>
            <w:shd w:val="clear" w:color="auto" w:fill="auto"/>
            <w:noWrap/>
            <w:vAlign w:val="center"/>
          </w:tcPr>
          <w:p w14:paraId="4DBA0552">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ascii="宋体" w:hAnsi="宋体" w:eastAsia="宋体" w:cs="宋体"/>
                <w:i w:val="0"/>
                <w:iCs w:val="0"/>
                <w:color w:val="000000"/>
                <w:sz w:val="21"/>
                <w:szCs w:val="21"/>
                <w:highlight w:val="none"/>
                <w:u w:val="none"/>
              </w:rPr>
            </w:pPr>
            <w:r>
              <w:rPr>
                <w:rFonts w:ascii="宋体" w:hAnsi="宋体" w:eastAsia="宋体" w:cs="宋体"/>
                <w:i w:val="0"/>
                <w:iCs w:val="0"/>
                <w:color w:val="000000"/>
                <w:kern w:val="0"/>
                <w:sz w:val="21"/>
                <w:szCs w:val="21"/>
                <w:highlight w:val="none"/>
                <w:u w:val="none"/>
                <w:lang w:val="en-US" w:eastAsia="zh-CN" w:bidi="ar"/>
              </w:rPr>
              <w:t>电话呼叫中心</w:t>
            </w:r>
          </w:p>
        </w:tc>
        <w:tc>
          <w:tcPr>
            <w:tcW w:w="7076" w:type="dxa"/>
            <w:shd w:val="clear" w:color="auto" w:fill="auto"/>
            <w:vAlign w:val="center"/>
          </w:tcPr>
          <w:p w14:paraId="478C6D87">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ascii="宋体" w:hAnsi="宋体" w:eastAsia="宋体" w:cs="宋体"/>
                <w:i w:val="0"/>
                <w:iCs w:val="0"/>
                <w:color w:val="000000"/>
                <w:sz w:val="21"/>
                <w:szCs w:val="21"/>
                <w:highlight w:val="none"/>
                <w:u w:val="none"/>
              </w:rPr>
            </w:pPr>
            <w:r>
              <w:rPr>
                <w:rFonts w:ascii="宋体" w:hAnsi="宋体" w:eastAsia="宋体" w:cs="宋体"/>
                <w:i w:val="0"/>
                <w:iCs w:val="0"/>
                <w:color w:val="000000"/>
                <w:kern w:val="0"/>
                <w:sz w:val="21"/>
                <w:szCs w:val="21"/>
                <w:highlight w:val="none"/>
                <w:u w:val="none"/>
                <w:lang w:val="en-US" w:eastAsia="zh-CN" w:bidi="ar"/>
              </w:rPr>
              <w:t>1）支持拨出录音、来电录音、电话录音记录查询。</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2）录音记录包含电话号码、接听时间、挂机时间、通话时长等。</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3）支持AI外呼终端信息查看及管理。</w:t>
            </w:r>
          </w:p>
        </w:tc>
      </w:tr>
      <w:tr w14:paraId="317F1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1" w:hRule="atLeast"/>
          <w:jc w:val="center"/>
        </w:trPr>
        <w:tc>
          <w:tcPr>
            <w:tcW w:w="1322" w:type="dxa"/>
            <w:vMerge w:val="continue"/>
            <w:shd w:val="clear" w:color="auto" w:fill="auto"/>
            <w:noWrap/>
            <w:vAlign w:val="center"/>
          </w:tcPr>
          <w:p w14:paraId="085E1DAA">
            <w:pPr>
              <w:keepNext w:val="0"/>
              <w:keepLines w:val="0"/>
              <w:pageBreakBefore w:val="0"/>
              <w:kinsoku/>
              <w:wordWrap/>
              <w:overflowPunct/>
              <w:topLinePunct w:val="0"/>
              <w:autoSpaceDE/>
              <w:autoSpaceDN/>
              <w:bidi w:val="0"/>
              <w:adjustRightInd w:val="0"/>
              <w:snapToGrid w:val="0"/>
              <w:spacing w:line="360" w:lineRule="auto"/>
              <w:jc w:val="center"/>
              <w:rPr>
                <w:rFonts w:hint="eastAsia" w:ascii="宋体" w:hAnsi="宋体" w:eastAsia="宋体" w:cs="宋体"/>
                <w:i w:val="0"/>
                <w:iCs w:val="0"/>
                <w:color w:val="000000"/>
                <w:sz w:val="21"/>
                <w:szCs w:val="21"/>
                <w:highlight w:val="none"/>
                <w:u w:val="none"/>
              </w:rPr>
            </w:pPr>
          </w:p>
        </w:tc>
        <w:tc>
          <w:tcPr>
            <w:tcW w:w="1241" w:type="dxa"/>
            <w:shd w:val="clear" w:color="auto" w:fill="auto"/>
            <w:noWrap/>
            <w:vAlign w:val="center"/>
          </w:tcPr>
          <w:p w14:paraId="79BCBDF3">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ascii="宋体" w:hAnsi="宋体" w:eastAsia="宋体" w:cs="宋体"/>
                <w:i w:val="0"/>
                <w:iCs w:val="0"/>
                <w:color w:val="000000"/>
                <w:sz w:val="21"/>
                <w:szCs w:val="21"/>
                <w:highlight w:val="none"/>
                <w:u w:val="none"/>
              </w:rPr>
            </w:pPr>
            <w:r>
              <w:rPr>
                <w:rFonts w:ascii="宋体" w:hAnsi="宋体" w:eastAsia="宋体" w:cs="宋体"/>
                <w:i w:val="0"/>
                <w:iCs w:val="0"/>
                <w:color w:val="000000"/>
                <w:kern w:val="0"/>
                <w:sz w:val="21"/>
                <w:szCs w:val="21"/>
                <w:highlight w:val="none"/>
                <w:u w:val="none"/>
                <w:lang w:val="en-US" w:eastAsia="zh-CN" w:bidi="ar"/>
              </w:rPr>
              <w:t>微信中心</w:t>
            </w:r>
          </w:p>
        </w:tc>
        <w:tc>
          <w:tcPr>
            <w:tcW w:w="7076" w:type="dxa"/>
            <w:shd w:val="clear" w:color="auto" w:fill="auto"/>
            <w:vAlign w:val="center"/>
          </w:tcPr>
          <w:p w14:paraId="111D4FC6">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ascii="宋体" w:hAnsi="宋体" w:eastAsia="宋体" w:cs="宋体"/>
                <w:i w:val="0"/>
                <w:iCs w:val="0"/>
                <w:color w:val="000000"/>
                <w:sz w:val="21"/>
                <w:szCs w:val="21"/>
                <w:highlight w:val="none"/>
                <w:u w:val="none"/>
              </w:rPr>
            </w:pPr>
            <w:r>
              <w:rPr>
                <w:rFonts w:ascii="宋体" w:hAnsi="宋体" w:eastAsia="宋体" w:cs="宋体"/>
                <w:i w:val="0"/>
                <w:iCs w:val="0"/>
                <w:color w:val="000000"/>
                <w:kern w:val="0"/>
                <w:sz w:val="21"/>
                <w:szCs w:val="21"/>
                <w:highlight w:val="none"/>
                <w:u w:val="none"/>
                <w:lang w:val="en-US" w:eastAsia="zh-CN" w:bidi="ar"/>
              </w:rPr>
              <w:t>1）支持与院方官方微信进行对接（须提供微信服务号），实现微信随访推送服务。</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2）提供由公众号申请的消息模板生成微信调查模板，微信推送时直接调用模板。</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3）支持在随访场景下快速唤起微信推送界面，实时推送给患者。</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4）支持在随访任务中根据随访计划自动推送对应内容给患者。</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5）支持推送带链接的问卷、表单、提醒消息到患者手机端，患者在手机端接收并反馈。</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6）微信推送内容支持查找微信模板或自定义输入内容。</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7）提供微信推送的发送记录，可查看发送成功与否的状态。</w:t>
            </w:r>
          </w:p>
        </w:tc>
      </w:tr>
      <w:tr w14:paraId="491D1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9" w:hRule="atLeast"/>
          <w:jc w:val="center"/>
        </w:trPr>
        <w:tc>
          <w:tcPr>
            <w:tcW w:w="1322" w:type="dxa"/>
            <w:vMerge w:val="continue"/>
            <w:shd w:val="clear" w:color="auto" w:fill="auto"/>
            <w:noWrap/>
            <w:vAlign w:val="center"/>
          </w:tcPr>
          <w:p w14:paraId="68521769">
            <w:pPr>
              <w:keepNext w:val="0"/>
              <w:keepLines w:val="0"/>
              <w:pageBreakBefore w:val="0"/>
              <w:kinsoku/>
              <w:wordWrap/>
              <w:overflowPunct/>
              <w:topLinePunct w:val="0"/>
              <w:autoSpaceDE/>
              <w:autoSpaceDN/>
              <w:bidi w:val="0"/>
              <w:adjustRightInd w:val="0"/>
              <w:snapToGrid w:val="0"/>
              <w:spacing w:line="360" w:lineRule="auto"/>
              <w:jc w:val="center"/>
              <w:rPr>
                <w:rFonts w:hint="eastAsia" w:ascii="宋体" w:hAnsi="宋体" w:eastAsia="宋体" w:cs="宋体"/>
                <w:i w:val="0"/>
                <w:iCs w:val="0"/>
                <w:color w:val="000000"/>
                <w:sz w:val="21"/>
                <w:szCs w:val="21"/>
                <w:highlight w:val="none"/>
                <w:u w:val="none"/>
              </w:rPr>
            </w:pPr>
          </w:p>
        </w:tc>
        <w:tc>
          <w:tcPr>
            <w:tcW w:w="1241" w:type="dxa"/>
            <w:shd w:val="clear" w:color="auto" w:fill="auto"/>
            <w:noWrap/>
            <w:vAlign w:val="center"/>
          </w:tcPr>
          <w:p w14:paraId="73AF35E2">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ascii="宋体" w:hAnsi="宋体" w:eastAsia="宋体" w:cs="宋体"/>
                <w:i w:val="0"/>
                <w:iCs w:val="0"/>
                <w:color w:val="000000"/>
                <w:sz w:val="21"/>
                <w:szCs w:val="21"/>
                <w:highlight w:val="none"/>
                <w:u w:val="none"/>
              </w:rPr>
            </w:pPr>
            <w:r>
              <w:rPr>
                <w:rFonts w:ascii="宋体" w:hAnsi="宋体" w:eastAsia="宋体" w:cs="宋体"/>
                <w:i w:val="0"/>
                <w:iCs w:val="0"/>
                <w:color w:val="000000"/>
                <w:kern w:val="0"/>
                <w:sz w:val="21"/>
                <w:szCs w:val="21"/>
                <w:highlight w:val="none"/>
                <w:u w:val="none"/>
                <w:lang w:val="en-US" w:eastAsia="zh-CN" w:bidi="ar"/>
              </w:rPr>
              <w:t>短信中心</w:t>
            </w:r>
          </w:p>
        </w:tc>
        <w:tc>
          <w:tcPr>
            <w:tcW w:w="7076" w:type="dxa"/>
            <w:shd w:val="clear" w:color="auto" w:fill="auto"/>
            <w:vAlign w:val="center"/>
          </w:tcPr>
          <w:p w14:paraId="4B041CAF">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ascii="宋体" w:hAnsi="宋体" w:eastAsia="宋体" w:cs="宋体"/>
                <w:i w:val="0"/>
                <w:iCs w:val="0"/>
                <w:color w:val="000000"/>
                <w:sz w:val="21"/>
                <w:szCs w:val="21"/>
                <w:highlight w:val="none"/>
                <w:u w:val="none"/>
              </w:rPr>
            </w:pPr>
            <w:r>
              <w:rPr>
                <w:rFonts w:ascii="宋体" w:hAnsi="宋体" w:eastAsia="宋体" w:cs="宋体"/>
                <w:i w:val="0"/>
                <w:iCs w:val="0"/>
                <w:color w:val="000000"/>
                <w:kern w:val="0"/>
                <w:sz w:val="21"/>
                <w:szCs w:val="21"/>
                <w:highlight w:val="none"/>
                <w:u w:val="none"/>
                <w:lang w:val="en-US" w:eastAsia="zh-CN" w:bidi="ar"/>
              </w:rPr>
              <w:t>1）支持制定短信定时任务，按科室，疾病等条件筛选门诊，住院，出院患者进行短信通知或到点提醒。</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2）支持在医生护士随访任务中根据随访计划自动发送对应内容给患者。</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3）支持查看通过系统发送的所有短信记录和回复记录。</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4）支持根据发送时间、接收人、接收人电话、发送人、发送科室等条件进行查询，可查看发送状态。</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5）支持短信回复记录查询，可对回复记录进行阅读处理，支持根据回复内容、回复时间、发送模板等条件搜索。</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6）支持短信接收管理，可通过患者类型、院区、科室、回复内容、回复时间、发送模板、处理情况、是否无效回复等条件进行检索查询。</w:t>
            </w:r>
          </w:p>
        </w:tc>
      </w:tr>
      <w:tr w14:paraId="2D4FC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2" w:hRule="atLeast"/>
          <w:jc w:val="center"/>
        </w:trPr>
        <w:tc>
          <w:tcPr>
            <w:tcW w:w="1322" w:type="dxa"/>
            <w:vMerge w:val="continue"/>
            <w:shd w:val="clear" w:color="auto" w:fill="auto"/>
            <w:noWrap/>
            <w:vAlign w:val="center"/>
          </w:tcPr>
          <w:p w14:paraId="36642B8F">
            <w:pPr>
              <w:keepNext w:val="0"/>
              <w:keepLines w:val="0"/>
              <w:pageBreakBefore w:val="0"/>
              <w:kinsoku/>
              <w:wordWrap/>
              <w:overflowPunct/>
              <w:topLinePunct w:val="0"/>
              <w:autoSpaceDE/>
              <w:autoSpaceDN/>
              <w:bidi w:val="0"/>
              <w:adjustRightInd w:val="0"/>
              <w:snapToGrid w:val="0"/>
              <w:spacing w:line="360" w:lineRule="auto"/>
              <w:jc w:val="center"/>
              <w:rPr>
                <w:rFonts w:hint="eastAsia" w:ascii="宋体" w:hAnsi="宋体" w:eastAsia="宋体" w:cs="宋体"/>
                <w:i w:val="0"/>
                <w:iCs w:val="0"/>
                <w:color w:val="000000"/>
                <w:sz w:val="21"/>
                <w:szCs w:val="21"/>
                <w:highlight w:val="none"/>
                <w:u w:val="none"/>
              </w:rPr>
            </w:pPr>
          </w:p>
        </w:tc>
        <w:tc>
          <w:tcPr>
            <w:tcW w:w="1241" w:type="dxa"/>
            <w:shd w:val="clear" w:color="auto" w:fill="auto"/>
            <w:noWrap/>
            <w:vAlign w:val="center"/>
          </w:tcPr>
          <w:p w14:paraId="667D70D8">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ascii="宋体" w:hAnsi="宋体" w:eastAsia="宋体" w:cs="宋体"/>
                <w:i w:val="0"/>
                <w:iCs w:val="0"/>
                <w:color w:val="000000"/>
                <w:sz w:val="21"/>
                <w:szCs w:val="21"/>
                <w:highlight w:val="none"/>
                <w:u w:val="none"/>
              </w:rPr>
            </w:pPr>
            <w:r>
              <w:rPr>
                <w:rFonts w:ascii="宋体" w:hAnsi="宋体" w:eastAsia="宋体" w:cs="宋体"/>
                <w:i w:val="0"/>
                <w:iCs w:val="0"/>
                <w:color w:val="000000"/>
                <w:kern w:val="0"/>
                <w:sz w:val="21"/>
                <w:szCs w:val="21"/>
                <w:highlight w:val="none"/>
                <w:u w:val="none"/>
                <w:lang w:val="en-US" w:eastAsia="zh-CN" w:bidi="ar"/>
              </w:rPr>
              <w:t>系统功能维护</w:t>
            </w:r>
          </w:p>
        </w:tc>
        <w:tc>
          <w:tcPr>
            <w:tcW w:w="7076" w:type="dxa"/>
            <w:shd w:val="clear" w:color="auto" w:fill="auto"/>
            <w:vAlign w:val="center"/>
          </w:tcPr>
          <w:p w14:paraId="1E156FBC">
            <w:pPr>
              <w:keepNext w:val="0"/>
              <w:keepLines w:val="0"/>
              <w:pageBreakBefore w:val="0"/>
              <w:widowControl/>
              <w:numPr>
                <w:ilvl w:val="0"/>
                <w:numId w:val="75"/>
              </w:numPr>
              <w:suppressLineNumbers w:val="0"/>
              <w:kinsoku/>
              <w:wordWrap/>
              <w:overflowPunct/>
              <w:topLinePunct w:val="0"/>
              <w:autoSpaceDE/>
              <w:autoSpaceDN/>
              <w:bidi w:val="0"/>
              <w:adjustRightInd w:val="0"/>
              <w:snapToGrid w:val="0"/>
              <w:spacing w:line="360" w:lineRule="auto"/>
              <w:jc w:val="left"/>
              <w:textAlignment w:val="center"/>
              <w:rPr>
                <w:rFonts w:ascii="宋体" w:hAnsi="宋体" w:eastAsia="宋体" w:cs="宋体"/>
                <w:i w:val="0"/>
                <w:iCs w:val="0"/>
                <w:color w:val="000000"/>
                <w:sz w:val="21"/>
                <w:szCs w:val="21"/>
                <w:highlight w:val="none"/>
                <w:u w:val="none"/>
              </w:rPr>
            </w:pPr>
            <w:r>
              <w:rPr>
                <w:rFonts w:ascii="宋体" w:hAnsi="宋体" w:eastAsia="宋体" w:cs="宋体"/>
                <w:i w:val="0"/>
                <w:iCs w:val="0"/>
                <w:color w:val="000000"/>
                <w:kern w:val="0"/>
                <w:sz w:val="21"/>
                <w:szCs w:val="21"/>
                <w:highlight w:val="none"/>
                <w:u w:val="none"/>
                <w:lang w:val="en-US" w:eastAsia="zh-CN" w:bidi="ar"/>
              </w:rPr>
              <w:t>患者数据对接:支持视图和接口两种方式的患者数据对接。支持和HIS、院内集成平台、人力资源系统、OA系统、病案系统</w:t>
            </w:r>
            <w:r>
              <w:rPr>
                <w:rFonts w:hint="eastAsia" w:ascii="宋体" w:hAnsi="宋体" w:eastAsia="宋体" w:cs="宋体"/>
                <w:i w:val="0"/>
                <w:iCs w:val="0"/>
                <w:color w:val="000000"/>
                <w:kern w:val="0"/>
                <w:sz w:val="21"/>
                <w:szCs w:val="21"/>
                <w:highlight w:val="none"/>
                <w:u w:val="none"/>
                <w:lang w:val="en-US" w:eastAsia="zh-CN" w:bidi="ar"/>
              </w:rPr>
              <w:t>、医务管理系统</w:t>
            </w:r>
            <w:r>
              <w:rPr>
                <w:rFonts w:ascii="宋体" w:hAnsi="宋体" w:eastAsia="宋体" w:cs="宋体"/>
                <w:i w:val="0"/>
                <w:iCs w:val="0"/>
                <w:color w:val="000000"/>
                <w:kern w:val="0"/>
                <w:sz w:val="21"/>
                <w:szCs w:val="21"/>
                <w:highlight w:val="none"/>
                <w:u w:val="none"/>
                <w:lang w:val="en-US" w:eastAsia="zh-CN" w:bidi="ar"/>
              </w:rPr>
              <w:t>等院内多系统融合对接。</w:t>
            </w:r>
          </w:p>
          <w:p w14:paraId="60F8D950">
            <w:pPr>
              <w:keepNext w:val="0"/>
              <w:keepLines w:val="0"/>
              <w:pageBreakBefore w:val="0"/>
              <w:widowControl/>
              <w:numPr>
                <w:ilvl w:val="0"/>
                <w:numId w:val="75"/>
              </w:numPr>
              <w:suppressLineNumbers w:val="0"/>
              <w:kinsoku/>
              <w:wordWrap/>
              <w:overflowPunct/>
              <w:topLinePunct w:val="0"/>
              <w:autoSpaceDE/>
              <w:autoSpaceDN/>
              <w:bidi w:val="0"/>
              <w:adjustRightInd w:val="0"/>
              <w:snapToGrid w:val="0"/>
              <w:spacing w:line="360" w:lineRule="auto"/>
              <w:jc w:val="left"/>
              <w:textAlignment w:val="center"/>
              <w:rPr>
                <w:rFonts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医务管理系统对接：</w:t>
            </w:r>
            <w:r>
              <w:rPr>
                <w:rFonts w:ascii="宋体" w:hAnsi="宋体" w:eastAsia="宋体" w:cs="宋体"/>
                <w:sz w:val="21"/>
                <w:szCs w:val="21"/>
                <w:highlight w:val="none"/>
              </w:rPr>
              <w:t>将</w:t>
            </w:r>
            <w:r>
              <w:rPr>
                <w:rFonts w:hint="eastAsia" w:ascii="宋体" w:hAnsi="宋体" w:eastAsia="宋体" w:cs="宋体"/>
                <w:sz w:val="21"/>
                <w:szCs w:val="21"/>
                <w:highlight w:val="none"/>
                <w:lang w:val="en-US" w:eastAsia="zh-CN"/>
              </w:rPr>
              <w:t>随访结果数据、</w:t>
            </w:r>
            <w:r>
              <w:rPr>
                <w:rFonts w:ascii="宋体" w:hAnsi="宋体" w:eastAsia="宋体" w:cs="宋体"/>
                <w:sz w:val="21"/>
                <w:szCs w:val="21"/>
                <w:highlight w:val="none"/>
              </w:rPr>
              <w:t>满意度</w:t>
            </w:r>
            <w:r>
              <w:rPr>
                <w:rFonts w:hint="eastAsia" w:ascii="宋体" w:hAnsi="宋体" w:eastAsia="宋体" w:cs="宋体"/>
                <w:sz w:val="21"/>
                <w:szCs w:val="21"/>
                <w:highlight w:val="none"/>
                <w:lang w:val="en-US" w:eastAsia="zh-CN"/>
              </w:rPr>
              <w:t>结果</w:t>
            </w:r>
            <w:r>
              <w:rPr>
                <w:rFonts w:ascii="宋体" w:hAnsi="宋体" w:eastAsia="宋体" w:cs="宋体"/>
                <w:sz w:val="21"/>
                <w:szCs w:val="21"/>
                <w:highlight w:val="none"/>
              </w:rPr>
              <w:t>数据实时或定时同步至医务管理系统。</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2）微信公众号对接:以中山大学附属第七医院微信公众号为载体，向患者发放随访任务、问卷或调查表单。</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3）AI外呼对接:实现AI电话外呼，支持三方系统通过接口方式创建电话任务。</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4）患者入组：支持各随访病种组别进行入组互斥功能设置，也可支持自由匹配。如该患者同时患有多个单病种或多处转移的情况，只入组第一优先诊断的病种。</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5）支持自动随访方式配置，可设置配置条件，使用微信、短信、AI、人工的方式进行随访，多种随访方式可进行关联自动流转：</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发送微信—患者未绑卡，发送短信—1天后未回复，发送AI—未接通，重复发生AI—异常问卷（设置异常条件）—转人工随访。</w:t>
            </w:r>
          </w:p>
        </w:tc>
      </w:tr>
      <w:tr w14:paraId="32B12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397" w:hRule="atLeast"/>
          <w:jc w:val="center"/>
        </w:trPr>
        <w:tc>
          <w:tcPr>
            <w:tcW w:w="1322" w:type="dxa"/>
            <w:vMerge w:val="continue"/>
            <w:shd w:val="clear" w:color="auto" w:fill="auto"/>
            <w:noWrap/>
            <w:vAlign w:val="center"/>
          </w:tcPr>
          <w:p w14:paraId="41E931FE">
            <w:pPr>
              <w:keepNext w:val="0"/>
              <w:keepLines w:val="0"/>
              <w:pageBreakBefore w:val="0"/>
              <w:kinsoku/>
              <w:wordWrap/>
              <w:overflowPunct/>
              <w:topLinePunct w:val="0"/>
              <w:autoSpaceDE/>
              <w:autoSpaceDN/>
              <w:bidi w:val="0"/>
              <w:adjustRightInd w:val="0"/>
              <w:snapToGrid w:val="0"/>
              <w:spacing w:line="360" w:lineRule="auto"/>
              <w:jc w:val="center"/>
              <w:rPr>
                <w:rFonts w:hint="eastAsia" w:ascii="宋体" w:hAnsi="宋体" w:eastAsia="宋体" w:cs="宋体"/>
                <w:i w:val="0"/>
                <w:iCs w:val="0"/>
                <w:color w:val="000000"/>
                <w:sz w:val="21"/>
                <w:szCs w:val="21"/>
                <w:highlight w:val="none"/>
                <w:u w:val="none"/>
              </w:rPr>
            </w:pPr>
          </w:p>
        </w:tc>
        <w:tc>
          <w:tcPr>
            <w:tcW w:w="1241" w:type="dxa"/>
            <w:shd w:val="clear" w:color="auto" w:fill="auto"/>
            <w:noWrap/>
            <w:vAlign w:val="center"/>
          </w:tcPr>
          <w:p w14:paraId="7F611F56">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ascii="宋体" w:hAnsi="宋体" w:eastAsia="宋体" w:cs="宋体"/>
                <w:i w:val="0"/>
                <w:iCs w:val="0"/>
                <w:color w:val="000000"/>
                <w:sz w:val="21"/>
                <w:szCs w:val="21"/>
                <w:highlight w:val="none"/>
                <w:u w:val="none"/>
              </w:rPr>
            </w:pPr>
            <w:r>
              <w:rPr>
                <w:rFonts w:ascii="宋体" w:hAnsi="宋体" w:eastAsia="宋体" w:cs="宋体"/>
                <w:i w:val="0"/>
                <w:iCs w:val="0"/>
                <w:color w:val="000000"/>
                <w:kern w:val="0"/>
                <w:sz w:val="21"/>
                <w:szCs w:val="21"/>
                <w:highlight w:val="none"/>
                <w:u w:val="none"/>
                <w:lang w:val="en-US" w:eastAsia="zh-CN" w:bidi="ar"/>
              </w:rPr>
              <w:t>随访总览</w:t>
            </w:r>
          </w:p>
        </w:tc>
        <w:tc>
          <w:tcPr>
            <w:tcW w:w="7076" w:type="dxa"/>
            <w:shd w:val="clear" w:color="auto" w:fill="auto"/>
            <w:vAlign w:val="center"/>
          </w:tcPr>
          <w:p w14:paraId="6A78B20B">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ascii="宋体" w:hAnsi="宋体" w:eastAsia="宋体" w:cs="宋体"/>
                <w:i w:val="0"/>
                <w:iCs w:val="0"/>
                <w:color w:val="000000"/>
                <w:sz w:val="21"/>
                <w:szCs w:val="21"/>
                <w:highlight w:val="none"/>
                <w:u w:val="none"/>
              </w:rPr>
            </w:pPr>
            <w:r>
              <w:rPr>
                <w:rFonts w:ascii="宋体" w:hAnsi="宋体" w:eastAsia="宋体" w:cs="宋体"/>
                <w:i w:val="0"/>
                <w:iCs w:val="0"/>
                <w:color w:val="000000"/>
                <w:kern w:val="0"/>
                <w:sz w:val="21"/>
                <w:szCs w:val="21"/>
                <w:highlight w:val="none"/>
                <w:u w:val="none"/>
                <w:lang w:val="en-US" w:eastAsia="zh-CN" w:bidi="ar"/>
              </w:rPr>
              <w:t>1）数据展示：出院患者和肿瘤单病种及其他病种三类展板。</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a.出院/四级手术/日间手术患者：出院总患者数、生成任务数、已完成随访任务、剩余随访任务、失访人数。</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b.肿瘤单病种：入组总人数、各病种入组分布人数、随访总任务数、完成任务数、剩余任务数、失访总人数、各病种失访人数分布、需继续跟踪随访人数及各病种跟踪人数分布。</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c.支持其他病种展板内容的新增和建设。</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2）待办任务：展示待办任务类型以及待办任务数和已随访任务数，如异常患者、人工随访、AI随访、短信随访、微信随访任务数。</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3）服务方式统计：展示AI电话、短信、微信、人工随访所占随访比例以及各随访方式的回收率。各种类型随访方式的任务（总任务、已完成、未完成）占比和分布。随访任务回收率的占比和分布。</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4）随访覆盖率统计：展示就诊人数和随访覆盖率之间的关系。</w:t>
            </w:r>
          </w:p>
        </w:tc>
      </w:tr>
      <w:tr w14:paraId="68654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921" w:hRule="atLeast"/>
          <w:jc w:val="center"/>
        </w:trPr>
        <w:tc>
          <w:tcPr>
            <w:tcW w:w="1322" w:type="dxa"/>
            <w:vMerge w:val="continue"/>
            <w:shd w:val="clear" w:color="auto" w:fill="auto"/>
            <w:noWrap/>
            <w:vAlign w:val="center"/>
          </w:tcPr>
          <w:p w14:paraId="61339296">
            <w:pPr>
              <w:keepNext w:val="0"/>
              <w:keepLines w:val="0"/>
              <w:pageBreakBefore w:val="0"/>
              <w:kinsoku/>
              <w:wordWrap/>
              <w:overflowPunct/>
              <w:topLinePunct w:val="0"/>
              <w:autoSpaceDE/>
              <w:autoSpaceDN/>
              <w:bidi w:val="0"/>
              <w:adjustRightInd w:val="0"/>
              <w:snapToGrid w:val="0"/>
              <w:spacing w:line="360" w:lineRule="auto"/>
              <w:jc w:val="center"/>
              <w:rPr>
                <w:rFonts w:hint="eastAsia" w:ascii="宋体" w:hAnsi="宋体" w:eastAsia="宋体" w:cs="宋体"/>
                <w:i w:val="0"/>
                <w:iCs w:val="0"/>
                <w:color w:val="000000"/>
                <w:sz w:val="21"/>
                <w:szCs w:val="21"/>
                <w:highlight w:val="none"/>
                <w:u w:val="none"/>
              </w:rPr>
            </w:pPr>
          </w:p>
        </w:tc>
        <w:tc>
          <w:tcPr>
            <w:tcW w:w="1241" w:type="dxa"/>
            <w:shd w:val="clear" w:color="auto" w:fill="auto"/>
            <w:noWrap/>
            <w:vAlign w:val="center"/>
          </w:tcPr>
          <w:p w14:paraId="42B77C7D">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ascii="宋体" w:hAnsi="宋体" w:eastAsia="宋体" w:cs="宋体"/>
                <w:i w:val="0"/>
                <w:iCs w:val="0"/>
                <w:color w:val="000000"/>
                <w:sz w:val="21"/>
                <w:szCs w:val="21"/>
                <w:highlight w:val="none"/>
                <w:u w:val="none"/>
              </w:rPr>
            </w:pPr>
            <w:r>
              <w:rPr>
                <w:rFonts w:ascii="宋体" w:hAnsi="宋体" w:eastAsia="宋体" w:cs="宋体"/>
                <w:i w:val="0"/>
                <w:iCs w:val="0"/>
                <w:color w:val="000000"/>
                <w:kern w:val="0"/>
                <w:sz w:val="21"/>
                <w:szCs w:val="21"/>
                <w:highlight w:val="none"/>
                <w:u w:val="none"/>
                <w:lang w:val="en-US" w:eastAsia="zh-CN" w:bidi="ar"/>
              </w:rPr>
              <w:t>数据管理</w:t>
            </w:r>
          </w:p>
        </w:tc>
        <w:tc>
          <w:tcPr>
            <w:tcW w:w="7076" w:type="dxa"/>
            <w:shd w:val="clear" w:color="auto" w:fill="auto"/>
            <w:vAlign w:val="center"/>
          </w:tcPr>
          <w:p w14:paraId="297668B2">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ascii="宋体" w:hAnsi="宋体" w:eastAsia="宋体" w:cs="宋体"/>
                <w:i w:val="0"/>
                <w:iCs w:val="0"/>
                <w:color w:val="000000"/>
                <w:sz w:val="21"/>
                <w:szCs w:val="21"/>
                <w:highlight w:val="none"/>
                <w:u w:val="none"/>
              </w:rPr>
            </w:pPr>
            <w:r>
              <w:rPr>
                <w:rFonts w:ascii="宋体" w:hAnsi="宋体" w:eastAsia="宋体" w:cs="宋体"/>
                <w:i w:val="0"/>
                <w:iCs w:val="0"/>
                <w:color w:val="000000"/>
                <w:kern w:val="0"/>
                <w:sz w:val="21"/>
                <w:szCs w:val="21"/>
                <w:highlight w:val="none"/>
                <w:u w:val="none"/>
                <w:lang w:val="en-US" w:eastAsia="zh-CN" w:bidi="ar"/>
              </w:rPr>
              <w:t>支持各类各项各病种不同维度统计报表的建设和更新，包括但不限于以下报表：</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1）AI外呼任务统计：按照时间段筛选任务，展示阶段性智能AI外呼的呼叫人数、接通人次、整体接通率、成功回复率。对明细列表中电话任务可导出excel表格。</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2）短信、微信、AI外呼、人工电话任务统计：按任务时间段、短信、微信、AI外呼电话、人工电话进行筛选，直观展示随访方式的总和或分开的随访回收率、随访量、随访成功率、随访失败率等，并支持明细列表配置导出表头并导出excel表格。</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3）问卷任务统计：按照任务时间段、任务状态、问卷模板名称等筛选，并支持明细列表配置导出表头并导出excel表格。</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4）人工随访统计：按照任务时间段、患者分组等筛选人工随访任务，支持查看人工随访任务的执行情况。在设置的时间段内各随访工作组、每位随访员应完成的任务量、已完成任务量、随访成功率、失访率、随访通话时长。</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5）出院随访任务统计：出院随访成功率统计支持按月和按季度查看数据。包含列表展示及excel导出完整的随访量表。</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6）增加单病种随访统计数据：统计时间段可设置按出院时间、随访时间、计划时间、自定义时间段筛选。</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7）增加四级手术、日间手术患者随访统计数据：按照任务时间段（可设置按出院时间、随访时间、计划时间、自定义时间段筛选），展示出院人次、入组患者总数、系统生成需随访人次、已完成随访人次、随访成功人次、随访率、随访成功率。并支持明细列表配置导出表头并导出excel表格。</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8）全部患者随访任务成功率统计：全部随访任务统计数据和展示形式同出院随访任务成功率统计。增加我院管理需要的数据：日均随访任务总量、日均完成随访任务量、日均随访率、出院患者人均通话时长、失访人数、需继续跟踪随访人数（可按出院患者、四级手术患者、不同病种条件查询）。</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9）单病种随访出入组统计：按照时间段、病种筛选任务，统计入组人数、出组人数。并支持明细列表配置导出表头并导出excel表格，导出表头内容包含该患者入组时间、出组时间、随访次数、出组原因。</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10）工作量的统计。</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11）异常干预数据分析：支持查看系统筛查出来的随访异常患者数、异常筛查率。支持查看异常的原因分类，包含随访病情异常、复诊依从性异常、用药依从性异常、睡眠情况异常、电话未接通、电话中断。</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12）支持按模版自动生成数据报告：针对随访的统计结果，按标准模版展示随访工作月报/季报/年报等总结性报告；报告包括但不限于几部分，摘要、调查对象（门诊患者、出院/四级手术/日间手术患者、单病种、专科专病）、调查方式（AI电话、短信、微信、人工电话）、总体结果统计（门诊/出院/四级手术/日间手术/单病种/专科专病患者总人数、总随访人数、总体随访率、各科室随访率）、信息分析（按科室分析：各科室随访率排名及变动;按病种分析：各科室随访率排名及变动）、随访人员分组工作量完成情况，以便管理部门根据总结性报告进行针对性得改进。</w:t>
            </w:r>
          </w:p>
        </w:tc>
      </w:tr>
      <w:tr w14:paraId="3E9BB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1322" w:type="dxa"/>
            <w:vMerge w:val="continue"/>
            <w:shd w:val="clear" w:color="auto" w:fill="auto"/>
            <w:noWrap/>
            <w:vAlign w:val="center"/>
          </w:tcPr>
          <w:p w14:paraId="22BB525E">
            <w:pPr>
              <w:keepNext w:val="0"/>
              <w:keepLines w:val="0"/>
              <w:pageBreakBefore w:val="0"/>
              <w:kinsoku/>
              <w:wordWrap/>
              <w:overflowPunct/>
              <w:topLinePunct w:val="0"/>
              <w:autoSpaceDE/>
              <w:autoSpaceDN/>
              <w:bidi w:val="0"/>
              <w:adjustRightInd w:val="0"/>
              <w:snapToGrid w:val="0"/>
              <w:spacing w:line="360" w:lineRule="auto"/>
              <w:jc w:val="center"/>
              <w:rPr>
                <w:rFonts w:hint="eastAsia" w:ascii="宋体" w:hAnsi="宋体" w:eastAsia="宋体" w:cs="宋体"/>
                <w:i w:val="0"/>
                <w:iCs w:val="0"/>
                <w:color w:val="000000"/>
                <w:sz w:val="21"/>
                <w:szCs w:val="21"/>
                <w:highlight w:val="none"/>
                <w:u w:val="none"/>
              </w:rPr>
            </w:pPr>
          </w:p>
        </w:tc>
        <w:tc>
          <w:tcPr>
            <w:tcW w:w="1241" w:type="dxa"/>
            <w:shd w:val="clear" w:color="auto" w:fill="auto"/>
            <w:noWrap/>
            <w:vAlign w:val="center"/>
          </w:tcPr>
          <w:p w14:paraId="013E9033">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ascii="宋体" w:hAnsi="宋体" w:eastAsia="宋体" w:cs="宋体"/>
                <w:i w:val="0"/>
                <w:iCs w:val="0"/>
                <w:color w:val="000000"/>
                <w:sz w:val="21"/>
                <w:szCs w:val="21"/>
                <w:highlight w:val="none"/>
                <w:u w:val="none"/>
              </w:rPr>
            </w:pPr>
            <w:r>
              <w:rPr>
                <w:rFonts w:ascii="宋体" w:hAnsi="宋体" w:eastAsia="宋体" w:cs="宋体"/>
                <w:i w:val="0"/>
                <w:iCs w:val="0"/>
                <w:color w:val="000000"/>
                <w:kern w:val="0"/>
                <w:sz w:val="21"/>
                <w:szCs w:val="21"/>
                <w:highlight w:val="none"/>
                <w:u w:val="none"/>
                <w:lang w:val="en-US" w:eastAsia="zh-CN" w:bidi="ar"/>
              </w:rPr>
              <w:t>生存分析</w:t>
            </w:r>
          </w:p>
        </w:tc>
        <w:tc>
          <w:tcPr>
            <w:tcW w:w="7076" w:type="dxa"/>
            <w:shd w:val="clear" w:color="auto" w:fill="auto"/>
            <w:vAlign w:val="center"/>
          </w:tcPr>
          <w:p w14:paraId="675DB89B">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ascii="宋体" w:hAnsi="宋体" w:eastAsia="宋体" w:cs="宋体"/>
                <w:i w:val="0"/>
                <w:iCs w:val="0"/>
                <w:color w:val="000000"/>
                <w:sz w:val="21"/>
                <w:szCs w:val="21"/>
                <w:highlight w:val="none"/>
                <w:u w:val="none"/>
              </w:rPr>
            </w:pPr>
            <w:r>
              <w:rPr>
                <w:rFonts w:ascii="宋体" w:hAnsi="宋体" w:eastAsia="宋体" w:cs="宋体"/>
                <w:i w:val="0"/>
                <w:iCs w:val="0"/>
                <w:color w:val="000000"/>
                <w:kern w:val="0"/>
                <w:sz w:val="21"/>
                <w:szCs w:val="21"/>
                <w:highlight w:val="none"/>
                <w:u w:val="none"/>
                <w:lang w:val="en-US" w:eastAsia="zh-CN" w:bidi="ar"/>
              </w:rPr>
              <w:t>1）生存信息查询：系统根据患者所有的随访记录、诊疗记录，分析计算出患者的生存情况（健在、死亡、失访、不详），生存周期；提供多种查询条件（入院时间、出院时间、随访时间、住院号、姓名、ICD编码、病种、科室、临床分期、治疗方案、患者状态、生存时间、随访间隔）进行检索；可查看患者的基本信息、首次随访信息、末次随访信息、首次住院信息、末次住院信息、生存状态、生存周期。</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2）生存分析管理：可自定义生存分析课题名称，支持Kaplan-Meier法、寿命表法两种分析方法，可定义观察起点日期（首次入院日期、首次出院日期、首次手术日期、首次化疗日期、首次放疗日期），定义生存分析的时间单位（年、月），设置观察生存时间最小值、观察生存时间最大值、生存时间观察区间间隔；可通过【生存信息查询】选取生存分析的患者样本；系统自动根据本次课题设置的生存分析参数和生存分析样本计算出生存分析数据（生存区间、死亡例数、删失例数、期初人数、期初校正人数、死亡概率、生存概率、生存率、标准误）以及自动生成生存曲线图和中位生存时间。根据生存分析数据定制化开发生存率相关的统计分析报表。</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3）生存率统计分析：按不同恶性肿瘤的不同临床分期、不同治疗方式、不同主刀医生、年龄、性别因素,计算统计不同时期的生存率(如一年、二年、三年、四年、五年生存率等)。</w:t>
            </w:r>
          </w:p>
        </w:tc>
      </w:tr>
      <w:tr w14:paraId="4905C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87" w:hRule="atLeast"/>
          <w:jc w:val="center"/>
        </w:trPr>
        <w:tc>
          <w:tcPr>
            <w:tcW w:w="1322" w:type="dxa"/>
            <w:vMerge w:val="continue"/>
            <w:shd w:val="clear" w:color="auto" w:fill="auto"/>
            <w:noWrap/>
            <w:vAlign w:val="center"/>
          </w:tcPr>
          <w:p w14:paraId="7B4E0A65">
            <w:pPr>
              <w:keepNext w:val="0"/>
              <w:keepLines w:val="0"/>
              <w:pageBreakBefore w:val="0"/>
              <w:kinsoku/>
              <w:wordWrap/>
              <w:overflowPunct/>
              <w:topLinePunct w:val="0"/>
              <w:autoSpaceDE/>
              <w:autoSpaceDN/>
              <w:bidi w:val="0"/>
              <w:adjustRightInd w:val="0"/>
              <w:snapToGrid w:val="0"/>
              <w:spacing w:line="360" w:lineRule="auto"/>
              <w:jc w:val="center"/>
              <w:rPr>
                <w:rFonts w:hint="eastAsia" w:ascii="宋体" w:hAnsi="宋体" w:eastAsia="宋体" w:cs="宋体"/>
                <w:i w:val="0"/>
                <w:iCs w:val="0"/>
                <w:color w:val="000000"/>
                <w:sz w:val="21"/>
                <w:szCs w:val="21"/>
                <w:highlight w:val="none"/>
                <w:u w:val="none"/>
              </w:rPr>
            </w:pPr>
          </w:p>
        </w:tc>
        <w:tc>
          <w:tcPr>
            <w:tcW w:w="1241" w:type="dxa"/>
            <w:shd w:val="clear" w:color="auto" w:fill="auto"/>
            <w:noWrap/>
            <w:vAlign w:val="center"/>
          </w:tcPr>
          <w:p w14:paraId="2FC53159">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ascii="宋体" w:hAnsi="宋体" w:eastAsia="宋体" w:cs="宋体"/>
                <w:i w:val="0"/>
                <w:iCs w:val="0"/>
                <w:color w:val="000000"/>
                <w:sz w:val="21"/>
                <w:szCs w:val="21"/>
                <w:highlight w:val="none"/>
                <w:u w:val="none"/>
              </w:rPr>
            </w:pPr>
            <w:r>
              <w:rPr>
                <w:rFonts w:ascii="宋体" w:hAnsi="宋体" w:eastAsia="宋体" w:cs="宋体"/>
                <w:i w:val="0"/>
                <w:iCs w:val="0"/>
                <w:color w:val="000000"/>
                <w:kern w:val="0"/>
                <w:sz w:val="21"/>
                <w:szCs w:val="21"/>
                <w:highlight w:val="none"/>
                <w:u w:val="none"/>
                <w:lang w:val="en-US" w:eastAsia="zh-CN" w:bidi="ar"/>
              </w:rPr>
              <w:t>随访结果</w:t>
            </w:r>
          </w:p>
        </w:tc>
        <w:tc>
          <w:tcPr>
            <w:tcW w:w="7076" w:type="dxa"/>
            <w:shd w:val="clear" w:color="auto" w:fill="auto"/>
            <w:vAlign w:val="center"/>
          </w:tcPr>
          <w:p w14:paraId="6F9DF11F">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ascii="宋体" w:hAnsi="宋体" w:eastAsia="宋体" w:cs="宋体"/>
                <w:i w:val="0"/>
                <w:iCs w:val="0"/>
                <w:color w:val="000000"/>
                <w:sz w:val="21"/>
                <w:szCs w:val="21"/>
                <w:highlight w:val="none"/>
                <w:u w:val="none"/>
              </w:rPr>
            </w:pPr>
            <w:r>
              <w:rPr>
                <w:rFonts w:ascii="宋体" w:hAnsi="宋体" w:eastAsia="宋体" w:cs="宋体"/>
                <w:i w:val="0"/>
                <w:iCs w:val="0"/>
                <w:color w:val="000000"/>
                <w:kern w:val="0"/>
                <w:sz w:val="21"/>
                <w:szCs w:val="21"/>
                <w:highlight w:val="none"/>
                <w:u w:val="none"/>
                <w:lang w:val="en-US" w:eastAsia="zh-CN" w:bidi="ar"/>
              </w:rPr>
              <w:t>1）</w:t>
            </w:r>
            <w:r>
              <w:rPr>
                <w:rFonts w:ascii="宋体" w:hAnsi="宋体" w:eastAsia="宋体" w:cs="宋体"/>
                <w:sz w:val="21"/>
                <w:szCs w:val="21"/>
                <w:highlight w:val="none"/>
              </w:rPr>
              <w:t>系统须具备将随访过程中产生的结构化随访记录</w:t>
            </w:r>
            <w:r>
              <w:rPr>
                <w:rFonts w:hint="eastAsia" w:ascii="宋体" w:hAnsi="宋体" w:eastAsia="宋体" w:cs="宋体"/>
                <w:sz w:val="21"/>
                <w:szCs w:val="21"/>
                <w:highlight w:val="none"/>
                <w:lang w:val="en-US" w:eastAsia="zh-CN"/>
              </w:rPr>
              <w:t>及</w:t>
            </w:r>
            <w:r>
              <w:rPr>
                <w:rFonts w:ascii="宋体" w:hAnsi="宋体" w:eastAsia="宋体" w:cs="宋体"/>
                <w:i w:val="0"/>
                <w:iCs w:val="0"/>
                <w:color w:val="000000"/>
                <w:kern w:val="0"/>
                <w:sz w:val="21"/>
                <w:szCs w:val="21"/>
                <w:highlight w:val="none"/>
                <w:u w:val="none"/>
                <w:lang w:val="en-US" w:eastAsia="zh-CN" w:bidi="ar"/>
              </w:rPr>
              <w:t>随访结果回传</w:t>
            </w:r>
            <w:r>
              <w:rPr>
                <w:rFonts w:hint="eastAsia" w:ascii="宋体" w:hAnsi="宋体" w:eastAsia="宋体" w:cs="宋体"/>
                <w:i w:val="0"/>
                <w:iCs w:val="0"/>
                <w:color w:val="000000"/>
                <w:kern w:val="0"/>
                <w:sz w:val="21"/>
                <w:szCs w:val="21"/>
                <w:highlight w:val="none"/>
                <w:u w:val="none"/>
                <w:lang w:val="en-US" w:eastAsia="zh-CN" w:bidi="ar"/>
              </w:rPr>
              <w:t>至HIS</w:t>
            </w:r>
            <w:r>
              <w:rPr>
                <w:rFonts w:ascii="宋体" w:hAnsi="宋体" w:eastAsia="宋体" w:cs="宋体"/>
                <w:i w:val="0"/>
                <w:iCs w:val="0"/>
                <w:color w:val="000000"/>
                <w:kern w:val="0"/>
                <w:sz w:val="21"/>
                <w:szCs w:val="21"/>
                <w:highlight w:val="none"/>
                <w:u w:val="none"/>
                <w:lang w:val="en-US" w:eastAsia="zh-CN" w:bidi="ar"/>
              </w:rPr>
              <w:t>系统，在</w:t>
            </w:r>
            <w:r>
              <w:rPr>
                <w:rFonts w:hint="eastAsia" w:ascii="宋体" w:hAnsi="宋体" w:eastAsia="宋体" w:cs="宋体"/>
                <w:i w:val="0"/>
                <w:iCs w:val="0"/>
                <w:color w:val="000000"/>
                <w:kern w:val="0"/>
                <w:sz w:val="21"/>
                <w:szCs w:val="21"/>
                <w:highlight w:val="none"/>
                <w:u w:val="none"/>
                <w:lang w:val="en-US" w:eastAsia="zh-CN" w:bidi="ar"/>
              </w:rPr>
              <w:t>门诊医生工作站、电子病历</w:t>
            </w:r>
            <w:r>
              <w:rPr>
                <w:rFonts w:ascii="宋体" w:hAnsi="宋体" w:eastAsia="宋体" w:cs="宋体"/>
                <w:i w:val="0"/>
                <w:iCs w:val="0"/>
                <w:color w:val="000000"/>
                <w:kern w:val="0"/>
                <w:sz w:val="21"/>
                <w:szCs w:val="21"/>
                <w:highlight w:val="none"/>
                <w:u w:val="none"/>
                <w:lang w:val="en-US" w:eastAsia="zh-CN" w:bidi="ar"/>
              </w:rPr>
              <w:t>系统可查看该患者历次随访量表内容结果及小结。</w:t>
            </w:r>
            <w:r>
              <w:rPr>
                <w:rFonts w:ascii="宋体" w:hAnsi="宋体" w:eastAsia="宋体" w:cs="宋体"/>
                <w:sz w:val="21"/>
                <w:szCs w:val="21"/>
                <w:highlight w:val="none"/>
              </w:rPr>
              <w:t>支持与</w:t>
            </w:r>
            <w:r>
              <w:rPr>
                <w:rFonts w:hint="eastAsia" w:ascii="宋体" w:hAnsi="宋体" w:eastAsia="宋体" w:cs="宋体"/>
                <w:sz w:val="21"/>
                <w:szCs w:val="21"/>
                <w:highlight w:val="none"/>
                <w:lang w:val="en-US" w:eastAsia="zh-CN"/>
              </w:rPr>
              <w:t>医院门诊医生工作站、病区医生工作站</w:t>
            </w:r>
            <w:r>
              <w:rPr>
                <w:rFonts w:ascii="宋体" w:hAnsi="宋体" w:eastAsia="宋体" w:cs="宋体"/>
                <w:sz w:val="21"/>
                <w:szCs w:val="21"/>
                <w:highlight w:val="none"/>
              </w:rPr>
              <w:t>系统实现数据对接，确保信息同步的完整性、准确性。</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2）随访异常结果支持单独查询界面，并可通过企业微信推送至医生端。</w:t>
            </w:r>
          </w:p>
        </w:tc>
      </w:tr>
      <w:tr w14:paraId="351D4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7" w:hRule="atLeast"/>
          <w:jc w:val="center"/>
        </w:trPr>
        <w:tc>
          <w:tcPr>
            <w:tcW w:w="1322" w:type="dxa"/>
            <w:vMerge w:val="continue"/>
            <w:shd w:val="clear" w:color="auto" w:fill="auto"/>
            <w:noWrap/>
            <w:vAlign w:val="center"/>
          </w:tcPr>
          <w:p w14:paraId="555E7986">
            <w:pPr>
              <w:keepNext w:val="0"/>
              <w:keepLines w:val="0"/>
              <w:pageBreakBefore w:val="0"/>
              <w:kinsoku/>
              <w:wordWrap/>
              <w:overflowPunct/>
              <w:topLinePunct w:val="0"/>
              <w:autoSpaceDE/>
              <w:autoSpaceDN/>
              <w:bidi w:val="0"/>
              <w:adjustRightInd w:val="0"/>
              <w:snapToGrid w:val="0"/>
              <w:spacing w:line="360" w:lineRule="auto"/>
              <w:jc w:val="center"/>
              <w:rPr>
                <w:rFonts w:hint="eastAsia" w:ascii="宋体" w:hAnsi="宋体" w:eastAsia="宋体" w:cs="宋体"/>
                <w:i w:val="0"/>
                <w:iCs w:val="0"/>
                <w:color w:val="000000"/>
                <w:sz w:val="21"/>
                <w:szCs w:val="21"/>
                <w:highlight w:val="none"/>
                <w:u w:val="none"/>
              </w:rPr>
            </w:pPr>
          </w:p>
        </w:tc>
        <w:tc>
          <w:tcPr>
            <w:tcW w:w="1241" w:type="dxa"/>
            <w:shd w:val="clear" w:color="auto" w:fill="auto"/>
            <w:noWrap/>
            <w:vAlign w:val="center"/>
          </w:tcPr>
          <w:p w14:paraId="1B6D2B0F">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ascii="宋体" w:hAnsi="宋体" w:eastAsia="宋体" w:cs="宋体"/>
                <w:i w:val="0"/>
                <w:iCs w:val="0"/>
                <w:color w:val="000000"/>
                <w:kern w:val="0"/>
                <w:sz w:val="21"/>
                <w:szCs w:val="21"/>
                <w:highlight w:val="none"/>
                <w:u w:val="none"/>
                <w:lang w:val="en-US" w:eastAsia="zh-CN" w:bidi="ar"/>
              </w:rPr>
            </w:pPr>
            <w:r>
              <w:rPr>
                <w:rFonts w:ascii="宋体" w:hAnsi="宋体" w:eastAsia="宋体" w:cs="宋体"/>
                <w:sz w:val="21"/>
                <w:szCs w:val="21"/>
                <w:highlight w:val="none"/>
              </w:rPr>
              <w:t>病历集成查阅功能</w:t>
            </w:r>
          </w:p>
        </w:tc>
        <w:tc>
          <w:tcPr>
            <w:tcW w:w="7076" w:type="dxa"/>
            <w:shd w:val="clear" w:color="auto" w:fill="auto"/>
            <w:vAlign w:val="center"/>
          </w:tcPr>
          <w:p w14:paraId="5741EC6E">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ascii="宋体" w:hAnsi="宋体" w:eastAsia="宋体" w:cs="宋体"/>
                <w:i w:val="0"/>
                <w:iCs w:val="0"/>
                <w:color w:val="000000"/>
                <w:kern w:val="0"/>
                <w:sz w:val="21"/>
                <w:szCs w:val="21"/>
                <w:highlight w:val="none"/>
                <w:u w:val="none"/>
                <w:lang w:val="en-US" w:eastAsia="zh-CN" w:bidi="ar"/>
              </w:rPr>
            </w:pPr>
            <w:r>
              <w:rPr>
                <w:rFonts w:ascii="宋体" w:hAnsi="宋体" w:eastAsia="宋体" w:cs="宋体"/>
                <w:sz w:val="21"/>
                <w:szCs w:val="21"/>
                <w:highlight w:val="none"/>
              </w:rPr>
              <w:t>系统需支持在随访工作界面内无缝嵌入或调用患者病历信息，实现授权用户直接调阅患者历史就诊记录、诊断信息、检查检验报告、用药记录等完整病历数据，确保随访过程可基于全面、准确的临床资料开展。数据展示需符合医疗信息标准化规范，并保障查询响应的实时性与稳定性。</w:t>
            </w:r>
          </w:p>
        </w:tc>
      </w:tr>
      <w:tr w14:paraId="2EF96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2" w:hRule="atLeast"/>
          <w:jc w:val="center"/>
        </w:trPr>
        <w:tc>
          <w:tcPr>
            <w:tcW w:w="1322" w:type="dxa"/>
            <w:vMerge w:val="restart"/>
            <w:shd w:val="clear" w:color="auto" w:fill="auto"/>
            <w:noWrap/>
            <w:vAlign w:val="center"/>
          </w:tcPr>
          <w:p w14:paraId="13316CA9">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ascii="宋体" w:hAnsi="宋体" w:eastAsia="宋体" w:cs="宋体"/>
                <w:i w:val="0"/>
                <w:iCs w:val="0"/>
                <w:color w:val="000000"/>
                <w:sz w:val="21"/>
                <w:szCs w:val="21"/>
                <w:highlight w:val="none"/>
                <w:u w:val="none"/>
              </w:rPr>
            </w:pPr>
            <w:r>
              <w:rPr>
                <w:rFonts w:ascii="宋体" w:hAnsi="宋体" w:eastAsia="宋体" w:cs="宋体"/>
                <w:i w:val="0"/>
                <w:iCs w:val="0"/>
                <w:color w:val="000000"/>
                <w:kern w:val="0"/>
                <w:sz w:val="21"/>
                <w:szCs w:val="21"/>
                <w:highlight w:val="none"/>
                <w:u w:val="none"/>
                <w:lang w:val="en-US" w:eastAsia="zh-CN" w:bidi="ar"/>
              </w:rPr>
              <w:t>AI随访</w:t>
            </w:r>
          </w:p>
        </w:tc>
        <w:tc>
          <w:tcPr>
            <w:tcW w:w="1241" w:type="dxa"/>
            <w:vMerge w:val="restart"/>
            <w:shd w:val="clear" w:color="auto" w:fill="auto"/>
            <w:noWrap/>
            <w:vAlign w:val="center"/>
          </w:tcPr>
          <w:p w14:paraId="2397E090">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ascii="宋体" w:hAnsi="宋体" w:eastAsia="宋体" w:cs="宋体"/>
                <w:i w:val="0"/>
                <w:iCs w:val="0"/>
                <w:color w:val="000000"/>
                <w:sz w:val="21"/>
                <w:szCs w:val="21"/>
                <w:highlight w:val="none"/>
                <w:u w:val="none"/>
              </w:rPr>
            </w:pPr>
            <w:r>
              <w:rPr>
                <w:rFonts w:ascii="宋体" w:hAnsi="宋体" w:eastAsia="宋体" w:cs="宋体"/>
                <w:i w:val="0"/>
                <w:iCs w:val="0"/>
                <w:color w:val="000000"/>
                <w:kern w:val="0"/>
                <w:sz w:val="21"/>
                <w:szCs w:val="21"/>
                <w:highlight w:val="none"/>
                <w:u w:val="none"/>
                <w:lang w:val="en-US" w:eastAsia="zh-CN" w:bidi="ar"/>
              </w:rPr>
              <w:t>智能随访平台</w:t>
            </w:r>
          </w:p>
        </w:tc>
        <w:tc>
          <w:tcPr>
            <w:tcW w:w="7076" w:type="dxa"/>
            <w:shd w:val="clear" w:color="auto" w:fill="auto"/>
            <w:vAlign w:val="center"/>
          </w:tcPr>
          <w:p w14:paraId="422B130F">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ascii="宋体" w:hAnsi="宋体" w:eastAsia="宋体" w:cs="宋体"/>
                <w:i w:val="0"/>
                <w:iCs w:val="0"/>
                <w:color w:val="000000"/>
                <w:sz w:val="21"/>
                <w:szCs w:val="21"/>
                <w:highlight w:val="none"/>
                <w:u w:val="none"/>
              </w:rPr>
            </w:pPr>
            <w:r>
              <w:rPr>
                <w:rFonts w:ascii="宋体" w:hAnsi="宋体" w:eastAsia="宋体" w:cs="宋体"/>
                <w:i w:val="0"/>
                <w:iCs w:val="0"/>
                <w:color w:val="000000"/>
                <w:kern w:val="0"/>
                <w:sz w:val="21"/>
                <w:szCs w:val="21"/>
                <w:highlight w:val="none"/>
                <w:u w:val="none"/>
                <w:lang w:val="en-US" w:eastAsia="zh-CN" w:bidi="ar"/>
              </w:rPr>
              <w:t>1、语音合成引擎：</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1）支持多个发音人音库，满足多场景合成播报需要。</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2）支持中英文混合播报。</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3）可实现录音与合成音的自然拼接。</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4）支持合成语速的快慢调节。</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5）支持配置发音词典、停顿优化等参数设置的标记语言。</w:t>
            </w:r>
          </w:p>
        </w:tc>
      </w:tr>
      <w:tr w14:paraId="37B5B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2" w:hRule="atLeast"/>
          <w:jc w:val="center"/>
        </w:trPr>
        <w:tc>
          <w:tcPr>
            <w:tcW w:w="1322" w:type="dxa"/>
            <w:vMerge w:val="continue"/>
            <w:shd w:val="clear" w:color="auto" w:fill="auto"/>
            <w:noWrap/>
            <w:vAlign w:val="center"/>
          </w:tcPr>
          <w:p w14:paraId="1F012F6A">
            <w:pPr>
              <w:keepNext w:val="0"/>
              <w:keepLines w:val="0"/>
              <w:pageBreakBefore w:val="0"/>
              <w:kinsoku/>
              <w:wordWrap/>
              <w:overflowPunct/>
              <w:topLinePunct w:val="0"/>
              <w:autoSpaceDE/>
              <w:autoSpaceDN/>
              <w:bidi w:val="0"/>
              <w:adjustRightInd w:val="0"/>
              <w:snapToGrid w:val="0"/>
              <w:spacing w:line="360" w:lineRule="auto"/>
              <w:jc w:val="center"/>
              <w:rPr>
                <w:rFonts w:hint="eastAsia" w:ascii="宋体" w:hAnsi="宋体" w:eastAsia="宋体" w:cs="宋体"/>
                <w:i w:val="0"/>
                <w:iCs w:val="0"/>
                <w:color w:val="000000"/>
                <w:sz w:val="21"/>
                <w:szCs w:val="21"/>
                <w:highlight w:val="none"/>
                <w:u w:val="none"/>
              </w:rPr>
            </w:pPr>
          </w:p>
        </w:tc>
        <w:tc>
          <w:tcPr>
            <w:tcW w:w="1241" w:type="dxa"/>
            <w:vMerge w:val="continue"/>
            <w:shd w:val="clear" w:color="auto" w:fill="auto"/>
            <w:noWrap/>
            <w:vAlign w:val="center"/>
          </w:tcPr>
          <w:p w14:paraId="7E2FFFD2">
            <w:pPr>
              <w:keepNext w:val="0"/>
              <w:keepLines w:val="0"/>
              <w:pageBreakBefore w:val="0"/>
              <w:kinsoku/>
              <w:wordWrap/>
              <w:overflowPunct/>
              <w:topLinePunct w:val="0"/>
              <w:autoSpaceDE/>
              <w:autoSpaceDN/>
              <w:bidi w:val="0"/>
              <w:adjustRightInd w:val="0"/>
              <w:snapToGrid w:val="0"/>
              <w:spacing w:line="360" w:lineRule="auto"/>
              <w:jc w:val="center"/>
              <w:rPr>
                <w:rFonts w:hint="eastAsia" w:ascii="宋体" w:hAnsi="宋体" w:eastAsia="宋体" w:cs="宋体"/>
                <w:i w:val="0"/>
                <w:iCs w:val="0"/>
                <w:color w:val="000000"/>
                <w:sz w:val="21"/>
                <w:szCs w:val="21"/>
                <w:highlight w:val="none"/>
                <w:u w:val="none"/>
              </w:rPr>
            </w:pPr>
          </w:p>
        </w:tc>
        <w:tc>
          <w:tcPr>
            <w:tcW w:w="7076" w:type="dxa"/>
            <w:shd w:val="clear" w:color="auto" w:fill="auto"/>
            <w:vAlign w:val="center"/>
          </w:tcPr>
          <w:p w14:paraId="440F1F58">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ascii="宋体" w:hAnsi="宋体" w:eastAsia="宋体" w:cs="宋体"/>
                <w:i w:val="0"/>
                <w:iCs w:val="0"/>
                <w:color w:val="000000"/>
                <w:sz w:val="21"/>
                <w:szCs w:val="21"/>
                <w:highlight w:val="none"/>
                <w:u w:val="none"/>
              </w:rPr>
            </w:pPr>
            <w:r>
              <w:rPr>
                <w:rFonts w:ascii="宋体" w:hAnsi="宋体" w:eastAsia="宋体" w:cs="宋体"/>
                <w:i w:val="0"/>
                <w:iCs w:val="0"/>
                <w:color w:val="000000"/>
                <w:kern w:val="0"/>
                <w:sz w:val="21"/>
                <w:szCs w:val="21"/>
                <w:highlight w:val="none"/>
                <w:u w:val="none"/>
                <w:lang w:val="en-US" w:eastAsia="zh-CN" w:bidi="ar"/>
              </w:rPr>
              <w:t>2、语音识别引擎：</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1）支持中文连续语音听写识别，标准或带口音普通话的免切换。</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2）支持中文汉字、数字串、数值、英文单词字母的日常用语混合识别，为医疗用户提供全方面的语音识别服务。</w:t>
            </w:r>
          </w:p>
        </w:tc>
      </w:tr>
      <w:tr w14:paraId="29836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2" w:hRule="atLeast"/>
          <w:jc w:val="center"/>
        </w:trPr>
        <w:tc>
          <w:tcPr>
            <w:tcW w:w="1322" w:type="dxa"/>
            <w:vMerge w:val="continue"/>
            <w:shd w:val="clear" w:color="auto" w:fill="auto"/>
            <w:noWrap/>
            <w:vAlign w:val="center"/>
          </w:tcPr>
          <w:p w14:paraId="00BF047D">
            <w:pPr>
              <w:keepNext w:val="0"/>
              <w:keepLines w:val="0"/>
              <w:pageBreakBefore w:val="0"/>
              <w:kinsoku/>
              <w:wordWrap/>
              <w:overflowPunct/>
              <w:topLinePunct w:val="0"/>
              <w:autoSpaceDE/>
              <w:autoSpaceDN/>
              <w:bidi w:val="0"/>
              <w:adjustRightInd w:val="0"/>
              <w:snapToGrid w:val="0"/>
              <w:spacing w:line="360" w:lineRule="auto"/>
              <w:jc w:val="center"/>
              <w:rPr>
                <w:rFonts w:hint="eastAsia" w:ascii="宋体" w:hAnsi="宋体" w:eastAsia="宋体" w:cs="宋体"/>
                <w:i w:val="0"/>
                <w:iCs w:val="0"/>
                <w:color w:val="000000"/>
                <w:sz w:val="21"/>
                <w:szCs w:val="21"/>
                <w:highlight w:val="none"/>
                <w:u w:val="none"/>
              </w:rPr>
            </w:pPr>
          </w:p>
        </w:tc>
        <w:tc>
          <w:tcPr>
            <w:tcW w:w="1241" w:type="dxa"/>
            <w:vMerge w:val="continue"/>
            <w:shd w:val="clear" w:color="auto" w:fill="auto"/>
            <w:noWrap/>
            <w:vAlign w:val="center"/>
          </w:tcPr>
          <w:p w14:paraId="02D51C57">
            <w:pPr>
              <w:keepNext w:val="0"/>
              <w:keepLines w:val="0"/>
              <w:pageBreakBefore w:val="0"/>
              <w:kinsoku/>
              <w:wordWrap/>
              <w:overflowPunct/>
              <w:topLinePunct w:val="0"/>
              <w:autoSpaceDE/>
              <w:autoSpaceDN/>
              <w:bidi w:val="0"/>
              <w:adjustRightInd w:val="0"/>
              <w:snapToGrid w:val="0"/>
              <w:spacing w:line="360" w:lineRule="auto"/>
              <w:jc w:val="center"/>
              <w:rPr>
                <w:rFonts w:hint="eastAsia" w:ascii="宋体" w:hAnsi="宋体" w:eastAsia="宋体" w:cs="宋体"/>
                <w:i w:val="0"/>
                <w:iCs w:val="0"/>
                <w:color w:val="000000"/>
                <w:sz w:val="21"/>
                <w:szCs w:val="21"/>
                <w:highlight w:val="none"/>
                <w:u w:val="none"/>
              </w:rPr>
            </w:pPr>
          </w:p>
        </w:tc>
        <w:tc>
          <w:tcPr>
            <w:tcW w:w="7076" w:type="dxa"/>
            <w:shd w:val="clear" w:color="auto" w:fill="auto"/>
            <w:vAlign w:val="center"/>
          </w:tcPr>
          <w:p w14:paraId="1B6CE1CD">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ascii="宋体" w:hAnsi="宋体" w:eastAsia="宋体" w:cs="宋体"/>
                <w:i w:val="0"/>
                <w:iCs w:val="0"/>
                <w:color w:val="000000"/>
                <w:sz w:val="21"/>
                <w:szCs w:val="21"/>
                <w:highlight w:val="none"/>
                <w:u w:val="none"/>
              </w:rPr>
            </w:pPr>
            <w:r>
              <w:rPr>
                <w:rFonts w:ascii="宋体" w:hAnsi="宋体" w:eastAsia="宋体" w:cs="宋体"/>
                <w:i w:val="0"/>
                <w:iCs w:val="0"/>
                <w:color w:val="000000"/>
                <w:kern w:val="0"/>
                <w:sz w:val="21"/>
                <w:szCs w:val="21"/>
                <w:highlight w:val="none"/>
                <w:u w:val="none"/>
                <w:lang w:val="en-US" w:eastAsia="zh-CN" w:bidi="ar"/>
              </w:rPr>
              <w:t>3、语义理解引擎：</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1）人机交互场景下，使用语义理解引擎了解患者说话意图。</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2）支持上下文关联理解。</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3）根据医疗场景的问答内容，定制专项语义知识库。</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4）支持根据患者回复情况，自动识别病情未控制等情况，进行异常标记。</w:t>
            </w:r>
          </w:p>
        </w:tc>
      </w:tr>
      <w:tr w14:paraId="5A9A1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2" w:hRule="atLeast"/>
          <w:jc w:val="center"/>
        </w:trPr>
        <w:tc>
          <w:tcPr>
            <w:tcW w:w="1322" w:type="dxa"/>
            <w:vMerge w:val="continue"/>
            <w:shd w:val="clear" w:color="auto" w:fill="auto"/>
            <w:noWrap/>
            <w:vAlign w:val="center"/>
          </w:tcPr>
          <w:p w14:paraId="58B7885F">
            <w:pPr>
              <w:keepNext w:val="0"/>
              <w:keepLines w:val="0"/>
              <w:pageBreakBefore w:val="0"/>
              <w:kinsoku/>
              <w:wordWrap/>
              <w:overflowPunct/>
              <w:topLinePunct w:val="0"/>
              <w:autoSpaceDE/>
              <w:autoSpaceDN/>
              <w:bidi w:val="0"/>
              <w:adjustRightInd w:val="0"/>
              <w:snapToGrid w:val="0"/>
              <w:spacing w:line="360" w:lineRule="auto"/>
              <w:jc w:val="center"/>
              <w:rPr>
                <w:rFonts w:hint="eastAsia" w:ascii="宋体" w:hAnsi="宋体" w:eastAsia="宋体" w:cs="宋体"/>
                <w:i w:val="0"/>
                <w:iCs w:val="0"/>
                <w:color w:val="000000"/>
                <w:sz w:val="21"/>
                <w:szCs w:val="21"/>
                <w:highlight w:val="none"/>
                <w:u w:val="none"/>
              </w:rPr>
            </w:pPr>
          </w:p>
        </w:tc>
        <w:tc>
          <w:tcPr>
            <w:tcW w:w="1241" w:type="dxa"/>
            <w:vMerge w:val="continue"/>
            <w:shd w:val="clear" w:color="auto" w:fill="auto"/>
            <w:noWrap/>
            <w:vAlign w:val="center"/>
          </w:tcPr>
          <w:p w14:paraId="53AD5876">
            <w:pPr>
              <w:keepNext w:val="0"/>
              <w:keepLines w:val="0"/>
              <w:pageBreakBefore w:val="0"/>
              <w:kinsoku/>
              <w:wordWrap/>
              <w:overflowPunct/>
              <w:topLinePunct w:val="0"/>
              <w:autoSpaceDE/>
              <w:autoSpaceDN/>
              <w:bidi w:val="0"/>
              <w:adjustRightInd w:val="0"/>
              <w:snapToGrid w:val="0"/>
              <w:spacing w:line="360" w:lineRule="auto"/>
              <w:jc w:val="center"/>
              <w:rPr>
                <w:rFonts w:hint="eastAsia" w:ascii="宋体" w:hAnsi="宋体" w:eastAsia="宋体" w:cs="宋体"/>
                <w:i w:val="0"/>
                <w:iCs w:val="0"/>
                <w:color w:val="000000"/>
                <w:sz w:val="21"/>
                <w:szCs w:val="21"/>
                <w:highlight w:val="none"/>
                <w:u w:val="none"/>
              </w:rPr>
            </w:pPr>
          </w:p>
        </w:tc>
        <w:tc>
          <w:tcPr>
            <w:tcW w:w="7076" w:type="dxa"/>
            <w:shd w:val="clear" w:color="auto" w:fill="auto"/>
            <w:vAlign w:val="center"/>
          </w:tcPr>
          <w:p w14:paraId="481CD5CD">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ascii="宋体" w:hAnsi="宋体" w:eastAsia="宋体" w:cs="宋体"/>
                <w:i w:val="0"/>
                <w:iCs w:val="0"/>
                <w:color w:val="000000"/>
                <w:sz w:val="21"/>
                <w:szCs w:val="21"/>
                <w:highlight w:val="none"/>
                <w:u w:val="none"/>
              </w:rPr>
            </w:pPr>
            <w:r>
              <w:rPr>
                <w:rFonts w:ascii="宋体" w:hAnsi="宋体" w:eastAsia="宋体" w:cs="宋体"/>
                <w:i w:val="0"/>
                <w:iCs w:val="0"/>
                <w:color w:val="000000"/>
                <w:kern w:val="0"/>
                <w:sz w:val="21"/>
                <w:szCs w:val="21"/>
                <w:highlight w:val="none"/>
                <w:u w:val="none"/>
                <w:lang w:val="en-US" w:eastAsia="zh-CN" w:bidi="ar"/>
              </w:rPr>
              <w:t>4、话术及任务管理：</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话术管理：</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1）支持在平台进行话术问答流程设计、语音引擎调用，实现话术的增、删、改、查。</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2）电话人机交互过程中，AI机器人结合话术设计及患者前后回答内容，自动控制交互流程，实现多个问题多轮互动。</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3）针对人机交互过程中患者可能抢答，可实现智能打断。</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任务管理：</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1）平台支持多任务并行处理，针对批量外呼时，平台可自动将外呼任务进行排队处理，确保平台的稳定与高效。</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2）随访异常待办：支持以列表形式展示有随访异常任务的患者，根据异常是否处理分组为：未处理、已处理。</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3）人工随访待办：支持以列表形式展示需要人工随访待办任务的患者，随访结果结构化存储至系统 。在详情页面拨打人工随访电话， 并填写随访模板内容，更新人工随访状态和备注等。</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4）任务操作：支持未执行任务支持选中批量删除，已执行任务支持详情查看，支持执行失败的电话任务重新拨打。</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5）任务详情展示：支持电话任务音频回听、转写文字查看、随访结构化结果查看。</w:t>
            </w:r>
          </w:p>
        </w:tc>
      </w:tr>
      <w:tr w14:paraId="3DB34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82" w:hRule="atLeast"/>
          <w:jc w:val="center"/>
        </w:trPr>
        <w:tc>
          <w:tcPr>
            <w:tcW w:w="1322" w:type="dxa"/>
            <w:vMerge w:val="continue"/>
            <w:shd w:val="clear" w:color="auto" w:fill="auto"/>
            <w:noWrap/>
            <w:vAlign w:val="center"/>
          </w:tcPr>
          <w:p w14:paraId="2EE7AF6E">
            <w:pPr>
              <w:keepNext w:val="0"/>
              <w:keepLines w:val="0"/>
              <w:pageBreakBefore w:val="0"/>
              <w:kinsoku/>
              <w:wordWrap/>
              <w:overflowPunct/>
              <w:topLinePunct w:val="0"/>
              <w:autoSpaceDE/>
              <w:autoSpaceDN/>
              <w:bidi w:val="0"/>
              <w:adjustRightInd w:val="0"/>
              <w:snapToGrid w:val="0"/>
              <w:spacing w:line="360" w:lineRule="auto"/>
              <w:jc w:val="center"/>
              <w:rPr>
                <w:rFonts w:hint="eastAsia" w:ascii="宋体" w:hAnsi="宋体" w:eastAsia="宋体" w:cs="宋体"/>
                <w:i w:val="0"/>
                <w:iCs w:val="0"/>
                <w:color w:val="000000"/>
                <w:sz w:val="21"/>
                <w:szCs w:val="21"/>
                <w:highlight w:val="none"/>
                <w:u w:val="none"/>
              </w:rPr>
            </w:pPr>
          </w:p>
        </w:tc>
        <w:tc>
          <w:tcPr>
            <w:tcW w:w="1241" w:type="dxa"/>
            <w:vMerge w:val="continue"/>
            <w:shd w:val="clear" w:color="auto" w:fill="auto"/>
            <w:noWrap/>
            <w:vAlign w:val="center"/>
          </w:tcPr>
          <w:p w14:paraId="1556A639">
            <w:pPr>
              <w:keepNext w:val="0"/>
              <w:keepLines w:val="0"/>
              <w:pageBreakBefore w:val="0"/>
              <w:kinsoku/>
              <w:wordWrap/>
              <w:overflowPunct/>
              <w:topLinePunct w:val="0"/>
              <w:autoSpaceDE/>
              <w:autoSpaceDN/>
              <w:bidi w:val="0"/>
              <w:adjustRightInd w:val="0"/>
              <w:snapToGrid w:val="0"/>
              <w:spacing w:line="360" w:lineRule="auto"/>
              <w:jc w:val="center"/>
              <w:rPr>
                <w:rFonts w:hint="eastAsia" w:ascii="宋体" w:hAnsi="宋体" w:eastAsia="宋体" w:cs="宋体"/>
                <w:i w:val="0"/>
                <w:iCs w:val="0"/>
                <w:color w:val="000000"/>
                <w:sz w:val="21"/>
                <w:szCs w:val="21"/>
                <w:highlight w:val="none"/>
                <w:u w:val="none"/>
              </w:rPr>
            </w:pPr>
          </w:p>
        </w:tc>
        <w:tc>
          <w:tcPr>
            <w:tcW w:w="7076" w:type="dxa"/>
            <w:shd w:val="clear" w:color="auto" w:fill="auto"/>
            <w:vAlign w:val="center"/>
          </w:tcPr>
          <w:p w14:paraId="383C4611">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ascii="宋体" w:hAnsi="宋体" w:eastAsia="宋体" w:cs="宋体"/>
                <w:i w:val="0"/>
                <w:iCs w:val="0"/>
                <w:color w:val="000000"/>
                <w:sz w:val="21"/>
                <w:szCs w:val="21"/>
                <w:highlight w:val="none"/>
                <w:u w:val="none"/>
              </w:rPr>
            </w:pPr>
            <w:r>
              <w:rPr>
                <w:rFonts w:ascii="宋体" w:hAnsi="宋体" w:eastAsia="宋体" w:cs="宋体"/>
                <w:i w:val="0"/>
                <w:iCs w:val="0"/>
                <w:color w:val="000000"/>
                <w:kern w:val="0"/>
                <w:sz w:val="21"/>
                <w:szCs w:val="21"/>
                <w:highlight w:val="none"/>
                <w:u w:val="none"/>
                <w:lang w:val="en-US" w:eastAsia="zh-CN" w:bidi="ar"/>
              </w:rPr>
              <w:t>5、外呼号码线路管理：</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1）平台支持通过互联网、专线等方式将运营商外呼线路接入到SBC设备，再与外呼平台连接，打通通讯路径。</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2）支持配置各个主叫号码的实时并发路数。</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3）可通过增加网关设备接入医院号码进行外呼，支持接入数字中继线路、PSTN线路、IMS固话等线路资源。</w:t>
            </w:r>
          </w:p>
        </w:tc>
      </w:tr>
      <w:tr w14:paraId="28A00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jc w:val="center"/>
        </w:trPr>
        <w:tc>
          <w:tcPr>
            <w:tcW w:w="1322" w:type="dxa"/>
            <w:vMerge w:val="continue"/>
            <w:shd w:val="clear" w:color="auto" w:fill="auto"/>
            <w:noWrap/>
            <w:vAlign w:val="center"/>
          </w:tcPr>
          <w:p w14:paraId="0C2833AA">
            <w:pPr>
              <w:keepNext w:val="0"/>
              <w:keepLines w:val="0"/>
              <w:pageBreakBefore w:val="0"/>
              <w:kinsoku/>
              <w:wordWrap/>
              <w:overflowPunct/>
              <w:topLinePunct w:val="0"/>
              <w:autoSpaceDE/>
              <w:autoSpaceDN/>
              <w:bidi w:val="0"/>
              <w:adjustRightInd w:val="0"/>
              <w:snapToGrid w:val="0"/>
              <w:spacing w:line="360" w:lineRule="auto"/>
              <w:jc w:val="center"/>
              <w:rPr>
                <w:rFonts w:hint="eastAsia" w:ascii="宋体" w:hAnsi="宋体" w:eastAsia="宋体" w:cs="宋体"/>
                <w:i w:val="0"/>
                <w:iCs w:val="0"/>
                <w:color w:val="000000"/>
                <w:sz w:val="21"/>
                <w:szCs w:val="21"/>
                <w:highlight w:val="none"/>
                <w:u w:val="none"/>
              </w:rPr>
            </w:pPr>
          </w:p>
        </w:tc>
        <w:tc>
          <w:tcPr>
            <w:tcW w:w="1241" w:type="dxa"/>
            <w:vMerge w:val="continue"/>
            <w:shd w:val="clear" w:color="auto" w:fill="auto"/>
            <w:noWrap/>
            <w:vAlign w:val="center"/>
          </w:tcPr>
          <w:p w14:paraId="23F01F10">
            <w:pPr>
              <w:keepNext w:val="0"/>
              <w:keepLines w:val="0"/>
              <w:pageBreakBefore w:val="0"/>
              <w:kinsoku/>
              <w:wordWrap/>
              <w:overflowPunct/>
              <w:topLinePunct w:val="0"/>
              <w:autoSpaceDE/>
              <w:autoSpaceDN/>
              <w:bidi w:val="0"/>
              <w:adjustRightInd w:val="0"/>
              <w:snapToGrid w:val="0"/>
              <w:spacing w:line="360" w:lineRule="auto"/>
              <w:jc w:val="center"/>
              <w:rPr>
                <w:rFonts w:hint="eastAsia" w:ascii="宋体" w:hAnsi="宋体" w:eastAsia="宋体" w:cs="宋体"/>
                <w:i w:val="0"/>
                <w:iCs w:val="0"/>
                <w:color w:val="000000"/>
                <w:sz w:val="21"/>
                <w:szCs w:val="21"/>
                <w:highlight w:val="none"/>
                <w:u w:val="none"/>
              </w:rPr>
            </w:pPr>
          </w:p>
        </w:tc>
        <w:tc>
          <w:tcPr>
            <w:tcW w:w="7076" w:type="dxa"/>
            <w:shd w:val="clear" w:color="auto" w:fill="auto"/>
            <w:vAlign w:val="center"/>
          </w:tcPr>
          <w:p w14:paraId="35FDD7E6">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ascii="宋体" w:hAnsi="宋体" w:eastAsia="宋体" w:cs="宋体"/>
                <w:i w:val="0"/>
                <w:iCs w:val="0"/>
                <w:color w:val="000000"/>
                <w:sz w:val="21"/>
                <w:szCs w:val="21"/>
                <w:highlight w:val="none"/>
                <w:u w:val="none"/>
              </w:rPr>
            </w:pPr>
            <w:r>
              <w:rPr>
                <w:rFonts w:ascii="宋体" w:hAnsi="宋体" w:eastAsia="宋体" w:cs="宋体"/>
                <w:i w:val="0"/>
                <w:iCs w:val="0"/>
                <w:color w:val="000000"/>
                <w:kern w:val="0"/>
                <w:sz w:val="21"/>
                <w:szCs w:val="21"/>
                <w:highlight w:val="none"/>
                <w:u w:val="none"/>
                <w:lang w:val="en-US" w:eastAsia="zh-CN" w:bidi="ar"/>
              </w:rPr>
              <w:t>6、单位配置：</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1）知识库分配：</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支持医院、院区、科室等维度的知识库配置，同时支持电话、短信、问卷等模板内容预览。</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2）号码管理：</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支持配置号码AI线路并发路数，人工并发路数，可实现绑定机构和号码之间的关系，支持号码规则管理。</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3）使用量管理：</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支持对机构的每日电话、短信使用量管理，以及使用总量的设置，提供每日电话、短信及短信字数均不设上限。</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4）账号数据范围设置:</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支持按医院、科室、病区维度配置各个账号的数据范围。</w:t>
            </w:r>
          </w:p>
        </w:tc>
      </w:tr>
      <w:tr w14:paraId="5A66E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4" w:hRule="atLeast"/>
          <w:jc w:val="center"/>
        </w:trPr>
        <w:tc>
          <w:tcPr>
            <w:tcW w:w="1322" w:type="dxa"/>
            <w:vMerge w:val="continue"/>
            <w:shd w:val="clear" w:color="auto" w:fill="auto"/>
            <w:noWrap/>
            <w:vAlign w:val="center"/>
          </w:tcPr>
          <w:p w14:paraId="0AD2EABA">
            <w:pPr>
              <w:keepNext w:val="0"/>
              <w:keepLines w:val="0"/>
              <w:pageBreakBefore w:val="0"/>
              <w:kinsoku/>
              <w:wordWrap/>
              <w:overflowPunct/>
              <w:topLinePunct w:val="0"/>
              <w:autoSpaceDE/>
              <w:autoSpaceDN/>
              <w:bidi w:val="0"/>
              <w:adjustRightInd w:val="0"/>
              <w:snapToGrid w:val="0"/>
              <w:spacing w:line="360" w:lineRule="auto"/>
              <w:jc w:val="center"/>
              <w:rPr>
                <w:rFonts w:hint="eastAsia" w:ascii="宋体" w:hAnsi="宋体" w:eastAsia="宋体" w:cs="宋体"/>
                <w:i w:val="0"/>
                <w:iCs w:val="0"/>
                <w:color w:val="000000"/>
                <w:sz w:val="21"/>
                <w:szCs w:val="21"/>
                <w:highlight w:val="none"/>
                <w:u w:val="none"/>
              </w:rPr>
            </w:pPr>
          </w:p>
        </w:tc>
        <w:tc>
          <w:tcPr>
            <w:tcW w:w="1241" w:type="dxa"/>
            <w:vMerge w:val="continue"/>
            <w:shd w:val="clear" w:color="auto" w:fill="auto"/>
            <w:noWrap/>
            <w:vAlign w:val="center"/>
          </w:tcPr>
          <w:p w14:paraId="36F3A311">
            <w:pPr>
              <w:keepNext w:val="0"/>
              <w:keepLines w:val="0"/>
              <w:pageBreakBefore w:val="0"/>
              <w:kinsoku/>
              <w:wordWrap/>
              <w:overflowPunct/>
              <w:topLinePunct w:val="0"/>
              <w:autoSpaceDE/>
              <w:autoSpaceDN/>
              <w:bidi w:val="0"/>
              <w:adjustRightInd w:val="0"/>
              <w:snapToGrid w:val="0"/>
              <w:spacing w:line="360" w:lineRule="auto"/>
              <w:jc w:val="center"/>
              <w:rPr>
                <w:rFonts w:hint="eastAsia" w:ascii="宋体" w:hAnsi="宋体" w:eastAsia="宋体" w:cs="宋体"/>
                <w:i w:val="0"/>
                <w:iCs w:val="0"/>
                <w:color w:val="000000"/>
                <w:sz w:val="21"/>
                <w:szCs w:val="21"/>
                <w:highlight w:val="none"/>
                <w:u w:val="none"/>
              </w:rPr>
            </w:pPr>
          </w:p>
        </w:tc>
        <w:tc>
          <w:tcPr>
            <w:tcW w:w="7076" w:type="dxa"/>
            <w:shd w:val="clear" w:color="auto" w:fill="auto"/>
            <w:vAlign w:val="center"/>
          </w:tcPr>
          <w:p w14:paraId="50ADDD6D">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ascii="宋体" w:hAnsi="宋体" w:eastAsia="宋体" w:cs="宋体"/>
                <w:i w:val="0"/>
                <w:iCs w:val="0"/>
                <w:color w:val="000000"/>
                <w:sz w:val="21"/>
                <w:szCs w:val="21"/>
                <w:highlight w:val="none"/>
                <w:u w:val="none"/>
              </w:rPr>
            </w:pPr>
            <w:r>
              <w:rPr>
                <w:rFonts w:ascii="宋体" w:hAnsi="宋体" w:eastAsia="宋体" w:cs="宋体"/>
                <w:i w:val="0"/>
                <w:iCs w:val="0"/>
                <w:color w:val="000000"/>
                <w:kern w:val="0"/>
                <w:sz w:val="21"/>
                <w:szCs w:val="21"/>
                <w:highlight w:val="none"/>
                <w:u w:val="none"/>
                <w:lang w:val="en-US" w:eastAsia="zh-CN" w:bidi="ar"/>
              </w:rPr>
              <w:t>7、黑白名单管理：</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1）系统黑名单管理:</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支持管理外呼黑名单。黑名单类型包括空号和限呼名单。支持针对患者死亡、依从性差、号码错误等情况构建全院黑名单库。在AI机器人与患者对话中，发现患者态度差不愿配合随访、家属接听表达患者去世情况时，自动判别并加入黑名单。</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2）白名单管理:</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支持设置外呼白名单，在不超出运营商限制的范围内不限制白名单的电话次数。白名单的账号执行任务的时间不受限制，患者信息脱敏展示。</w:t>
            </w:r>
          </w:p>
        </w:tc>
      </w:tr>
      <w:tr w14:paraId="3DD33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87" w:hRule="atLeast"/>
          <w:jc w:val="center"/>
        </w:trPr>
        <w:tc>
          <w:tcPr>
            <w:tcW w:w="1322" w:type="dxa"/>
            <w:vMerge w:val="continue"/>
            <w:shd w:val="clear" w:color="auto" w:fill="auto"/>
            <w:noWrap/>
            <w:vAlign w:val="center"/>
          </w:tcPr>
          <w:p w14:paraId="336FA27A">
            <w:pPr>
              <w:keepNext w:val="0"/>
              <w:keepLines w:val="0"/>
              <w:pageBreakBefore w:val="0"/>
              <w:kinsoku/>
              <w:wordWrap/>
              <w:overflowPunct/>
              <w:topLinePunct w:val="0"/>
              <w:autoSpaceDE/>
              <w:autoSpaceDN/>
              <w:bidi w:val="0"/>
              <w:adjustRightInd w:val="0"/>
              <w:snapToGrid w:val="0"/>
              <w:spacing w:line="360" w:lineRule="auto"/>
              <w:jc w:val="center"/>
              <w:rPr>
                <w:rFonts w:hint="eastAsia" w:ascii="宋体" w:hAnsi="宋体" w:eastAsia="宋体" w:cs="宋体"/>
                <w:i w:val="0"/>
                <w:iCs w:val="0"/>
                <w:color w:val="000000"/>
                <w:sz w:val="21"/>
                <w:szCs w:val="21"/>
                <w:highlight w:val="none"/>
                <w:u w:val="none"/>
              </w:rPr>
            </w:pPr>
          </w:p>
        </w:tc>
        <w:tc>
          <w:tcPr>
            <w:tcW w:w="1241" w:type="dxa"/>
            <w:shd w:val="clear" w:color="auto" w:fill="auto"/>
            <w:noWrap/>
            <w:vAlign w:val="center"/>
          </w:tcPr>
          <w:p w14:paraId="45F63AF0">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ascii="宋体" w:hAnsi="宋体" w:eastAsia="宋体" w:cs="宋体"/>
                <w:i w:val="0"/>
                <w:iCs w:val="0"/>
                <w:color w:val="000000"/>
                <w:sz w:val="21"/>
                <w:szCs w:val="21"/>
                <w:highlight w:val="none"/>
                <w:u w:val="none"/>
              </w:rPr>
            </w:pPr>
            <w:r>
              <w:rPr>
                <w:rFonts w:ascii="宋体" w:hAnsi="宋体" w:eastAsia="宋体" w:cs="宋体"/>
                <w:i w:val="0"/>
                <w:iCs w:val="0"/>
                <w:color w:val="000000"/>
                <w:kern w:val="0"/>
                <w:sz w:val="21"/>
                <w:szCs w:val="21"/>
                <w:highlight w:val="none"/>
                <w:u w:val="none"/>
                <w:lang w:val="en-US" w:eastAsia="zh-CN" w:bidi="ar"/>
              </w:rPr>
              <w:t>随访管理</w:t>
            </w:r>
          </w:p>
        </w:tc>
        <w:tc>
          <w:tcPr>
            <w:tcW w:w="7076" w:type="dxa"/>
            <w:shd w:val="clear" w:color="auto" w:fill="auto"/>
            <w:vAlign w:val="center"/>
          </w:tcPr>
          <w:p w14:paraId="3C83DBCB">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ascii="宋体" w:hAnsi="宋体" w:eastAsia="宋体" w:cs="宋体"/>
                <w:i w:val="0"/>
                <w:iCs w:val="0"/>
                <w:color w:val="000000"/>
                <w:sz w:val="21"/>
                <w:szCs w:val="21"/>
                <w:highlight w:val="none"/>
                <w:u w:val="none"/>
              </w:rPr>
            </w:pPr>
            <w:r>
              <w:rPr>
                <w:rFonts w:ascii="宋体" w:hAnsi="宋体" w:eastAsia="宋体" w:cs="宋体"/>
                <w:i w:val="0"/>
                <w:iCs w:val="0"/>
                <w:color w:val="000000"/>
                <w:kern w:val="0"/>
                <w:sz w:val="21"/>
                <w:szCs w:val="21"/>
                <w:highlight w:val="none"/>
                <w:u w:val="none"/>
                <w:lang w:val="en-US" w:eastAsia="zh-CN" w:bidi="ar"/>
              </w:rPr>
              <w:t>1）随访提醒：系统首页自动展示个人随访计划提醒，包含今日提醒和超时提醒（如超时7天、10天、15天、30天），直接点击进入随访操作页面。</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2）随访规则：系统根据患者基本信息、科室、主要诊断、疾病ICD编码、手术方式等情况，精准的选择相应随访路径，对患者进行随访。</w:t>
            </w:r>
          </w:p>
        </w:tc>
      </w:tr>
      <w:tr w14:paraId="51EFB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36" w:hRule="atLeast"/>
          <w:jc w:val="center"/>
        </w:trPr>
        <w:tc>
          <w:tcPr>
            <w:tcW w:w="1322" w:type="dxa"/>
            <w:vMerge w:val="continue"/>
            <w:shd w:val="clear" w:color="auto" w:fill="auto"/>
            <w:noWrap/>
            <w:vAlign w:val="center"/>
          </w:tcPr>
          <w:p w14:paraId="6935D214">
            <w:pPr>
              <w:keepNext w:val="0"/>
              <w:keepLines w:val="0"/>
              <w:pageBreakBefore w:val="0"/>
              <w:kinsoku/>
              <w:wordWrap/>
              <w:overflowPunct/>
              <w:topLinePunct w:val="0"/>
              <w:autoSpaceDE/>
              <w:autoSpaceDN/>
              <w:bidi w:val="0"/>
              <w:adjustRightInd w:val="0"/>
              <w:snapToGrid w:val="0"/>
              <w:spacing w:line="360" w:lineRule="auto"/>
              <w:jc w:val="center"/>
              <w:rPr>
                <w:rFonts w:hint="eastAsia" w:ascii="宋体" w:hAnsi="宋体" w:eastAsia="宋体" w:cs="宋体"/>
                <w:i w:val="0"/>
                <w:iCs w:val="0"/>
                <w:color w:val="000000"/>
                <w:sz w:val="21"/>
                <w:szCs w:val="21"/>
                <w:highlight w:val="none"/>
                <w:u w:val="none"/>
              </w:rPr>
            </w:pPr>
          </w:p>
        </w:tc>
        <w:tc>
          <w:tcPr>
            <w:tcW w:w="1241" w:type="dxa"/>
            <w:shd w:val="clear" w:color="auto" w:fill="auto"/>
            <w:noWrap/>
            <w:vAlign w:val="center"/>
          </w:tcPr>
          <w:p w14:paraId="43DDED11">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ascii="宋体" w:hAnsi="宋体" w:eastAsia="宋体" w:cs="宋体"/>
                <w:i w:val="0"/>
                <w:iCs w:val="0"/>
                <w:color w:val="000000"/>
                <w:sz w:val="21"/>
                <w:szCs w:val="21"/>
                <w:highlight w:val="none"/>
                <w:u w:val="none"/>
              </w:rPr>
            </w:pPr>
            <w:r>
              <w:rPr>
                <w:rFonts w:ascii="宋体" w:hAnsi="宋体" w:eastAsia="宋体" w:cs="宋体"/>
                <w:i w:val="0"/>
                <w:iCs w:val="0"/>
                <w:color w:val="000000"/>
                <w:kern w:val="0"/>
                <w:sz w:val="21"/>
                <w:szCs w:val="21"/>
                <w:highlight w:val="none"/>
                <w:u w:val="none"/>
                <w:lang w:val="en-US" w:eastAsia="zh-CN" w:bidi="ar"/>
              </w:rPr>
              <w:t>随访配置</w:t>
            </w:r>
          </w:p>
        </w:tc>
        <w:tc>
          <w:tcPr>
            <w:tcW w:w="7076" w:type="dxa"/>
            <w:shd w:val="clear" w:color="auto" w:fill="auto"/>
            <w:vAlign w:val="center"/>
          </w:tcPr>
          <w:p w14:paraId="12402D11">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ascii="宋体" w:hAnsi="宋体" w:eastAsia="宋体" w:cs="宋体"/>
                <w:i w:val="0"/>
                <w:iCs w:val="0"/>
                <w:color w:val="000000"/>
                <w:sz w:val="21"/>
                <w:szCs w:val="21"/>
                <w:highlight w:val="none"/>
                <w:u w:val="none"/>
              </w:rPr>
            </w:pPr>
            <w:r>
              <w:rPr>
                <w:rFonts w:ascii="宋体" w:hAnsi="宋体" w:eastAsia="宋体" w:cs="宋体"/>
                <w:i w:val="0"/>
                <w:iCs w:val="0"/>
                <w:color w:val="000000"/>
                <w:kern w:val="0"/>
                <w:sz w:val="21"/>
                <w:szCs w:val="21"/>
                <w:highlight w:val="none"/>
                <w:u w:val="none"/>
                <w:lang w:val="en-US" w:eastAsia="zh-CN" w:bidi="ar"/>
              </w:rPr>
              <w:t>1）支持普通随访制定，可配置患者类型、随访级别、随访方式、随访表单。</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2）支持计划随访制定，每个计划可设置计划匹配的条件和计划执行的内容。</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3）支持随访任务制定，可自主设定随访工作组任务，按工作组和按个人将随访科室、随访病种进行随访任务分配。</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4）支持自动随访制定，可设置匹配条件，使用微信、短信、AI、人工的方式进行随访，多种随访方式可进行关联自动流转：</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发送微信—患者未绑卡，发送短信—1天后未回复，发送AI—未接通，重复发生AI—异常问卷（设置异常条件）—转人工随访。</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5）支持短信随访配置，可配置短信随访内容的模板。</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6）支持微信随访配置，可配置微信随访内容的模板。</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7）支持随访表单管理，维护随访表单支持选择多种题型、维护表单抬头、设置表单选项关联逻辑、设置必填及分值等。</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8）支持随访详情管理，支持维护随访详情快捷输入内容，可设置内容适用功能、使用范围、启用禁用等。</w:t>
            </w:r>
          </w:p>
        </w:tc>
      </w:tr>
      <w:tr w14:paraId="71EF7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30" w:hRule="atLeast"/>
          <w:jc w:val="center"/>
        </w:trPr>
        <w:tc>
          <w:tcPr>
            <w:tcW w:w="1322" w:type="dxa"/>
            <w:vMerge w:val="restart"/>
            <w:shd w:val="clear" w:color="auto" w:fill="auto"/>
            <w:noWrap/>
            <w:vAlign w:val="center"/>
          </w:tcPr>
          <w:p w14:paraId="4CBE2E75">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ascii="宋体" w:hAnsi="宋体" w:eastAsia="宋体" w:cs="宋体"/>
                <w:i w:val="0"/>
                <w:iCs w:val="0"/>
                <w:color w:val="000000"/>
                <w:sz w:val="21"/>
                <w:szCs w:val="21"/>
                <w:highlight w:val="none"/>
                <w:u w:val="none"/>
              </w:rPr>
            </w:pPr>
            <w:r>
              <w:rPr>
                <w:rFonts w:ascii="宋体" w:hAnsi="宋体" w:eastAsia="宋体" w:cs="宋体"/>
                <w:i w:val="0"/>
                <w:iCs w:val="0"/>
                <w:color w:val="000000"/>
                <w:kern w:val="0"/>
                <w:sz w:val="21"/>
                <w:szCs w:val="21"/>
                <w:highlight w:val="none"/>
                <w:u w:val="none"/>
                <w:lang w:val="en-US" w:eastAsia="zh-CN" w:bidi="ar"/>
              </w:rPr>
              <w:t>全病程管理</w:t>
            </w:r>
          </w:p>
        </w:tc>
        <w:tc>
          <w:tcPr>
            <w:tcW w:w="1241" w:type="dxa"/>
            <w:shd w:val="clear" w:color="auto" w:fill="auto"/>
            <w:noWrap/>
            <w:vAlign w:val="center"/>
          </w:tcPr>
          <w:p w14:paraId="5223C0E0">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ascii="宋体" w:hAnsi="宋体" w:eastAsia="宋体" w:cs="宋体"/>
                <w:i w:val="0"/>
                <w:iCs w:val="0"/>
                <w:color w:val="000000"/>
                <w:sz w:val="21"/>
                <w:szCs w:val="21"/>
                <w:highlight w:val="none"/>
                <w:u w:val="none"/>
              </w:rPr>
            </w:pPr>
            <w:r>
              <w:rPr>
                <w:rFonts w:ascii="宋体" w:hAnsi="宋体" w:eastAsia="宋体" w:cs="宋体"/>
                <w:i w:val="0"/>
                <w:iCs w:val="0"/>
                <w:color w:val="000000"/>
                <w:kern w:val="0"/>
                <w:sz w:val="21"/>
                <w:szCs w:val="21"/>
                <w:highlight w:val="none"/>
                <w:u w:val="none"/>
                <w:lang w:val="en-US" w:eastAsia="zh-CN" w:bidi="ar"/>
              </w:rPr>
              <w:t>患者入组</w:t>
            </w:r>
          </w:p>
        </w:tc>
        <w:tc>
          <w:tcPr>
            <w:tcW w:w="7076" w:type="dxa"/>
            <w:shd w:val="clear" w:color="auto" w:fill="auto"/>
            <w:vAlign w:val="center"/>
          </w:tcPr>
          <w:p w14:paraId="61F1467B">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ascii="宋体" w:hAnsi="宋体" w:eastAsia="宋体" w:cs="宋体"/>
                <w:i w:val="0"/>
                <w:iCs w:val="0"/>
                <w:color w:val="000000"/>
                <w:sz w:val="21"/>
                <w:szCs w:val="21"/>
                <w:highlight w:val="none"/>
                <w:u w:val="none"/>
              </w:rPr>
            </w:pPr>
            <w:r>
              <w:rPr>
                <w:rFonts w:ascii="宋体" w:hAnsi="宋体" w:eastAsia="宋体" w:cs="宋体"/>
                <w:i w:val="0"/>
                <w:iCs w:val="0"/>
                <w:color w:val="000000"/>
                <w:kern w:val="0"/>
                <w:sz w:val="21"/>
                <w:szCs w:val="21"/>
                <w:highlight w:val="none"/>
                <w:u w:val="none"/>
                <w:lang w:val="en-US" w:eastAsia="zh-CN" w:bidi="ar"/>
              </w:rPr>
              <w:t>1）患者入组：支持通过系统对接出院患者、门诊患者和体检患者根据不同的入组条件自动选择、自动入组。</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2）患者绑定：支持通过对接医院的公众号或小程序，实现对患者关联推送。</w:t>
            </w:r>
          </w:p>
        </w:tc>
      </w:tr>
      <w:tr w14:paraId="0D24D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7" w:hRule="atLeast"/>
          <w:jc w:val="center"/>
        </w:trPr>
        <w:tc>
          <w:tcPr>
            <w:tcW w:w="1322" w:type="dxa"/>
            <w:vMerge w:val="continue"/>
            <w:shd w:val="clear" w:color="auto" w:fill="auto"/>
            <w:noWrap/>
            <w:vAlign w:val="center"/>
          </w:tcPr>
          <w:p w14:paraId="32D5A61D">
            <w:pPr>
              <w:keepNext w:val="0"/>
              <w:keepLines w:val="0"/>
              <w:pageBreakBefore w:val="0"/>
              <w:kinsoku/>
              <w:wordWrap/>
              <w:overflowPunct/>
              <w:topLinePunct w:val="0"/>
              <w:autoSpaceDE/>
              <w:autoSpaceDN/>
              <w:bidi w:val="0"/>
              <w:adjustRightInd w:val="0"/>
              <w:snapToGrid w:val="0"/>
              <w:spacing w:line="360" w:lineRule="auto"/>
              <w:jc w:val="center"/>
              <w:rPr>
                <w:rFonts w:hint="eastAsia" w:ascii="宋体" w:hAnsi="宋体" w:eastAsia="宋体" w:cs="宋体"/>
                <w:i w:val="0"/>
                <w:iCs w:val="0"/>
                <w:color w:val="000000"/>
                <w:sz w:val="21"/>
                <w:szCs w:val="21"/>
                <w:highlight w:val="none"/>
                <w:u w:val="none"/>
              </w:rPr>
            </w:pPr>
          </w:p>
        </w:tc>
        <w:tc>
          <w:tcPr>
            <w:tcW w:w="1241" w:type="dxa"/>
            <w:shd w:val="clear" w:color="auto" w:fill="auto"/>
            <w:noWrap/>
            <w:vAlign w:val="center"/>
          </w:tcPr>
          <w:p w14:paraId="4C331C07">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ascii="宋体" w:hAnsi="宋体" w:eastAsia="宋体" w:cs="宋体"/>
                <w:i w:val="0"/>
                <w:iCs w:val="0"/>
                <w:color w:val="000000"/>
                <w:sz w:val="21"/>
                <w:szCs w:val="21"/>
                <w:highlight w:val="none"/>
                <w:u w:val="none"/>
              </w:rPr>
            </w:pPr>
            <w:r>
              <w:rPr>
                <w:rFonts w:ascii="宋体" w:hAnsi="宋体" w:eastAsia="宋体" w:cs="宋体"/>
                <w:i w:val="0"/>
                <w:iCs w:val="0"/>
                <w:color w:val="000000"/>
                <w:kern w:val="0"/>
                <w:sz w:val="21"/>
                <w:szCs w:val="21"/>
                <w:highlight w:val="none"/>
                <w:u w:val="none"/>
                <w:lang w:val="en-US" w:eastAsia="zh-CN" w:bidi="ar"/>
              </w:rPr>
              <w:t>构建患者画像</w:t>
            </w:r>
          </w:p>
        </w:tc>
        <w:tc>
          <w:tcPr>
            <w:tcW w:w="7076" w:type="dxa"/>
            <w:shd w:val="clear" w:color="auto" w:fill="auto"/>
            <w:vAlign w:val="center"/>
          </w:tcPr>
          <w:p w14:paraId="578A7AAF">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ascii="宋体" w:hAnsi="宋体" w:eastAsia="宋体" w:cs="宋体"/>
                <w:i w:val="0"/>
                <w:iCs w:val="0"/>
                <w:color w:val="000000"/>
                <w:sz w:val="21"/>
                <w:szCs w:val="21"/>
                <w:highlight w:val="none"/>
                <w:u w:val="none"/>
              </w:rPr>
            </w:pPr>
            <w:r>
              <w:rPr>
                <w:rFonts w:ascii="宋体" w:hAnsi="宋体" w:eastAsia="宋体" w:cs="宋体"/>
                <w:i w:val="0"/>
                <w:iCs w:val="0"/>
                <w:color w:val="000000"/>
                <w:kern w:val="0"/>
                <w:sz w:val="21"/>
                <w:szCs w:val="21"/>
                <w:highlight w:val="none"/>
                <w:u w:val="none"/>
                <w:lang w:val="en-US" w:eastAsia="zh-CN" w:bidi="ar"/>
              </w:rPr>
              <w:t>1）患者画像提取：支持根据同步的患者院内病历文书内容，通过画像引擎提取其结构化的患者画像。</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2）患者画像审核：支持针对提取的患者画像信息进行人工复核及手动修改、新增。</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3）非院内信息画像：支持通过手工填写、问卷任务回收或者二维码方式采集患者非院内就诊信息，按照病种配置对应的画像结论。</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4）支持患者画像内容与随访信息标签自动关联。</w:t>
            </w:r>
          </w:p>
        </w:tc>
      </w:tr>
      <w:tr w14:paraId="257CF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82" w:hRule="atLeast"/>
          <w:jc w:val="center"/>
        </w:trPr>
        <w:tc>
          <w:tcPr>
            <w:tcW w:w="1322" w:type="dxa"/>
            <w:vMerge w:val="continue"/>
            <w:shd w:val="clear" w:color="auto" w:fill="auto"/>
            <w:noWrap/>
            <w:vAlign w:val="center"/>
          </w:tcPr>
          <w:p w14:paraId="3AE8019D">
            <w:pPr>
              <w:keepNext w:val="0"/>
              <w:keepLines w:val="0"/>
              <w:pageBreakBefore w:val="0"/>
              <w:kinsoku/>
              <w:wordWrap/>
              <w:overflowPunct/>
              <w:topLinePunct w:val="0"/>
              <w:autoSpaceDE/>
              <w:autoSpaceDN/>
              <w:bidi w:val="0"/>
              <w:adjustRightInd w:val="0"/>
              <w:snapToGrid w:val="0"/>
              <w:spacing w:line="360" w:lineRule="auto"/>
              <w:jc w:val="center"/>
              <w:rPr>
                <w:rFonts w:hint="eastAsia" w:ascii="宋体" w:hAnsi="宋体" w:eastAsia="宋体" w:cs="宋体"/>
                <w:i w:val="0"/>
                <w:iCs w:val="0"/>
                <w:color w:val="000000"/>
                <w:sz w:val="21"/>
                <w:szCs w:val="21"/>
                <w:highlight w:val="none"/>
                <w:u w:val="none"/>
              </w:rPr>
            </w:pPr>
          </w:p>
        </w:tc>
        <w:tc>
          <w:tcPr>
            <w:tcW w:w="1241" w:type="dxa"/>
            <w:shd w:val="clear" w:color="auto" w:fill="auto"/>
            <w:noWrap/>
            <w:vAlign w:val="center"/>
          </w:tcPr>
          <w:p w14:paraId="2CA71B58">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ascii="宋体" w:hAnsi="宋体" w:eastAsia="宋体" w:cs="宋体"/>
                <w:i w:val="0"/>
                <w:iCs w:val="0"/>
                <w:color w:val="000000"/>
                <w:sz w:val="21"/>
                <w:szCs w:val="21"/>
                <w:highlight w:val="none"/>
                <w:u w:val="none"/>
              </w:rPr>
            </w:pPr>
            <w:r>
              <w:rPr>
                <w:rFonts w:ascii="宋体" w:hAnsi="宋体" w:eastAsia="宋体" w:cs="宋体"/>
                <w:i w:val="0"/>
                <w:iCs w:val="0"/>
                <w:color w:val="000000"/>
                <w:kern w:val="0"/>
                <w:sz w:val="21"/>
                <w:szCs w:val="21"/>
                <w:highlight w:val="none"/>
                <w:u w:val="none"/>
                <w:lang w:val="en-US" w:eastAsia="zh-CN" w:bidi="ar"/>
              </w:rPr>
              <w:t>指标监测</w:t>
            </w:r>
          </w:p>
        </w:tc>
        <w:tc>
          <w:tcPr>
            <w:tcW w:w="7076" w:type="dxa"/>
            <w:shd w:val="clear" w:color="auto" w:fill="auto"/>
            <w:vAlign w:val="center"/>
          </w:tcPr>
          <w:p w14:paraId="76419AE7">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ascii="宋体" w:hAnsi="宋体" w:eastAsia="宋体" w:cs="宋体"/>
                <w:i w:val="0"/>
                <w:iCs w:val="0"/>
                <w:color w:val="000000"/>
                <w:sz w:val="21"/>
                <w:szCs w:val="21"/>
                <w:highlight w:val="none"/>
                <w:u w:val="none"/>
              </w:rPr>
            </w:pPr>
            <w:r>
              <w:rPr>
                <w:rFonts w:ascii="宋体" w:hAnsi="宋体" w:eastAsia="宋体" w:cs="宋体"/>
                <w:i w:val="0"/>
                <w:iCs w:val="0"/>
                <w:color w:val="000000"/>
                <w:kern w:val="0"/>
                <w:sz w:val="21"/>
                <w:szCs w:val="21"/>
                <w:highlight w:val="none"/>
                <w:u w:val="none"/>
                <w:lang w:val="en-US" w:eastAsia="zh-CN" w:bidi="ar"/>
              </w:rPr>
              <w:t>1）指标上传：支持微信公众号及患者端对接，也可连接医院协调接口的智能硬件设备（血压计、血糖仪、体重秤），自动上传/手动上传健康监测数据，如血压、血糖、体重的数据。</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2）指标数据报告：支持生成指标监测数据周报、月报。</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3）指标异常提醒：支持指标数据上传后自动判断是否异常，在患者端和医生端呈现结果。</w:t>
            </w:r>
          </w:p>
        </w:tc>
      </w:tr>
      <w:tr w14:paraId="7AD3C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918" w:hRule="atLeast"/>
          <w:jc w:val="center"/>
        </w:trPr>
        <w:tc>
          <w:tcPr>
            <w:tcW w:w="1322" w:type="dxa"/>
            <w:vMerge w:val="continue"/>
            <w:shd w:val="clear" w:color="auto" w:fill="auto"/>
            <w:noWrap/>
            <w:vAlign w:val="center"/>
          </w:tcPr>
          <w:p w14:paraId="6435BBFD">
            <w:pPr>
              <w:keepNext w:val="0"/>
              <w:keepLines w:val="0"/>
              <w:pageBreakBefore w:val="0"/>
              <w:kinsoku/>
              <w:wordWrap/>
              <w:overflowPunct/>
              <w:topLinePunct w:val="0"/>
              <w:autoSpaceDE/>
              <w:autoSpaceDN/>
              <w:bidi w:val="0"/>
              <w:adjustRightInd w:val="0"/>
              <w:snapToGrid w:val="0"/>
              <w:spacing w:line="360" w:lineRule="auto"/>
              <w:jc w:val="center"/>
              <w:rPr>
                <w:rFonts w:hint="eastAsia" w:ascii="宋体" w:hAnsi="宋体" w:eastAsia="宋体" w:cs="宋体"/>
                <w:i w:val="0"/>
                <w:iCs w:val="0"/>
                <w:color w:val="000000"/>
                <w:sz w:val="21"/>
                <w:szCs w:val="21"/>
                <w:highlight w:val="none"/>
                <w:u w:val="none"/>
              </w:rPr>
            </w:pPr>
          </w:p>
        </w:tc>
        <w:tc>
          <w:tcPr>
            <w:tcW w:w="1241" w:type="dxa"/>
            <w:shd w:val="clear" w:color="auto" w:fill="auto"/>
            <w:vAlign w:val="center"/>
          </w:tcPr>
          <w:p w14:paraId="54C12AC6">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ascii="宋体" w:hAnsi="宋体" w:eastAsia="宋体" w:cs="宋体"/>
                <w:i w:val="0"/>
                <w:iCs w:val="0"/>
                <w:color w:val="000000"/>
                <w:sz w:val="21"/>
                <w:szCs w:val="21"/>
                <w:highlight w:val="none"/>
                <w:u w:val="none"/>
              </w:rPr>
            </w:pPr>
            <w:r>
              <w:rPr>
                <w:rFonts w:ascii="宋体" w:hAnsi="宋体" w:eastAsia="宋体" w:cs="宋体"/>
                <w:i w:val="0"/>
                <w:iCs w:val="0"/>
                <w:color w:val="000000"/>
                <w:kern w:val="0"/>
                <w:sz w:val="21"/>
                <w:szCs w:val="21"/>
                <w:highlight w:val="none"/>
                <w:u w:val="none"/>
                <w:lang w:val="en-US" w:eastAsia="zh-CN" w:bidi="ar"/>
              </w:rPr>
              <w:t>专病精细化路径管理</w:t>
            </w:r>
          </w:p>
        </w:tc>
        <w:tc>
          <w:tcPr>
            <w:tcW w:w="7076" w:type="dxa"/>
            <w:shd w:val="clear" w:color="auto" w:fill="auto"/>
            <w:vAlign w:val="center"/>
          </w:tcPr>
          <w:p w14:paraId="247DFD74">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ascii="宋体" w:hAnsi="宋体" w:eastAsia="宋体" w:cs="宋体"/>
                <w:i w:val="0"/>
                <w:iCs w:val="0"/>
                <w:color w:val="000000"/>
                <w:sz w:val="21"/>
                <w:szCs w:val="21"/>
                <w:highlight w:val="none"/>
                <w:u w:val="none"/>
              </w:rPr>
            </w:pPr>
            <w:r>
              <w:rPr>
                <w:rFonts w:ascii="宋体" w:hAnsi="宋体" w:eastAsia="宋体" w:cs="宋体"/>
                <w:i w:val="0"/>
                <w:iCs w:val="0"/>
                <w:color w:val="000000"/>
                <w:kern w:val="0"/>
                <w:sz w:val="21"/>
                <w:szCs w:val="21"/>
                <w:highlight w:val="none"/>
                <w:u w:val="none"/>
                <w:lang w:val="en-US" w:eastAsia="zh-CN" w:bidi="ar"/>
              </w:rPr>
              <w:t>1）专病精细化路径展示：支持以列表形式展示所有专病精细化管理路径。</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2）主路径配置：支持每个精细化路径中可设置出院、在院、门诊的主路径各一个。支持主路径设置路径节点。支持设置主路径使用范围、任务类型以及任务执行的具体内容。</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3）触发条件配置：支持添加的触发条件包括但不限于主要诊断疾病ICD编码、次要诊断、治疗方式、手术名称、换药日期、年龄、药品名称。支持设置多种组合的触发条件（和、或、且）的关系、使用范围以及具体任务，视专病具体要求设置。</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4）触发方式配置：在主路径或各个路径节点配置触发方式，如AI、短信、人工先后次序或只是一种方式。</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5）触发时间配置：可自动或手动设置，可以精确到天、时、分、秒，每种触发方式设置固定触发时间，如短信触发1天后未回复则触发AI途径。</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6）专病知识库调用：支持在生成路径时调用专病知识库。包括但不限于居家护理知识、风险规避知识、运动知识、饮食知识、药品知识。</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7）路径审核：支持主路径和触发条件均需在管理权限审核之后方可使用。</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8）专病知识库：提供专病精细化路径管理知识库，支持实时更新最新版本及新增知识库内容，支持图片文字视频语音多种形式的知识库内容。</w:t>
            </w:r>
          </w:p>
        </w:tc>
      </w:tr>
      <w:tr w14:paraId="701BC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006" w:hRule="atLeast"/>
          <w:jc w:val="center"/>
        </w:trPr>
        <w:tc>
          <w:tcPr>
            <w:tcW w:w="1322" w:type="dxa"/>
            <w:vMerge w:val="continue"/>
            <w:shd w:val="clear" w:color="auto" w:fill="auto"/>
            <w:noWrap/>
            <w:vAlign w:val="center"/>
          </w:tcPr>
          <w:p w14:paraId="7362C482">
            <w:pPr>
              <w:keepNext w:val="0"/>
              <w:keepLines w:val="0"/>
              <w:pageBreakBefore w:val="0"/>
              <w:kinsoku/>
              <w:wordWrap/>
              <w:overflowPunct/>
              <w:topLinePunct w:val="0"/>
              <w:autoSpaceDE/>
              <w:autoSpaceDN/>
              <w:bidi w:val="0"/>
              <w:adjustRightInd w:val="0"/>
              <w:snapToGrid w:val="0"/>
              <w:spacing w:line="360" w:lineRule="auto"/>
              <w:jc w:val="center"/>
              <w:rPr>
                <w:rFonts w:hint="eastAsia" w:ascii="宋体" w:hAnsi="宋体" w:eastAsia="宋体" w:cs="宋体"/>
                <w:i w:val="0"/>
                <w:iCs w:val="0"/>
                <w:color w:val="000000"/>
                <w:sz w:val="21"/>
                <w:szCs w:val="21"/>
                <w:highlight w:val="none"/>
                <w:u w:val="none"/>
              </w:rPr>
            </w:pPr>
          </w:p>
        </w:tc>
        <w:tc>
          <w:tcPr>
            <w:tcW w:w="1241" w:type="dxa"/>
            <w:shd w:val="clear" w:color="auto" w:fill="auto"/>
            <w:noWrap/>
            <w:vAlign w:val="center"/>
          </w:tcPr>
          <w:p w14:paraId="411C3DCA">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ascii="宋体" w:hAnsi="宋体" w:eastAsia="宋体" w:cs="宋体"/>
                <w:i w:val="0"/>
                <w:iCs w:val="0"/>
                <w:color w:val="000000"/>
                <w:sz w:val="21"/>
                <w:szCs w:val="21"/>
                <w:highlight w:val="none"/>
                <w:u w:val="none"/>
              </w:rPr>
            </w:pPr>
            <w:r>
              <w:rPr>
                <w:rFonts w:ascii="宋体" w:hAnsi="宋体" w:eastAsia="宋体" w:cs="宋体"/>
                <w:i w:val="0"/>
                <w:iCs w:val="0"/>
                <w:color w:val="000000"/>
                <w:kern w:val="0"/>
                <w:sz w:val="21"/>
                <w:szCs w:val="21"/>
                <w:highlight w:val="none"/>
                <w:u w:val="none"/>
                <w:lang w:val="en-US" w:eastAsia="zh-CN" w:bidi="ar"/>
              </w:rPr>
              <w:t>康复提醒</w:t>
            </w:r>
          </w:p>
        </w:tc>
        <w:tc>
          <w:tcPr>
            <w:tcW w:w="7076" w:type="dxa"/>
            <w:shd w:val="clear" w:color="auto" w:fill="auto"/>
            <w:vAlign w:val="center"/>
          </w:tcPr>
          <w:p w14:paraId="772E36FC">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ascii="宋体" w:hAnsi="宋体" w:eastAsia="宋体" w:cs="宋体"/>
                <w:i w:val="0"/>
                <w:iCs w:val="0"/>
                <w:color w:val="000000"/>
                <w:sz w:val="21"/>
                <w:szCs w:val="21"/>
                <w:highlight w:val="none"/>
                <w:u w:val="none"/>
              </w:rPr>
            </w:pPr>
            <w:r>
              <w:rPr>
                <w:rFonts w:ascii="宋体" w:hAnsi="宋体" w:eastAsia="宋体" w:cs="宋体"/>
                <w:i w:val="0"/>
                <w:iCs w:val="0"/>
                <w:color w:val="000000"/>
                <w:kern w:val="0"/>
                <w:sz w:val="21"/>
                <w:szCs w:val="21"/>
                <w:highlight w:val="none"/>
                <w:u w:val="none"/>
                <w:lang w:val="en-US" w:eastAsia="zh-CN" w:bidi="ar"/>
              </w:rPr>
              <w:t>1）提醒功能：支持设置各类提醒，包括但不限于异常检验检查结果提醒、入院提醒、术前准备提醒、术后提醒、特殊检查前后提醒、出院提醒功能。</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a.异常检验检查结果提醒：设置异常结果指标，出结果后设置时间内通过短信或微信公众号各种方式发送给患者提醒复诊。</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b.入院提醒:支持通过短信或微信的形式，支持以图片、视频、文本等方式展示入院须知的内容。如订饭流程、病房环境。</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c.术前准备提醒：支持通过短信或微信的形式，支持以图片、视频、文本等方式展示术前准备的内容。如饮食指导。</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d.术后/出院提醒：支持通过短信或微信的形式，支持以图片、视频、文本等方式展示术后/出院后注意事项的内容。如饮食指导、康复锻炼、复诊提醒、用药指导。</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e、特殊检查前后提醒：支持通过短信或微信的形式，支持以图片、视频、文本等方式展示检查前后注意事项的内容。如胃肠检查、全腹CT、MRI、超声。</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2）康复计划总览：支持患者通过患者端查看康复计划。</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3）每日待办：支持将患者端每日要关注的任务自动生成每日待办，进入患者端时自动定位至当前日期并展示当日任务。</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4）复诊提醒：</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a.根据患者画像生成的复诊提醒相关内容，支持三级提醒机制，通过短信、微信、电话方式提醒患者复诊。</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b.根据病种配置患者复诊计划，支持按时间定期复诊，也支持按上次复诊时间动态调整。</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c.可设置复诊有效日期和科室，系统自动判断患者复诊，若未在本院复诊，支持人为修订实际复诊时间。</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支持根据患者当次复诊情况进行复诊后随访、宣教、提醒等。</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5）拆线提醒：支持根据患者画像生成拆线提醒相关内容。支持在拆线前3天通过患者端提醒患者及时拆线。如骨科术后两周后需拆线处理，则系统在拆线前3天，以短信或微信的方式提醒患者社康或返院就诊。</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6）换药提醒：支持根据患者画像生成换药提醒相关内容。支持在换药前3天通过患者端提醒患者及时换药。支持以图片、视频、文本等方式展示伤口护理的内容，如换药时间、居家注意事项及并发症。</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7）用药指导：支持根据患者出院小结、门诊记录等文书提取患者的用药信息，发送对应的药事服务。如服用抗凝药的注意事项及其他药物的不良反应。</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8）饮食建议：支持根据患者画像生成饮食建议，包括饮食原则、饮食推荐、饮食说明等。如甲状腺癌术后患者的饮食原则。</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9）居家护理：支持根据患者画像居家护理的内容，包括：烟酒、睡眠、情绪、居家安全指导等。如碘治疗后的患者居家注意事项。</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10）运动指导：支持查看患者的运动指导等康复指导内容。支持以图片、视频、文本等方式展示运动指导的内容。如骨科术后患者康复锻炼指导。</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11）风险规避：支持推送出院后出现某种风险时患者可采取的处理措施。风险规避提醒在康复计划中停留3天时间。如PICC管、鼻胃管、引流管等管道脱落如何处理。</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12）病情评估：支持通过电话或问卷发送病情评估内容。</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13）结果跟进：支持提醒患者对自测检测结果或外院产生的医疗数据上传更新，包括但不限于心率、血压值、血糖、体重上传。</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14）健康档案：推送患者健康档案至患者端、微信公众号并展示。</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15）执行方式：支持微信、短信、AI外呼、人工电话执行任务。支持通过微信端、短信端发送任务、医患线上客服咨询发送。</w:t>
            </w:r>
          </w:p>
        </w:tc>
      </w:tr>
      <w:tr w14:paraId="1C74C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64" w:hRule="atLeast"/>
          <w:jc w:val="center"/>
        </w:trPr>
        <w:tc>
          <w:tcPr>
            <w:tcW w:w="1322" w:type="dxa"/>
            <w:vMerge w:val="continue"/>
            <w:shd w:val="clear" w:color="auto" w:fill="auto"/>
            <w:noWrap/>
            <w:vAlign w:val="center"/>
          </w:tcPr>
          <w:p w14:paraId="20252988">
            <w:pPr>
              <w:keepNext w:val="0"/>
              <w:keepLines w:val="0"/>
              <w:pageBreakBefore w:val="0"/>
              <w:kinsoku/>
              <w:wordWrap/>
              <w:overflowPunct/>
              <w:topLinePunct w:val="0"/>
              <w:autoSpaceDE/>
              <w:autoSpaceDN/>
              <w:bidi w:val="0"/>
              <w:adjustRightInd w:val="0"/>
              <w:snapToGrid w:val="0"/>
              <w:spacing w:line="360" w:lineRule="auto"/>
              <w:jc w:val="center"/>
              <w:rPr>
                <w:rFonts w:hint="eastAsia" w:ascii="宋体" w:hAnsi="宋体" w:eastAsia="宋体" w:cs="宋体"/>
                <w:i w:val="0"/>
                <w:iCs w:val="0"/>
                <w:color w:val="000000"/>
                <w:sz w:val="21"/>
                <w:szCs w:val="21"/>
                <w:highlight w:val="none"/>
                <w:u w:val="none"/>
              </w:rPr>
            </w:pPr>
          </w:p>
        </w:tc>
        <w:tc>
          <w:tcPr>
            <w:tcW w:w="1241" w:type="dxa"/>
            <w:shd w:val="clear" w:color="auto" w:fill="auto"/>
            <w:noWrap/>
            <w:vAlign w:val="center"/>
          </w:tcPr>
          <w:p w14:paraId="62CD73FE">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ascii="宋体" w:hAnsi="宋体" w:eastAsia="宋体" w:cs="宋体"/>
                <w:i w:val="0"/>
                <w:iCs w:val="0"/>
                <w:color w:val="000000"/>
                <w:sz w:val="21"/>
                <w:szCs w:val="21"/>
                <w:highlight w:val="none"/>
                <w:u w:val="none"/>
              </w:rPr>
            </w:pPr>
            <w:r>
              <w:rPr>
                <w:rFonts w:ascii="宋体" w:hAnsi="宋体" w:eastAsia="宋体" w:cs="宋体"/>
                <w:i w:val="0"/>
                <w:iCs w:val="0"/>
                <w:color w:val="000000"/>
                <w:kern w:val="0"/>
                <w:sz w:val="21"/>
                <w:szCs w:val="21"/>
                <w:highlight w:val="none"/>
                <w:u w:val="none"/>
                <w:lang w:val="en-US" w:eastAsia="zh-CN" w:bidi="ar"/>
              </w:rPr>
              <w:t>出院宣教</w:t>
            </w:r>
          </w:p>
        </w:tc>
        <w:tc>
          <w:tcPr>
            <w:tcW w:w="7076" w:type="dxa"/>
            <w:shd w:val="clear" w:color="auto" w:fill="auto"/>
            <w:vAlign w:val="center"/>
          </w:tcPr>
          <w:p w14:paraId="3ACCC5DA">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ascii="宋体" w:hAnsi="宋体" w:eastAsia="宋体" w:cs="宋体"/>
                <w:i w:val="0"/>
                <w:iCs w:val="0"/>
                <w:color w:val="000000"/>
                <w:sz w:val="21"/>
                <w:szCs w:val="21"/>
                <w:highlight w:val="none"/>
                <w:u w:val="none"/>
              </w:rPr>
            </w:pPr>
            <w:r>
              <w:rPr>
                <w:rFonts w:ascii="宋体" w:hAnsi="宋体" w:eastAsia="宋体" w:cs="宋体"/>
                <w:i w:val="0"/>
                <w:iCs w:val="0"/>
                <w:color w:val="000000"/>
                <w:kern w:val="0"/>
                <w:sz w:val="21"/>
                <w:szCs w:val="21"/>
                <w:highlight w:val="none"/>
                <w:u w:val="none"/>
                <w:lang w:val="en-US" w:eastAsia="zh-CN" w:bidi="ar"/>
              </w:rPr>
              <w:t>1）系统可配置通用入院、出院宣教模板，根据患者入院、出院时间进行出入院宣教自动推送。</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2）每个宣教推送路径和任务支持同时配置多个宣教课程。</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3）支持微信渠道开展宣教，推送宣教内容到微信公众号，患者可在手机端接收并查阅宣教课程。</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4）支持短信渠道开展宣教，推送带链接短信到患者手机端，患者在手机端接收并查阅宣教课程。</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5）支持设置微信渠道推送宣教失败后自动转短信渠道推送宣教。</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6）宣教文章展示：支持自定义增加宣教内容，以文字、图片、视频、表格、链接的形式展示。</w:t>
            </w:r>
          </w:p>
        </w:tc>
      </w:tr>
      <w:tr w14:paraId="535B7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1322" w:type="dxa"/>
            <w:vMerge w:val="restart"/>
            <w:shd w:val="clear" w:color="auto" w:fill="auto"/>
            <w:vAlign w:val="center"/>
          </w:tcPr>
          <w:p w14:paraId="01C0CDBC">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ascii="宋体" w:hAnsi="宋体" w:eastAsia="宋体" w:cs="宋体"/>
                <w:i w:val="0"/>
                <w:iCs w:val="0"/>
                <w:color w:val="000000"/>
                <w:sz w:val="21"/>
                <w:szCs w:val="21"/>
                <w:highlight w:val="none"/>
                <w:u w:val="none"/>
              </w:rPr>
            </w:pPr>
            <w:r>
              <w:rPr>
                <w:rFonts w:ascii="宋体" w:hAnsi="宋体" w:eastAsia="宋体" w:cs="宋体"/>
                <w:i w:val="0"/>
                <w:iCs w:val="0"/>
                <w:color w:val="000000"/>
                <w:kern w:val="0"/>
                <w:sz w:val="21"/>
                <w:szCs w:val="21"/>
                <w:highlight w:val="none"/>
                <w:u w:val="none"/>
                <w:lang w:val="en-US" w:eastAsia="zh-CN" w:bidi="ar"/>
              </w:rPr>
              <w:t>目标患者筛选及管理</w:t>
            </w:r>
          </w:p>
        </w:tc>
        <w:tc>
          <w:tcPr>
            <w:tcW w:w="1241" w:type="dxa"/>
            <w:shd w:val="clear" w:color="auto" w:fill="auto"/>
            <w:vAlign w:val="center"/>
          </w:tcPr>
          <w:p w14:paraId="6FA83DBB">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ascii="宋体" w:hAnsi="宋体" w:eastAsia="宋体" w:cs="宋体"/>
                <w:i w:val="0"/>
                <w:iCs w:val="0"/>
                <w:color w:val="000000"/>
                <w:sz w:val="21"/>
                <w:szCs w:val="21"/>
                <w:highlight w:val="none"/>
                <w:u w:val="none"/>
              </w:rPr>
            </w:pPr>
            <w:r>
              <w:rPr>
                <w:rFonts w:ascii="宋体" w:hAnsi="宋体" w:eastAsia="宋体" w:cs="宋体"/>
                <w:i w:val="0"/>
                <w:iCs w:val="0"/>
                <w:color w:val="000000"/>
                <w:kern w:val="0"/>
                <w:sz w:val="21"/>
                <w:szCs w:val="21"/>
                <w:highlight w:val="none"/>
                <w:u w:val="none"/>
                <w:lang w:val="en-US" w:eastAsia="zh-CN" w:bidi="ar"/>
              </w:rPr>
              <w:t>疾病列表</w:t>
            </w:r>
          </w:p>
        </w:tc>
        <w:tc>
          <w:tcPr>
            <w:tcW w:w="7076" w:type="dxa"/>
            <w:shd w:val="clear" w:color="auto" w:fill="auto"/>
            <w:vAlign w:val="center"/>
          </w:tcPr>
          <w:p w14:paraId="10A476AE">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ascii="宋体" w:hAnsi="宋体" w:eastAsia="宋体" w:cs="宋体"/>
                <w:i w:val="0"/>
                <w:iCs w:val="0"/>
                <w:color w:val="000000"/>
                <w:sz w:val="21"/>
                <w:szCs w:val="21"/>
                <w:highlight w:val="none"/>
                <w:u w:val="none"/>
              </w:rPr>
            </w:pPr>
            <w:r>
              <w:rPr>
                <w:rFonts w:ascii="宋体" w:hAnsi="宋体" w:eastAsia="宋体" w:cs="宋体"/>
                <w:i w:val="0"/>
                <w:iCs w:val="0"/>
                <w:color w:val="000000"/>
                <w:kern w:val="0"/>
                <w:sz w:val="21"/>
                <w:szCs w:val="21"/>
                <w:highlight w:val="none"/>
                <w:u w:val="none"/>
                <w:lang w:val="en-US" w:eastAsia="zh-CN" w:bidi="ar"/>
              </w:rPr>
              <w:t>疾病列表支持根据疾病管理配置的信息，展示用户可管理的疾病。</w:t>
            </w:r>
          </w:p>
        </w:tc>
      </w:tr>
      <w:tr w14:paraId="07A24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1" w:hRule="atLeast"/>
          <w:jc w:val="center"/>
        </w:trPr>
        <w:tc>
          <w:tcPr>
            <w:tcW w:w="1322" w:type="dxa"/>
            <w:vMerge w:val="continue"/>
            <w:shd w:val="clear" w:color="auto" w:fill="auto"/>
            <w:vAlign w:val="center"/>
          </w:tcPr>
          <w:p w14:paraId="22148488">
            <w:pPr>
              <w:keepNext w:val="0"/>
              <w:keepLines w:val="0"/>
              <w:pageBreakBefore w:val="0"/>
              <w:kinsoku/>
              <w:wordWrap/>
              <w:overflowPunct/>
              <w:topLinePunct w:val="0"/>
              <w:autoSpaceDE/>
              <w:autoSpaceDN/>
              <w:bidi w:val="0"/>
              <w:adjustRightInd w:val="0"/>
              <w:snapToGrid w:val="0"/>
              <w:spacing w:line="360" w:lineRule="auto"/>
              <w:jc w:val="center"/>
              <w:rPr>
                <w:rFonts w:hint="eastAsia" w:ascii="宋体" w:hAnsi="宋体" w:eastAsia="宋体" w:cs="宋体"/>
                <w:i w:val="0"/>
                <w:iCs w:val="0"/>
                <w:color w:val="000000"/>
                <w:sz w:val="21"/>
                <w:szCs w:val="21"/>
                <w:highlight w:val="none"/>
                <w:u w:val="none"/>
              </w:rPr>
            </w:pPr>
          </w:p>
        </w:tc>
        <w:tc>
          <w:tcPr>
            <w:tcW w:w="1241" w:type="dxa"/>
            <w:shd w:val="clear" w:color="auto" w:fill="auto"/>
            <w:vAlign w:val="center"/>
          </w:tcPr>
          <w:p w14:paraId="6A6F381F">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ascii="宋体" w:hAnsi="宋体" w:eastAsia="宋体" w:cs="宋体"/>
                <w:i w:val="0"/>
                <w:iCs w:val="0"/>
                <w:color w:val="000000"/>
                <w:sz w:val="21"/>
                <w:szCs w:val="21"/>
                <w:highlight w:val="none"/>
                <w:u w:val="none"/>
              </w:rPr>
            </w:pPr>
            <w:r>
              <w:rPr>
                <w:rFonts w:ascii="宋体" w:hAnsi="宋体" w:eastAsia="宋体" w:cs="宋体"/>
                <w:i w:val="0"/>
                <w:iCs w:val="0"/>
                <w:color w:val="000000"/>
                <w:kern w:val="0"/>
                <w:sz w:val="21"/>
                <w:szCs w:val="21"/>
                <w:highlight w:val="none"/>
                <w:u w:val="none"/>
                <w:lang w:val="en-US" w:eastAsia="zh-CN" w:bidi="ar"/>
              </w:rPr>
              <w:t>患者智能筛选</w:t>
            </w:r>
          </w:p>
        </w:tc>
        <w:tc>
          <w:tcPr>
            <w:tcW w:w="7076" w:type="dxa"/>
            <w:shd w:val="clear" w:color="auto" w:fill="auto"/>
            <w:vAlign w:val="center"/>
          </w:tcPr>
          <w:p w14:paraId="0EE1EE59">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ascii="宋体" w:hAnsi="宋体" w:eastAsia="宋体" w:cs="宋体"/>
                <w:i w:val="0"/>
                <w:iCs w:val="0"/>
                <w:color w:val="000000"/>
                <w:sz w:val="21"/>
                <w:szCs w:val="21"/>
                <w:highlight w:val="none"/>
                <w:u w:val="none"/>
              </w:rPr>
            </w:pPr>
            <w:r>
              <w:rPr>
                <w:rFonts w:ascii="宋体" w:hAnsi="宋体" w:eastAsia="宋体" w:cs="宋体"/>
                <w:i w:val="0"/>
                <w:iCs w:val="0"/>
                <w:color w:val="000000"/>
                <w:kern w:val="0"/>
                <w:sz w:val="21"/>
                <w:szCs w:val="21"/>
                <w:highlight w:val="none"/>
                <w:u w:val="none"/>
                <w:lang w:val="en-US" w:eastAsia="zh-CN" w:bidi="ar"/>
              </w:rPr>
              <w:t>患者智能筛选支持利用基础数据处理整合技术结合患者基本信息、检验检查信息筛选出目标人群。</w:t>
            </w:r>
          </w:p>
        </w:tc>
      </w:tr>
      <w:tr w14:paraId="68898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1322" w:type="dxa"/>
            <w:vMerge w:val="continue"/>
            <w:shd w:val="clear" w:color="auto" w:fill="auto"/>
            <w:vAlign w:val="center"/>
          </w:tcPr>
          <w:p w14:paraId="55F3759E">
            <w:pPr>
              <w:keepNext w:val="0"/>
              <w:keepLines w:val="0"/>
              <w:pageBreakBefore w:val="0"/>
              <w:kinsoku/>
              <w:wordWrap/>
              <w:overflowPunct/>
              <w:topLinePunct w:val="0"/>
              <w:autoSpaceDE/>
              <w:autoSpaceDN/>
              <w:bidi w:val="0"/>
              <w:adjustRightInd w:val="0"/>
              <w:snapToGrid w:val="0"/>
              <w:spacing w:line="360" w:lineRule="auto"/>
              <w:jc w:val="center"/>
              <w:rPr>
                <w:rFonts w:hint="eastAsia" w:ascii="宋体" w:hAnsi="宋体" w:eastAsia="宋体" w:cs="宋体"/>
                <w:i w:val="0"/>
                <w:iCs w:val="0"/>
                <w:color w:val="000000"/>
                <w:sz w:val="21"/>
                <w:szCs w:val="21"/>
                <w:highlight w:val="none"/>
                <w:u w:val="none"/>
              </w:rPr>
            </w:pPr>
          </w:p>
        </w:tc>
        <w:tc>
          <w:tcPr>
            <w:tcW w:w="1241" w:type="dxa"/>
            <w:shd w:val="clear" w:color="auto" w:fill="auto"/>
            <w:vAlign w:val="center"/>
          </w:tcPr>
          <w:p w14:paraId="61405D9B">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ascii="宋体" w:hAnsi="宋体" w:eastAsia="宋体" w:cs="宋体"/>
                <w:i w:val="0"/>
                <w:iCs w:val="0"/>
                <w:color w:val="000000"/>
                <w:sz w:val="21"/>
                <w:szCs w:val="21"/>
                <w:highlight w:val="none"/>
                <w:u w:val="none"/>
              </w:rPr>
            </w:pPr>
            <w:r>
              <w:rPr>
                <w:rFonts w:ascii="宋体" w:hAnsi="宋体" w:eastAsia="宋体" w:cs="宋体"/>
                <w:i w:val="0"/>
                <w:iCs w:val="0"/>
                <w:color w:val="000000"/>
                <w:kern w:val="0"/>
                <w:sz w:val="21"/>
                <w:szCs w:val="21"/>
                <w:highlight w:val="none"/>
                <w:u w:val="none"/>
                <w:lang w:val="en-US" w:eastAsia="zh-CN" w:bidi="ar"/>
              </w:rPr>
              <w:t>患者列表</w:t>
            </w:r>
          </w:p>
        </w:tc>
        <w:tc>
          <w:tcPr>
            <w:tcW w:w="7076" w:type="dxa"/>
            <w:shd w:val="clear" w:color="auto" w:fill="auto"/>
            <w:vAlign w:val="center"/>
          </w:tcPr>
          <w:p w14:paraId="0136E5BF">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ascii="宋体" w:hAnsi="宋体" w:eastAsia="宋体" w:cs="宋体"/>
                <w:i w:val="0"/>
                <w:iCs w:val="0"/>
                <w:color w:val="000000"/>
                <w:sz w:val="21"/>
                <w:szCs w:val="21"/>
                <w:highlight w:val="none"/>
                <w:u w:val="none"/>
              </w:rPr>
            </w:pPr>
            <w:r>
              <w:rPr>
                <w:rFonts w:ascii="宋体" w:hAnsi="宋体" w:eastAsia="宋体" w:cs="宋体"/>
                <w:i w:val="0"/>
                <w:iCs w:val="0"/>
                <w:color w:val="000000"/>
                <w:kern w:val="0"/>
                <w:sz w:val="21"/>
                <w:szCs w:val="21"/>
                <w:highlight w:val="none"/>
                <w:u w:val="none"/>
                <w:lang w:val="en-US" w:eastAsia="zh-CN" w:bidi="ar"/>
              </w:rPr>
              <w:t>支持展示筛查到符合条件的患者队列，进入待处理队列，包括患者基本信息、纳入时间场景、纳入时的关键词。</w:t>
            </w:r>
          </w:p>
        </w:tc>
      </w:tr>
      <w:tr w14:paraId="4F3BB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1" w:hRule="atLeast"/>
          <w:jc w:val="center"/>
        </w:trPr>
        <w:tc>
          <w:tcPr>
            <w:tcW w:w="1322" w:type="dxa"/>
            <w:vMerge w:val="continue"/>
            <w:shd w:val="clear" w:color="auto" w:fill="auto"/>
            <w:vAlign w:val="center"/>
          </w:tcPr>
          <w:p w14:paraId="2021631D">
            <w:pPr>
              <w:keepNext w:val="0"/>
              <w:keepLines w:val="0"/>
              <w:pageBreakBefore w:val="0"/>
              <w:kinsoku/>
              <w:wordWrap/>
              <w:overflowPunct/>
              <w:topLinePunct w:val="0"/>
              <w:autoSpaceDE/>
              <w:autoSpaceDN/>
              <w:bidi w:val="0"/>
              <w:adjustRightInd w:val="0"/>
              <w:snapToGrid w:val="0"/>
              <w:spacing w:line="360" w:lineRule="auto"/>
              <w:jc w:val="center"/>
              <w:rPr>
                <w:rFonts w:hint="eastAsia" w:ascii="宋体" w:hAnsi="宋体" w:eastAsia="宋体" w:cs="宋体"/>
                <w:i w:val="0"/>
                <w:iCs w:val="0"/>
                <w:color w:val="000000"/>
                <w:sz w:val="21"/>
                <w:szCs w:val="21"/>
                <w:highlight w:val="none"/>
                <w:u w:val="none"/>
              </w:rPr>
            </w:pPr>
          </w:p>
        </w:tc>
        <w:tc>
          <w:tcPr>
            <w:tcW w:w="1241" w:type="dxa"/>
            <w:shd w:val="clear" w:color="auto" w:fill="auto"/>
            <w:vAlign w:val="center"/>
          </w:tcPr>
          <w:p w14:paraId="38CF19BE">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ascii="宋体" w:hAnsi="宋体" w:eastAsia="宋体" w:cs="宋体"/>
                <w:i w:val="0"/>
                <w:iCs w:val="0"/>
                <w:color w:val="000000"/>
                <w:sz w:val="21"/>
                <w:szCs w:val="21"/>
                <w:highlight w:val="none"/>
                <w:u w:val="none"/>
              </w:rPr>
            </w:pPr>
            <w:r>
              <w:rPr>
                <w:rFonts w:ascii="宋体" w:hAnsi="宋体" w:eastAsia="宋体" w:cs="宋体"/>
                <w:i w:val="0"/>
                <w:iCs w:val="0"/>
                <w:color w:val="000000"/>
                <w:kern w:val="0"/>
                <w:sz w:val="21"/>
                <w:szCs w:val="21"/>
                <w:highlight w:val="none"/>
                <w:u w:val="none"/>
                <w:lang w:val="en-US" w:eastAsia="zh-CN" w:bidi="ar"/>
              </w:rPr>
              <w:t>人工复核</w:t>
            </w:r>
          </w:p>
        </w:tc>
        <w:tc>
          <w:tcPr>
            <w:tcW w:w="7076" w:type="dxa"/>
            <w:shd w:val="clear" w:color="auto" w:fill="auto"/>
            <w:vAlign w:val="center"/>
          </w:tcPr>
          <w:p w14:paraId="30B693FE">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ascii="宋体" w:hAnsi="宋体" w:eastAsia="宋体" w:cs="宋体"/>
                <w:i w:val="0"/>
                <w:iCs w:val="0"/>
                <w:color w:val="000000"/>
                <w:sz w:val="21"/>
                <w:szCs w:val="21"/>
                <w:highlight w:val="none"/>
                <w:u w:val="none"/>
              </w:rPr>
            </w:pPr>
            <w:r>
              <w:rPr>
                <w:rFonts w:ascii="宋体" w:hAnsi="宋体" w:eastAsia="宋体" w:cs="宋体"/>
                <w:i w:val="0"/>
                <w:iCs w:val="0"/>
                <w:color w:val="000000"/>
                <w:kern w:val="0"/>
                <w:sz w:val="21"/>
                <w:szCs w:val="21"/>
                <w:highlight w:val="none"/>
                <w:u w:val="none"/>
                <w:lang w:val="en-US" w:eastAsia="zh-CN" w:bidi="ar"/>
              </w:rPr>
              <w:t>支持人工复核流程，系统自动纳入管理的患者进入待处理队列，人工复核后再进入加入管理队列，也可机型剔除处理。</w:t>
            </w:r>
          </w:p>
        </w:tc>
      </w:tr>
      <w:tr w14:paraId="18ABC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1322" w:type="dxa"/>
            <w:vMerge w:val="continue"/>
            <w:shd w:val="clear" w:color="auto" w:fill="auto"/>
            <w:vAlign w:val="center"/>
          </w:tcPr>
          <w:p w14:paraId="3F222403">
            <w:pPr>
              <w:keepNext w:val="0"/>
              <w:keepLines w:val="0"/>
              <w:pageBreakBefore w:val="0"/>
              <w:kinsoku/>
              <w:wordWrap/>
              <w:overflowPunct/>
              <w:topLinePunct w:val="0"/>
              <w:autoSpaceDE/>
              <w:autoSpaceDN/>
              <w:bidi w:val="0"/>
              <w:adjustRightInd w:val="0"/>
              <w:snapToGrid w:val="0"/>
              <w:spacing w:line="360" w:lineRule="auto"/>
              <w:jc w:val="center"/>
              <w:rPr>
                <w:rFonts w:hint="eastAsia" w:ascii="宋体" w:hAnsi="宋体" w:eastAsia="宋体" w:cs="宋体"/>
                <w:i w:val="0"/>
                <w:iCs w:val="0"/>
                <w:color w:val="000000"/>
                <w:sz w:val="21"/>
                <w:szCs w:val="21"/>
                <w:highlight w:val="none"/>
                <w:u w:val="none"/>
              </w:rPr>
            </w:pPr>
          </w:p>
        </w:tc>
        <w:tc>
          <w:tcPr>
            <w:tcW w:w="1241" w:type="dxa"/>
            <w:shd w:val="clear" w:color="auto" w:fill="auto"/>
            <w:vAlign w:val="center"/>
          </w:tcPr>
          <w:p w14:paraId="6F9FFA5D">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ascii="宋体" w:hAnsi="宋体" w:eastAsia="宋体" w:cs="宋体"/>
                <w:i w:val="0"/>
                <w:iCs w:val="0"/>
                <w:color w:val="000000"/>
                <w:sz w:val="21"/>
                <w:szCs w:val="21"/>
                <w:highlight w:val="none"/>
                <w:u w:val="none"/>
              </w:rPr>
            </w:pPr>
            <w:r>
              <w:rPr>
                <w:rFonts w:ascii="宋体" w:hAnsi="宋体" w:eastAsia="宋体" w:cs="宋体"/>
                <w:i w:val="0"/>
                <w:iCs w:val="0"/>
                <w:color w:val="000000"/>
                <w:kern w:val="0"/>
                <w:sz w:val="21"/>
                <w:szCs w:val="21"/>
                <w:highlight w:val="none"/>
                <w:u w:val="none"/>
                <w:lang w:val="en-US" w:eastAsia="zh-CN" w:bidi="ar"/>
              </w:rPr>
              <w:t>剔除队列</w:t>
            </w:r>
          </w:p>
        </w:tc>
        <w:tc>
          <w:tcPr>
            <w:tcW w:w="7076" w:type="dxa"/>
            <w:shd w:val="clear" w:color="auto" w:fill="auto"/>
            <w:vAlign w:val="center"/>
          </w:tcPr>
          <w:p w14:paraId="4A94FFF1">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ascii="宋体" w:hAnsi="宋体" w:eastAsia="宋体" w:cs="宋体"/>
                <w:i w:val="0"/>
                <w:iCs w:val="0"/>
                <w:color w:val="000000"/>
                <w:sz w:val="21"/>
                <w:szCs w:val="21"/>
                <w:highlight w:val="none"/>
                <w:u w:val="none"/>
              </w:rPr>
            </w:pPr>
            <w:r>
              <w:rPr>
                <w:rFonts w:ascii="宋体" w:hAnsi="宋体" w:eastAsia="宋体" w:cs="宋体"/>
                <w:i w:val="0"/>
                <w:iCs w:val="0"/>
                <w:color w:val="000000"/>
                <w:kern w:val="0"/>
                <w:sz w:val="21"/>
                <w:szCs w:val="21"/>
                <w:highlight w:val="none"/>
                <w:u w:val="none"/>
                <w:lang w:val="en-US" w:eastAsia="zh-CN" w:bidi="ar"/>
              </w:rPr>
              <w:t>支持展示人工处理后被剔除的患者队列，包括患者基本信息、纳入场景、纳入时的关键词、剔除时的关键词。</w:t>
            </w:r>
          </w:p>
        </w:tc>
      </w:tr>
      <w:tr w14:paraId="009DF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96" w:hRule="atLeast"/>
          <w:jc w:val="center"/>
        </w:trPr>
        <w:tc>
          <w:tcPr>
            <w:tcW w:w="1322" w:type="dxa"/>
            <w:vMerge w:val="continue"/>
            <w:shd w:val="clear" w:color="auto" w:fill="auto"/>
            <w:vAlign w:val="center"/>
          </w:tcPr>
          <w:p w14:paraId="25B7DB5A">
            <w:pPr>
              <w:keepNext w:val="0"/>
              <w:keepLines w:val="0"/>
              <w:pageBreakBefore w:val="0"/>
              <w:kinsoku/>
              <w:wordWrap/>
              <w:overflowPunct/>
              <w:topLinePunct w:val="0"/>
              <w:autoSpaceDE/>
              <w:autoSpaceDN/>
              <w:bidi w:val="0"/>
              <w:adjustRightInd w:val="0"/>
              <w:snapToGrid w:val="0"/>
              <w:spacing w:line="360" w:lineRule="auto"/>
              <w:jc w:val="center"/>
              <w:rPr>
                <w:rFonts w:hint="eastAsia" w:ascii="宋体" w:hAnsi="宋体" w:eastAsia="宋体" w:cs="宋体"/>
                <w:i w:val="0"/>
                <w:iCs w:val="0"/>
                <w:color w:val="000000"/>
                <w:sz w:val="21"/>
                <w:szCs w:val="21"/>
                <w:highlight w:val="none"/>
                <w:u w:val="none"/>
              </w:rPr>
            </w:pPr>
          </w:p>
        </w:tc>
        <w:tc>
          <w:tcPr>
            <w:tcW w:w="1241" w:type="dxa"/>
            <w:shd w:val="clear" w:color="auto" w:fill="auto"/>
            <w:vAlign w:val="center"/>
          </w:tcPr>
          <w:p w14:paraId="3CB327DB">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ascii="宋体" w:hAnsi="宋体" w:eastAsia="宋体" w:cs="宋体"/>
                <w:i w:val="0"/>
                <w:iCs w:val="0"/>
                <w:color w:val="000000"/>
                <w:sz w:val="21"/>
                <w:szCs w:val="21"/>
                <w:highlight w:val="none"/>
                <w:u w:val="none"/>
              </w:rPr>
            </w:pPr>
            <w:r>
              <w:rPr>
                <w:rFonts w:ascii="宋体" w:hAnsi="宋体" w:eastAsia="宋体" w:cs="宋体"/>
                <w:i w:val="0"/>
                <w:iCs w:val="0"/>
                <w:color w:val="000000"/>
                <w:kern w:val="0"/>
                <w:sz w:val="21"/>
                <w:szCs w:val="21"/>
                <w:highlight w:val="none"/>
                <w:u w:val="none"/>
                <w:lang w:val="en-US" w:eastAsia="zh-CN" w:bidi="ar"/>
              </w:rPr>
              <w:t>患者管理</w:t>
            </w:r>
          </w:p>
        </w:tc>
        <w:tc>
          <w:tcPr>
            <w:tcW w:w="7076" w:type="dxa"/>
            <w:shd w:val="clear" w:color="auto" w:fill="auto"/>
            <w:vAlign w:val="center"/>
          </w:tcPr>
          <w:p w14:paraId="58755260">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ascii="宋体" w:hAnsi="宋体" w:eastAsia="宋体" w:cs="宋体"/>
                <w:i w:val="0"/>
                <w:iCs w:val="0"/>
                <w:color w:val="000000"/>
                <w:sz w:val="21"/>
                <w:szCs w:val="21"/>
                <w:highlight w:val="none"/>
                <w:u w:val="none"/>
              </w:rPr>
            </w:pPr>
            <w:r>
              <w:rPr>
                <w:rFonts w:ascii="宋体" w:hAnsi="宋体" w:eastAsia="宋体" w:cs="宋体"/>
                <w:i w:val="0"/>
                <w:iCs w:val="0"/>
                <w:color w:val="000000"/>
                <w:kern w:val="0"/>
                <w:sz w:val="21"/>
                <w:szCs w:val="21"/>
                <w:highlight w:val="none"/>
                <w:u w:val="none"/>
                <w:lang w:val="en-US" w:eastAsia="zh-CN" w:bidi="ar"/>
              </w:rPr>
              <w:t>支持针对待处理列表，加入管理列表，剔除列表，进行患者管理操作。</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管理操作包含发送表单/宣教，拨打电话联系患者，也可新增管理记录作为备注。</w:t>
            </w:r>
          </w:p>
        </w:tc>
      </w:tr>
      <w:tr w14:paraId="1C595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1322" w:type="dxa"/>
            <w:vMerge w:val="continue"/>
            <w:shd w:val="clear" w:color="auto" w:fill="auto"/>
            <w:vAlign w:val="center"/>
          </w:tcPr>
          <w:p w14:paraId="3CA84476">
            <w:pPr>
              <w:keepNext w:val="0"/>
              <w:keepLines w:val="0"/>
              <w:pageBreakBefore w:val="0"/>
              <w:kinsoku/>
              <w:wordWrap/>
              <w:overflowPunct/>
              <w:topLinePunct w:val="0"/>
              <w:autoSpaceDE/>
              <w:autoSpaceDN/>
              <w:bidi w:val="0"/>
              <w:adjustRightInd w:val="0"/>
              <w:snapToGrid w:val="0"/>
              <w:spacing w:line="360" w:lineRule="auto"/>
              <w:jc w:val="center"/>
              <w:rPr>
                <w:rFonts w:hint="eastAsia" w:ascii="宋体" w:hAnsi="宋体" w:eastAsia="宋体" w:cs="宋体"/>
                <w:i w:val="0"/>
                <w:iCs w:val="0"/>
                <w:color w:val="000000"/>
                <w:sz w:val="21"/>
                <w:szCs w:val="21"/>
                <w:highlight w:val="none"/>
                <w:u w:val="none"/>
              </w:rPr>
            </w:pPr>
          </w:p>
        </w:tc>
        <w:tc>
          <w:tcPr>
            <w:tcW w:w="1241" w:type="dxa"/>
            <w:shd w:val="clear" w:color="auto" w:fill="auto"/>
            <w:vAlign w:val="center"/>
          </w:tcPr>
          <w:p w14:paraId="2CA7F146">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ascii="宋体" w:hAnsi="宋体" w:eastAsia="宋体" w:cs="宋体"/>
                <w:i w:val="0"/>
                <w:iCs w:val="0"/>
                <w:color w:val="000000"/>
                <w:sz w:val="21"/>
                <w:szCs w:val="21"/>
                <w:highlight w:val="none"/>
                <w:u w:val="none"/>
              </w:rPr>
            </w:pPr>
            <w:r>
              <w:rPr>
                <w:rFonts w:ascii="宋体" w:hAnsi="宋体" w:eastAsia="宋体" w:cs="宋体"/>
                <w:i w:val="0"/>
                <w:iCs w:val="0"/>
                <w:color w:val="000000"/>
                <w:kern w:val="0"/>
                <w:sz w:val="21"/>
                <w:szCs w:val="21"/>
                <w:highlight w:val="none"/>
                <w:u w:val="none"/>
                <w:lang w:val="en-US" w:eastAsia="zh-CN" w:bidi="ar"/>
              </w:rPr>
              <w:t>患者医疗档案</w:t>
            </w:r>
          </w:p>
        </w:tc>
        <w:tc>
          <w:tcPr>
            <w:tcW w:w="7076" w:type="dxa"/>
            <w:shd w:val="clear" w:color="auto" w:fill="auto"/>
            <w:vAlign w:val="center"/>
          </w:tcPr>
          <w:p w14:paraId="5C141403">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ascii="宋体" w:hAnsi="宋体" w:eastAsia="宋体" w:cs="宋体"/>
                <w:i w:val="0"/>
                <w:iCs w:val="0"/>
                <w:color w:val="000000"/>
                <w:sz w:val="21"/>
                <w:szCs w:val="21"/>
                <w:highlight w:val="none"/>
                <w:u w:val="none"/>
              </w:rPr>
            </w:pPr>
            <w:r>
              <w:rPr>
                <w:rFonts w:ascii="宋体" w:hAnsi="宋体" w:eastAsia="宋体" w:cs="宋体"/>
                <w:i w:val="0"/>
                <w:iCs w:val="0"/>
                <w:color w:val="000000"/>
                <w:kern w:val="0"/>
                <w:sz w:val="21"/>
                <w:szCs w:val="21"/>
                <w:highlight w:val="none"/>
                <w:u w:val="none"/>
                <w:lang w:val="en-US" w:eastAsia="zh-CN" w:bidi="ar"/>
              </w:rPr>
              <w:t>支持针对待处理列表，加入管理列表，剔除列表中的患者，查看患者的历史医疗档案。</w:t>
            </w:r>
          </w:p>
        </w:tc>
      </w:tr>
      <w:tr w14:paraId="7D67A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1322" w:type="dxa"/>
            <w:vMerge w:val="continue"/>
            <w:shd w:val="clear" w:color="auto" w:fill="auto"/>
            <w:vAlign w:val="center"/>
          </w:tcPr>
          <w:p w14:paraId="78468EDD">
            <w:pPr>
              <w:keepNext w:val="0"/>
              <w:keepLines w:val="0"/>
              <w:pageBreakBefore w:val="0"/>
              <w:kinsoku/>
              <w:wordWrap/>
              <w:overflowPunct/>
              <w:topLinePunct w:val="0"/>
              <w:autoSpaceDE/>
              <w:autoSpaceDN/>
              <w:bidi w:val="0"/>
              <w:adjustRightInd w:val="0"/>
              <w:snapToGrid w:val="0"/>
              <w:spacing w:line="360" w:lineRule="auto"/>
              <w:jc w:val="center"/>
              <w:rPr>
                <w:rFonts w:hint="eastAsia" w:ascii="宋体" w:hAnsi="宋体" w:eastAsia="宋体" w:cs="宋体"/>
                <w:i w:val="0"/>
                <w:iCs w:val="0"/>
                <w:color w:val="000000"/>
                <w:sz w:val="21"/>
                <w:szCs w:val="21"/>
                <w:highlight w:val="none"/>
                <w:u w:val="none"/>
              </w:rPr>
            </w:pPr>
          </w:p>
        </w:tc>
        <w:tc>
          <w:tcPr>
            <w:tcW w:w="1241" w:type="dxa"/>
            <w:shd w:val="clear" w:color="auto" w:fill="auto"/>
            <w:vAlign w:val="center"/>
          </w:tcPr>
          <w:p w14:paraId="6D0A2AEA">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ascii="宋体" w:hAnsi="宋体" w:eastAsia="宋体" w:cs="宋体"/>
                <w:i w:val="0"/>
                <w:iCs w:val="0"/>
                <w:color w:val="000000"/>
                <w:sz w:val="21"/>
                <w:szCs w:val="21"/>
                <w:highlight w:val="none"/>
                <w:u w:val="none"/>
              </w:rPr>
            </w:pPr>
            <w:r>
              <w:rPr>
                <w:rFonts w:ascii="宋体" w:hAnsi="宋体" w:eastAsia="宋体" w:cs="宋体"/>
                <w:i w:val="0"/>
                <w:iCs w:val="0"/>
                <w:color w:val="000000"/>
                <w:kern w:val="0"/>
                <w:sz w:val="21"/>
                <w:szCs w:val="21"/>
                <w:highlight w:val="none"/>
                <w:u w:val="none"/>
                <w:lang w:val="en-US" w:eastAsia="zh-CN" w:bidi="ar"/>
              </w:rPr>
              <w:t>管理标记</w:t>
            </w:r>
          </w:p>
        </w:tc>
        <w:tc>
          <w:tcPr>
            <w:tcW w:w="7076" w:type="dxa"/>
            <w:shd w:val="clear" w:color="auto" w:fill="auto"/>
            <w:vAlign w:val="center"/>
          </w:tcPr>
          <w:p w14:paraId="3D0FC751">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ascii="宋体" w:hAnsi="宋体" w:eastAsia="宋体" w:cs="宋体"/>
                <w:i w:val="0"/>
                <w:iCs w:val="0"/>
                <w:color w:val="000000"/>
                <w:sz w:val="21"/>
                <w:szCs w:val="21"/>
                <w:highlight w:val="none"/>
                <w:u w:val="none"/>
              </w:rPr>
            </w:pPr>
            <w:r>
              <w:rPr>
                <w:rFonts w:ascii="宋体" w:hAnsi="宋体" w:eastAsia="宋体" w:cs="宋体"/>
                <w:i w:val="0"/>
                <w:iCs w:val="0"/>
                <w:color w:val="000000"/>
                <w:kern w:val="0"/>
                <w:sz w:val="21"/>
                <w:szCs w:val="21"/>
                <w:highlight w:val="none"/>
                <w:u w:val="none"/>
                <w:lang w:val="en-US" w:eastAsia="zh-CN" w:bidi="ar"/>
              </w:rPr>
              <w:t>支持根据场景管理目标，自动识别标记患者是否达成就诊目标，手术目标，达成后进行标记。</w:t>
            </w:r>
          </w:p>
        </w:tc>
      </w:tr>
      <w:tr w14:paraId="09FDF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jc w:val="center"/>
        </w:trPr>
        <w:tc>
          <w:tcPr>
            <w:tcW w:w="1322" w:type="dxa"/>
            <w:vMerge w:val="restart"/>
            <w:shd w:val="clear" w:color="auto" w:fill="auto"/>
            <w:noWrap/>
            <w:vAlign w:val="center"/>
          </w:tcPr>
          <w:p w14:paraId="2D7EDFF1">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ascii="宋体" w:hAnsi="宋体" w:eastAsia="宋体" w:cs="宋体"/>
                <w:i w:val="0"/>
                <w:iCs w:val="0"/>
                <w:color w:val="000000"/>
                <w:sz w:val="21"/>
                <w:szCs w:val="21"/>
                <w:highlight w:val="none"/>
                <w:u w:val="none"/>
              </w:rPr>
            </w:pPr>
            <w:r>
              <w:rPr>
                <w:rFonts w:ascii="宋体" w:hAnsi="宋体" w:eastAsia="宋体" w:cs="宋体"/>
                <w:i w:val="0"/>
                <w:iCs w:val="0"/>
                <w:color w:val="000000"/>
                <w:kern w:val="0"/>
                <w:sz w:val="21"/>
                <w:szCs w:val="21"/>
                <w:highlight w:val="none"/>
                <w:u w:val="none"/>
                <w:lang w:val="en-US" w:eastAsia="zh-CN" w:bidi="ar"/>
              </w:rPr>
              <w:t>医护移动端</w:t>
            </w:r>
          </w:p>
        </w:tc>
        <w:tc>
          <w:tcPr>
            <w:tcW w:w="1241" w:type="dxa"/>
            <w:vMerge w:val="restart"/>
            <w:shd w:val="clear" w:color="auto" w:fill="auto"/>
            <w:vAlign w:val="center"/>
          </w:tcPr>
          <w:p w14:paraId="4700F28C">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ascii="宋体" w:hAnsi="宋体" w:eastAsia="宋体" w:cs="宋体"/>
                <w:i w:val="0"/>
                <w:iCs w:val="0"/>
                <w:color w:val="000000"/>
                <w:sz w:val="21"/>
                <w:szCs w:val="21"/>
                <w:highlight w:val="none"/>
                <w:u w:val="none"/>
              </w:rPr>
            </w:pPr>
            <w:r>
              <w:rPr>
                <w:rFonts w:ascii="宋体" w:hAnsi="宋体" w:eastAsia="宋体" w:cs="宋体"/>
                <w:i w:val="0"/>
                <w:iCs w:val="0"/>
                <w:color w:val="000000"/>
                <w:kern w:val="0"/>
                <w:sz w:val="21"/>
                <w:szCs w:val="21"/>
                <w:highlight w:val="none"/>
                <w:u w:val="none"/>
                <w:lang w:val="en-US" w:eastAsia="zh-CN" w:bidi="ar"/>
              </w:rPr>
              <w:t>入组患者全流程跟踪档案管理</w:t>
            </w:r>
          </w:p>
        </w:tc>
        <w:tc>
          <w:tcPr>
            <w:tcW w:w="7076" w:type="dxa"/>
            <w:shd w:val="clear" w:color="auto" w:fill="auto"/>
            <w:vAlign w:val="center"/>
          </w:tcPr>
          <w:p w14:paraId="4E91D124">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ascii="宋体" w:hAnsi="宋体" w:eastAsia="宋体" w:cs="宋体"/>
                <w:i w:val="0"/>
                <w:iCs w:val="0"/>
                <w:color w:val="000000"/>
                <w:sz w:val="21"/>
                <w:szCs w:val="21"/>
                <w:highlight w:val="none"/>
                <w:u w:val="none"/>
              </w:rPr>
            </w:pPr>
            <w:r>
              <w:rPr>
                <w:rFonts w:ascii="宋体" w:hAnsi="宋体" w:eastAsia="宋体" w:cs="宋体"/>
                <w:i w:val="0"/>
                <w:iCs w:val="0"/>
                <w:color w:val="000000"/>
                <w:kern w:val="0"/>
                <w:sz w:val="21"/>
                <w:szCs w:val="21"/>
                <w:highlight w:val="none"/>
                <w:u w:val="none"/>
                <w:lang w:val="en-US" w:eastAsia="zh-CN" w:bidi="ar"/>
              </w:rPr>
              <w:t>收案管理：可查看住院患者列表，支持对住院患者进行收案评估，支持给患者发送知情同意书，对符合条件的患者进行收案入组管理；可查看患者的个案病历档案。</w:t>
            </w:r>
          </w:p>
        </w:tc>
      </w:tr>
      <w:tr w14:paraId="08262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73" w:hRule="atLeast"/>
          <w:jc w:val="center"/>
        </w:trPr>
        <w:tc>
          <w:tcPr>
            <w:tcW w:w="1322" w:type="dxa"/>
            <w:vMerge w:val="continue"/>
            <w:shd w:val="clear" w:color="auto" w:fill="auto"/>
            <w:noWrap/>
            <w:vAlign w:val="center"/>
          </w:tcPr>
          <w:p w14:paraId="7711C5DC">
            <w:pPr>
              <w:keepNext w:val="0"/>
              <w:keepLines w:val="0"/>
              <w:pageBreakBefore w:val="0"/>
              <w:kinsoku/>
              <w:wordWrap/>
              <w:overflowPunct/>
              <w:topLinePunct w:val="0"/>
              <w:autoSpaceDE/>
              <w:autoSpaceDN/>
              <w:bidi w:val="0"/>
              <w:adjustRightInd w:val="0"/>
              <w:snapToGrid w:val="0"/>
              <w:spacing w:line="360" w:lineRule="auto"/>
              <w:jc w:val="center"/>
              <w:rPr>
                <w:rFonts w:hint="eastAsia" w:ascii="宋体" w:hAnsi="宋体" w:eastAsia="宋体" w:cs="宋体"/>
                <w:i w:val="0"/>
                <w:iCs w:val="0"/>
                <w:color w:val="000000"/>
                <w:sz w:val="21"/>
                <w:szCs w:val="21"/>
                <w:highlight w:val="none"/>
                <w:u w:val="none"/>
              </w:rPr>
            </w:pPr>
          </w:p>
        </w:tc>
        <w:tc>
          <w:tcPr>
            <w:tcW w:w="1241" w:type="dxa"/>
            <w:vMerge w:val="continue"/>
            <w:shd w:val="clear" w:color="auto" w:fill="auto"/>
            <w:vAlign w:val="center"/>
          </w:tcPr>
          <w:p w14:paraId="40D15885">
            <w:pPr>
              <w:keepNext w:val="0"/>
              <w:keepLines w:val="0"/>
              <w:pageBreakBefore w:val="0"/>
              <w:kinsoku/>
              <w:wordWrap/>
              <w:overflowPunct/>
              <w:topLinePunct w:val="0"/>
              <w:autoSpaceDE/>
              <w:autoSpaceDN/>
              <w:bidi w:val="0"/>
              <w:adjustRightInd w:val="0"/>
              <w:snapToGrid w:val="0"/>
              <w:spacing w:line="360" w:lineRule="auto"/>
              <w:jc w:val="center"/>
              <w:rPr>
                <w:rFonts w:hint="eastAsia" w:ascii="宋体" w:hAnsi="宋体" w:eastAsia="宋体" w:cs="宋体"/>
                <w:i w:val="0"/>
                <w:iCs w:val="0"/>
                <w:color w:val="000000"/>
                <w:sz w:val="21"/>
                <w:szCs w:val="21"/>
                <w:highlight w:val="none"/>
                <w:u w:val="none"/>
              </w:rPr>
            </w:pPr>
          </w:p>
        </w:tc>
        <w:tc>
          <w:tcPr>
            <w:tcW w:w="7076" w:type="dxa"/>
            <w:shd w:val="clear" w:color="auto" w:fill="auto"/>
            <w:vAlign w:val="center"/>
          </w:tcPr>
          <w:p w14:paraId="6A7ECDA3">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ascii="宋体" w:hAnsi="宋体" w:eastAsia="宋体" w:cs="宋体"/>
                <w:i w:val="0"/>
                <w:iCs w:val="0"/>
                <w:color w:val="000000"/>
                <w:sz w:val="21"/>
                <w:szCs w:val="21"/>
                <w:highlight w:val="none"/>
                <w:u w:val="none"/>
              </w:rPr>
            </w:pPr>
            <w:r>
              <w:rPr>
                <w:rFonts w:ascii="宋体" w:hAnsi="宋体" w:eastAsia="宋体" w:cs="宋体"/>
                <w:i w:val="0"/>
                <w:iCs w:val="0"/>
                <w:color w:val="000000"/>
                <w:kern w:val="0"/>
                <w:sz w:val="21"/>
                <w:szCs w:val="21"/>
                <w:highlight w:val="none"/>
                <w:u w:val="none"/>
                <w:lang w:val="en-US" w:eastAsia="zh-CN" w:bidi="ar"/>
              </w:rPr>
              <w:t>在案管理：</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1）可查看在案管理的患者列表，可了解患者所在个案组、当前治疗阶段、在院情况、入组时间。</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2）可查看管理个案患者的所有服务项目任务进度和执行情况，进行人工干预和管理。</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3）支持一键呼叫联系患者，支持与患者发起视频/语音通话，支持与患者进行聊天沟通，支持查看患者的个案病历档案，对于需要结案的患者进行结案处理并填写结案原因和时间。</w:t>
            </w:r>
          </w:p>
        </w:tc>
      </w:tr>
      <w:tr w14:paraId="4AF8D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1" w:hRule="atLeast"/>
          <w:jc w:val="center"/>
        </w:trPr>
        <w:tc>
          <w:tcPr>
            <w:tcW w:w="1322" w:type="dxa"/>
            <w:vMerge w:val="continue"/>
            <w:shd w:val="clear" w:color="auto" w:fill="auto"/>
            <w:noWrap/>
            <w:vAlign w:val="center"/>
          </w:tcPr>
          <w:p w14:paraId="46C520F5">
            <w:pPr>
              <w:keepNext w:val="0"/>
              <w:keepLines w:val="0"/>
              <w:pageBreakBefore w:val="0"/>
              <w:kinsoku/>
              <w:wordWrap/>
              <w:overflowPunct/>
              <w:topLinePunct w:val="0"/>
              <w:autoSpaceDE/>
              <w:autoSpaceDN/>
              <w:bidi w:val="0"/>
              <w:adjustRightInd w:val="0"/>
              <w:snapToGrid w:val="0"/>
              <w:spacing w:line="360" w:lineRule="auto"/>
              <w:jc w:val="center"/>
              <w:rPr>
                <w:rFonts w:hint="eastAsia" w:ascii="宋体" w:hAnsi="宋体" w:eastAsia="宋体" w:cs="宋体"/>
                <w:i w:val="0"/>
                <w:iCs w:val="0"/>
                <w:color w:val="000000"/>
                <w:sz w:val="21"/>
                <w:szCs w:val="21"/>
                <w:highlight w:val="none"/>
                <w:u w:val="none"/>
              </w:rPr>
            </w:pPr>
          </w:p>
        </w:tc>
        <w:tc>
          <w:tcPr>
            <w:tcW w:w="1241" w:type="dxa"/>
            <w:vMerge w:val="continue"/>
            <w:shd w:val="clear" w:color="auto" w:fill="auto"/>
            <w:vAlign w:val="center"/>
          </w:tcPr>
          <w:p w14:paraId="6317BA92">
            <w:pPr>
              <w:keepNext w:val="0"/>
              <w:keepLines w:val="0"/>
              <w:pageBreakBefore w:val="0"/>
              <w:kinsoku/>
              <w:wordWrap/>
              <w:overflowPunct/>
              <w:topLinePunct w:val="0"/>
              <w:autoSpaceDE/>
              <w:autoSpaceDN/>
              <w:bidi w:val="0"/>
              <w:adjustRightInd w:val="0"/>
              <w:snapToGrid w:val="0"/>
              <w:spacing w:line="360" w:lineRule="auto"/>
              <w:jc w:val="center"/>
              <w:rPr>
                <w:rFonts w:hint="eastAsia" w:ascii="宋体" w:hAnsi="宋体" w:eastAsia="宋体" w:cs="宋体"/>
                <w:i w:val="0"/>
                <w:iCs w:val="0"/>
                <w:color w:val="000000"/>
                <w:sz w:val="21"/>
                <w:szCs w:val="21"/>
                <w:highlight w:val="none"/>
                <w:u w:val="none"/>
              </w:rPr>
            </w:pPr>
          </w:p>
        </w:tc>
        <w:tc>
          <w:tcPr>
            <w:tcW w:w="7076" w:type="dxa"/>
            <w:shd w:val="clear" w:color="auto" w:fill="auto"/>
            <w:vAlign w:val="center"/>
          </w:tcPr>
          <w:p w14:paraId="1037F628">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ascii="宋体" w:hAnsi="宋体" w:eastAsia="宋体" w:cs="宋体"/>
                <w:i w:val="0"/>
                <w:iCs w:val="0"/>
                <w:color w:val="000000"/>
                <w:sz w:val="21"/>
                <w:szCs w:val="21"/>
                <w:highlight w:val="none"/>
                <w:u w:val="none"/>
              </w:rPr>
            </w:pPr>
            <w:r>
              <w:rPr>
                <w:rFonts w:ascii="宋体" w:hAnsi="宋体" w:eastAsia="宋体" w:cs="宋体"/>
                <w:i w:val="0"/>
                <w:iCs w:val="0"/>
                <w:color w:val="000000"/>
                <w:kern w:val="0"/>
                <w:sz w:val="21"/>
                <w:szCs w:val="21"/>
                <w:highlight w:val="none"/>
                <w:u w:val="none"/>
                <w:lang w:val="en-US" w:eastAsia="zh-CN" w:bidi="ar"/>
              </w:rPr>
              <w:t>结案管理：可查看已经结案的患者列表，查看患者的个案病历档案，可进行回退结案处理。</w:t>
            </w:r>
          </w:p>
        </w:tc>
      </w:tr>
      <w:tr w14:paraId="6B9E8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82" w:hRule="atLeast"/>
          <w:jc w:val="center"/>
        </w:trPr>
        <w:tc>
          <w:tcPr>
            <w:tcW w:w="1322" w:type="dxa"/>
            <w:vMerge w:val="continue"/>
            <w:shd w:val="clear" w:color="auto" w:fill="auto"/>
            <w:noWrap/>
            <w:vAlign w:val="center"/>
          </w:tcPr>
          <w:p w14:paraId="7F1D1BE2">
            <w:pPr>
              <w:keepNext w:val="0"/>
              <w:keepLines w:val="0"/>
              <w:pageBreakBefore w:val="0"/>
              <w:kinsoku/>
              <w:wordWrap/>
              <w:overflowPunct/>
              <w:topLinePunct w:val="0"/>
              <w:autoSpaceDE/>
              <w:autoSpaceDN/>
              <w:bidi w:val="0"/>
              <w:adjustRightInd w:val="0"/>
              <w:snapToGrid w:val="0"/>
              <w:spacing w:line="360" w:lineRule="auto"/>
              <w:jc w:val="center"/>
              <w:rPr>
                <w:rFonts w:hint="eastAsia" w:ascii="宋体" w:hAnsi="宋体" w:eastAsia="宋体" w:cs="宋体"/>
                <w:i w:val="0"/>
                <w:iCs w:val="0"/>
                <w:color w:val="000000"/>
                <w:sz w:val="21"/>
                <w:szCs w:val="21"/>
                <w:highlight w:val="none"/>
                <w:u w:val="none"/>
              </w:rPr>
            </w:pPr>
          </w:p>
        </w:tc>
        <w:tc>
          <w:tcPr>
            <w:tcW w:w="1241" w:type="dxa"/>
            <w:shd w:val="clear" w:color="auto" w:fill="auto"/>
            <w:noWrap/>
            <w:vAlign w:val="center"/>
          </w:tcPr>
          <w:p w14:paraId="130E4C6D">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ascii="宋体" w:hAnsi="宋体" w:eastAsia="宋体" w:cs="宋体"/>
                <w:i w:val="0"/>
                <w:iCs w:val="0"/>
                <w:color w:val="000000"/>
                <w:sz w:val="21"/>
                <w:szCs w:val="21"/>
                <w:highlight w:val="none"/>
                <w:u w:val="none"/>
              </w:rPr>
            </w:pPr>
            <w:r>
              <w:rPr>
                <w:rFonts w:ascii="宋体" w:hAnsi="宋体" w:eastAsia="宋体" w:cs="宋体"/>
                <w:i w:val="0"/>
                <w:iCs w:val="0"/>
                <w:color w:val="000000"/>
                <w:kern w:val="0"/>
                <w:sz w:val="21"/>
                <w:szCs w:val="21"/>
                <w:highlight w:val="none"/>
                <w:u w:val="none"/>
                <w:lang w:val="en-US" w:eastAsia="zh-CN" w:bidi="ar"/>
              </w:rPr>
              <w:t>消息中心</w:t>
            </w:r>
          </w:p>
        </w:tc>
        <w:tc>
          <w:tcPr>
            <w:tcW w:w="7076" w:type="dxa"/>
            <w:shd w:val="clear" w:color="auto" w:fill="auto"/>
            <w:vAlign w:val="center"/>
          </w:tcPr>
          <w:p w14:paraId="4AA70881">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ascii="宋体" w:hAnsi="宋体" w:eastAsia="宋体" w:cs="宋体"/>
                <w:i w:val="0"/>
                <w:iCs w:val="0"/>
                <w:color w:val="000000"/>
                <w:sz w:val="21"/>
                <w:szCs w:val="21"/>
                <w:highlight w:val="none"/>
                <w:u w:val="none"/>
              </w:rPr>
            </w:pPr>
            <w:r>
              <w:rPr>
                <w:rFonts w:ascii="宋体" w:hAnsi="宋体" w:eastAsia="宋体" w:cs="宋体"/>
                <w:i w:val="0"/>
                <w:iCs w:val="0"/>
                <w:color w:val="000000"/>
                <w:kern w:val="0"/>
                <w:sz w:val="21"/>
                <w:szCs w:val="21"/>
                <w:highlight w:val="none"/>
                <w:u w:val="none"/>
                <w:lang w:val="en-US" w:eastAsia="zh-CN" w:bidi="ar"/>
              </w:rPr>
              <w:t>1）实时消息提醒中心，提醒内容包括但不限于随访任务提醒、随访反馈提醒、宣教任务提醒、宣教反馈提醒、调查任务提醒、调查反馈提醒、复诊任务提醒、复诊反馈提醒、医患沟通消息提醒；根据不用的应用场景，根据医生需求引用输入或手动输入推送给患者消息提醒。</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2）异常结果提醒：随访异常结果和检验检查异常结果支持查询界面，并可通过企业微信推送至医生端,由主管医生给出处理意见。</w:t>
            </w:r>
          </w:p>
        </w:tc>
      </w:tr>
      <w:tr w14:paraId="3F16C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1322" w:type="dxa"/>
            <w:vMerge w:val="continue"/>
            <w:shd w:val="clear" w:color="auto" w:fill="auto"/>
            <w:noWrap/>
            <w:vAlign w:val="center"/>
          </w:tcPr>
          <w:p w14:paraId="1D4C56DC">
            <w:pPr>
              <w:keepNext w:val="0"/>
              <w:keepLines w:val="0"/>
              <w:pageBreakBefore w:val="0"/>
              <w:kinsoku/>
              <w:wordWrap/>
              <w:overflowPunct/>
              <w:topLinePunct w:val="0"/>
              <w:autoSpaceDE/>
              <w:autoSpaceDN/>
              <w:bidi w:val="0"/>
              <w:adjustRightInd w:val="0"/>
              <w:snapToGrid w:val="0"/>
              <w:spacing w:line="360" w:lineRule="auto"/>
              <w:jc w:val="center"/>
              <w:rPr>
                <w:rFonts w:hint="eastAsia" w:ascii="宋体" w:hAnsi="宋体" w:eastAsia="宋体" w:cs="宋体"/>
                <w:i w:val="0"/>
                <w:iCs w:val="0"/>
                <w:color w:val="000000"/>
                <w:sz w:val="21"/>
                <w:szCs w:val="21"/>
                <w:highlight w:val="none"/>
                <w:u w:val="none"/>
              </w:rPr>
            </w:pPr>
          </w:p>
        </w:tc>
        <w:tc>
          <w:tcPr>
            <w:tcW w:w="1241" w:type="dxa"/>
            <w:shd w:val="clear" w:color="auto" w:fill="auto"/>
            <w:noWrap/>
            <w:vAlign w:val="center"/>
          </w:tcPr>
          <w:p w14:paraId="5044EB30">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ascii="宋体" w:hAnsi="宋体" w:eastAsia="宋体" w:cs="宋体"/>
                <w:i w:val="0"/>
                <w:iCs w:val="0"/>
                <w:color w:val="000000"/>
                <w:sz w:val="21"/>
                <w:szCs w:val="21"/>
                <w:highlight w:val="none"/>
                <w:u w:val="none"/>
              </w:rPr>
            </w:pPr>
            <w:r>
              <w:rPr>
                <w:rFonts w:ascii="宋体" w:hAnsi="宋体" w:eastAsia="宋体" w:cs="宋体"/>
                <w:i w:val="0"/>
                <w:iCs w:val="0"/>
                <w:color w:val="000000"/>
                <w:kern w:val="0"/>
                <w:sz w:val="21"/>
                <w:szCs w:val="21"/>
                <w:highlight w:val="none"/>
                <w:u w:val="none"/>
                <w:lang w:val="en-US" w:eastAsia="zh-CN" w:bidi="ar"/>
              </w:rPr>
              <w:t>个人中心</w:t>
            </w:r>
          </w:p>
        </w:tc>
        <w:tc>
          <w:tcPr>
            <w:tcW w:w="7076" w:type="dxa"/>
            <w:shd w:val="clear" w:color="auto" w:fill="auto"/>
            <w:vAlign w:val="center"/>
          </w:tcPr>
          <w:p w14:paraId="1492837E">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ascii="宋体" w:hAnsi="宋体" w:eastAsia="宋体" w:cs="宋体"/>
                <w:i w:val="0"/>
                <w:iCs w:val="0"/>
                <w:color w:val="000000"/>
                <w:sz w:val="21"/>
                <w:szCs w:val="21"/>
                <w:highlight w:val="none"/>
                <w:u w:val="none"/>
              </w:rPr>
            </w:pPr>
            <w:r>
              <w:rPr>
                <w:rFonts w:ascii="宋体" w:hAnsi="宋体" w:eastAsia="宋体" w:cs="宋体"/>
                <w:i w:val="0"/>
                <w:iCs w:val="0"/>
                <w:color w:val="000000"/>
                <w:kern w:val="0"/>
                <w:sz w:val="21"/>
                <w:szCs w:val="21"/>
                <w:highlight w:val="none"/>
                <w:u w:val="none"/>
                <w:lang w:val="en-US" w:eastAsia="zh-CN" w:bidi="ar"/>
              </w:rPr>
              <w:t>展示个人移动端的用户信息，支持设置个人用户信息，进行退出或登录操作。</w:t>
            </w:r>
          </w:p>
        </w:tc>
      </w:tr>
      <w:tr w14:paraId="73E0E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1322" w:type="dxa"/>
            <w:vMerge w:val="continue"/>
            <w:shd w:val="clear" w:color="auto" w:fill="auto"/>
            <w:noWrap/>
            <w:vAlign w:val="center"/>
          </w:tcPr>
          <w:p w14:paraId="1C9DD17E">
            <w:pPr>
              <w:keepNext w:val="0"/>
              <w:keepLines w:val="0"/>
              <w:pageBreakBefore w:val="0"/>
              <w:kinsoku/>
              <w:wordWrap/>
              <w:overflowPunct/>
              <w:topLinePunct w:val="0"/>
              <w:autoSpaceDE/>
              <w:autoSpaceDN/>
              <w:bidi w:val="0"/>
              <w:adjustRightInd w:val="0"/>
              <w:snapToGrid w:val="0"/>
              <w:spacing w:line="360" w:lineRule="auto"/>
              <w:jc w:val="center"/>
              <w:rPr>
                <w:rFonts w:hint="eastAsia" w:ascii="宋体" w:hAnsi="宋体" w:eastAsia="宋体" w:cs="宋体"/>
                <w:i w:val="0"/>
                <w:iCs w:val="0"/>
                <w:color w:val="000000"/>
                <w:sz w:val="21"/>
                <w:szCs w:val="21"/>
                <w:highlight w:val="none"/>
                <w:u w:val="none"/>
              </w:rPr>
            </w:pPr>
          </w:p>
        </w:tc>
        <w:tc>
          <w:tcPr>
            <w:tcW w:w="1241" w:type="dxa"/>
            <w:shd w:val="clear" w:color="auto" w:fill="auto"/>
            <w:noWrap/>
            <w:vAlign w:val="center"/>
          </w:tcPr>
          <w:p w14:paraId="5279EFD1">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ascii="宋体" w:hAnsi="宋体" w:eastAsia="宋体" w:cs="宋体"/>
                <w:i w:val="0"/>
                <w:iCs w:val="0"/>
                <w:color w:val="000000"/>
                <w:sz w:val="21"/>
                <w:szCs w:val="21"/>
                <w:highlight w:val="none"/>
                <w:u w:val="none"/>
              </w:rPr>
            </w:pPr>
            <w:r>
              <w:rPr>
                <w:rFonts w:ascii="宋体" w:hAnsi="宋体" w:eastAsia="宋体" w:cs="宋体"/>
                <w:i w:val="0"/>
                <w:iCs w:val="0"/>
                <w:color w:val="000000"/>
                <w:kern w:val="0"/>
                <w:sz w:val="21"/>
                <w:szCs w:val="21"/>
                <w:highlight w:val="none"/>
                <w:u w:val="none"/>
                <w:lang w:val="en-US" w:eastAsia="zh-CN" w:bidi="ar"/>
              </w:rPr>
              <w:t>软件绑定</w:t>
            </w:r>
          </w:p>
        </w:tc>
        <w:tc>
          <w:tcPr>
            <w:tcW w:w="7076" w:type="dxa"/>
            <w:shd w:val="clear" w:color="auto" w:fill="auto"/>
            <w:vAlign w:val="center"/>
          </w:tcPr>
          <w:p w14:paraId="2AC73E42">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ascii="宋体" w:hAnsi="宋体" w:eastAsia="宋体" w:cs="宋体"/>
                <w:i w:val="0"/>
                <w:iCs w:val="0"/>
                <w:color w:val="000000"/>
                <w:sz w:val="21"/>
                <w:szCs w:val="21"/>
                <w:highlight w:val="none"/>
                <w:u w:val="none"/>
              </w:rPr>
            </w:pPr>
            <w:r>
              <w:rPr>
                <w:rFonts w:ascii="宋体" w:hAnsi="宋体" w:eastAsia="宋体" w:cs="宋体"/>
                <w:i w:val="0"/>
                <w:iCs w:val="0"/>
                <w:color w:val="000000"/>
                <w:kern w:val="0"/>
                <w:sz w:val="21"/>
                <w:szCs w:val="21"/>
                <w:highlight w:val="none"/>
                <w:u w:val="none"/>
                <w:lang w:val="en-US" w:eastAsia="zh-CN" w:bidi="ar"/>
              </w:rPr>
              <w:t>支持与企业微信、微信公众号绑定，实现信息互通功能。</w:t>
            </w:r>
          </w:p>
        </w:tc>
      </w:tr>
      <w:tr w14:paraId="4C1B3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01" w:hRule="atLeast"/>
          <w:jc w:val="center"/>
        </w:trPr>
        <w:tc>
          <w:tcPr>
            <w:tcW w:w="1322" w:type="dxa"/>
            <w:vMerge w:val="restart"/>
            <w:shd w:val="clear" w:color="auto" w:fill="auto"/>
            <w:noWrap/>
            <w:vAlign w:val="center"/>
          </w:tcPr>
          <w:p w14:paraId="597902F6">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ascii="宋体" w:hAnsi="宋体" w:eastAsia="宋体" w:cs="宋体"/>
                <w:i w:val="0"/>
                <w:iCs w:val="0"/>
                <w:color w:val="000000"/>
                <w:sz w:val="21"/>
                <w:szCs w:val="21"/>
                <w:highlight w:val="none"/>
                <w:u w:val="none"/>
              </w:rPr>
            </w:pPr>
            <w:r>
              <w:rPr>
                <w:rFonts w:ascii="宋体" w:hAnsi="宋体" w:eastAsia="宋体" w:cs="宋体"/>
                <w:i w:val="0"/>
                <w:iCs w:val="0"/>
                <w:color w:val="000000"/>
                <w:kern w:val="0"/>
                <w:sz w:val="21"/>
                <w:szCs w:val="21"/>
                <w:highlight w:val="none"/>
                <w:u w:val="none"/>
                <w:lang w:val="en-US" w:eastAsia="zh-CN" w:bidi="ar"/>
              </w:rPr>
              <w:t>患者移动端</w:t>
            </w:r>
          </w:p>
        </w:tc>
        <w:tc>
          <w:tcPr>
            <w:tcW w:w="1241" w:type="dxa"/>
            <w:shd w:val="clear" w:color="auto" w:fill="auto"/>
            <w:noWrap/>
            <w:vAlign w:val="center"/>
          </w:tcPr>
          <w:p w14:paraId="570A06A8">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ascii="宋体" w:hAnsi="宋体" w:eastAsia="宋体" w:cs="宋体"/>
                <w:i w:val="0"/>
                <w:iCs w:val="0"/>
                <w:color w:val="000000"/>
                <w:sz w:val="21"/>
                <w:szCs w:val="21"/>
                <w:highlight w:val="none"/>
                <w:u w:val="none"/>
              </w:rPr>
            </w:pPr>
            <w:r>
              <w:rPr>
                <w:rFonts w:ascii="宋体" w:hAnsi="宋体" w:eastAsia="宋体" w:cs="宋体"/>
                <w:i w:val="0"/>
                <w:iCs w:val="0"/>
                <w:color w:val="000000"/>
                <w:kern w:val="0"/>
                <w:sz w:val="21"/>
                <w:szCs w:val="21"/>
                <w:highlight w:val="none"/>
                <w:u w:val="none"/>
                <w:lang w:val="en-US" w:eastAsia="zh-CN" w:bidi="ar"/>
              </w:rPr>
              <w:t>健康档案</w:t>
            </w:r>
          </w:p>
        </w:tc>
        <w:tc>
          <w:tcPr>
            <w:tcW w:w="7076" w:type="dxa"/>
            <w:shd w:val="clear" w:color="auto" w:fill="auto"/>
            <w:vAlign w:val="center"/>
          </w:tcPr>
          <w:p w14:paraId="26802678">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ascii="宋体" w:hAnsi="宋体" w:eastAsia="宋体" w:cs="宋体"/>
                <w:i w:val="0"/>
                <w:iCs w:val="0"/>
                <w:color w:val="000000"/>
                <w:sz w:val="21"/>
                <w:szCs w:val="21"/>
                <w:highlight w:val="none"/>
                <w:u w:val="none"/>
              </w:rPr>
            </w:pPr>
            <w:r>
              <w:rPr>
                <w:rFonts w:ascii="宋体" w:hAnsi="宋体" w:eastAsia="宋体" w:cs="宋体"/>
                <w:i w:val="0"/>
                <w:iCs w:val="0"/>
                <w:color w:val="000000"/>
                <w:kern w:val="0"/>
                <w:sz w:val="21"/>
                <w:szCs w:val="21"/>
                <w:highlight w:val="none"/>
                <w:u w:val="none"/>
                <w:lang w:val="en-US" w:eastAsia="zh-CN" w:bidi="ar"/>
              </w:rPr>
              <w:t>患者可查看自己的就诊记录和检验检查等病历数据，支持患者手动输入居家监测数据（如血糖血压），上传病历图片、视频数据。</w:t>
            </w:r>
          </w:p>
        </w:tc>
      </w:tr>
      <w:tr w14:paraId="4DB03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7" w:hRule="atLeast"/>
          <w:jc w:val="center"/>
        </w:trPr>
        <w:tc>
          <w:tcPr>
            <w:tcW w:w="1322" w:type="dxa"/>
            <w:vMerge w:val="continue"/>
            <w:shd w:val="clear" w:color="auto" w:fill="auto"/>
            <w:noWrap/>
            <w:vAlign w:val="center"/>
          </w:tcPr>
          <w:p w14:paraId="343EF5D8">
            <w:pPr>
              <w:keepNext w:val="0"/>
              <w:keepLines w:val="0"/>
              <w:pageBreakBefore w:val="0"/>
              <w:kinsoku/>
              <w:wordWrap/>
              <w:overflowPunct/>
              <w:topLinePunct w:val="0"/>
              <w:autoSpaceDE/>
              <w:autoSpaceDN/>
              <w:bidi w:val="0"/>
              <w:adjustRightInd w:val="0"/>
              <w:snapToGrid w:val="0"/>
              <w:spacing w:line="360" w:lineRule="auto"/>
              <w:jc w:val="center"/>
              <w:rPr>
                <w:rFonts w:hint="eastAsia" w:ascii="宋体" w:hAnsi="宋体" w:eastAsia="宋体" w:cs="宋体"/>
                <w:i w:val="0"/>
                <w:iCs w:val="0"/>
                <w:color w:val="000000"/>
                <w:sz w:val="21"/>
                <w:szCs w:val="21"/>
                <w:highlight w:val="none"/>
                <w:u w:val="none"/>
              </w:rPr>
            </w:pPr>
          </w:p>
        </w:tc>
        <w:tc>
          <w:tcPr>
            <w:tcW w:w="1241" w:type="dxa"/>
            <w:shd w:val="clear" w:color="auto" w:fill="auto"/>
            <w:noWrap/>
            <w:vAlign w:val="center"/>
          </w:tcPr>
          <w:p w14:paraId="165315E5">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ascii="宋体" w:hAnsi="宋体" w:eastAsia="宋体" w:cs="宋体"/>
                <w:i w:val="0"/>
                <w:iCs w:val="0"/>
                <w:color w:val="000000"/>
                <w:sz w:val="21"/>
                <w:szCs w:val="21"/>
                <w:highlight w:val="none"/>
                <w:u w:val="none"/>
              </w:rPr>
            </w:pPr>
            <w:r>
              <w:rPr>
                <w:rFonts w:ascii="宋体" w:hAnsi="宋体" w:eastAsia="宋体" w:cs="宋体"/>
                <w:i w:val="0"/>
                <w:iCs w:val="0"/>
                <w:color w:val="000000"/>
                <w:kern w:val="0"/>
                <w:sz w:val="21"/>
                <w:szCs w:val="21"/>
                <w:highlight w:val="none"/>
                <w:u w:val="none"/>
                <w:lang w:val="en-US" w:eastAsia="zh-CN" w:bidi="ar"/>
              </w:rPr>
              <w:t>健康计划</w:t>
            </w:r>
          </w:p>
        </w:tc>
        <w:tc>
          <w:tcPr>
            <w:tcW w:w="7076" w:type="dxa"/>
            <w:shd w:val="clear" w:color="auto" w:fill="auto"/>
            <w:vAlign w:val="center"/>
          </w:tcPr>
          <w:p w14:paraId="728F606D">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ascii="宋体" w:hAnsi="宋体" w:eastAsia="宋体" w:cs="宋体"/>
                <w:i w:val="0"/>
                <w:iCs w:val="0"/>
                <w:color w:val="000000"/>
                <w:sz w:val="21"/>
                <w:szCs w:val="21"/>
                <w:highlight w:val="none"/>
                <w:u w:val="none"/>
              </w:rPr>
            </w:pPr>
            <w:r>
              <w:rPr>
                <w:rFonts w:ascii="宋体" w:hAnsi="宋体" w:eastAsia="宋体" w:cs="宋体"/>
                <w:i w:val="0"/>
                <w:iCs w:val="0"/>
                <w:color w:val="000000"/>
                <w:kern w:val="0"/>
                <w:sz w:val="21"/>
                <w:szCs w:val="21"/>
                <w:highlight w:val="none"/>
                <w:u w:val="none"/>
                <w:lang w:val="en-US" w:eastAsia="zh-CN" w:bidi="ar"/>
              </w:rPr>
              <w:t>患者可查看自己的所有健康管理任务计划，包括但不限于随访任务、宣教任务、评估任务、复诊复查任务、满意度调查任务。</w:t>
            </w:r>
          </w:p>
        </w:tc>
      </w:tr>
      <w:tr w14:paraId="053A3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2" w:hRule="atLeast"/>
          <w:jc w:val="center"/>
        </w:trPr>
        <w:tc>
          <w:tcPr>
            <w:tcW w:w="1322" w:type="dxa"/>
            <w:vMerge w:val="continue"/>
            <w:shd w:val="clear" w:color="auto" w:fill="auto"/>
            <w:noWrap/>
            <w:vAlign w:val="center"/>
          </w:tcPr>
          <w:p w14:paraId="259906F7">
            <w:pPr>
              <w:keepNext w:val="0"/>
              <w:keepLines w:val="0"/>
              <w:pageBreakBefore w:val="0"/>
              <w:kinsoku/>
              <w:wordWrap/>
              <w:overflowPunct/>
              <w:topLinePunct w:val="0"/>
              <w:autoSpaceDE/>
              <w:autoSpaceDN/>
              <w:bidi w:val="0"/>
              <w:adjustRightInd w:val="0"/>
              <w:snapToGrid w:val="0"/>
              <w:spacing w:line="360" w:lineRule="auto"/>
              <w:jc w:val="center"/>
              <w:rPr>
                <w:rFonts w:hint="eastAsia" w:ascii="宋体" w:hAnsi="宋体" w:eastAsia="宋体" w:cs="宋体"/>
                <w:i w:val="0"/>
                <w:iCs w:val="0"/>
                <w:color w:val="000000"/>
                <w:sz w:val="21"/>
                <w:szCs w:val="21"/>
                <w:highlight w:val="none"/>
                <w:u w:val="none"/>
              </w:rPr>
            </w:pPr>
          </w:p>
        </w:tc>
        <w:tc>
          <w:tcPr>
            <w:tcW w:w="1241" w:type="dxa"/>
            <w:shd w:val="clear" w:color="auto" w:fill="auto"/>
            <w:noWrap/>
            <w:vAlign w:val="center"/>
          </w:tcPr>
          <w:p w14:paraId="3440772C">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ascii="宋体" w:hAnsi="宋体" w:eastAsia="宋体" w:cs="宋体"/>
                <w:i w:val="0"/>
                <w:iCs w:val="0"/>
                <w:color w:val="000000"/>
                <w:sz w:val="21"/>
                <w:szCs w:val="21"/>
                <w:highlight w:val="none"/>
                <w:u w:val="none"/>
              </w:rPr>
            </w:pPr>
            <w:r>
              <w:rPr>
                <w:rFonts w:ascii="宋体" w:hAnsi="宋体" w:eastAsia="宋体" w:cs="宋体"/>
                <w:i w:val="0"/>
                <w:iCs w:val="0"/>
                <w:color w:val="000000"/>
                <w:kern w:val="0"/>
                <w:sz w:val="21"/>
                <w:szCs w:val="21"/>
                <w:highlight w:val="none"/>
                <w:u w:val="none"/>
                <w:lang w:val="en-US" w:eastAsia="zh-CN" w:bidi="ar"/>
              </w:rPr>
              <w:t>咨询沟通</w:t>
            </w:r>
          </w:p>
        </w:tc>
        <w:tc>
          <w:tcPr>
            <w:tcW w:w="7076" w:type="dxa"/>
            <w:shd w:val="clear" w:color="auto" w:fill="auto"/>
            <w:vAlign w:val="center"/>
          </w:tcPr>
          <w:p w14:paraId="3146E2F6">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ascii="宋体" w:hAnsi="宋体" w:eastAsia="宋体" w:cs="宋体"/>
                <w:i w:val="0"/>
                <w:iCs w:val="0"/>
                <w:color w:val="000000"/>
                <w:sz w:val="21"/>
                <w:szCs w:val="21"/>
                <w:highlight w:val="none"/>
                <w:u w:val="none"/>
              </w:rPr>
            </w:pPr>
            <w:r>
              <w:rPr>
                <w:rFonts w:ascii="宋体" w:hAnsi="宋体" w:eastAsia="宋体" w:cs="宋体"/>
                <w:i w:val="0"/>
                <w:iCs w:val="0"/>
                <w:color w:val="000000"/>
                <w:kern w:val="0"/>
                <w:sz w:val="21"/>
                <w:szCs w:val="21"/>
                <w:highlight w:val="none"/>
                <w:u w:val="none"/>
                <w:lang w:val="en-US" w:eastAsia="zh-CN" w:bidi="ar"/>
              </w:rPr>
              <w:t>1）患者可通过咨询工作台与医护人员进行图文沟通咨询。</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2）咨询工作台集成预约挂号、投诉表扬、推送问卷、推送健康知识功能。</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3）支持单聊和群聊功能。</w:t>
            </w:r>
          </w:p>
        </w:tc>
      </w:tr>
      <w:tr w14:paraId="7B3C2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2" w:hRule="atLeast"/>
          <w:jc w:val="center"/>
        </w:trPr>
        <w:tc>
          <w:tcPr>
            <w:tcW w:w="1322" w:type="dxa"/>
            <w:vMerge w:val="continue"/>
            <w:shd w:val="clear" w:color="auto" w:fill="auto"/>
            <w:noWrap/>
            <w:vAlign w:val="center"/>
          </w:tcPr>
          <w:p w14:paraId="3C7AAD00">
            <w:pPr>
              <w:keepNext w:val="0"/>
              <w:keepLines w:val="0"/>
              <w:pageBreakBefore w:val="0"/>
              <w:kinsoku/>
              <w:wordWrap/>
              <w:overflowPunct/>
              <w:topLinePunct w:val="0"/>
              <w:autoSpaceDE/>
              <w:autoSpaceDN/>
              <w:bidi w:val="0"/>
              <w:adjustRightInd w:val="0"/>
              <w:snapToGrid w:val="0"/>
              <w:spacing w:line="360" w:lineRule="auto"/>
              <w:jc w:val="center"/>
              <w:rPr>
                <w:rFonts w:hint="eastAsia" w:ascii="宋体" w:hAnsi="宋体" w:eastAsia="宋体" w:cs="宋体"/>
                <w:i w:val="0"/>
                <w:iCs w:val="0"/>
                <w:color w:val="000000"/>
                <w:sz w:val="21"/>
                <w:szCs w:val="21"/>
                <w:highlight w:val="none"/>
                <w:u w:val="none"/>
              </w:rPr>
            </w:pPr>
          </w:p>
        </w:tc>
        <w:tc>
          <w:tcPr>
            <w:tcW w:w="1241" w:type="dxa"/>
            <w:shd w:val="clear" w:color="auto" w:fill="auto"/>
            <w:noWrap/>
            <w:vAlign w:val="center"/>
          </w:tcPr>
          <w:p w14:paraId="45A7F128">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ascii="宋体" w:hAnsi="宋体" w:eastAsia="宋体" w:cs="宋体"/>
                <w:i w:val="0"/>
                <w:iCs w:val="0"/>
                <w:color w:val="000000"/>
                <w:sz w:val="21"/>
                <w:szCs w:val="21"/>
                <w:highlight w:val="none"/>
                <w:u w:val="none"/>
              </w:rPr>
            </w:pPr>
            <w:r>
              <w:rPr>
                <w:rFonts w:ascii="宋体" w:hAnsi="宋体" w:eastAsia="宋体" w:cs="宋体"/>
                <w:i w:val="0"/>
                <w:iCs w:val="0"/>
                <w:color w:val="000000"/>
                <w:kern w:val="0"/>
                <w:sz w:val="21"/>
                <w:szCs w:val="21"/>
                <w:highlight w:val="none"/>
                <w:u w:val="none"/>
                <w:lang w:val="en-US" w:eastAsia="zh-CN" w:bidi="ar"/>
              </w:rPr>
              <w:t>消息中心</w:t>
            </w:r>
          </w:p>
        </w:tc>
        <w:tc>
          <w:tcPr>
            <w:tcW w:w="7076" w:type="dxa"/>
            <w:shd w:val="clear" w:color="auto" w:fill="auto"/>
            <w:vAlign w:val="center"/>
          </w:tcPr>
          <w:p w14:paraId="66E94B0D">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ascii="宋体" w:hAnsi="宋体" w:eastAsia="宋体" w:cs="宋体"/>
                <w:i w:val="0"/>
                <w:iCs w:val="0"/>
                <w:color w:val="000000"/>
                <w:sz w:val="21"/>
                <w:szCs w:val="21"/>
                <w:highlight w:val="none"/>
                <w:u w:val="none"/>
              </w:rPr>
            </w:pPr>
            <w:r>
              <w:rPr>
                <w:rFonts w:ascii="宋体" w:hAnsi="宋体" w:eastAsia="宋体" w:cs="宋体"/>
                <w:i w:val="0"/>
                <w:iCs w:val="0"/>
                <w:color w:val="000000"/>
                <w:kern w:val="0"/>
                <w:sz w:val="21"/>
                <w:szCs w:val="21"/>
                <w:highlight w:val="none"/>
                <w:u w:val="none"/>
                <w:lang w:val="en-US" w:eastAsia="zh-CN" w:bidi="ar"/>
              </w:rPr>
              <w:t>1）实时消息提醒中心，提醒内容包括但不限于随访任务提醒、宣教任务提醒、调查任务提醒、复诊任务提醒、复诊反馈提醒、医患沟通消息提醒；根据不用的应用场景，推送患者不同的消息提醒。</w:t>
            </w:r>
            <w:r>
              <w:rPr>
                <w:rFonts w:ascii="宋体" w:hAnsi="宋体" w:eastAsia="宋体" w:cs="宋体"/>
                <w:i w:val="0"/>
                <w:iCs w:val="0"/>
                <w:color w:val="000000"/>
                <w:kern w:val="0"/>
                <w:sz w:val="21"/>
                <w:szCs w:val="21"/>
                <w:highlight w:val="none"/>
                <w:u w:val="none"/>
                <w:lang w:val="en-US" w:eastAsia="zh-CN" w:bidi="ar"/>
              </w:rPr>
              <w:br w:type="textWrapping"/>
            </w:r>
            <w:r>
              <w:rPr>
                <w:rFonts w:ascii="宋体" w:hAnsi="宋体" w:eastAsia="宋体" w:cs="宋体"/>
                <w:i w:val="0"/>
                <w:iCs w:val="0"/>
                <w:color w:val="000000"/>
                <w:kern w:val="0"/>
                <w:sz w:val="21"/>
                <w:szCs w:val="21"/>
                <w:highlight w:val="none"/>
                <w:u w:val="none"/>
                <w:lang w:val="en-US" w:eastAsia="zh-CN" w:bidi="ar"/>
              </w:rPr>
              <w:t>2)异常结果提醒：随访异常结果、检验检查异常结果及主管医生处理意见支持通过微信公众号或患者移动端推送给患者，并可直接转至医院预约挂号界面。</w:t>
            </w:r>
          </w:p>
        </w:tc>
      </w:tr>
      <w:tr w14:paraId="18DF1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1322" w:type="dxa"/>
            <w:vMerge w:val="continue"/>
            <w:shd w:val="clear" w:color="auto" w:fill="auto"/>
            <w:noWrap/>
            <w:vAlign w:val="center"/>
          </w:tcPr>
          <w:p w14:paraId="3377EA2A">
            <w:pPr>
              <w:keepNext w:val="0"/>
              <w:keepLines w:val="0"/>
              <w:pageBreakBefore w:val="0"/>
              <w:kinsoku/>
              <w:wordWrap/>
              <w:overflowPunct/>
              <w:topLinePunct w:val="0"/>
              <w:autoSpaceDE/>
              <w:autoSpaceDN/>
              <w:bidi w:val="0"/>
              <w:adjustRightInd w:val="0"/>
              <w:snapToGrid w:val="0"/>
              <w:spacing w:line="360" w:lineRule="auto"/>
              <w:jc w:val="center"/>
              <w:rPr>
                <w:rFonts w:hint="eastAsia" w:ascii="宋体" w:hAnsi="宋体" w:eastAsia="宋体" w:cs="宋体"/>
                <w:i w:val="0"/>
                <w:iCs w:val="0"/>
                <w:color w:val="000000"/>
                <w:sz w:val="21"/>
                <w:szCs w:val="21"/>
                <w:highlight w:val="none"/>
                <w:u w:val="none"/>
              </w:rPr>
            </w:pPr>
          </w:p>
        </w:tc>
        <w:tc>
          <w:tcPr>
            <w:tcW w:w="1241" w:type="dxa"/>
            <w:shd w:val="clear" w:color="auto" w:fill="auto"/>
            <w:noWrap/>
            <w:vAlign w:val="center"/>
          </w:tcPr>
          <w:p w14:paraId="39C86BCF">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center"/>
              <w:rPr>
                <w:rFonts w:ascii="宋体" w:hAnsi="宋体" w:eastAsia="宋体" w:cs="宋体"/>
                <w:i w:val="0"/>
                <w:iCs w:val="0"/>
                <w:color w:val="000000"/>
                <w:sz w:val="21"/>
                <w:szCs w:val="21"/>
                <w:highlight w:val="none"/>
                <w:u w:val="none"/>
              </w:rPr>
            </w:pPr>
            <w:r>
              <w:rPr>
                <w:rFonts w:ascii="宋体" w:hAnsi="宋体" w:eastAsia="宋体" w:cs="宋体"/>
                <w:i w:val="0"/>
                <w:iCs w:val="0"/>
                <w:color w:val="000000"/>
                <w:kern w:val="0"/>
                <w:sz w:val="21"/>
                <w:szCs w:val="21"/>
                <w:highlight w:val="none"/>
                <w:u w:val="none"/>
                <w:lang w:val="en-US" w:eastAsia="zh-CN" w:bidi="ar"/>
              </w:rPr>
              <w:t>个人中心</w:t>
            </w:r>
          </w:p>
        </w:tc>
        <w:tc>
          <w:tcPr>
            <w:tcW w:w="7076" w:type="dxa"/>
            <w:shd w:val="clear" w:color="auto" w:fill="auto"/>
            <w:vAlign w:val="center"/>
          </w:tcPr>
          <w:p w14:paraId="4A3DE87E">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ascii="宋体" w:hAnsi="宋体" w:eastAsia="宋体" w:cs="宋体"/>
                <w:i w:val="0"/>
                <w:iCs w:val="0"/>
                <w:color w:val="000000"/>
                <w:sz w:val="21"/>
                <w:szCs w:val="21"/>
                <w:highlight w:val="none"/>
                <w:u w:val="none"/>
              </w:rPr>
            </w:pPr>
            <w:r>
              <w:rPr>
                <w:rFonts w:ascii="宋体" w:hAnsi="宋体" w:eastAsia="宋体" w:cs="宋体"/>
                <w:i w:val="0"/>
                <w:iCs w:val="0"/>
                <w:color w:val="000000"/>
                <w:kern w:val="0"/>
                <w:sz w:val="21"/>
                <w:szCs w:val="21"/>
                <w:highlight w:val="none"/>
                <w:u w:val="none"/>
                <w:lang w:val="en-US" w:eastAsia="zh-CN" w:bidi="ar"/>
              </w:rPr>
              <w:t>就诊人管理，可添加、删除多个就诊人，如添加家庭成员，维护基本信息，绑定关系，可以帮助家人进行健康管理。</w:t>
            </w:r>
          </w:p>
        </w:tc>
      </w:tr>
      <w:tr w14:paraId="5DE6F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9639" w:type="dxa"/>
            <w:gridSpan w:val="3"/>
            <w:shd w:val="clear" w:color="auto" w:fill="auto"/>
            <w:noWrap/>
            <w:vAlign w:val="center"/>
          </w:tcPr>
          <w:p w14:paraId="45D2DE05">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其他技术需求：</w:t>
            </w:r>
          </w:p>
        </w:tc>
      </w:tr>
      <w:tr w14:paraId="5E62D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96" w:hRule="atLeast"/>
          <w:jc w:val="center"/>
        </w:trPr>
        <w:tc>
          <w:tcPr>
            <w:tcW w:w="1322" w:type="dxa"/>
            <w:shd w:val="clear" w:color="auto" w:fill="auto"/>
            <w:noWrap/>
            <w:vAlign w:val="center"/>
          </w:tcPr>
          <w:p w14:paraId="4860FBFD">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color w:val="000000"/>
                <w:kern w:val="0"/>
                <w:sz w:val="21"/>
                <w:szCs w:val="21"/>
                <w:highlight w:val="none"/>
                <w:u w:val="none"/>
                <w:lang w:bidi="ar"/>
              </w:rPr>
              <w:t>对接需求</w:t>
            </w:r>
          </w:p>
        </w:tc>
        <w:tc>
          <w:tcPr>
            <w:tcW w:w="1241" w:type="dxa"/>
            <w:shd w:val="clear" w:color="auto" w:fill="auto"/>
            <w:noWrap/>
            <w:vAlign w:val="center"/>
          </w:tcPr>
          <w:p w14:paraId="6C60F5CC">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color w:val="000000"/>
                <w:kern w:val="0"/>
                <w:sz w:val="21"/>
                <w:szCs w:val="21"/>
                <w:highlight w:val="none"/>
                <w:u w:val="none"/>
                <w:lang w:bidi="ar"/>
              </w:rPr>
              <w:t>对接需求</w:t>
            </w:r>
          </w:p>
        </w:tc>
        <w:tc>
          <w:tcPr>
            <w:tcW w:w="7076" w:type="dxa"/>
            <w:shd w:val="clear" w:color="auto" w:fill="auto"/>
            <w:noWrap/>
            <w:vAlign w:val="center"/>
          </w:tcPr>
          <w:p w14:paraId="4C969C39">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对接甲方企业微信、公众号。</w:t>
            </w:r>
          </w:p>
          <w:p w14:paraId="7700E7BC">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基于医院现有商用密码基础设施，完成与密码服务平台的集成升级改造工作，实现身份认证、数据传输机密性完整性、数据存储机密性完整性、日志完整性及关键操作抗抵赖等方面国家商用密码应用安全相关标准要求，配合通过商用密码应用安全性评估。</w:t>
            </w:r>
          </w:p>
        </w:tc>
      </w:tr>
    </w:tbl>
    <w:p w14:paraId="0E8256A1"/>
    <w:p w14:paraId="26C86042">
      <w:pPr>
        <w:adjustRightInd w:val="0"/>
        <w:snapToGrid w:val="0"/>
        <w:spacing w:line="360" w:lineRule="auto"/>
        <w:rPr>
          <w:rFonts w:hint="default" w:ascii="宋体" w:hAnsi="宋体" w:eastAsia="宋体" w:cs="宋体"/>
          <w:sz w:val="24"/>
          <w:szCs w:val="24"/>
          <w:lang w:val="en-US" w:eastAsia="zh-CN"/>
        </w:rPr>
      </w:pPr>
    </w:p>
    <w:p w14:paraId="668E79E6">
      <w:pPr>
        <w:pStyle w:val="3"/>
        <w:bidi w:val="0"/>
        <w:rPr>
          <w:rFonts w:hint="eastAsia"/>
        </w:rPr>
      </w:pPr>
      <w:bookmarkStart w:id="205" w:name="_Toc7988"/>
      <w:bookmarkStart w:id="206" w:name="_Toc10591"/>
      <w:bookmarkStart w:id="207" w:name="_Toc29970"/>
      <w:bookmarkStart w:id="208" w:name="_Toc22636"/>
      <w:bookmarkStart w:id="209" w:name="_Toc14056"/>
      <w:r>
        <w:rPr>
          <w:rFonts w:hint="eastAsia"/>
          <w:lang w:val="en-US" w:eastAsia="zh-CN"/>
        </w:rPr>
        <w:t>检中与智能导检模块系统</w:t>
      </w:r>
      <w:bookmarkEnd w:id="205"/>
      <w:bookmarkEnd w:id="206"/>
      <w:bookmarkEnd w:id="207"/>
      <w:bookmarkEnd w:id="208"/>
      <w:bookmarkEnd w:id="209"/>
    </w:p>
    <w:tbl>
      <w:tblPr>
        <w:tblStyle w:val="46"/>
        <w:tblW w:w="9778" w:type="dxa"/>
        <w:jc w:val="center"/>
        <w:tblLayout w:type="autofit"/>
        <w:tblCellMar>
          <w:top w:w="0" w:type="dxa"/>
          <w:left w:w="108" w:type="dxa"/>
          <w:bottom w:w="0" w:type="dxa"/>
          <w:right w:w="108" w:type="dxa"/>
        </w:tblCellMar>
      </w:tblPr>
      <w:tblGrid>
        <w:gridCol w:w="1616"/>
        <w:gridCol w:w="1571"/>
        <w:gridCol w:w="6591"/>
      </w:tblGrid>
      <w:tr w14:paraId="71178AC6">
        <w:tblPrEx>
          <w:tblCellMar>
            <w:top w:w="0" w:type="dxa"/>
            <w:left w:w="108" w:type="dxa"/>
            <w:bottom w:w="0" w:type="dxa"/>
            <w:right w:w="108" w:type="dxa"/>
          </w:tblCellMar>
        </w:tblPrEx>
        <w:trPr>
          <w:trHeight w:val="481" w:hRule="atLeast"/>
          <w:jc w:val="center"/>
        </w:trPr>
        <w:tc>
          <w:tcPr>
            <w:tcW w:w="1616" w:type="dxa"/>
            <w:tcBorders>
              <w:top w:val="single" w:color="auto" w:sz="8" w:space="0"/>
              <w:left w:val="single" w:color="auto" w:sz="8" w:space="0"/>
              <w:bottom w:val="single" w:color="auto" w:sz="8" w:space="0"/>
              <w:right w:val="single" w:color="auto" w:sz="8" w:space="0"/>
            </w:tcBorders>
            <w:noWrap w:val="0"/>
            <w:vAlign w:val="center"/>
          </w:tcPr>
          <w:p w14:paraId="6347068C">
            <w:pPr>
              <w:keepNext w:val="0"/>
              <w:keepLines w:val="0"/>
              <w:pageBreakBefore w:val="0"/>
              <w:widowControl/>
              <w:kinsoku/>
              <w:wordWrap/>
              <w:overflowPunct/>
              <w:topLinePunct w:val="0"/>
              <w:autoSpaceDE/>
              <w:autoSpaceDN/>
              <w:bidi w:val="0"/>
              <w:adjustRightInd w:val="0"/>
              <w:snapToGrid w:val="0"/>
              <w:spacing w:line="360" w:lineRule="auto"/>
              <w:jc w:val="center"/>
              <w:rPr>
                <w:rFonts w:ascii="宋体" w:hAnsi="宋体" w:cs="宋体"/>
                <w:color w:val="000000"/>
                <w:kern w:val="0"/>
                <w:sz w:val="21"/>
                <w:szCs w:val="21"/>
              </w:rPr>
            </w:pPr>
            <w:r>
              <w:rPr>
                <w:rFonts w:hint="eastAsia" w:ascii="宋体" w:hAnsi="宋体" w:cs="宋体"/>
                <w:color w:val="000000"/>
                <w:kern w:val="0"/>
                <w:sz w:val="21"/>
                <w:szCs w:val="21"/>
              </w:rPr>
              <w:t>需求名称</w:t>
            </w:r>
          </w:p>
        </w:tc>
        <w:tc>
          <w:tcPr>
            <w:tcW w:w="1571" w:type="dxa"/>
            <w:tcBorders>
              <w:top w:val="single" w:color="auto" w:sz="8" w:space="0"/>
              <w:left w:val="nil"/>
              <w:bottom w:val="single" w:color="auto" w:sz="8" w:space="0"/>
              <w:right w:val="single" w:color="auto" w:sz="8" w:space="0"/>
            </w:tcBorders>
            <w:noWrap w:val="0"/>
            <w:vAlign w:val="center"/>
          </w:tcPr>
          <w:p w14:paraId="36B902DA">
            <w:pPr>
              <w:keepNext w:val="0"/>
              <w:keepLines w:val="0"/>
              <w:pageBreakBefore w:val="0"/>
              <w:widowControl/>
              <w:kinsoku/>
              <w:wordWrap/>
              <w:overflowPunct/>
              <w:topLinePunct w:val="0"/>
              <w:autoSpaceDE/>
              <w:autoSpaceDN/>
              <w:bidi w:val="0"/>
              <w:adjustRightInd w:val="0"/>
              <w:snapToGrid w:val="0"/>
              <w:spacing w:line="360" w:lineRule="auto"/>
              <w:jc w:val="center"/>
              <w:rPr>
                <w:rFonts w:ascii="宋体" w:hAnsi="宋体" w:cs="宋体"/>
                <w:color w:val="000000"/>
                <w:kern w:val="0"/>
                <w:sz w:val="21"/>
                <w:szCs w:val="21"/>
              </w:rPr>
            </w:pPr>
            <w:r>
              <w:rPr>
                <w:rFonts w:hint="eastAsia" w:ascii="宋体" w:hAnsi="宋体" w:cs="宋体"/>
                <w:color w:val="000000"/>
                <w:kern w:val="0"/>
                <w:sz w:val="21"/>
                <w:szCs w:val="21"/>
              </w:rPr>
              <w:t>序号</w:t>
            </w:r>
          </w:p>
        </w:tc>
        <w:tc>
          <w:tcPr>
            <w:tcW w:w="6591" w:type="dxa"/>
            <w:tcBorders>
              <w:top w:val="single" w:color="auto" w:sz="8" w:space="0"/>
              <w:left w:val="nil"/>
              <w:bottom w:val="single" w:color="auto" w:sz="8" w:space="0"/>
              <w:right w:val="single" w:color="auto" w:sz="8" w:space="0"/>
            </w:tcBorders>
            <w:noWrap w:val="0"/>
            <w:vAlign w:val="center"/>
          </w:tcPr>
          <w:p w14:paraId="0C23DDFC">
            <w:pPr>
              <w:keepNext w:val="0"/>
              <w:keepLines w:val="0"/>
              <w:pageBreakBefore w:val="0"/>
              <w:widowControl/>
              <w:kinsoku/>
              <w:wordWrap/>
              <w:overflowPunct/>
              <w:topLinePunct w:val="0"/>
              <w:autoSpaceDE/>
              <w:autoSpaceDN/>
              <w:bidi w:val="0"/>
              <w:adjustRightInd w:val="0"/>
              <w:snapToGrid w:val="0"/>
              <w:spacing w:line="360" w:lineRule="auto"/>
              <w:jc w:val="center"/>
              <w:rPr>
                <w:rFonts w:hint="eastAsia" w:ascii="宋体" w:hAnsi="宋体" w:cs="宋体"/>
                <w:color w:val="000000"/>
                <w:kern w:val="0"/>
                <w:sz w:val="21"/>
                <w:szCs w:val="21"/>
              </w:rPr>
            </w:pPr>
            <w:r>
              <w:rPr>
                <w:rFonts w:hint="eastAsia" w:ascii="宋体" w:hAnsi="宋体" w:cs="宋体"/>
                <w:color w:val="000000"/>
                <w:kern w:val="0"/>
                <w:sz w:val="21"/>
                <w:szCs w:val="21"/>
              </w:rPr>
              <w:t>需求描述</w:t>
            </w:r>
          </w:p>
        </w:tc>
      </w:tr>
      <w:tr w14:paraId="4C55E47B">
        <w:tblPrEx>
          <w:tblCellMar>
            <w:top w:w="0" w:type="dxa"/>
            <w:left w:w="108" w:type="dxa"/>
            <w:bottom w:w="0" w:type="dxa"/>
            <w:right w:w="108" w:type="dxa"/>
          </w:tblCellMar>
        </w:tblPrEx>
        <w:trPr>
          <w:trHeight w:val="512" w:hRule="atLeast"/>
          <w:jc w:val="center"/>
        </w:trPr>
        <w:tc>
          <w:tcPr>
            <w:tcW w:w="9778" w:type="dxa"/>
            <w:gridSpan w:val="3"/>
            <w:tcBorders>
              <w:top w:val="nil"/>
              <w:left w:val="single" w:color="auto" w:sz="8" w:space="0"/>
              <w:bottom w:val="single" w:color="000000" w:sz="8" w:space="0"/>
              <w:right w:val="single" w:color="auto" w:sz="8" w:space="0"/>
            </w:tcBorders>
            <w:noWrap w:val="0"/>
            <w:vAlign w:val="center"/>
          </w:tcPr>
          <w:p w14:paraId="5BECC56B">
            <w:pPr>
              <w:keepNext w:val="0"/>
              <w:keepLines w:val="0"/>
              <w:pageBreakBefore w:val="0"/>
              <w:widowControl/>
              <w:kinsoku/>
              <w:wordWrap/>
              <w:overflowPunct/>
              <w:topLinePunct w:val="0"/>
              <w:autoSpaceDE/>
              <w:autoSpaceDN/>
              <w:bidi w:val="0"/>
              <w:adjustRightInd w:val="0"/>
              <w:snapToGrid w:val="0"/>
              <w:spacing w:line="360" w:lineRule="auto"/>
              <w:rPr>
                <w:rFonts w:ascii="宋体" w:hAnsi="宋体" w:cs="宋体"/>
                <w:b/>
                <w:bCs/>
                <w:color w:val="FF0000"/>
                <w:kern w:val="0"/>
                <w:sz w:val="21"/>
                <w:szCs w:val="21"/>
              </w:rPr>
            </w:pPr>
            <w:r>
              <w:rPr>
                <w:rFonts w:hint="eastAsia" w:ascii="宋体" w:hAnsi="宋体" w:cs="宋体"/>
                <w:b/>
                <w:bCs/>
                <w:color w:val="000000"/>
                <w:kern w:val="0"/>
                <w:sz w:val="21"/>
                <w:szCs w:val="21"/>
              </w:rPr>
              <w:t>功能需求：</w:t>
            </w:r>
          </w:p>
        </w:tc>
      </w:tr>
      <w:tr w14:paraId="25752535">
        <w:tblPrEx>
          <w:tblCellMar>
            <w:top w:w="0" w:type="dxa"/>
            <w:left w:w="108" w:type="dxa"/>
            <w:bottom w:w="0" w:type="dxa"/>
            <w:right w:w="108" w:type="dxa"/>
          </w:tblCellMar>
        </w:tblPrEx>
        <w:trPr>
          <w:trHeight w:val="1673" w:hRule="atLeast"/>
          <w:jc w:val="center"/>
        </w:trPr>
        <w:tc>
          <w:tcPr>
            <w:tcW w:w="1616" w:type="dxa"/>
            <w:vMerge w:val="restart"/>
            <w:tcBorders>
              <w:top w:val="nil"/>
              <w:left w:val="single" w:color="auto" w:sz="8" w:space="0"/>
              <w:bottom w:val="single" w:color="auto" w:sz="4" w:space="0"/>
              <w:right w:val="single" w:color="auto" w:sz="8" w:space="0"/>
            </w:tcBorders>
            <w:noWrap w:val="0"/>
            <w:vAlign w:val="center"/>
          </w:tcPr>
          <w:p w14:paraId="7E0C35B7">
            <w:pPr>
              <w:keepNext w:val="0"/>
              <w:keepLines w:val="0"/>
              <w:pageBreakBefore w:val="0"/>
              <w:widowControl/>
              <w:numPr>
                <w:ilvl w:val="0"/>
                <w:numId w:val="76"/>
              </w:numPr>
              <w:kinsoku/>
              <w:wordWrap/>
              <w:overflowPunct/>
              <w:topLinePunct w:val="0"/>
              <w:autoSpaceDE/>
              <w:autoSpaceDN/>
              <w:bidi w:val="0"/>
              <w:adjustRightInd w:val="0"/>
              <w:snapToGrid w:val="0"/>
              <w:spacing w:line="360" w:lineRule="auto"/>
              <w:rPr>
                <w:rFonts w:hint="default" w:ascii="宋体" w:hAnsi="宋体" w:eastAsia="宋体" w:cs="宋体"/>
                <w:color w:val="000000"/>
                <w:kern w:val="0"/>
                <w:sz w:val="21"/>
                <w:szCs w:val="21"/>
                <w:lang w:val="en-US" w:eastAsia="zh-CN"/>
              </w:rPr>
            </w:pPr>
            <w:r>
              <w:rPr>
                <w:rFonts w:hint="eastAsia" w:ascii="宋体" w:hAnsi="宋体" w:cs="宋体"/>
                <w:color w:val="000000"/>
                <w:kern w:val="0"/>
                <w:sz w:val="21"/>
                <w:szCs w:val="21"/>
                <w:lang w:val="en-US" w:eastAsia="zh-CN"/>
              </w:rPr>
              <w:t>叫号屏</w:t>
            </w:r>
          </w:p>
        </w:tc>
        <w:tc>
          <w:tcPr>
            <w:tcW w:w="1571" w:type="dxa"/>
            <w:tcBorders>
              <w:top w:val="nil"/>
              <w:left w:val="single" w:color="auto" w:sz="8" w:space="0"/>
              <w:bottom w:val="single" w:color="000000" w:sz="8" w:space="0"/>
              <w:right w:val="single" w:color="auto" w:sz="8" w:space="0"/>
            </w:tcBorders>
            <w:noWrap w:val="0"/>
            <w:vAlign w:val="center"/>
          </w:tcPr>
          <w:p w14:paraId="39A158C0">
            <w:pPr>
              <w:keepNext w:val="0"/>
              <w:keepLines w:val="0"/>
              <w:pageBreakBefore w:val="0"/>
              <w:widowControl/>
              <w:kinsoku/>
              <w:wordWrap/>
              <w:overflowPunct/>
              <w:topLinePunct w:val="0"/>
              <w:autoSpaceDE/>
              <w:autoSpaceDN/>
              <w:bidi w:val="0"/>
              <w:adjustRightInd w:val="0"/>
              <w:snapToGrid w:val="0"/>
              <w:spacing w:line="360" w:lineRule="auto"/>
              <w:jc w:val="center"/>
              <w:rPr>
                <w:rFonts w:hint="default" w:ascii="宋体" w:hAnsi="宋体" w:cs="宋体"/>
                <w:color w:val="000000"/>
                <w:kern w:val="0"/>
                <w:sz w:val="21"/>
                <w:szCs w:val="21"/>
                <w:lang w:val="en-US" w:eastAsia="zh-CN"/>
              </w:rPr>
            </w:pPr>
            <w:r>
              <w:rPr>
                <w:rFonts w:hint="eastAsia" w:ascii="宋体" w:hAnsi="宋体" w:cs="宋体"/>
                <w:color w:val="000000"/>
                <w:kern w:val="0"/>
                <w:sz w:val="21"/>
                <w:szCs w:val="21"/>
                <w:lang w:val="en-US" w:eastAsia="zh-CN"/>
              </w:rPr>
              <w:t>1.1 21.5寸叫号屏技术参数</w:t>
            </w:r>
          </w:p>
        </w:tc>
        <w:tc>
          <w:tcPr>
            <w:tcW w:w="6591" w:type="dxa"/>
            <w:tcBorders>
              <w:top w:val="nil"/>
              <w:left w:val="single" w:color="auto" w:sz="8" w:space="0"/>
              <w:bottom w:val="single" w:color="000000" w:sz="8" w:space="0"/>
              <w:right w:val="single" w:color="auto" w:sz="8" w:space="0"/>
            </w:tcBorders>
            <w:noWrap w:val="0"/>
            <w:vAlign w:val="center"/>
          </w:tcPr>
          <w:p w14:paraId="78E3D346">
            <w:pPr>
              <w:keepNext w:val="0"/>
              <w:keepLines w:val="0"/>
              <w:pageBreakBefore w:val="0"/>
              <w:widowControl/>
              <w:kinsoku/>
              <w:wordWrap/>
              <w:overflowPunct/>
              <w:topLinePunct w:val="0"/>
              <w:autoSpaceDE/>
              <w:autoSpaceDN/>
              <w:bidi w:val="0"/>
              <w:adjustRightInd w:val="0"/>
              <w:snapToGrid w:val="0"/>
              <w:spacing w:line="360" w:lineRule="auto"/>
              <w:jc w:val="left"/>
              <w:rPr>
                <w:rFonts w:hint="default" w:ascii="宋体" w:hAnsi="宋体" w:eastAsia="宋体" w:cs="宋体"/>
                <w:color w:val="000000"/>
                <w:kern w:val="0"/>
                <w:sz w:val="21"/>
                <w:szCs w:val="21"/>
                <w:lang w:val="en-US" w:eastAsia="zh-CN"/>
              </w:rPr>
            </w:pPr>
            <w:r>
              <w:rPr>
                <w:rFonts w:hint="default" w:ascii="宋体" w:hAnsi="宋体" w:eastAsia="宋体" w:cs="宋体"/>
                <w:color w:val="000000"/>
                <w:kern w:val="0"/>
                <w:sz w:val="21"/>
                <w:szCs w:val="21"/>
                <w:lang w:val="en-US" w:eastAsia="zh-CN"/>
              </w:rPr>
              <w:t>操作系统：Android 7.0及以上</w:t>
            </w:r>
            <w:r>
              <w:rPr>
                <w:rFonts w:hint="eastAsia" w:ascii="宋体" w:hAnsi="宋体" w:eastAsia="宋体" w:cs="宋体"/>
                <w:color w:val="000000"/>
                <w:kern w:val="0"/>
                <w:sz w:val="21"/>
                <w:szCs w:val="21"/>
                <w:lang w:val="en-US" w:eastAsia="zh-CN"/>
              </w:rPr>
              <w:t>；</w:t>
            </w:r>
          </w:p>
          <w:p w14:paraId="645A8342">
            <w:pPr>
              <w:keepNext w:val="0"/>
              <w:keepLines w:val="0"/>
              <w:pageBreakBefore w:val="0"/>
              <w:widowControl/>
              <w:kinsoku/>
              <w:wordWrap/>
              <w:overflowPunct/>
              <w:topLinePunct w:val="0"/>
              <w:autoSpaceDE/>
              <w:autoSpaceDN/>
              <w:bidi w:val="0"/>
              <w:adjustRightInd w:val="0"/>
              <w:snapToGrid w:val="0"/>
              <w:spacing w:line="360" w:lineRule="auto"/>
              <w:jc w:val="left"/>
              <w:rPr>
                <w:rFonts w:hint="default" w:ascii="宋体" w:hAnsi="宋体" w:eastAsia="宋体" w:cs="宋体"/>
                <w:color w:val="000000"/>
                <w:kern w:val="0"/>
                <w:sz w:val="21"/>
                <w:szCs w:val="21"/>
                <w:lang w:val="en-US" w:eastAsia="zh-CN"/>
              </w:rPr>
            </w:pPr>
            <w:r>
              <w:rPr>
                <w:rFonts w:hint="default" w:ascii="宋体" w:hAnsi="宋体" w:eastAsia="宋体" w:cs="宋体"/>
                <w:color w:val="000000"/>
                <w:kern w:val="0"/>
                <w:sz w:val="21"/>
                <w:szCs w:val="21"/>
                <w:lang w:val="en-US" w:eastAsia="zh-CN"/>
              </w:rPr>
              <w:t>屏幕尺寸：21.5 英寸</w:t>
            </w:r>
            <w:r>
              <w:rPr>
                <w:rFonts w:hint="eastAsia" w:ascii="宋体" w:hAnsi="宋体" w:eastAsia="宋体" w:cs="宋体"/>
                <w:color w:val="000000"/>
                <w:kern w:val="0"/>
                <w:sz w:val="21"/>
                <w:szCs w:val="21"/>
                <w:lang w:val="en-US" w:eastAsia="zh-CN"/>
              </w:rPr>
              <w:t>；</w:t>
            </w:r>
          </w:p>
          <w:p w14:paraId="421F93E7">
            <w:pPr>
              <w:keepNext w:val="0"/>
              <w:keepLines w:val="0"/>
              <w:pageBreakBefore w:val="0"/>
              <w:widowControl/>
              <w:kinsoku/>
              <w:wordWrap/>
              <w:overflowPunct/>
              <w:topLinePunct w:val="0"/>
              <w:autoSpaceDE/>
              <w:autoSpaceDN/>
              <w:bidi w:val="0"/>
              <w:adjustRightInd w:val="0"/>
              <w:snapToGrid w:val="0"/>
              <w:spacing w:line="360" w:lineRule="auto"/>
              <w:jc w:val="left"/>
              <w:rPr>
                <w:rFonts w:hint="default" w:ascii="宋体" w:hAnsi="宋体" w:eastAsia="宋体" w:cs="宋体"/>
                <w:color w:val="000000"/>
                <w:kern w:val="0"/>
                <w:sz w:val="21"/>
                <w:szCs w:val="21"/>
                <w:lang w:val="en-US" w:eastAsia="zh-CN"/>
              </w:rPr>
            </w:pPr>
            <w:r>
              <w:rPr>
                <w:rFonts w:hint="default" w:ascii="宋体" w:hAnsi="宋体" w:eastAsia="宋体" w:cs="宋体"/>
                <w:color w:val="000000"/>
                <w:kern w:val="0"/>
                <w:sz w:val="21"/>
                <w:szCs w:val="21"/>
                <w:lang w:val="en-US" w:eastAsia="zh-CN"/>
              </w:rPr>
              <w:t>分辨率：不低于1920×1080</w:t>
            </w:r>
            <w:r>
              <w:rPr>
                <w:rFonts w:hint="eastAsia" w:ascii="宋体" w:hAnsi="宋体" w:eastAsia="宋体" w:cs="宋体"/>
                <w:color w:val="000000"/>
                <w:kern w:val="0"/>
                <w:sz w:val="21"/>
                <w:szCs w:val="21"/>
                <w:lang w:val="en-US" w:eastAsia="zh-CN"/>
              </w:rPr>
              <w:t>；</w:t>
            </w:r>
          </w:p>
          <w:p w14:paraId="34C6D5B2">
            <w:pPr>
              <w:keepNext w:val="0"/>
              <w:keepLines w:val="0"/>
              <w:pageBreakBefore w:val="0"/>
              <w:widowControl/>
              <w:kinsoku/>
              <w:wordWrap/>
              <w:overflowPunct/>
              <w:topLinePunct w:val="0"/>
              <w:autoSpaceDE/>
              <w:autoSpaceDN/>
              <w:bidi w:val="0"/>
              <w:adjustRightInd w:val="0"/>
              <w:snapToGrid w:val="0"/>
              <w:spacing w:line="360" w:lineRule="auto"/>
              <w:jc w:val="left"/>
              <w:rPr>
                <w:rFonts w:hint="default" w:ascii="宋体" w:hAnsi="宋体" w:eastAsia="宋体" w:cs="宋体"/>
                <w:color w:val="000000"/>
                <w:kern w:val="0"/>
                <w:sz w:val="21"/>
                <w:szCs w:val="21"/>
                <w:lang w:val="en-US" w:eastAsia="zh-CN"/>
              </w:rPr>
            </w:pPr>
            <w:r>
              <w:rPr>
                <w:rFonts w:hint="default" w:ascii="宋体" w:hAnsi="宋体" w:eastAsia="宋体" w:cs="宋体"/>
                <w:color w:val="000000"/>
                <w:kern w:val="0"/>
                <w:sz w:val="21"/>
                <w:szCs w:val="21"/>
                <w:lang w:val="en-US" w:eastAsia="zh-CN"/>
              </w:rPr>
              <w:t>显示亮度：≥250 cd/m²</w:t>
            </w:r>
            <w:r>
              <w:rPr>
                <w:rFonts w:hint="eastAsia" w:ascii="宋体" w:hAnsi="宋体" w:eastAsia="宋体" w:cs="宋体"/>
                <w:color w:val="000000"/>
                <w:kern w:val="0"/>
                <w:sz w:val="21"/>
                <w:szCs w:val="21"/>
                <w:lang w:val="en-US" w:eastAsia="zh-CN"/>
              </w:rPr>
              <w:t>；</w:t>
            </w:r>
          </w:p>
          <w:p w14:paraId="5D43309E">
            <w:pPr>
              <w:keepNext w:val="0"/>
              <w:keepLines w:val="0"/>
              <w:pageBreakBefore w:val="0"/>
              <w:widowControl/>
              <w:kinsoku/>
              <w:wordWrap/>
              <w:overflowPunct/>
              <w:topLinePunct w:val="0"/>
              <w:autoSpaceDE/>
              <w:autoSpaceDN/>
              <w:bidi w:val="0"/>
              <w:adjustRightInd w:val="0"/>
              <w:snapToGrid w:val="0"/>
              <w:spacing w:line="360" w:lineRule="auto"/>
              <w:jc w:val="left"/>
              <w:rPr>
                <w:rFonts w:hint="default" w:ascii="宋体" w:hAnsi="宋体" w:eastAsia="宋体" w:cs="宋体"/>
                <w:color w:val="000000"/>
                <w:kern w:val="0"/>
                <w:sz w:val="21"/>
                <w:szCs w:val="21"/>
                <w:lang w:val="en-US" w:eastAsia="zh-CN"/>
              </w:rPr>
            </w:pPr>
            <w:r>
              <w:rPr>
                <w:rFonts w:hint="default" w:ascii="宋体" w:hAnsi="宋体" w:eastAsia="宋体" w:cs="宋体"/>
                <w:color w:val="000000"/>
                <w:kern w:val="0"/>
                <w:sz w:val="21"/>
                <w:szCs w:val="21"/>
                <w:lang w:val="en-US" w:eastAsia="zh-CN"/>
              </w:rPr>
              <w:t>对比度：≥1000:1</w:t>
            </w:r>
            <w:r>
              <w:rPr>
                <w:rFonts w:hint="eastAsia" w:ascii="宋体" w:hAnsi="宋体" w:eastAsia="宋体" w:cs="宋体"/>
                <w:color w:val="000000"/>
                <w:kern w:val="0"/>
                <w:sz w:val="21"/>
                <w:szCs w:val="21"/>
                <w:lang w:val="en-US" w:eastAsia="zh-CN"/>
              </w:rPr>
              <w:t>；</w:t>
            </w:r>
          </w:p>
          <w:p w14:paraId="63E7A462">
            <w:pPr>
              <w:keepNext w:val="0"/>
              <w:keepLines w:val="0"/>
              <w:pageBreakBefore w:val="0"/>
              <w:widowControl/>
              <w:kinsoku/>
              <w:wordWrap/>
              <w:overflowPunct/>
              <w:topLinePunct w:val="0"/>
              <w:autoSpaceDE/>
              <w:autoSpaceDN/>
              <w:bidi w:val="0"/>
              <w:adjustRightInd w:val="0"/>
              <w:snapToGrid w:val="0"/>
              <w:spacing w:line="360" w:lineRule="auto"/>
              <w:jc w:val="left"/>
              <w:rPr>
                <w:rFonts w:hint="default" w:ascii="宋体" w:hAnsi="宋体" w:eastAsia="宋体" w:cs="宋体"/>
                <w:color w:val="000000"/>
                <w:kern w:val="0"/>
                <w:sz w:val="21"/>
                <w:szCs w:val="21"/>
                <w:lang w:val="en-US" w:eastAsia="zh-CN"/>
              </w:rPr>
            </w:pPr>
            <w:r>
              <w:rPr>
                <w:rFonts w:hint="default" w:ascii="宋体" w:hAnsi="宋体" w:eastAsia="宋体" w:cs="宋体"/>
                <w:color w:val="000000"/>
                <w:kern w:val="0"/>
                <w:sz w:val="21"/>
                <w:szCs w:val="21"/>
                <w:lang w:val="en-US" w:eastAsia="zh-CN"/>
              </w:rPr>
              <w:t>响应时间：≤5ms</w:t>
            </w:r>
            <w:r>
              <w:rPr>
                <w:rFonts w:hint="eastAsia" w:ascii="宋体" w:hAnsi="宋体" w:eastAsia="宋体" w:cs="宋体"/>
                <w:color w:val="000000"/>
                <w:kern w:val="0"/>
                <w:sz w:val="21"/>
                <w:szCs w:val="21"/>
                <w:lang w:val="en-US" w:eastAsia="zh-CN"/>
              </w:rPr>
              <w:t>；</w:t>
            </w:r>
          </w:p>
          <w:p w14:paraId="096790BC">
            <w:pPr>
              <w:keepNext w:val="0"/>
              <w:keepLines w:val="0"/>
              <w:pageBreakBefore w:val="0"/>
              <w:widowControl/>
              <w:kinsoku/>
              <w:wordWrap/>
              <w:overflowPunct/>
              <w:topLinePunct w:val="0"/>
              <w:autoSpaceDE/>
              <w:autoSpaceDN/>
              <w:bidi w:val="0"/>
              <w:adjustRightInd w:val="0"/>
              <w:snapToGrid w:val="0"/>
              <w:spacing w:line="360" w:lineRule="auto"/>
              <w:jc w:val="left"/>
              <w:rPr>
                <w:rFonts w:hint="default" w:ascii="宋体" w:hAnsi="宋体" w:eastAsia="宋体" w:cs="宋体"/>
                <w:color w:val="000000"/>
                <w:kern w:val="0"/>
                <w:sz w:val="21"/>
                <w:szCs w:val="21"/>
                <w:lang w:val="en-US" w:eastAsia="zh-CN"/>
              </w:rPr>
            </w:pPr>
            <w:r>
              <w:rPr>
                <w:rFonts w:hint="default" w:ascii="宋体" w:hAnsi="宋体" w:eastAsia="宋体" w:cs="宋体"/>
                <w:color w:val="000000"/>
                <w:kern w:val="0"/>
                <w:sz w:val="21"/>
                <w:szCs w:val="21"/>
                <w:lang w:val="en-US" w:eastAsia="zh-CN"/>
              </w:rPr>
              <w:t>色彩：16.7M</w:t>
            </w:r>
            <w:r>
              <w:rPr>
                <w:rFonts w:hint="eastAsia" w:ascii="宋体" w:hAnsi="宋体" w:eastAsia="宋体" w:cs="宋体"/>
                <w:color w:val="000000"/>
                <w:kern w:val="0"/>
                <w:sz w:val="21"/>
                <w:szCs w:val="21"/>
                <w:lang w:val="en-US" w:eastAsia="zh-CN"/>
              </w:rPr>
              <w:t>；</w:t>
            </w:r>
          </w:p>
          <w:p w14:paraId="03B27FB0">
            <w:pPr>
              <w:keepNext w:val="0"/>
              <w:keepLines w:val="0"/>
              <w:pageBreakBefore w:val="0"/>
              <w:widowControl/>
              <w:kinsoku/>
              <w:wordWrap/>
              <w:overflowPunct/>
              <w:topLinePunct w:val="0"/>
              <w:autoSpaceDE/>
              <w:autoSpaceDN/>
              <w:bidi w:val="0"/>
              <w:adjustRightInd w:val="0"/>
              <w:snapToGrid w:val="0"/>
              <w:spacing w:line="360" w:lineRule="auto"/>
              <w:jc w:val="left"/>
              <w:rPr>
                <w:rFonts w:hint="default" w:ascii="宋体" w:hAnsi="宋体" w:eastAsia="宋体" w:cs="宋体"/>
                <w:color w:val="000000"/>
                <w:kern w:val="0"/>
                <w:sz w:val="21"/>
                <w:szCs w:val="21"/>
                <w:lang w:val="en-US" w:eastAsia="zh-CN"/>
              </w:rPr>
            </w:pPr>
            <w:r>
              <w:rPr>
                <w:rFonts w:hint="default" w:ascii="宋体" w:hAnsi="宋体" w:eastAsia="宋体" w:cs="宋体"/>
                <w:color w:val="000000"/>
                <w:kern w:val="0"/>
                <w:sz w:val="21"/>
                <w:szCs w:val="21"/>
                <w:lang w:val="en-US" w:eastAsia="zh-CN"/>
              </w:rPr>
              <w:t>可视角度：水平/垂直 ≥178°</w:t>
            </w:r>
            <w:r>
              <w:rPr>
                <w:rFonts w:hint="eastAsia" w:ascii="宋体" w:hAnsi="宋体" w:eastAsia="宋体" w:cs="宋体"/>
                <w:color w:val="000000"/>
                <w:kern w:val="0"/>
                <w:sz w:val="21"/>
                <w:szCs w:val="21"/>
                <w:lang w:val="en-US" w:eastAsia="zh-CN"/>
              </w:rPr>
              <w:t>；</w:t>
            </w:r>
          </w:p>
          <w:p w14:paraId="431CF8E9">
            <w:pPr>
              <w:keepNext w:val="0"/>
              <w:keepLines w:val="0"/>
              <w:pageBreakBefore w:val="0"/>
              <w:widowControl/>
              <w:kinsoku/>
              <w:wordWrap/>
              <w:overflowPunct/>
              <w:topLinePunct w:val="0"/>
              <w:autoSpaceDE/>
              <w:autoSpaceDN/>
              <w:bidi w:val="0"/>
              <w:adjustRightInd w:val="0"/>
              <w:snapToGrid w:val="0"/>
              <w:spacing w:line="360" w:lineRule="auto"/>
              <w:jc w:val="left"/>
              <w:rPr>
                <w:rFonts w:hint="default" w:ascii="宋体" w:hAnsi="宋体" w:eastAsia="宋体" w:cs="宋体"/>
                <w:color w:val="000000"/>
                <w:kern w:val="0"/>
                <w:sz w:val="21"/>
                <w:szCs w:val="21"/>
                <w:lang w:val="en-US" w:eastAsia="zh-CN"/>
              </w:rPr>
            </w:pPr>
            <w:r>
              <w:rPr>
                <w:rFonts w:hint="default" w:ascii="宋体" w:hAnsi="宋体" w:eastAsia="宋体" w:cs="宋体"/>
                <w:color w:val="000000"/>
                <w:kern w:val="0"/>
                <w:sz w:val="21"/>
                <w:szCs w:val="21"/>
                <w:lang w:val="en-US" w:eastAsia="zh-CN"/>
              </w:rPr>
              <w:t>处理器：四核及以上处理器</w:t>
            </w:r>
            <w:r>
              <w:rPr>
                <w:rFonts w:hint="eastAsia" w:ascii="宋体" w:hAnsi="宋体" w:eastAsia="宋体" w:cs="宋体"/>
                <w:color w:val="000000"/>
                <w:kern w:val="0"/>
                <w:sz w:val="21"/>
                <w:szCs w:val="21"/>
                <w:lang w:val="en-US" w:eastAsia="zh-CN"/>
              </w:rPr>
              <w:t>；</w:t>
            </w:r>
          </w:p>
          <w:p w14:paraId="5DD87A6C">
            <w:pPr>
              <w:keepNext w:val="0"/>
              <w:keepLines w:val="0"/>
              <w:pageBreakBefore w:val="0"/>
              <w:widowControl/>
              <w:kinsoku/>
              <w:wordWrap/>
              <w:overflowPunct/>
              <w:topLinePunct w:val="0"/>
              <w:autoSpaceDE/>
              <w:autoSpaceDN/>
              <w:bidi w:val="0"/>
              <w:adjustRightInd w:val="0"/>
              <w:snapToGrid w:val="0"/>
              <w:spacing w:line="360" w:lineRule="auto"/>
              <w:jc w:val="left"/>
              <w:rPr>
                <w:rFonts w:hint="default" w:ascii="宋体" w:hAnsi="宋体" w:eastAsia="宋体" w:cs="宋体"/>
                <w:color w:val="000000"/>
                <w:kern w:val="0"/>
                <w:sz w:val="21"/>
                <w:szCs w:val="21"/>
                <w:lang w:val="en-US" w:eastAsia="zh-CN"/>
              </w:rPr>
            </w:pPr>
            <w:r>
              <w:rPr>
                <w:rFonts w:hint="default" w:ascii="宋体" w:hAnsi="宋体" w:eastAsia="宋体" w:cs="宋体"/>
                <w:color w:val="000000"/>
                <w:kern w:val="0"/>
                <w:sz w:val="21"/>
                <w:szCs w:val="21"/>
                <w:lang w:val="en-US" w:eastAsia="zh-CN"/>
              </w:rPr>
              <w:t>内存：≥</w:t>
            </w:r>
            <w:r>
              <w:rPr>
                <w:rFonts w:hint="eastAsia" w:ascii="宋体" w:hAnsi="宋体" w:eastAsia="宋体" w:cs="宋体"/>
                <w:color w:val="000000"/>
                <w:kern w:val="0"/>
                <w:sz w:val="21"/>
                <w:szCs w:val="21"/>
                <w:lang w:val="en-US" w:eastAsia="zh-CN"/>
              </w:rPr>
              <w:t>1</w:t>
            </w:r>
            <w:r>
              <w:rPr>
                <w:rFonts w:hint="default" w:ascii="宋体" w:hAnsi="宋体" w:eastAsia="宋体" w:cs="宋体"/>
                <w:color w:val="000000"/>
                <w:kern w:val="0"/>
                <w:sz w:val="21"/>
                <w:szCs w:val="21"/>
                <w:lang w:val="en-US" w:eastAsia="zh-CN"/>
              </w:rPr>
              <w:t>GB</w:t>
            </w:r>
            <w:r>
              <w:rPr>
                <w:rFonts w:hint="eastAsia" w:ascii="宋体" w:hAnsi="宋体" w:eastAsia="宋体" w:cs="宋体"/>
                <w:color w:val="000000"/>
                <w:kern w:val="0"/>
                <w:sz w:val="21"/>
                <w:szCs w:val="21"/>
                <w:lang w:val="en-US" w:eastAsia="zh-CN"/>
              </w:rPr>
              <w:t>；</w:t>
            </w:r>
          </w:p>
          <w:p w14:paraId="118C48E3">
            <w:pPr>
              <w:keepNext w:val="0"/>
              <w:keepLines w:val="0"/>
              <w:pageBreakBefore w:val="0"/>
              <w:widowControl/>
              <w:kinsoku/>
              <w:wordWrap/>
              <w:overflowPunct/>
              <w:topLinePunct w:val="0"/>
              <w:autoSpaceDE/>
              <w:autoSpaceDN/>
              <w:bidi w:val="0"/>
              <w:adjustRightInd w:val="0"/>
              <w:snapToGrid w:val="0"/>
              <w:spacing w:line="360" w:lineRule="auto"/>
              <w:jc w:val="left"/>
              <w:rPr>
                <w:rFonts w:hint="default" w:ascii="宋体" w:hAnsi="宋体" w:eastAsia="宋体" w:cs="宋体"/>
                <w:color w:val="000000"/>
                <w:kern w:val="0"/>
                <w:sz w:val="21"/>
                <w:szCs w:val="21"/>
                <w:lang w:val="en-US" w:eastAsia="zh-CN"/>
              </w:rPr>
            </w:pPr>
            <w:r>
              <w:rPr>
                <w:rFonts w:hint="default" w:ascii="宋体" w:hAnsi="宋体" w:eastAsia="宋体" w:cs="宋体"/>
                <w:color w:val="000000"/>
                <w:kern w:val="0"/>
                <w:sz w:val="21"/>
                <w:szCs w:val="21"/>
                <w:lang w:val="en-US" w:eastAsia="zh-CN"/>
              </w:rPr>
              <w:t>存储：≥16GB</w:t>
            </w:r>
            <w:r>
              <w:rPr>
                <w:rFonts w:hint="eastAsia" w:ascii="宋体" w:hAnsi="宋体" w:eastAsia="宋体" w:cs="宋体"/>
                <w:color w:val="000000"/>
                <w:kern w:val="0"/>
                <w:sz w:val="21"/>
                <w:szCs w:val="21"/>
                <w:lang w:val="en-US" w:eastAsia="zh-CN"/>
              </w:rPr>
              <w:t>；</w:t>
            </w:r>
          </w:p>
          <w:p w14:paraId="58C91E78">
            <w:pPr>
              <w:keepNext w:val="0"/>
              <w:keepLines w:val="0"/>
              <w:pageBreakBefore w:val="0"/>
              <w:widowControl/>
              <w:kinsoku/>
              <w:wordWrap/>
              <w:overflowPunct/>
              <w:topLinePunct w:val="0"/>
              <w:autoSpaceDE/>
              <w:autoSpaceDN/>
              <w:bidi w:val="0"/>
              <w:adjustRightInd w:val="0"/>
              <w:snapToGrid w:val="0"/>
              <w:spacing w:line="360" w:lineRule="auto"/>
              <w:jc w:val="left"/>
              <w:rPr>
                <w:rFonts w:hint="default" w:ascii="宋体" w:hAnsi="宋体" w:eastAsia="宋体" w:cs="宋体"/>
                <w:color w:val="000000"/>
                <w:kern w:val="0"/>
                <w:sz w:val="21"/>
                <w:szCs w:val="21"/>
                <w:lang w:val="en-US" w:eastAsia="zh-CN"/>
              </w:rPr>
            </w:pPr>
            <w:r>
              <w:rPr>
                <w:rFonts w:hint="default" w:ascii="宋体" w:hAnsi="宋体" w:eastAsia="宋体" w:cs="宋体"/>
                <w:color w:val="000000"/>
                <w:kern w:val="0"/>
                <w:sz w:val="21"/>
                <w:szCs w:val="21"/>
                <w:lang w:val="en-US" w:eastAsia="zh-CN"/>
              </w:rPr>
              <w:t>网络方式：支持有线网络（百兆及以上）</w:t>
            </w:r>
            <w:r>
              <w:rPr>
                <w:rFonts w:hint="eastAsia" w:ascii="宋体" w:hAnsi="宋体" w:eastAsia="宋体" w:cs="宋体"/>
                <w:color w:val="000000"/>
                <w:kern w:val="0"/>
                <w:sz w:val="21"/>
                <w:szCs w:val="21"/>
                <w:lang w:val="en-US" w:eastAsia="zh-CN"/>
              </w:rPr>
              <w:t>；</w:t>
            </w:r>
          </w:p>
          <w:p w14:paraId="7B733D14">
            <w:pPr>
              <w:keepNext w:val="0"/>
              <w:keepLines w:val="0"/>
              <w:pageBreakBefore w:val="0"/>
              <w:widowControl/>
              <w:kinsoku/>
              <w:wordWrap/>
              <w:overflowPunct/>
              <w:topLinePunct w:val="0"/>
              <w:autoSpaceDE/>
              <w:autoSpaceDN/>
              <w:bidi w:val="0"/>
              <w:adjustRightInd w:val="0"/>
              <w:snapToGrid w:val="0"/>
              <w:spacing w:line="360" w:lineRule="auto"/>
              <w:jc w:val="left"/>
              <w:rPr>
                <w:rFonts w:hint="default" w:ascii="宋体" w:hAnsi="宋体" w:eastAsia="宋体" w:cs="宋体"/>
                <w:color w:val="000000"/>
                <w:kern w:val="0"/>
                <w:sz w:val="21"/>
                <w:szCs w:val="21"/>
                <w:lang w:val="en-US" w:eastAsia="zh-CN"/>
              </w:rPr>
            </w:pPr>
            <w:r>
              <w:rPr>
                <w:rFonts w:hint="default" w:ascii="宋体" w:hAnsi="宋体" w:eastAsia="宋体" w:cs="宋体"/>
                <w:color w:val="000000"/>
                <w:kern w:val="0"/>
                <w:sz w:val="21"/>
                <w:szCs w:val="21"/>
                <w:lang w:val="en-US" w:eastAsia="zh-CN"/>
              </w:rPr>
              <w:t>接口：</w:t>
            </w:r>
            <w:r>
              <w:rPr>
                <w:rFonts w:hint="eastAsia"/>
                <w:sz w:val="21"/>
                <w:szCs w:val="21"/>
              </w:rPr>
              <w:t>USB 接口不少于2个，支持 HDMI、TF卡接口及LAN 网络接口</w:t>
            </w:r>
            <w:r>
              <w:rPr>
                <w:rFonts w:hint="eastAsia" w:ascii="宋体" w:hAnsi="宋体" w:eastAsia="宋体" w:cs="宋体"/>
                <w:color w:val="000000"/>
                <w:kern w:val="0"/>
                <w:sz w:val="21"/>
                <w:szCs w:val="21"/>
                <w:lang w:val="en-US" w:eastAsia="zh-CN"/>
              </w:rPr>
              <w:t>；</w:t>
            </w:r>
          </w:p>
          <w:p w14:paraId="6255717D">
            <w:pPr>
              <w:keepNext w:val="0"/>
              <w:keepLines w:val="0"/>
              <w:pageBreakBefore w:val="0"/>
              <w:widowControl/>
              <w:kinsoku/>
              <w:wordWrap/>
              <w:overflowPunct/>
              <w:topLinePunct w:val="0"/>
              <w:autoSpaceDE/>
              <w:autoSpaceDN/>
              <w:bidi w:val="0"/>
              <w:adjustRightInd w:val="0"/>
              <w:snapToGrid w:val="0"/>
              <w:spacing w:line="360" w:lineRule="auto"/>
              <w:jc w:val="left"/>
              <w:rPr>
                <w:rFonts w:hint="default" w:ascii="宋体" w:hAnsi="宋体" w:eastAsia="宋体" w:cs="宋体"/>
                <w:color w:val="000000"/>
                <w:kern w:val="0"/>
                <w:sz w:val="21"/>
                <w:szCs w:val="21"/>
                <w:lang w:val="en-US" w:eastAsia="zh-CN"/>
              </w:rPr>
            </w:pPr>
            <w:r>
              <w:rPr>
                <w:rFonts w:hint="default" w:ascii="宋体" w:hAnsi="宋体" w:eastAsia="宋体" w:cs="宋体"/>
                <w:color w:val="000000"/>
                <w:kern w:val="0"/>
                <w:sz w:val="21"/>
                <w:szCs w:val="21"/>
                <w:lang w:val="en-US" w:eastAsia="zh-CN"/>
              </w:rPr>
              <w:t>供电方式：AC 100V–240V，50/60Hz</w:t>
            </w:r>
            <w:r>
              <w:rPr>
                <w:rFonts w:hint="eastAsia" w:ascii="宋体" w:hAnsi="宋体" w:eastAsia="宋体" w:cs="宋体"/>
                <w:color w:val="000000"/>
                <w:kern w:val="0"/>
                <w:sz w:val="21"/>
                <w:szCs w:val="21"/>
                <w:lang w:val="en-US" w:eastAsia="zh-CN"/>
              </w:rPr>
              <w:t>；</w:t>
            </w:r>
          </w:p>
          <w:p w14:paraId="59049B98">
            <w:pPr>
              <w:keepNext w:val="0"/>
              <w:keepLines w:val="0"/>
              <w:pageBreakBefore w:val="0"/>
              <w:widowControl/>
              <w:kinsoku/>
              <w:wordWrap/>
              <w:overflowPunct/>
              <w:topLinePunct w:val="0"/>
              <w:autoSpaceDE/>
              <w:autoSpaceDN/>
              <w:bidi w:val="0"/>
              <w:adjustRightInd w:val="0"/>
              <w:snapToGrid w:val="0"/>
              <w:spacing w:line="360" w:lineRule="auto"/>
              <w:jc w:val="left"/>
              <w:rPr>
                <w:rFonts w:hint="default" w:ascii="宋体" w:hAnsi="宋体" w:eastAsia="宋体" w:cs="宋体"/>
                <w:color w:val="000000"/>
                <w:kern w:val="0"/>
                <w:sz w:val="21"/>
                <w:szCs w:val="21"/>
                <w:lang w:val="en-US" w:eastAsia="zh-CN"/>
              </w:rPr>
            </w:pPr>
            <w:r>
              <w:rPr>
                <w:rFonts w:hint="default" w:ascii="宋体" w:hAnsi="宋体" w:eastAsia="宋体" w:cs="宋体"/>
                <w:color w:val="000000"/>
                <w:kern w:val="0"/>
                <w:sz w:val="21"/>
                <w:szCs w:val="21"/>
                <w:lang w:val="en-US" w:eastAsia="zh-CN"/>
              </w:rPr>
              <w:t>整机功耗：≤50W</w:t>
            </w:r>
            <w:r>
              <w:rPr>
                <w:rFonts w:hint="eastAsia" w:ascii="宋体" w:hAnsi="宋体" w:eastAsia="宋体" w:cs="宋体"/>
                <w:color w:val="000000"/>
                <w:kern w:val="0"/>
                <w:sz w:val="21"/>
                <w:szCs w:val="21"/>
                <w:lang w:val="en-US" w:eastAsia="zh-CN"/>
              </w:rPr>
              <w:t>；</w:t>
            </w:r>
          </w:p>
          <w:p w14:paraId="10BB827A">
            <w:pPr>
              <w:keepNext w:val="0"/>
              <w:keepLines w:val="0"/>
              <w:pageBreakBefore w:val="0"/>
              <w:widowControl/>
              <w:kinsoku/>
              <w:wordWrap/>
              <w:overflowPunct/>
              <w:topLinePunct w:val="0"/>
              <w:autoSpaceDE/>
              <w:autoSpaceDN/>
              <w:bidi w:val="0"/>
              <w:adjustRightInd w:val="0"/>
              <w:snapToGrid w:val="0"/>
              <w:spacing w:line="360" w:lineRule="auto"/>
              <w:jc w:val="left"/>
              <w:rPr>
                <w:rFonts w:hint="default" w:ascii="宋体" w:hAnsi="宋体" w:eastAsia="宋体" w:cs="宋体"/>
                <w:color w:val="000000"/>
                <w:kern w:val="0"/>
                <w:sz w:val="21"/>
                <w:szCs w:val="21"/>
                <w:lang w:val="en-US" w:eastAsia="zh-CN"/>
              </w:rPr>
            </w:pPr>
            <w:r>
              <w:rPr>
                <w:rFonts w:hint="default" w:ascii="宋体" w:hAnsi="宋体" w:eastAsia="宋体" w:cs="宋体"/>
                <w:color w:val="000000"/>
                <w:kern w:val="0"/>
                <w:sz w:val="21"/>
                <w:szCs w:val="21"/>
                <w:lang w:val="en-US" w:eastAsia="zh-CN"/>
              </w:rPr>
              <w:t>待机功耗：≤1W</w:t>
            </w:r>
            <w:r>
              <w:rPr>
                <w:rFonts w:hint="eastAsia" w:ascii="宋体" w:hAnsi="宋体" w:eastAsia="宋体" w:cs="宋体"/>
                <w:color w:val="000000"/>
                <w:kern w:val="0"/>
                <w:sz w:val="21"/>
                <w:szCs w:val="21"/>
                <w:lang w:val="en-US" w:eastAsia="zh-CN"/>
              </w:rPr>
              <w:t>；</w:t>
            </w:r>
          </w:p>
          <w:p w14:paraId="6DFB1647">
            <w:pPr>
              <w:keepNext w:val="0"/>
              <w:keepLines w:val="0"/>
              <w:pageBreakBefore w:val="0"/>
              <w:widowControl/>
              <w:kinsoku/>
              <w:wordWrap/>
              <w:overflowPunct/>
              <w:topLinePunct w:val="0"/>
              <w:autoSpaceDE/>
              <w:autoSpaceDN/>
              <w:bidi w:val="0"/>
              <w:adjustRightInd w:val="0"/>
              <w:snapToGrid w:val="0"/>
              <w:spacing w:line="360" w:lineRule="auto"/>
              <w:jc w:val="left"/>
              <w:rPr>
                <w:rFonts w:hint="default" w:ascii="宋体" w:hAnsi="宋体" w:eastAsia="宋体" w:cs="宋体"/>
                <w:color w:val="000000"/>
                <w:kern w:val="0"/>
                <w:sz w:val="21"/>
                <w:szCs w:val="21"/>
                <w:lang w:val="en-US" w:eastAsia="zh-CN"/>
              </w:rPr>
            </w:pPr>
            <w:r>
              <w:rPr>
                <w:rFonts w:hint="default" w:ascii="宋体" w:hAnsi="宋体" w:eastAsia="宋体" w:cs="宋体"/>
                <w:color w:val="000000"/>
                <w:kern w:val="0"/>
                <w:sz w:val="21"/>
                <w:szCs w:val="21"/>
                <w:lang w:val="en-US" w:eastAsia="zh-CN"/>
              </w:rPr>
              <w:t>音频：内置扬声器，满足叫号语音播放需求</w:t>
            </w:r>
            <w:r>
              <w:rPr>
                <w:rFonts w:hint="eastAsia" w:ascii="宋体" w:hAnsi="宋体" w:eastAsia="宋体" w:cs="宋体"/>
                <w:color w:val="000000"/>
                <w:kern w:val="0"/>
                <w:sz w:val="21"/>
                <w:szCs w:val="21"/>
                <w:lang w:val="en-US" w:eastAsia="zh-CN"/>
              </w:rPr>
              <w:t>；</w:t>
            </w:r>
          </w:p>
          <w:p w14:paraId="744ABB69">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000000"/>
                <w:kern w:val="0"/>
                <w:sz w:val="21"/>
                <w:szCs w:val="21"/>
                <w:lang w:val="en-US" w:eastAsia="zh-CN"/>
              </w:rPr>
            </w:pPr>
            <w:r>
              <w:rPr>
                <w:rFonts w:hint="default" w:ascii="宋体" w:hAnsi="宋体" w:eastAsia="宋体" w:cs="宋体"/>
                <w:color w:val="000000"/>
                <w:kern w:val="0"/>
                <w:sz w:val="21"/>
                <w:szCs w:val="21"/>
                <w:lang w:val="en-US" w:eastAsia="zh-CN"/>
              </w:rPr>
              <w:t>支</w:t>
            </w:r>
            <w:r>
              <w:rPr>
                <w:rFonts w:ascii="宋体" w:hAnsi="宋体" w:eastAsia="宋体" w:cs="宋体"/>
                <w:color w:val="000000"/>
                <w:kern w:val="0"/>
                <w:sz w:val="21"/>
                <w:szCs w:val="21"/>
              </w:rPr>
              <w:t>持定时开机、定时关机功能</w:t>
            </w:r>
            <w:r>
              <w:rPr>
                <w:rFonts w:hint="eastAsia" w:ascii="宋体" w:hAnsi="宋体" w:eastAsia="宋体" w:cs="宋体"/>
                <w:color w:val="000000"/>
                <w:kern w:val="0"/>
                <w:sz w:val="21"/>
                <w:szCs w:val="21"/>
                <w:lang w:eastAsia="zh-CN"/>
              </w:rPr>
              <w:t>；</w:t>
            </w:r>
          </w:p>
          <w:p w14:paraId="19692CAA">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000000"/>
                <w:kern w:val="0"/>
                <w:sz w:val="21"/>
                <w:szCs w:val="21"/>
                <w:lang w:val="en-US" w:eastAsia="zh-CN"/>
              </w:rPr>
            </w:pPr>
            <w:r>
              <w:rPr>
                <w:rFonts w:hint="default" w:ascii="宋体" w:hAnsi="宋体" w:eastAsia="宋体" w:cs="宋体"/>
                <w:color w:val="000000"/>
                <w:kern w:val="0"/>
                <w:sz w:val="21"/>
                <w:szCs w:val="21"/>
                <w:lang w:val="en-US" w:eastAsia="zh-CN"/>
              </w:rPr>
              <w:t>工作温度：0℃～40℃</w:t>
            </w:r>
            <w:r>
              <w:rPr>
                <w:rFonts w:hint="eastAsia" w:ascii="宋体" w:hAnsi="宋体" w:eastAsia="宋体" w:cs="宋体"/>
                <w:color w:val="000000"/>
                <w:kern w:val="0"/>
                <w:sz w:val="21"/>
                <w:szCs w:val="21"/>
                <w:lang w:val="en-US" w:eastAsia="zh-CN"/>
              </w:rPr>
              <w:t>；</w:t>
            </w:r>
          </w:p>
          <w:p w14:paraId="1C053C4D">
            <w:pPr>
              <w:keepNext w:val="0"/>
              <w:keepLines w:val="0"/>
              <w:pageBreakBefore w:val="0"/>
              <w:widowControl/>
              <w:kinsoku/>
              <w:wordWrap/>
              <w:overflowPunct/>
              <w:topLinePunct w:val="0"/>
              <w:autoSpaceDE/>
              <w:autoSpaceDN/>
              <w:bidi w:val="0"/>
              <w:adjustRightInd w:val="0"/>
              <w:snapToGrid w:val="0"/>
              <w:spacing w:line="360" w:lineRule="auto"/>
              <w:rPr>
                <w:rFonts w:hint="eastAsia" w:ascii="宋体" w:hAnsi="宋体" w:eastAsia="宋体" w:cs="宋体"/>
                <w:color w:val="auto"/>
                <w:kern w:val="0"/>
                <w:sz w:val="21"/>
                <w:szCs w:val="21"/>
                <w:lang w:val="en-US" w:eastAsia="zh-CN"/>
              </w:rPr>
            </w:pPr>
            <w:r>
              <w:rPr>
                <w:rFonts w:hint="default" w:ascii="宋体" w:hAnsi="宋体" w:eastAsia="宋体" w:cs="宋体"/>
                <w:color w:val="000000"/>
                <w:kern w:val="0"/>
                <w:sz w:val="21"/>
                <w:szCs w:val="21"/>
                <w:lang w:val="en-US" w:eastAsia="zh-CN"/>
              </w:rPr>
              <w:t>叫号屏应具备便捷拆卸结构设计，</w:t>
            </w:r>
            <w:r>
              <w:rPr>
                <w:rFonts w:hint="default" w:ascii="宋体" w:hAnsi="宋体" w:eastAsia="宋体" w:cs="宋体"/>
                <w:color w:val="auto"/>
                <w:kern w:val="0"/>
                <w:sz w:val="21"/>
                <w:szCs w:val="21"/>
                <w:lang w:val="en-US" w:eastAsia="zh-CN"/>
              </w:rPr>
              <w:t>屏幕供电接口应支持标准化接线方式</w:t>
            </w:r>
            <w:r>
              <w:rPr>
                <w:rFonts w:hint="eastAsia" w:ascii="宋体" w:hAnsi="宋体" w:eastAsia="宋体" w:cs="宋体"/>
                <w:color w:val="auto"/>
                <w:kern w:val="0"/>
                <w:sz w:val="21"/>
                <w:szCs w:val="21"/>
                <w:lang w:val="en-US" w:eastAsia="zh-CN"/>
              </w:rPr>
              <w:t>；</w:t>
            </w:r>
          </w:p>
          <w:p w14:paraId="65913AE1">
            <w:pPr>
              <w:keepNext w:val="0"/>
              <w:keepLines w:val="0"/>
              <w:pageBreakBefore w:val="0"/>
              <w:widowControl/>
              <w:kinsoku/>
              <w:wordWrap/>
              <w:overflowPunct/>
              <w:topLinePunct w:val="0"/>
              <w:autoSpaceDE/>
              <w:autoSpaceDN/>
              <w:bidi w:val="0"/>
              <w:adjustRightInd w:val="0"/>
              <w:snapToGrid w:val="0"/>
              <w:spacing w:line="360" w:lineRule="auto"/>
              <w:rPr>
                <w:rFonts w:hint="eastAsia" w:ascii="宋体" w:hAnsi="宋体"/>
                <w:color w:val="auto"/>
                <w:sz w:val="21"/>
                <w:szCs w:val="21"/>
              </w:rPr>
            </w:pPr>
            <w:r>
              <w:rPr>
                <w:rFonts w:hint="default" w:ascii="宋体" w:hAnsi="宋体" w:eastAsia="宋体" w:cs="宋体"/>
                <w:color w:val="000000"/>
                <w:kern w:val="0"/>
                <w:sz w:val="21"/>
                <w:szCs w:val="21"/>
                <w:lang w:val="en-US" w:eastAsia="zh-CN"/>
              </w:rPr>
              <w:t>屏体表面具备防护玻璃，满足公共区域长期使用要求</w:t>
            </w:r>
            <w:r>
              <w:rPr>
                <w:rFonts w:hint="eastAsia" w:ascii="宋体" w:hAnsi="宋体" w:eastAsia="宋体" w:cs="宋体"/>
                <w:color w:val="000000"/>
                <w:kern w:val="0"/>
                <w:sz w:val="21"/>
                <w:szCs w:val="21"/>
                <w:lang w:val="en-US" w:eastAsia="zh-CN"/>
              </w:rPr>
              <w:t>。</w:t>
            </w:r>
          </w:p>
        </w:tc>
      </w:tr>
      <w:tr w14:paraId="274836DF">
        <w:tblPrEx>
          <w:tblCellMar>
            <w:top w:w="0" w:type="dxa"/>
            <w:left w:w="108" w:type="dxa"/>
            <w:bottom w:w="0" w:type="dxa"/>
            <w:right w:w="108" w:type="dxa"/>
          </w:tblCellMar>
        </w:tblPrEx>
        <w:trPr>
          <w:trHeight w:val="522" w:hRule="atLeast"/>
          <w:jc w:val="center"/>
        </w:trPr>
        <w:tc>
          <w:tcPr>
            <w:tcW w:w="1616" w:type="dxa"/>
            <w:vMerge w:val="continue"/>
            <w:tcBorders>
              <w:top w:val="single" w:color="auto" w:sz="4" w:space="0"/>
              <w:left w:val="single" w:color="auto" w:sz="8" w:space="0"/>
              <w:bottom w:val="single" w:color="auto" w:sz="4" w:space="0"/>
              <w:right w:val="single" w:color="auto" w:sz="8" w:space="0"/>
            </w:tcBorders>
            <w:noWrap w:val="0"/>
            <w:vAlign w:val="center"/>
          </w:tcPr>
          <w:p w14:paraId="3FEABB06">
            <w:pPr>
              <w:keepNext w:val="0"/>
              <w:keepLines w:val="0"/>
              <w:pageBreakBefore w:val="0"/>
              <w:widowControl/>
              <w:numPr>
                <w:ilvl w:val="0"/>
                <w:numId w:val="76"/>
              </w:numPr>
              <w:kinsoku/>
              <w:wordWrap/>
              <w:overflowPunct/>
              <w:topLinePunct w:val="0"/>
              <w:autoSpaceDE/>
              <w:autoSpaceDN/>
              <w:bidi w:val="0"/>
              <w:adjustRightInd w:val="0"/>
              <w:snapToGrid w:val="0"/>
              <w:spacing w:line="360" w:lineRule="auto"/>
              <w:rPr>
                <w:rFonts w:hint="eastAsia" w:ascii="宋体" w:hAnsi="宋体" w:cs="宋体"/>
                <w:color w:val="000000"/>
                <w:kern w:val="0"/>
                <w:sz w:val="21"/>
                <w:szCs w:val="21"/>
                <w:lang w:val="en-US" w:eastAsia="zh-CN"/>
              </w:rPr>
            </w:pPr>
          </w:p>
        </w:tc>
        <w:tc>
          <w:tcPr>
            <w:tcW w:w="1571" w:type="dxa"/>
            <w:tcBorders>
              <w:top w:val="nil"/>
              <w:left w:val="single" w:color="auto" w:sz="8" w:space="0"/>
              <w:bottom w:val="single" w:color="000000" w:sz="8" w:space="0"/>
              <w:right w:val="single" w:color="auto" w:sz="8" w:space="0"/>
            </w:tcBorders>
            <w:noWrap w:val="0"/>
            <w:vAlign w:val="center"/>
          </w:tcPr>
          <w:p w14:paraId="2EE0EF88">
            <w:pPr>
              <w:keepNext w:val="0"/>
              <w:keepLines w:val="0"/>
              <w:pageBreakBefore w:val="0"/>
              <w:widowControl/>
              <w:kinsoku/>
              <w:wordWrap/>
              <w:overflowPunct/>
              <w:topLinePunct w:val="0"/>
              <w:autoSpaceDE/>
              <w:autoSpaceDN/>
              <w:bidi w:val="0"/>
              <w:adjustRightInd w:val="0"/>
              <w:snapToGrid w:val="0"/>
              <w:spacing w:line="360" w:lineRule="auto"/>
              <w:jc w:val="center"/>
              <w:rPr>
                <w:rFonts w:hint="default" w:ascii="宋体" w:hAnsi="宋体" w:cs="宋体"/>
                <w:color w:val="000000"/>
                <w:kern w:val="0"/>
                <w:sz w:val="21"/>
                <w:szCs w:val="21"/>
                <w:lang w:val="en-US" w:eastAsia="zh-CN"/>
              </w:rPr>
            </w:pPr>
            <w:r>
              <w:rPr>
                <w:rFonts w:hint="eastAsia" w:ascii="宋体" w:hAnsi="宋体" w:cs="宋体"/>
                <w:color w:val="000000"/>
                <w:kern w:val="0"/>
                <w:sz w:val="21"/>
                <w:szCs w:val="21"/>
                <w:lang w:val="en-US" w:eastAsia="zh-CN"/>
              </w:rPr>
              <w:t>1.2 43寸叫号屏技术参数</w:t>
            </w:r>
          </w:p>
        </w:tc>
        <w:tc>
          <w:tcPr>
            <w:tcW w:w="6591" w:type="dxa"/>
            <w:tcBorders>
              <w:top w:val="nil"/>
              <w:left w:val="single" w:color="auto" w:sz="8" w:space="0"/>
              <w:bottom w:val="single" w:color="000000" w:sz="8" w:space="0"/>
              <w:right w:val="single" w:color="auto" w:sz="8" w:space="0"/>
            </w:tcBorders>
            <w:noWrap w:val="0"/>
            <w:vAlign w:val="center"/>
          </w:tcPr>
          <w:p w14:paraId="34F2BC02">
            <w:pPr>
              <w:keepNext w:val="0"/>
              <w:keepLines w:val="0"/>
              <w:pageBreakBefore w:val="0"/>
              <w:widowControl/>
              <w:kinsoku/>
              <w:wordWrap/>
              <w:overflowPunct/>
              <w:topLinePunct w:val="0"/>
              <w:autoSpaceDE/>
              <w:autoSpaceDN/>
              <w:bidi w:val="0"/>
              <w:adjustRightInd w:val="0"/>
              <w:snapToGrid w:val="0"/>
              <w:spacing w:line="360" w:lineRule="auto"/>
              <w:rPr>
                <w:rFonts w:hint="eastAsia"/>
                <w:sz w:val="21"/>
                <w:szCs w:val="21"/>
              </w:rPr>
            </w:pPr>
            <w:r>
              <w:rPr>
                <w:rFonts w:hint="eastAsia"/>
                <w:sz w:val="21"/>
                <w:szCs w:val="21"/>
              </w:rPr>
              <w:t>操作系统：Android 7.0及以上；</w:t>
            </w:r>
          </w:p>
          <w:p w14:paraId="087EA513">
            <w:pPr>
              <w:keepNext w:val="0"/>
              <w:keepLines w:val="0"/>
              <w:pageBreakBefore w:val="0"/>
              <w:widowControl/>
              <w:kinsoku/>
              <w:wordWrap/>
              <w:overflowPunct/>
              <w:topLinePunct w:val="0"/>
              <w:autoSpaceDE/>
              <w:autoSpaceDN/>
              <w:bidi w:val="0"/>
              <w:adjustRightInd w:val="0"/>
              <w:snapToGrid w:val="0"/>
              <w:spacing w:line="360" w:lineRule="auto"/>
              <w:rPr>
                <w:rFonts w:hint="eastAsia"/>
                <w:sz w:val="21"/>
                <w:szCs w:val="21"/>
              </w:rPr>
            </w:pPr>
            <w:r>
              <w:rPr>
                <w:rFonts w:hint="eastAsia"/>
                <w:sz w:val="21"/>
                <w:szCs w:val="21"/>
              </w:rPr>
              <w:t>屏幕尺寸：43 英寸；</w:t>
            </w:r>
          </w:p>
          <w:p w14:paraId="75A5669E">
            <w:pPr>
              <w:keepNext w:val="0"/>
              <w:keepLines w:val="0"/>
              <w:pageBreakBefore w:val="0"/>
              <w:widowControl/>
              <w:kinsoku/>
              <w:wordWrap/>
              <w:overflowPunct/>
              <w:topLinePunct w:val="0"/>
              <w:autoSpaceDE/>
              <w:autoSpaceDN/>
              <w:bidi w:val="0"/>
              <w:adjustRightInd w:val="0"/>
              <w:snapToGrid w:val="0"/>
              <w:spacing w:line="360" w:lineRule="auto"/>
              <w:rPr>
                <w:rFonts w:hint="eastAsia"/>
                <w:sz w:val="21"/>
                <w:szCs w:val="21"/>
              </w:rPr>
            </w:pPr>
            <w:r>
              <w:rPr>
                <w:rFonts w:hint="eastAsia"/>
                <w:sz w:val="21"/>
                <w:szCs w:val="21"/>
              </w:rPr>
              <w:t>分辨率：不低于1920×1080；</w:t>
            </w:r>
          </w:p>
          <w:p w14:paraId="0FDADED1">
            <w:pPr>
              <w:keepNext w:val="0"/>
              <w:keepLines w:val="0"/>
              <w:pageBreakBefore w:val="0"/>
              <w:widowControl/>
              <w:kinsoku/>
              <w:wordWrap/>
              <w:overflowPunct/>
              <w:topLinePunct w:val="0"/>
              <w:autoSpaceDE/>
              <w:autoSpaceDN/>
              <w:bidi w:val="0"/>
              <w:adjustRightInd w:val="0"/>
              <w:snapToGrid w:val="0"/>
              <w:spacing w:line="360" w:lineRule="auto"/>
              <w:rPr>
                <w:rFonts w:hint="eastAsia"/>
                <w:sz w:val="21"/>
                <w:szCs w:val="21"/>
              </w:rPr>
            </w:pPr>
            <w:r>
              <w:rPr>
                <w:rFonts w:hint="eastAsia"/>
                <w:sz w:val="21"/>
                <w:szCs w:val="21"/>
              </w:rPr>
              <w:t>显示亮度：≥300 cd/m²；</w:t>
            </w:r>
          </w:p>
          <w:p w14:paraId="45BBE5C6">
            <w:pPr>
              <w:keepNext w:val="0"/>
              <w:keepLines w:val="0"/>
              <w:pageBreakBefore w:val="0"/>
              <w:widowControl/>
              <w:kinsoku/>
              <w:wordWrap/>
              <w:overflowPunct/>
              <w:topLinePunct w:val="0"/>
              <w:autoSpaceDE/>
              <w:autoSpaceDN/>
              <w:bidi w:val="0"/>
              <w:adjustRightInd w:val="0"/>
              <w:snapToGrid w:val="0"/>
              <w:spacing w:line="360" w:lineRule="auto"/>
              <w:rPr>
                <w:rFonts w:hint="eastAsia"/>
                <w:sz w:val="21"/>
                <w:szCs w:val="21"/>
              </w:rPr>
            </w:pPr>
            <w:r>
              <w:rPr>
                <w:rFonts w:hint="eastAsia"/>
                <w:sz w:val="21"/>
                <w:szCs w:val="21"/>
              </w:rPr>
              <w:t>对比度：≥1500:1；</w:t>
            </w:r>
          </w:p>
          <w:p w14:paraId="2A4FA2F2">
            <w:pPr>
              <w:keepNext w:val="0"/>
              <w:keepLines w:val="0"/>
              <w:pageBreakBefore w:val="0"/>
              <w:widowControl/>
              <w:kinsoku/>
              <w:wordWrap/>
              <w:overflowPunct/>
              <w:topLinePunct w:val="0"/>
              <w:autoSpaceDE/>
              <w:autoSpaceDN/>
              <w:bidi w:val="0"/>
              <w:adjustRightInd w:val="0"/>
              <w:snapToGrid w:val="0"/>
              <w:spacing w:line="360" w:lineRule="auto"/>
              <w:rPr>
                <w:rFonts w:hint="eastAsia"/>
                <w:sz w:val="21"/>
                <w:szCs w:val="21"/>
              </w:rPr>
            </w:pPr>
            <w:r>
              <w:rPr>
                <w:rFonts w:hint="eastAsia"/>
                <w:sz w:val="21"/>
                <w:szCs w:val="21"/>
              </w:rPr>
              <w:t>响应时间：≤5ms；</w:t>
            </w:r>
          </w:p>
          <w:p w14:paraId="236ABE22">
            <w:pPr>
              <w:keepNext w:val="0"/>
              <w:keepLines w:val="0"/>
              <w:pageBreakBefore w:val="0"/>
              <w:widowControl/>
              <w:kinsoku/>
              <w:wordWrap/>
              <w:overflowPunct/>
              <w:topLinePunct w:val="0"/>
              <w:autoSpaceDE/>
              <w:autoSpaceDN/>
              <w:bidi w:val="0"/>
              <w:adjustRightInd w:val="0"/>
              <w:snapToGrid w:val="0"/>
              <w:spacing w:line="360" w:lineRule="auto"/>
              <w:rPr>
                <w:rFonts w:hint="eastAsia"/>
                <w:sz w:val="21"/>
                <w:szCs w:val="21"/>
              </w:rPr>
            </w:pPr>
            <w:r>
              <w:rPr>
                <w:rFonts w:hint="eastAsia"/>
                <w:sz w:val="21"/>
                <w:szCs w:val="21"/>
              </w:rPr>
              <w:t>色彩：16.7M；</w:t>
            </w:r>
          </w:p>
          <w:p w14:paraId="191B9B2C">
            <w:pPr>
              <w:keepNext w:val="0"/>
              <w:keepLines w:val="0"/>
              <w:pageBreakBefore w:val="0"/>
              <w:widowControl/>
              <w:kinsoku/>
              <w:wordWrap/>
              <w:overflowPunct/>
              <w:topLinePunct w:val="0"/>
              <w:autoSpaceDE/>
              <w:autoSpaceDN/>
              <w:bidi w:val="0"/>
              <w:adjustRightInd w:val="0"/>
              <w:snapToGrid w:val="0"/>
              <w:spacing w:line="360" w:lineRule="auto"/>
              <w:rPr>
                <w:rFonts w:hint="eastAsia"/>
                <w:sz w:val="21"/>
                <w:szCs w:val="21"/>
              </w:rPr>
            </w:pPr>
            <w:r>
              <w:rPr>
                <w:rFonts w:hint="eastAsia"/>
                <w:sz w:val="21"/>
                <w:szCs w:val="21"/>
              </w:rPr>
              <w:t>可视角度：水平/垂直 ≥178°；</w:t>
            </w:r>
          </w:p>
          <w:p w14:paraId="40C0E34F">
            <w:pPr>
              <w:keepNext w:val="0"/>
              <w:keepLines w:val="0"/>
              <w:pageBreakBefore w:val="0"/>
              <w:widowControl/>
              <w:kinsoku/>
              <w:wordWrap/>
              <w:overflowPunct/>
              <w:topLinePunct w:val="0"/>
              <w:autoSpaceDE/>
              <w:autoSpaceDN/>
              <w:bidi w:val="0"/>
              <w:adjustRightInd w:val="0"/>
              <w:snapToGrid w:val="0"/>
              <w:spacing w:line="360" w:lineRule="auto"/>
              <w:rPr>
                <w:rFonts w:hint="eastAsia"/>
                <w:sz w:val="21"/>
                <w:szCs w:val="21"/>
              </w:rPr>
            </w:pPr>
            <w:r>
              <w:rPr>
                <w:rFonts w:hint="eastAsia"/>
                <w:sz w:val="21"/>
                <w:szCs w:val="21"/>
              </w:rPr>
              <w:t>处理器：四核及以上处理器；</w:t>
            </w:r>
          </w:p>
          <w:p w14:paraId="03D4DBD8">
            <w:pPr>
              <w:keepNext w:val="0"/>
              <w:keepLines w:val="0"/>
              <w:pageBreakBefore w:val="0"/>
              <w:widowControl/>
              <w:kinsoku/>
              <w:wordWrap/>
              <w:overflowPunct/>
              <w:topLinePunct w:val="0"/>
              <w:autoSpaceDE/>
              <w:autoSpaceDN/>
              <w:bidi w:val="0"/>
              <w:adjustRightInd w:val="0"/>
              <w:snapToGrid w:val="0"/>
              <w:spacing w:line="360" w:lineRule="auto"/>
              <w:rPr>
                <w:rFonts w:hint="eastAsia"/>
                <w:sz w:val="21"/>
                <w:szCs w:val="21"/>
              </w:rPr>
            </w:pPr>
            <w:r>
              <w:rPr>
                <w:rFonts w:hint="eastAsia"/>
                <w:sz w:val="21"/>
                <w:szCs w:val="21"/>
              </w:rPr>
              <w:t>内存：≥1GB；</w:t>
            </w:r>
          </w:p>
          <w:p w14:paraId="0AF951F0">
            <w:pPr>
              <w:keepNext w:val="0"/>
              <w:keepLines w:val="0"/>
              <w:pageBreakBefore w:val="0"/>
              <w:widowControl/>
              <w:kinsoku/>
              <w:wordWrap/>
              <w:overflowPunct/>
              <w:topLinePunct w:val="0"/>
              <w:autoSpaceDE/>
              <w:autoSpaceDN/>
              <w:bidi w:val="0"/>
              <w:adjustRightInd w:val="0"/>
              <w:snapToGrid w:val="0"/>
              <w:spacing w:line="360" w:lineRule="auto"/>
              <w:rPr>
                <w:rFonts w:hint="eastAsia"/>
                <w:sz w:val="21"/>
                <w:szCs w:val="21"/>
              </w:rPr>
            </w:pPr>
            <w:r>
              <w:rPr>
                <w:rFonts w:hint="eastAsia"/>
                <w:sz w:val="21"/>
                <w:szCs w:val="21"/>
              </w:rPr>
              <w:t>存储：≥16GB；</w:t>
            </w:r>
          </w:p>
          <w:p w14:paraId="4265EF11">
            <w:pPr>
              <w:keepNext w:val="0"/>
              <w:keepLines w:val="0"/>
              <w:pageBreakBefore w:val="0"/>
              <w:widowControl/>
              <w:kinsoku/>
              <w:wordWrap/>
              <w:overflowPunct/>
              <w:topLinePunct w:val="0"/>
              <w:autoSpaceDE/>
              <w:autoSpaceDN/>
              <w:bidi w:val="0"/>
              <w:adjustRightInd w:val="0"/>
              <w:snapToGrid w:val="0"/>
              <w:spacing w:line="360" w:lineRule="auto"/>
              <w:rPr>
                <w:rFonts w:hint="eastAsia"/>
                <w:sz w:val="21"/>
                <w:szCs w:val="21"/>
              </w:rPr>
            </w:pPr>
            <w:r>
              <w:rPr>
                <w:rFonts w:hint="eastAsia"/>
                <w:sz w:val="21"/>
                <w:szCs w:val="21"/>
              </w:rPr>
              <w:t>网络方式：支持有线网络（百兆及以上）；</w:t>
            </w:r>
          </w:p>
          <w:p w14:paraId="1356F550">
            <w:pPr>
              <w:keepNext w:val="0"/>
              <w:keepLines w:val="0"/>
              <w:pageBreakBefore w:val="0"/>
              <w:widowControl/>
              <w:kinsoku/>
              <w:wordWrap/>
              <w:overflowPunct/>
              <w:topLinePunct w:val="0"/>
              <w:autoSpaceDE/>
              <w:autoSpaceDN/>
              <w:bidi w:val="0"/>
              <w:adjustRightInd w:val="0"/>
              <w:snapToGrid w:val="0"/>
              <w:spacing w:line="360" w:lineRule="auto"/>
              <w:rPr>
                <w:rFonts w:hint="eastAsia"/>
                <w:sz w:val="21"/>
                <w:szCs w:val="21"/>
              </w:rPr>
            </w:pPr>
            <w:r>
              <w:rPr>
                <w:rFonts w:hint="eastAsia"/>
                <w:sz w:val="21"/>
                <w:szCs w:val="21"/>
              </w:rPr>
              <w:t>接口：USB 接口不少于2个，支持 HDMI、TF卡接口及LAN 网络接口；</w:t>
            </w:r>
          </w:p>
          <w:p w14:paraId="6446DE55">
            <w:pPr>
              <w:keepNext w:val="0"/>
              <w:keepLines w:val="0"/>
              <w:pageBreakBefore w:val="0"/>
              <w:widowControl/>
              <w:kinsoku/>
              <w:wordWrap/>
              <w:overflowPunct/>
              <w:topLinePunct w:val="0"/>
              <w:autoSpaceDE/>
              <w:autoSpaceDN/>
              <w:bidi w:val="0"/>
              <w:adjustRightInd w:val="0"/>
              <w:snapToGrid w:val="0"/>
              <w:spacing w:line="360" w:lineRule="auto"/>
              <w:rPr>
                <w:rFonts w:hint="eastAsia"/>
                <w:sz w:val="21"/>
                <w:szCs w:val="21"/>
              </w:rPr>
            </w:pPr>
            <w:r>
              <w:rPr>
                <w:rFonts w:hint="eastAsia"/>
                <w:sz w:val="21"/>
                <w:szCs w:val="21"/>
              </w:rPr>
              <w:t>供电方式：AC 100V–240V，50/60Hz；</w:t>
            </w:r>
          </w:p>
          <w:p w14:paraId="32430A0F">
            <w:pPr>
              <w:keepNext w:val="0"/>
              <w:keepLines w:val="0"/>
              <w:pageBreakBefore w:val="0"/>
              <w:widowControl/>
              <w:kinsoku/>
              <w:wordWrap/>
              <w:overflowPunct/>
              <w:topLinePunct w:val="0"/>
              <w:autoSpaceDE/>
              <w:autoSpaceDN/>
              <w:bidi w:val="0"/>
              <w:adjustRightInd w:val="0"/>
              <w:snapToGrid w:val="0"/>
              <w:spacing w:line="360" w:lineRule="auto"/>
              <w:rPr>
                <w:rFonts w:hint="eastAsia"/>
                <w:sz w:val="21"/>
                <w:szCs w:val="21"/>
              </w:rPr>
            </w:pPr>
            <w:r>
              <w:rPr>
                <w:rFonts w:hint="eastAsia"/>
                <w:sz w:val="21"/>
                <w:szCs w:val="21"/>
              </w:rPr>
              <w:t>整机功耗：≤</w:t>
            </w:r>
            <w:r>
              <w:rPr>
                <w:rFonts w:hint="eastAsia"/>
                <w:sz w:val="21"/>
                <w:szCs w:val="21"/>
                <w:lang w:val="en-US" w:eastAsia="zh-CN"/>
              </w:rPr>
              <w:t>50</w:t>
            </w:r>
            <w:r>
              <w:rPr>
                <w:rFonts w:hint="eastAsia"/>
                <w:sz w:val="21"/>
                <w:szCs w:val="21"/>
              </w:rPr>
              <w:t>W；</w:t>
            </w:r>
          </w:p>
          <w:p w14:paraId="19EACF66">
            <w:pPr>
              <w:keepNext w:val="0"/>
              <w:keepLines w:val="0"/>
              <w:pageBreakBefore w:val="0"/>
              <w:widowControl/>
              <w:kinsoku/>
              <w:wordWrap/>
              <w:overflowPunct/>
              <w:topLinePunct w:val="0"/>
              <w:autoSpaceDE/>
              <w:autoSpaceDN/>
              <w:bidi w:val="0"/>
              <w:adjustRightInd w:val="0"/>
              <w:snapToGrid w:val="0"/>
              <w:spacing w:line="360" w:lineRule="auto"/>
              <w:rPr>
                <w:rFonts w:hint="eastAsia"/>
                <w:sz w:val="21"/>
                <w:szCs w:val="21"/>
              </w:rPr>
            </w:pPr>
            <w:r>
              <w:rPr>
                <w:rFonts w:hint="eastAsia"/>
                <w:sz w:val="21"/>
                <w:szCs w:val="21"/>
              </w:rPr>
              <w:t>待机功耗：≤1W；</w:t>
            </w:r>
          </w:p>
          <w:p w14:paraId="52A5C544">
            <w:pPr>
              <w:keepNext w:val="0"/>
              <w:keepLines w:val="0"/>
              <w:pageBreakBefore w:val="0"/>
              <w:widowControl/>
              <w:kinsoku/>
              <w:wordWrap/>
              <w:overflowPunct/>
              <w:topLinePunct w:val="0"/>
              <w:autoSpaceDE/>
              <w:autoSpaceDN/>
              <w:bidi w:val="0"/>
              <w:adjustRightInd w:val="0"/>
              <w:snapToGrid w:val="0"/>
              <w:spacing w:line="360" w:lineRule="auto"/>
              <w:rPr>
                <w:rFonts w:hint="eastAsia"/>
                <w:sz w:val="21"/>
                <w:szCs w:val="21"/>
              </w:rPr>
            </w:pPr>
            <w:r>
              <w:rPr>
                <w:rFonts w:hint="eastAsia"/>
                <w:sz w:val="21"/>
                <w:szCs w:val="21"/>
              </w:rPr>
              <w:t>音频：内置扬声器，满足叫号语音播放需求；</w:t>
            </w:r>
          </w:p>
          <w:p w14:paraId="0780043D">
            <w:pPr>
              <w:keepNext w:val="0"/>
              <w:keepLines w:val="0"/>
              <w:pageBreakBefore w:val="0"/>
              <w:widowControl/>
              <w:kinsoku/>
              <w:wordWrap/>
              <w:overflowPunct/>
              <w:topLinePunct w:val="0"/>
              <w:autoSpaceDE/>
              <w:autoSpaceDN/>
              <w:bidi w:val="0"/>
              <w:adjustRightInd w:val="0"/>
              <w:snapToGrid w:val="0"/>
              <w:spacing w:line="360" w:lineRule="auto"/>
              <w:rPr>
                <w:rFonts w:hint="eastAsia"/>
                <w:sz w:val="21"/>
                <w:szCs w:val="21"/>
              </w:rPr>
            </w:pPr>
            <w:r>
              <w:rPr>
                <w:rFonts w:hint="eastAsia"/>
                <w:sz w:val="21"/>
                <w:szCs w:val="21"/>
              </w:rPr>
              <w:t>支持定时开机、定时关机功能；</w:t>
            </w:r>
          </w:p>
          <w:p w14:paraId="388C9A2B">
            <w:pPr>
              <w:keepNext w:val="0"/>
              <w:keepLines w:val="0"/>
              <w:pageBreakBefore w:val="0"/>
              <w:widowControl/>
              <w:kinsoku/>
              <w:wordWrap/>
              <w:overflowPunct/>
              <w:topLinePunct w:val="0"/>
              <w:autoSpaceDE/>
              <w:autoSpaceDN/>
              <w:bidi w:val="0"/>
              <w:adjustRightInd w:val="0"/>
              <w:snapToGrid w:val="0"/>
              <w:spacing w:line="360" w:lineRule="auto"/>
              <w:rPr>
                <w:rFonts w:hint="eastAsia"/>
                <w:sz w:val="21"/>
                <w:szCs w:val="21"/>
              </w:rPr>
            </w:pPr>
            <w:r>
              <w:rPr>
                <w:rFonts w:hint="eastAsia"/>
                <w:sz w:val="21"/>
                <w:szCs w:val="21"/>
              </w:rPr>
              <w:t>工作温度：0℃～40℃；</w:t>
            </w:r>
          </w:p>
          <w:p w14:paraId="101A8F1B">
            <w:pPr>
              <w:keepNext w:val="0"/>
              <w:keepLines w:val="0"/>
              <w:pageBreakBefore w:val="0"/>
              <w:widowControl/>
              <w:kinsoku/>
              <w:wordWrap/>
              <w:overflowPunct/>
              <w:topLinePunct w:val="0"/>
              <w:autoSpaceDE/>
              <w:autoSpaceDN/>
              <w:bidi w:val="0"/>
              <w:adjustRightInd w:val="0"/>
              <w:snapToGrid w:val="0"/>
              <w:spacing w:line="360" w:lineRule="auto"/>
              <w:rPr>
                <w:rFonts w:hint="eastAsia"/>
                <w:sz w:val="21"/>
                <w:szCs w:val="21"/>
              </w:rPr>
            </w:pPr>
            <w:r>
              <w:rPr>
                <w:rFonts w:hint="eastAsia"/>
                <w:sz w:val="21"/>
                <w:szCs w:val="21"/>
              </w:rPr>
              <w:t>叫号屏应具备便捷拆卸结构设计，屏幕供电接口应支持标准化接线方式；</w:t>
            </w:r>
          </w:p>
          <w:p w14:paraId="13F2614F">
            <w:pPr>
              <w:keepNext w:val="0"/>
              <w:keepLines w:val="0"/>
              <w:pageBreakBefore w:val="0"/>
              <w:widowControl/>
              <w:kinsoku/>
              <w:wordWrap/>
              <w:overflowPunct/>
              <w:topLinePunct w:val="0"/>
              <w:autoSpaceDE/>
              <w:autoSpaceDN/>
              <w:bidi w:val="0"/>
              <w:adjustRightInd w:val="0"/>
              <w:snapToGrid w:val="0"/>
              <w:spacing w:line="360" w:lineRule="auto"/>
              <w:rPr>
                <w:rFonts w:hint="default"/>
                <w:sz w:val="21"/>
                <w:szCs w:val="21"/>
                <w:lang w:val="en-US" w:eastAsia="zh-CN"/>
              </w:rPr>
            </w:pPr>
            <w:r>
              <w:rPr>
                <w:rFonts w:hint="eastAsia"/>
                <w:sz w:val="21"/>
                <w:szCs w:val="21"/>
              </w:rPr>
              <w:t>屏体表面具备防护玻璃，满足公共区域长期使用要求。</w:t>
            </w:r>
          </w:p>
        </w:tc>
      </w:tr>
      <w:tr w14:paraId="61B079AE">
        <w:tblPrEx>
          <w:tblCellMar>
            <w:top w:w="0" w:type="dxa"/>
            <w:left w:w="108" w:type="dxa"/>
            <w:bottom w:w="0" w:type="dxa"/>
            <w:right w:w="108" w:type="dxa"/>
          </w:tblCellMar>
        </w:tblPrEx>
        <w:trPr>
          <w:trHeight w:val="1609" w:hRule="atLeast"/>
          <w:jc w:val="center"/>
        </w:trPr>
        <w:tc>
          <w:tcPr>
            <w:tcW w:w="1616" w:type="dxa"/>
            <w:vMerge w:val="continue"/>
            <w:tcBorders>
              <w:top w:val="single" w:color="auto" w:sz="4" w:space="0"/>
              <w:left w:val="single" w:color="auto" w:sz="8" w:space="0"/>
              <w:bottom w:val="single" w:color="auto" w:sz="4" w:space="0"/>
              <w:right w:val="single" w:color="auto" w:sz="8" w:space="0"/>
            </w:tcBorders>
            <w:noWrap w:val="0"/>
            <w:vAlign w:val="center"/>
          </w:tcPr>
          <w:p w14:paraId="5C49F669">
            <w:pPr>
              <w:keepNext w:val="0"/>
              <w:keepLines w:val="0"/>
              <w:pageBreakBefore w:val="0"/>
              <w:widowControl/>
              <w:kinsoku/>
              <w:wordWrap/>
              <w:overflowPunct/>
              <w:topLinePunct w:val="0"/>
              <w:autoSpaceDE/>
              <w:autoSpaceDN/>
              <w:bidi w:val="0"/>
              <w:adjustRightInd w:val="0"/>
              <w:snapToGrid w:val="0"/>
              <w:spacing w:line="360" w:lineRule="auto"/>
              <w:rPr>
                <w:rFonts w:hint="default" w:ascii="宋体" w:hAnsi="宋体" w:eastAsia="宋体" w:cs="宋体"/>
                <w:color w:val="000000"/>
                <w:kern w:val="0"/>
                <w:sz w:val="21"/>
                <w:szCs w:val="21"/>
                <w:lang w:val="en-US" w:eastAsia="zh-CN"/>
              </w:rPr>
            </w:pPr>
          </w:p>
        </w:tc>
        <w:tc>
          <w:tcPr>
            <w:tcW w:w="1571" w:type="dxa"/>
            <w:tcBorders>
              <w:top w:val="nil"/>
              <w:left w:val="single" w:color="auto" w:sz="8" w:space="0"/>
              <w:bottom w:val="single" w:color="000000" w:sz="8" w:space="0"/>
              <w:right w:val="single" w:color="auto" w:sz="8" w:space="0"/>
            </w:tcBorders>
            <w:noWrap w:val="0"/>
            <w:vAlign w:val="center"/>
          </w:tcPr>
          <w:p w14:paraId="3938CADB">
            <w:pPr>
              <w:keepNext w:val="0"/>
              <w:keepLines w:val="0"/>
              <w:pageBreakBefore w:val="0"/>
              <w:widowControl/>
              <w:kinsoku/>
              <w:wordWrap/>
              <w:overflowPunct/>
              <w:topLinePunct w:val="0"/>
              <w:autoSpaceDE/>
              <w:autoSpaceDN/>
              <w:bidi w:val="0"/>
              <w:adjustRightInd w:val="0"/>
              <w:snapToGrid w:val="0"/>
              <w:spacing w:line="360" w:lineRule="auto"/>
              <w:jc w:val="center"/>
              <w:rPr>
                <w:rFonts w:hint="default" w:ascii="宋体" w:hAnsi="宋体" w:cs="宋体"/>
                <w:color w:val="000000"/>
                <w:kern w:val="0"/>
                <w:sz w:val="21"/>
                <w:szCs w:val="21"/>
                <w:lang w:val="en-US" w:eastAsia="zh-CN"/>
              </w:rPr>
            </w:pPr>
            <w:r>
              <w:rPr>
                <w:rFonts w:hint="eastAsia" w:ascii="宋体" w:hAnsi="宋体" w:cs="宋体"/>
                <w:color w:val="000000"/>
                <w:kern w:val="0"/>
                <w:sz w:val="21"/>
                <w:szCs w:val="21"/>
                <w:lang w:val="en-US" w:eastAsia="zh-CN"/>
              </w:rPr>
              <w:t>1.3兼容性与适配</w:t>
            </w:r>
          </w:p>
        </w:tc>
        <w:tc>
          <w:tcPr>
            <w:tcW w:w="6591" w:type="dxa"/>
            <w:tcBorders>
              <w:top w:val="nil"/>
              <w:left w:val="single" w:color="auto" w:sz="8" w:space="0"/>
              <w:bottom w:val="single" w:color="000000" w:sz="8" w:space="0"/>
              <w:right w:val="single" w:color="auto" w:sz="8" w:space="0"/>
            </w:tcBorders>
            <w:noWrap w:val="0"/>
            <w:vAlign w:val="center"/>
          </w:tcPr>
          <w:p w14:paraId="7C4FF689">
            <w:pPr>
              <w:keepNext w:val="0"/>
              <w:keepLines w:val="0"/>
              <w:pageBreakBefore w:val="0"/>
              <w:widowControl/>
              <w:kinsoku/>
              <w:wordWrap/>
              <w:overflowPunct/>
              <w:topLinePunct w:val="0"/>
              <w:autoSpaceDE/>
              <w:autoSpaceDN/>
              <w:bidi w:val="0"/>
              <w:adjustRightInd w:val="0"/>
              <w:snapToGrid w:val="0"/>
              <w:spacing w:line="360" w:lineRule="auto"/>
              <w:rPr>
                <w:rFonts w:hint="default" w:ascii="宋体" w:hAnsi="宋体" w:eastAsia="宋体" w:cs="宋体"/>
                <w:color w:val="000000"/>
                <w:kern w:val="0"/>
                <w:sz w:val="21"/>
                <w:szCs w:val="21"/>
                <w:lang w:val="en-US" w:eastAsia="zh-CN"/>
              </w:rPr>
            </w:pPr>
            <w:r>
              <w:rPr>
                <w:rFonts w:hint="eastAsia" w:ascii="宋体" w:hAnsi="宋体"/>
                <w:color w:val="auto"/>
                <w:sz w:val="21"/>
                <w:szCs w:val="21"/>
                <w:lang w:val="en-US" w:eastAsia="zh-CN"/>
              </w:rPr>
              <w:t>叫号屏系统需与体检中心现有的【检中与智能导检模块系统】实现适配，支持相关系统的部署与应用。设备开机后应能够自动启动并适配院内现有【检中与智能导检模块系统】的叫号与排队管理相关软件模块，无需人工干预，确保业务连续、稳定运行。</w:t>
            </w:r>
          </w:p>
        </w:tc>
      </w:tr>
      <w:tr w14:paraId="6DA0BE72">
        <w:tblPrEx>
          <w:tblCellMar>
            <w:top w:w="0" w:type="dxa"/>
            <w:left w:w="108" w:type="dxa"/>
            <w:bottom w:w="0" w:type="dxa"/>
            <w:right w:w="108" w:type="dxa"/>
          </w:tblCellMar>
        </w:tblPrEx>
        <w:trPr>
          <w:trHeight w:val="3833" w:hRule="atLeast"/>
          <w:jc w:val="center"/>
        </w:trPr>
        <w:tc>
          <w:tcPr>
            <w:tcW w:w="1616" w:type="dxa"/>
            <w:vMerge w:val="continue"/>
            <w:tcBorders>
              <w:top w:val="single" w:color="auto" w:sz="4" w:space="0"/>
              <w:left w:val="single" w:color="auto" w:sz="8" w:space="0"/>
              <w:bottom w:val="single" w:color="auto" w:sz="4" w:space="0"/>
              <w:right w:val="single" w:color="auto" w:sz="8" w:space="0"/>
            </w:tcBorders>
            <w:noWrap w:val="0"/>
            <w:vAlign w:val="center"/>
          </w:tcPr>
          <w:p w14:paraId="0BB21A35">
            <w:pPr>
              <w:keepNext w:val="0"/>
              <w:keepLines w:val="0"/>
              <w:pageBreakBefore w:val="0"/>
              <w:widowControl/>
              <w:kinsoku/>
              <w:wordWrap/>
              <w:overflowPunct/>
              <w:topLinePunct w:val="0"/>
              <w:autoSpaceDE/>
              <w:autoSpaceDN/>
              <w:bidi w:val="0"/>
              <w:adjustRightInd w:val="0"/>
              <w:snapToGrid w:val="0"/>
              <w:spacing w:line="360" w:lineRule="auto"/>
              <w:rPr>
                <w:rFonts w:hint="default" w:ascii="宋体" w:hAnsi="宋体" w:eastAsia="宋体" w:cs="宋体"/>
                <w:color w:val="000000"/>
                <w:kern w:val="0"/>
                <w:sz w:val="21"/>
                <w:szCs w:val="21"/>
                <w:lang w:val="en-US" w:eastAsia="zh-CN"/>
              </w:rPr>
            </w:pPr>
          </w:p>
        </w:tc>
        <w:tc>
          <w:tcPr>
            <w:tcW w:w="1571" w:type="dxa"/>
            <w:tcBorders>
              <w:top w:val="nil"/>
              <w:left w:val="single" w:color="auto" w:sz="8" w:space="0"/>
              <w:bottom w:val="single" w:color="000000" w:sz="8" w:space="0"/>
              <w:right w:val="single" w:color="auto" w:sz="8" w:space="0"/>
            </w:tcBorders>
            <w:noWrap w:val="0"/>
            <w:vAlign w:val="center"/>
          </w:tcPr>
          <w:p w14:paraId="03E33385">
            <w:pPr>
              <w:keepNext w:val="0"/>
              <w:keepLines w:val="0"/>
              <w:pageBreakBefore w:val="0"/>
              <w:widowControl/>
              <w:kinsoku/>
              <w:wordWrap/>
              <w:overflowPunct/>
              <w:topLinePunct w:val="0"/>
              <w:autoSpaceDE/>
              <w:autoSpaceDN/>
              <w:bidi w:val="0"/>
              <w:adjustRightInd w:val="0"/>
              <w:snapToGrid w:val="0"/>
              <w:spacing w:line="360" w:lineRule="auto"/>
              <w:jc w:val="center"/>
              <w:rPr>
                <w:rFonts w:hint="default" w:ascii="宋体" w:hAnsi="宋体" w:eastAsia="宋体" w:cs="宋体"/>
                <w:color w:val="000000"/>
                <w:kern w:val="0"/>
                <w:sz w:val="21"/>
                <w:szCs w:val="21"/>
                <w:lang w:val="en-US" w:eastAsia="zh-CN"/>
              </w:rPr>
            </w:pPr>
            <w:r>
              <w:rPr>
                <w:rFonts w:hint="eastAsia" w:ascii="宋体" w:hAnsi="宋体" w:cs="宋体"/>
                <w:color w:val="000000"/>
                <w:kern w:val="0"/>
                <w:sz w:val="21"/>
                <w:szCs w:val="21"/>
                <w:lang w:val="en-US" w:eastAsia="zh-CN"/>
              </w:rPr>
              <w:t>1.4安装服务</w:t>
            </w:r>
          </w:p>
        </w:tc>
        <w:tc>
          <w:tcPr>
            <w:tcW w:w="6591" w:type="dxa"/>
            <w:tcBorders>
              <w:top w:val="nil"/>
              <w:left w:val="single" w:color="auto" w:sz="8" w:space="0"/>
              <w:bottom w:val="single" w:color="000000" w:sz="8" w:space="0"/>
              <w:right w:val="single" w:color="auto" w:sz="8" w:space="0"/>
            </w:tcBorders>
            <w:noWrap w:val="0"/>
            <w:vAlign w:val="center"/>
          </w:tcPr>
          <w:p w14:paraId="271B2848">
            <w:pPr>
              <w:pStyle w:val="58"/>
              <w:keepNext w:val="0"/>
              <w:keepLines w:val="0"/>
              <w:pageBreakBefore w:val="0"/>
              <w:kinsoku/>
              <w:wordWrap/>
              <w:overflowPunct/>
              <w:topLinePunct w:val="0"/>
              <w:autoSpaceDE/>
              <w:autoSpaceDN/>
              <w:bidi w:val="0"/>
              <w:adjustRightInd w:val="0"/>
              <w:snapToGrid w:val="0"/>
              <w:spacing w:line="360" w:lineRule="auto"/>
              <w:ind w:firstLine="0" w:firstLineChars="0"/>
              <w:jc w:val="left"/>
              <w:rPr>
                <w:rFonts w:hint="default" w:ascii="宋体" w:hAnsi="宋体" w:eastAsia="宋体"/>
                <w:b/>
                <w:bCs/>
                <w:color w:val="auto"/>
                <w:sz w:val="21"/>
                <w:szCs w:val="21"/>
                <w:lang w:val="en-US" w:eastAsia="zh-CN"/>
              </w:rPr>
            </w:pPr>
            <w:r>
              <w:rPr>
                <w:rFonts w:hint="eastAsia" w:ascii="宋体" w:hAnsi="宋体"/>
                <w:b/>
                <w:bCs/>
                <w:color w:val="auto"/>
                <w:sz w:val="21"/>
                <w:szCs w:val="21"/>
                <w:lang w:val="en-US" w:eastAsia="zh-CN"/>
              </w:rPr>
              <w:t>1、新采购叫号屏安装服务</w:t>
            </w:r>
          </w:p>
          <w:p w14:paraId="358204CC">
            <w:pPr>
              <w:pStyle w:val="58"/>
              <w:keepNext w:val="0"/>
              <w:keepLines w:val="0"/>
              <w:pageBreakBefore w:val="0"/>
              <w:kinsoku/>
              <w:wordWrap/>
              <w:overflowPunct/>
              <w:topLinePunct w:val="0"/>
              <w:autoSpaceDE/>
              <w:autoSpaceDN/>
              <w:bidi w:val="0"/>
              <w:adjustRightInd w:val="0"/>
              <w:snapToGrid w:val="0"/>
              <w:spacing w:line="360" w:lineRule="auto"/>
              <w:ind w:firstLine="0" w:firstLineChars="0"/>
              <w:jc w:val="left"/>
              <w:rPr>
                <w:rFonts w:hint="eastAsia" w:ascii="宋体" w:hAnsi="宋体"/>
                <w:color w:val="auto"/>
                <w:sz w:val="21"/>
                <w:szCs w:val="21"/>
              </w:rPr>
            </w:pPr>
            <w:r>
              <w:rPr>
                <w:rFonts w:hint="eastAsia" w:ascii="宋体" w:hAnsi="宋体"/>
                <w:color w:val="auto"/>
                <w:sz w:val="21"/>
                <w:szCs w:val="21"/>
              </w:rPr>
              <w:t>供应商需负责叫号屏的现场安装、系统软件安装与调试工作，并按照体检中心业务要求完成定时开关机功能配置，确保设备能够正常运行并满足体检中心业务需求。</w:t>
            </w:r>
          </w:p>
          <w:p w14:paraId="0CBBD28D">
            <w:pPr>
              <w:pStyle w:val="58"/>
              <w:keepNext w:val="0"/>
              <w:keepLines w:val="0"/>
              <w:pageBreakBefore w:val="0"/>
              <w:kinsoku/>
              <w:wordWrap/>
              <w:overflowPunct/>
              <w:topLinePunct w:val="0"/>
              <w:autoSpaceDE/>
              <w:autoSpaceDN/>
              <w:bidi w:val="0"/>
              <w:adjustRightInd w:val="0"/>
              <w:snapToGrid w:val="0"/>
              <w:spacing w:line="360" w:lineRule="auto"/>
              <w:ind w:firstLine="0" w:firstLineChars="0"/>
              <w:jc w:val="left"/>
              <w:rPr>
                <w:rFonts w:hint="eastAsia" w:ascii="宋体" w:hAnsi="宋体"/>
                <w:color w:val="auto"/>
                <w:sz w:val="21"/>
                <w:szCs w:val="21"/>
              </w:rPr>
            </w:pPr>
            <w:r>
              <w:rPr>
                <w:rFonts w:hint="eastAsia" w:ascii="宋体" w:hAnsi="宋体"/>
                <w:color w:val="auto"/>
                <w:sz w:val="21"/>
                <w:szCs w:val="21"/>
              </w:rPr>
              <w:t>其中，43寸叫号屏及新增的1台21.5寸叫号屏安装工作应包含网络布线、电力供应布线及吊顶施工等配套工程内容。</w:t>
            </w:r>
          </w:p>
          <w:p w14:paraId="04EE111D">
            <w:pPr>
              <w:pStyle w:val="58"/>
              <w:keepNext w:val="0"/>
              <w:keepLines w:val="0"/>
              <w:pageBreakBefore w:val="0"/>
              <w:numPr>
                <w:ilvl w:val="0"/>
                <w:numId w:val="77"/>
              </w:numPr>
              <w:kinsoku/>
              <w:wordWrap/>
              <w:overflowPunct/>
              <w:topLinePunct w:val="0"/>
              <w:autoSpaceDE/>
              <w:autoSpaceDN/>
              <w:bidi w:val="0"/>
              <w:adjustRightInd w:val="0"/>
              <w:snapToGrid w:val="0"/>
              <w:spacing w:line="360" w:lineRule="auto"/>
              <w:ind w:firstLine="0" w:firstLineChars="0"/>
              <w:jc w:val="left"/>
              <w:rPr>
                <w:rFonts w:hint="eastAsia" w:ascii="宋体" w:hAnsi="宋体"/>
                <w:b/>
                <w:bCs/>
                <w:color w:val="auto"/>
                <w:sz w:val="21"/>
                <w:szCs w:val="21"/>
                <w:lang w:val="en-US" w:eastAsia="zh-CN"/>
              </w:rPr>
            </w:pPr>
            <w:r>
              <w:rPr>
                <w:rFonts w:hint="eastAsia" w:ascii="宋体" w:hAnsi="宋体"/>
                <w:b/>
                <w:bCs/>
                <w:color w:val="auto"/>
                <w:sz w:val="21"/>
                <w:szCs w:val="21"/>
                <w:lang w:val="en-US" w:eastAsia="zh-CN"/>
              </w:rPr>
              <w:t>体检中心现有叫号屏的搬迁服务</w:t>
            </w:r>
          </w:p>
          <w:p w14:paraId="5F6D9AAB">
            <w:pPr>
              <w:pStyle w:val="58"/>
              <w:keepNext w:val="0"/>
              <w:keepLines w:val="0"/>
              <w:pageBreakBefore w:val="0"/>
              <w:kinsoku/>
              <w:wordWrap/>
              <w:overflowPunct/>
              <w:topLinePunct w:val="0"/>
              <w:autoSpaceDE/>
              <w:autoSpaceDN/>
              <w:bidi w:val="0"/>
              <w:adjustRightInd w:val="0"/>
              <w:snapToGrid w:val="0"/>
              <w:spacing w:line="360" w:lineRule="auto"/>
              <w:ind w:firstLine="0" w:firstLineChars="0"/>
              <w:jc w:val="left"/>
              <w:rPr>
                <w:rFonts w:hint="default"/>
                <w:sz w:val="21"/>
                <w:szCs w:val="21"/>
                <w:lang w:val="en-US" w:eastAsia="zh-CN"/>
              </w:rPr>
            </w:pPr>
            <w:r>
              <w:rPr>
                <w:rFonts w:hint="eastAsia" w:ascii="宋体" w:hAnsi="宋体"/>
                <w:color w:val="000000"/>
                <w:spacing w:val="-3"/>
                <w:sz w:val="21"/>
                <w:szCs w:val="21"/>
              </w:rPr>
              <w:t>配合体检中心二期搬迁工作，需对体检中心一期已配置的33台21.5寸叫号屏、5台43寸叫号屏进行拆卸、重新安装及系统调试。其中，5台43寸叫号屏安装工作应包含网络布线、电力供应布线及吊顶施工。安装完成后，应确保【检中与智能导检模块系统】中叫号与排队管理相关软件正常运行。</w:t>
            </w:r>
          </w:p>
        </w:tc>
      </w:tr>
      <w:tr w14:paraId="6E3D5EC8">
        <w:tblPrEx>
          <w:tblCellMar>
            <w:top w:w="0" w:type="dxa"/>
            <w:left w:w="108" w:type="dxa"/>
            <w:bottom w:w="0" w:type="dxa"/>
            <w:right w:w="108" w:type="dxa"/>
          </w:tblCellMar>
        </w:tblPrEx>
        <w:trPr>
          <w:trHeight w:val="994" w:hRule="atLeast"/>
          <w:jc w:val="center"/>
        </w:trPr>
        <w:tc>
          <w:tcPr>
            <w:tcW w:w="1616" w:type="dxa"/>
            <w:vMerge w:val="continue"/>
            <w:tcBorders>
              <w:top w:val="single" w:color="auto" w:sz="4" w:space="0"/>
              <w:left w:val="single" w:color="auto" w:sz="8" w:space="0"/>
              <w:bottom w:val="single" w:color="auto" w:sz="4" w:space="0"/>
              <w:right w:val="single" w:color="auto" w:sz="8" w:space="0"/>
            </w:tcBorders>
            <w:noWrap w:val="0"/>
            <w:vAlign w:val="center"/>
          </w:tcPr>
          <w:p w14:paraId="6EE81E5B">
            <w:pPr>
              <w:keepNext w:val="0"/>
              <w:keepLines w:val="0"/>
              <w:pageBreakBefore w:val="0"/>
              <w:widowControl/>
              <w:kinsoku/>
              <w:wordWrap/>
              <w:overflowPunct/>
              <w:topLinePunct w:val="0"/>
              <w:autoSpaceDE/>
              <w:autoSpaceDN/>
              <w:bidi w:val="0"/>
              <w:adjustRightInd w:val="0"/>
              <w:snapToGrid w:val="0"/>
              <w:spacing w:line="360" w:lineRule="auto"/>
              <w:rPr>
                <w:rFonts w:hint="default" w:ascii="宋体" w:hAnsi="宋体" w:eastAsia="宋体" w:cs="宋体"/>
                <w:color w:val="000000"/>
                <w:kern w:val="0"/>
                <w:sz w:val="21"/>
                <w:szCs w:val="21"/>
                <w:lang w:val="en-US" w:eastAsia="zh-CN"/>
              </w:rPr>
            </w:pPr>
          </w:p>
        </w:tc>
        <w:tc>
          <w:tcPr>
            <w:tcW w:w="1571" w:type="dxa"/>
            <w:tcBorders>
              <w:top w:val="nil"/>
              <w:left w:val="single" w:color="auto" w:sz="8" w:space="0"/>
              <w:bottom w:val="single" w:color="000000" w:sz="8" w:space="0"/>
              <w:right w:val="single" w:color="auto" w:sz="8" w:space="0"/>
            </w:tcBorders>
            <w:noWrap w:val="0"/>
            <w:vAlign w:val="center"/>
          </w:tcPr>
          <w:p w14:paraId="2DEAE282">
            <w:pPr>
              <w:keepNext w:val="0"/>
              <w:keepLines w:val="0"/>
              <w:pageBreakBefore w:val="0"/>
              <w:widowControl/>
              <w:kinsoku/>
              <w:wordWrap/>
              <w:overflowPunct/>
              <w:topLinePunct w:val="0"/>
              <w:autoSpaceDE/>
              <w:autoSpaceDN/>
              <w:bidi w:val="0"/>
              <w:adjustRightInd w:val="0"/>
              <w:snapToGrid w:val="0"/>
              <w:spacing w:line="360" w:lineRule="auto"/>
              <w:jc w:val="center"/>
              <w:rPr>
                <w:rFonts w:hint="default" w:ascii="宋体" w:hAnsi="宋体" w:cs="宋体"/>
                <w:color w:val="000000"/>
                <w:kern w:val="0"/>
                <w:sz w:val="21"/>
                <w:szCs w:val="21"/>
                <w:lang w:val="en-US" w:eastAsia="zh-CN"/>
              </w:rPr>
            </w:pPr>
            <w:r>
              <w:rPr>
                <w:rFonts w:hint="eastAsia" w:ascii="宋体" w:hAnsi="宋体" w:cs="宋体"/>
                <w:color w:val="000000"/>
                <w:kern w:val="0"/>
                <w:sz w:val="21"/>
                <w:szCs w:val="21"/>
                <w:lang w:val="en-US" w:eastAsia="zh-CN"/>
              </w:rPr>
              <w:t>1.5安装辅材</w:t>
            </w:r>
          </w:p>
        </w:tc>
        <w:tc>
          <w:tcPr>
            <w:tcW w:w="6591" w:type="dxa"/>
            <w:tcBorders>
              <w:top w:val="nil"/>
              <w:left w:val="single" w:color="auto" w:sz="8" w:space="0"/>
              <w:bottom w:val="single" w:color="000000" w:sz="8" w:space="0"/>
              <w:right w:val="single" w:color="auto" w:sz="8" w:space="0"/>
            </w:tcBorders>
            <w:noWrap w:val="0"/>
            <w:vAlign w:val="center"/>
          </w:tcPr>
          <w:p w14:paraId="46496192">
            <w:pPr>
              <w:keepNext w:val="0"/>
              <w:keepLines w:val="0"/>
              <w:pageBreakBefore w:val="0"/>
              <w:widowControl/>
              <w:kinsoku/>
              <w:wordWrap/>
              <w:overflowPunct/>
              <w:topLinePunct w:val="0"/>
              <w:autoSpaceDE/>
              <w:autoSpaceDN/>
              <w:bidi w:val="0"/>
              <w:adjustRightInd w:val="0"/>
              <w:snapToGrid w:val="0"/>
              <w:spacing w:line="360" w:lineRule="auto"/>
              <w:rPr>
                <w:rFonts w:hint="default" w:ascii="宋体" w:hAnsi="宋体" w:eastAsia="宋体" w:cs="宋体"/>
                <w:color w:val="000000"/>
                <w:kern w:val="0"/>
                <w:sz w:val="21"/>
                <w:szCs w:val="21"/>
                <w:lang w:val="en-US" w:eastAsia="zh-CN"/>
              </w:rPr>
            </w:pPr>
            <w:r>
              <w:rPr>
                <w:rFonts w:hint="default" w:ascii="宋体" w:hAnsi="宋体" w:eastAsia="宋体" w:cs="宋体"/>
                <w:color w:val="000000"/>
                <w:kern w:val="0"/>
                <w:sz w:val="21"/>
                <w:szCs w:val="21"/>
                <w:lang w:val="en-US" w:eastAsia="zh-CN"/>
              </w:rPr>
              <w:t>硬件设备安装过程中</w:t>
            </w:r>
            <w:r>
              <w:rPr>
                <w:rFonts w:hint="eastAsia" w:ascii="宋体" w:hAnsi="宋体" w:eastAsia="宋体" w:cs="宋体"/>
                <w:color w:val="000000"/>
                <w:kern w:val="0"/>
                <w:sz w:val="21"/>
                <w:szCs w:val="21"/>
                <w:lang w:val="en-US" w:eastAsia="zh-CN"/>
              </w:rPr>
              <w:t>布线、</w:t>
            </w:r>
            <w:r>
              <w:rPr>
                <w:rFonts w:hint="eastAsia" w:ascii="宋体" w:hAnsi="宋体"/>
                <w:color w:val="000000"/>
                <w:spacing w:val="-3"/>
                <w:sz w:val="21"/>
                <w:szCs w:val="21"/>
              </w:rPr>
              <w:t>电力供应布线</w:t>
            </w:r>
            <w:r>
              <w:rPr>
                <w:rFonts w:hint="eastAsia" w:ascii="宋体" w:hAnsi="宋体"/>
                <w:color w:val="000000"/>
                <w:spacing w:val="-3"/>
                <w:sz w:val="21"/>
                <w:szCs w:val="21"/>
                <w:lang w:eastAsia="zh-CN"/>
              </w:rPr>
              <w:t>、</w:t>
            </w:r>
            <w:r>
              <w:rPr>
                <w:rFonts w:hint="eastAsia" w:ascii="宋体" w:hAnsi="宋体"/>
                <w:color w:val="000000"/>
                <w:spacing w:val="-3"/>
                <w:sz w:val="21"/>
                <w:szCs w:val="21"/>
              </w:rPr>
              <w:t>吊顶施工</w:t>
            </w:r>
            <w:r>
              <w:rPr>
                <w:rFonts w:hint="default" w:ascii="宋体" w:hAnsi="宋体" w:eastAsia="宋体" w:cs="宋体"/>
                <w:color w:val="000000"/>
                <w:kern w:val="0"/>
                <w:sz w:val="21"/>
                <w:szCs w:val="21"/>
                <w:lang w:val="en-US" w:eastAsia="zh-CN"/>
              </w:rPr>
              <w:t>所需的全部辅材应由供应商统一提供，确保设备安装、调试及正常运行，辅材包括但不限于网线</w:t>
            </w:r>
            <w:r>
              <w:rPr>
                <w:rFonts w:hint="eastAsia" w:ascii="宋体" w:hAnsi="宋体" w:eastAsia="宋体" w:cs="宋体"/>
                <w:color w:val="000000"/>
                <w:kern w:val="0"/>
                <w:sz w:val="21"/>
                <w:szCs w:val="21"/>
                <w:lang w:val="en-US" w:eastAsia="zh-CN"/>
              </w:rPr>
              <w:t>、</w:t>
            </w:r>
            <w:r>
              <w:rPr>
                <w:rFonts w:ascii="宋体" w:hAnsi="宋体" w:eastAsia="宋体" w:cs="宋体"/>
                <w:color w:val="000000"/>
                <w:kern w:val="0"/>
                <w:sz w:val="21"/>
                <w:szCs w:val="21"/>
              </w:rPr>
              <w:t>ONU</w:t>
            </w:r>
            <w:r>
              <w:rPr>
                <w:rFonts w:hint="default" w:ascii="宋体" w:hAnsi="宋体" w:eastAsia="宋体" w:cs="宋体"/>
                <w:color w:val="000000"/>
                <w:kern w:val="0"/>
                <w:sz w:val="21"/>
                <w:szCs w:val="21"/>
                <w:lang w:val="en-US" w:eastAsia="zh-CN"/>
              </w:rPr>
              <w:t>设备（3台）等相关配套材料。</w:t>
            </w:r>
          </w:p>
        </w:tc>
      </w:tr>
    </w:tbl>
    <w:p w14:paraId="7F9891A5">
      <w:pPr>
        <w:rPr>
          <w:rFonts w:hint="default"/>
          <w:b/>
          <w:bCs/>
          <w:lang w:val="en-US" w:eastAsia="zh-CN"/>
        </w:rPr>
      </w:pPr>
    </w:p>
    <w:p w14:paraId="453EC226">
      <w:pPr>
        <w:pStyle w:val="3"/>
        <w:bidi w:val="0"/>
        <w:rPr>
          <w:rFonts w:hint="eastAsia"/>
          <w:lang w:val="en-US" w:eastAsia="zh-CN"/>
        </w:rPr>
      </w:pPr>
      <w:bookmarkStart w:id="210" w:name="_Toc23898"/>
      <w:bookmarkStart w:id="211" w:name="_Toc24208"/>
      <w:bookmarkStart w:id="212" w:name="_Toc26506"/>
      <w:bookmarkStart w:id="213" w:name="_Toc16841"/>
      <w:bookmarkStart w:id="214" w:name="_Toc16783"/>
      <w:r>
        <w:rPr>
          <w:rFonts w:hint="eastAsia"/>
          <w:lang w:val="en-US" w:eastAsia="zh-CN"/>
        </w:rPr>
        <w:t>临床辅助决策系统（CDSS）</w:t>
      </w:r>
      <w:bookmarkEnd w:id="210"/>
      <w:bookmarkEnd w:id="211"/>
      <w:bookmarkEnd w:id="212"/>
      <w:bookmarkEnd w:id="213"/>
      <w:bookmarkEnd w:id="214"/>
    </w:p>
    <w:p w14:paraId="1F6FCCAA">
      <w:pPr>
        <w:jc w:val="left"/>
        <w:rPr>
          <w:rFonts w:hint="eastAsia" w:ascii="宋体" w:hAnsi="宋体" w:eastAsia="宋体" w:cs="宋体"/>
          <w:b w:val="0"/>
          <w:bCs w:val="0"/>
          <w:sz w:val="22"/>
          <w:szCs w:val="22"/>
          <w:lang w:val="en-US" w:eastAsia="zh-CN"/>
        </w:rPr>
      </w:pPr>
      <w:r>
        <w:rPr>
          <w:rFonts w:hint="eastAsia" w:ascii="宋体" w:hAnsi="Calibri" w:eastAsia="宋体" w:cs="Times New Roman"/>
          <w:b/>
          <w:bCs w:val="0"/>
          <w:color w:val="auto"/>
          <w:kern w:val="0"/>
          <w:sz w:val="28"/>
          <w:szCs w:val="28"/>
          <w:highlight w:val="none"/>
          <w:lang w:val="en-US" w:eastAsia="zh-CN"/>
        </w:rPr>
        <w:t>一、系统总体需求</w:t>
      </w:r>
      <w:r>
        <w:rPr>
          <w:rFonts w:hint="eastAsia" w:ascii="宋体" w:hAnsi="Calibri" w:eastAsia="宋体" w:cs="Times New Roman"/>
          <w:b/>
          <w:bCs w:val="0"/>
          <w:color w:val="auto"/>
          <w:kern w:val="0"/>
          <w:sz w:val="28"/>
          <w:szCs w:val="28"/>
          <w:highlight w:val="none"/>
          <w:lang w:val="en-US" w:eastAsia="zh-CN"/>
        </w:rPr>
        <w:br w:type="textWrapping"/>
      </w:r>
      <w:r>
        <w:rPr>
          <w:rFonts w:hint="eastAsia" w:ascii="宋体" w:hAnsi="宋体" w:eastAsia="宋体" w:cs="宋体"/>
          <w:b w:val="0"/>
          <w:bCs w:val="0"/>
          <w:sz w:val="22"/>
          <w:szCs w:val="22"/>
          <w:lang w:val="en-US" w:eastAsia="zh-CN"/>
        </w:rPr>
        <w:t>1.本项目建设应对标现《电子病历系统功能应用水平分级评价方法及标准（试行）》六级标准建设，项目验收前，遇国家评级标准调整时，验收前应满足新的对应等级的评级标准建设目标。</w:t>
      </w:r>
    </w:p>
    <w:p w14:paraId="491E6F2A">
      <w:pPr>
        <w:jc w:val="left"/>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2.安全要求：系统服务器必须在医院内网安装。</w:t>
      </w:r>
    </w:p>
    <w:p w14:paraId="7669F9ED">
      <w:pPr>
        <w:jc w:val="left"/>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3.接口要求：</w:t>
      </w:r>
    </w:p>
    <w:p w14:paraId="11F72574">
      <w:pPr>
        <w:jc w:val="left"/>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ab/>
      </w:r>
      <w:r>
        <w:rPr>
          <w:rFonts w:hint="eastAsia" w:ascii="宋体" w:hAnsi="宋体" w:eastAsia="宋体" w:cs="宋体"/>
          <w:b w:val="0"/>
          <w:bCs w:val="0"/>
          <w:sz w:val="22"/>
          <w:szCs w:val="22"/>
          <w:lang w:val="en-US" w:eastAsia="zh-CN"/>
        </w:rPr>
        <w:t>3.1.符合国家相关部门颁布的《医院信息系统功能基本规范》；</w:t>
      </w:r>
    </w:p>
    <w:p w14:paraId="68346E5A">
      <w:pPr>
        <w:jc w:val="left"/>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ab/>
      </w:r>
      <w:r>
        <w:rPr>
          <w:rFonts w:hint="eastAsia" w:ascii="宋体" w:hAnsi="宋体" w:eastAsia="宋体" w:cs="宋体"/>
          <w:b w:val="0"/>
          <w:bCs w:val="0"/>
          <w:sz w:val="22"/>
          <w:szCs w:val="22"/>
          <w:lang w:val="en-US" w:eastAsia="zh-CN"/>
        </w:rPr>
        <w:t>3.2.符合国家相关部门颁布的《电子病历系统功能规范（试行）》；</w:t>
      </w:r>
    </w:p>
    <w:p w14:paraId="707154AC">
      <w:pPr>
        <w:jc w:val="left"/>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ab/>
      </w:r>
      <w:r>
        <w:rPr>
          <w:rFonts w:hint="eastAsia" w:ascii="宋体" w:hAnsi="宋体" w:eastAsia="宋体" w:cs="宋体"/>
          <w:b w:val="0"/>
          <w:bCs w:val="0"/>
          <w:sz w:val="22"/>
          <w:szCs w:val="22"/>
          <w:lang w:val="en-US" w:eastAsia="zh-CN"/>
        </w:rPr>
        <w:t>3.3.符合国家相关部门颁发的《电子病历系统应用水平分级评价管理办法（试行）及评价标准（试行）》；</w:t>
      </w:r>
    </w:p>
    <w:p w14:paraId="3538A75A">
      <w:pPr>
        <w:jc w:val="left"/>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ab/>
      </w:r>
      <w:r>
        <w:rPr>
          <w:rFonts w:hint="eastAsia" w:ascii="宋体" w:hAnsi="宋体" w:eastAsia="宋体" w:cs="宋体"/>
          <w:b w:val="0"/>
          <w:bCs w:val="0"/>
          <w:sz w:val="22"/>
          <w:szCs w:val="22"/>
          <w:lang w:val="en-US" w:eastAsia="zh-CN"/>
        </w:rPr>
        <w:t>3.4.能够与医院住院电子病历嵌入式融合，获取电子病历中的数据内容，包括但不限于主诉、现病史、既往史等信息。可以将辅助诊疗的信息，写回到电子病历，包括但不限于鉴别诊断信息、检查项目、用药和手术方案信息、评估表等；</w:t>
      </w:r>
    </w:p>
    <w:p w14:paraId="2630C48C">
      <w:pPr>
        <w:jc w:val="left"/>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ab/>
      </w:r>
      <w:r>
        <w:rPr>
          <w:rFonts w:hint="eastAsia" w:ascii="宋体" w:hAnsi="宋体" w:eastAsia="宋体" w:cs="宋体"/>
          <w:b w:val="0"/>
          <w:bCs w:val="0"/>
          <w:sz w:val="22"/>
          <w:szCs w:val="22"/>
          <w:lang w:val="en-US" w:eastAsia="zh-CN"/>
        </w:rPr>
        <w:t>3.5.能够与医院集成平台对接，获取集成平台中的数据内容，包括但不限于患者检验结果、检查报告、医嘱内容等；</w:t>
      </w:r>
    </w:p>
    <w:p w14:paraId="6C45FB2E">
      <w:pPr>
        <w:jc w:val="left"/>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ab/>
      </w:r>
      <w:r>
        <w:rPr>
          <w:rFonts w:hint="eastAsia" w:ascii="宋体" w:hAnsi="宋体" w:eastAsia="宋体" w:cs="宋体"/>
          <w:b w:val="0"/>
          <w:bCs w:val="0"/>
          <w:sz w:val="22"/>
          <w:szCs w:val="22"/>
          <w:lang w:val="en-US" w:eastAsia="zh-CN"/>
        </w:rPr>
        <w:t>3.6.能够与医院医嘱对接，获取医嘱信息，包括但不限于药品、检验、检查、手术、护理医嘱。可以自动检验检查合理化校验并给处提醒以及手术禁忌提醒等；</w:t>
      </w:r>
    </w:p>
    <w:p w14:paraId="66EAF8AB">
      <w:pPr>
        <w:jc w:val="left"/>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ab/>
      </w:r>
      <w:r>
        <w:rPr>
          <w:rFonts w:hint="eastAsia" w:ascii="宋体" w:hAnsi="宋体" w:eastAsia="宋体" w:cs="宋体"/>
          <w:b w:val="0"/>
          <w:bCs w:val="0"/>
          <w:sz w:val="22"/>
          <w:szCs w:val="22"/>
          <w:lang w:val="en-US" w:eastAsia="zh-CN"/>
        </w:rPr>
        <w:t>3.7.能够与医院门/急诊系统对接，通过主诉智能提示疑似诊断，明确诊断的推荐治疗方案。</w:t>
      </w:r>
    </w:p>
    <w:p w14:paraId="43BC7802">
      <w:pPr>
        <w:jc w:val="left"/>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4.性能要求：提供不同级别，不同故障情况下的应用系统的应急预案（指技术实现方案）。避免因故障导致的医疗工作的延迟和医疗差错。</w:t>
      </w:r>
    </w:p>
    <w:p w14:paraId="29745717">
      <w:pPr>
        <w:jc w:val="left"/>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5.数据格式化要求：可以从非结构化电子病历内容中，通过机器学习，自动抽取结构化信息。</w:t>
      </w:r>
    </w:p>
    <w:p w14:paraId="4EA85B72">
      <w:pPr>
        <w:jc w:val="left"/>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6.终端用户操作性能指标：软件系统要体现易于理解掌握、操作简单、提示清晰、逻辑性强，直观简洁、帮助信息丰富等特点，保证操作人员以最快速度和最少的击键次数完成工作。</w:t>
      </w:r>
    </w:p>
    <w:p w14:paraId="2E5FB901">
      <w:pPr>
        <w:jc w:val="left"/>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7.融合要求：系统能按照医院要求融合其他消息推送模块。</w:t>
      </w:r>
    </w:p>
    <w:p w14:paraId="4213D854">
      <w:pPr>
        <w:widowControl/>
        <w:autoSpaceDE w:val="0"/>
        <w:autoSpaceDN w:val="0"/>
        <w:spacing w:before="308" w:after="66" w:line="240" w:lineRule="exact"/>
        <w:ind w:right="0"/>
        <w:jc w:val="left"/>
      </w:pPr>
      <w:r>
        <w:rPr>
          <w:rFonts w:hint="eastAsia" w:ascii="宋体" w:hAnsi="Calibri" w:eastAsia="宋体" w:cs="Times New Roman"/>
          <w:b/>
          <w:bCs w:val="0"/>
          <w:color w:val="auto"/>
          <w:kern w:val="0"/>
          <w:sz w:val="28"/>
          <w:szCs w:val="28"/>
          <w:highlight w:val="none"/>
          <w:lang w:val="en-US" w:eastAsia="zh-CN"/>
        </w:rPr>
        <w:t>二、系统功能参数要求</w:t>
      </w:r>
      <w:r>
        <w:rPr>
          <w:rFonts w:hint="eastAsia" w:ascii="宋体" w:hAnsi="Calibri" w:eastAsia="宋体" w:cs="Times New Roman"/>
          <w:b/>
          <w:bCs w:val="0"/>
          <w:color w:val="auto"/>
          <w:kern w:val="0"/>
          <w:sz w:val="28"/>
          <w:szCs w:val="28"/>
          <w:highlight w:val="none"/>
          <w:lang w:val="en-US" w:eastAsia="zh-CN"/>
        </w:rPr>
        <w:br w:type="textWrapping"/>
      </w:r>
    </w:p>
    <w:tbl>
      <w:tblPr>
        <w:tblStyle w:val="46"/>
        <w:tblW w:w="923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543"/>
        <w:gridCol w:w="7696"/>
      </w:tblGrid>
      <w:tr w14:paraId="4CC464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4" w:hRule="atLeast"/>
          <w:jc w:val="center"/>
        </w:trPr>
        <w:tc>
          <w:tcPr>
            <w:tcW w:w="1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E8DB2">
            <w:pPr>
              <w:keepNext w:val="0"/>
              <w:keepLines w:val="0"/>
              <w:widowControl/>
              <w:suppressLineNumbers w:val="0"/>
              <w:snapToGrid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系统名称</w:t>
            </w:r>
          </w:p>
        </w:tc>
        <w:tc>
          <w:tcPr>
            <w:tcW w:w="7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7834A">
            <w:pPr>
              <w:keepNext w:val="0"/>
              <w:keepLines w:val="0"/>
              <w:widowControl/>
              <w:suppressLineNumbers w:val="0"/>
              <w:snapToGrid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建设内容</w:t>
            </w:r>
          </w:p>
        </w:tc>
      </w:tr>
      <w:tr w14:paraId="427E3D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jc w:val="center"/>
        </w:trPr>
        <w:tc>
          <w:tcPr>
            <w:tcW w:w="154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D1EC4">
            <w:pPr>
              <w:keepNext w:val="0"/>
              <w:keepLines w:val="0"/>
              <w:widowControl/>
              <w:suppressLineNumbers w:val="0"/>
              <w:snapToGrid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VTE管理系统升级</w:t>
            </w:r>
          </w:p>
        </w:tc>
        <w:tc>
          <w:tcPr>
            <w:tcW w:w="7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B35C5">
            <w:pPr>
              <w:keepNext w:val="0"/>
              <w:keepLines w:val="0"/>
              <w:widowControl/>
              <w:suppressLineNumbers w:val="0"/>
              <w:snapToGrid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冗余评估表清理精简，给医院管理账号增加新增/删减评估表的权限</w:t>
            </w:r>
          </w:p>
        </w:tc>
      </w:tr>
      <w:tr w14:paraId="37E4B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4" w:hRule="atLeast"/>
          <w:jc w:val="center"/>
        </w:trPr>
        <w:tc>
          <w:tcPr>
            <w:tcW w:w="154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15C72">
            <w:pPr>
              <w:snapToGrid w:val="0"/>
              <w:jc w:val="center"/>
              <w:rPr>
                <w:rFonts w:hint="eastAsia" w:ascii="宋体" w:hAnsi="宋体" w:eastAsia="宋体" w:cs="宋体"/>
                <w:i w:val="0"/>
                <w:iCs w:val="0"/>
                <w:color w:val="000000"/>
                <w:sz w:val="22"/>
                <w:szCs w:val="22"/>
                <w:u w:val="none"/>
              </w:rPr>
            </w:pPr>
          </w:p>
        </w:tc>
        <w:tc>
          <w:tcPr>
            <w:tcW w:w="7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7020D">
            <w:pPr>
              <w:keepNext w:val="0"/>
              <w:keepLines w:val="0"/>
              <w:widowControl/>
              <w:suppressLineNumbers w:val="0"/>
              <w:snapToGrid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临床科室、职能部门管理后台账号能看到实时更新的数据</w:t>
            </w:r>
          </w:p>
        </w:tc>
      </w:tr>
      <w:tr w14:paraId="0F9E5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9" w:hRule="atLeast"/>
          <w:jc w:val="center"/>
        </w:trPr>
        <w:tc>
          <w:tcPr>
            <w:tcW w:w="154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7269C">
            <w:pPr>
              <w:snapToGrid w:val="0"/>
              <w:jc w:val="center"/>
              <w:rPr>
                <w:rFonts w:hint="eastAsia" w:ascii="宋体" w:hAnsi="宋体" w:eastAsia="宋体" w:cs="宋体"/>
                <w:i w:val="0"/>
                <w:iCs w:val="0"/>
                <w:color w:val="000000"/>
                <w:sz w:val="22"/>
                <w:szCs w:val="22"/>
                <w:u w:val="none"/>
              </w:rPr>
            </w:pPr>
          </w:p>
        </w:tc>
        <w:tc>
          <w:tcPr>
            <w:tcW w:w="7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71B1D">
            <w:pPr>
              <w:keepNext w:val="0"/>
              <w:keepLines w:val="0"/>
              <w:widowControl/>
              <w:suppressLineNumbers w:val="0"/>
              <w:snapToGrid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增加系统内“转科”的判定，确定存在转科情况的患者评估中高危风险后未进行出血风险评估的责任归属，方便医院质控督导</w:t>
            </w:r>
          </w:p>
        </w:tc>
      </w:tr>
      <w:tr w14:paraId="72597C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9" w:hRule="atLeast"/>
          <w:jc w:val="center"/>
        </w:trPr>
        <w:tc>
          <w:tcPr>
            <w:tcW w:w="154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4753B">
            <w:pPr>
              <w:snapToGrid w:val="0"/>
              <w:jc w:val="center"/>
              <w:rPr>
                <w:rFonts w:hint="eastAsia" w:ascii="宋体" w:hAnsi="宋体" w:eastAsia="宋体" w:cs="宋体"/>
                <w:i w:val="0"/>
                <w:iCs w:val="0"/>
                <w:color w:val="000000"/>
                <w:sz w:val="22"/>
                <w:szCs w:val="22"/>
                <w:u w:val="none"/>
              </w:rPr>
            </w:pPr>
          </w:p>
        </w:tc>
        <w:tc>
          <w:tcPr>
            <w:tcW w:w="7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EED15">
            <w:pPr>
              <w:keepNext w:val="0"/>
              <w:keepLines w:val="0"/>
              <w:widowControl/>
              <w:suppressLineNumbers w:val="0"/>
              <w:snapToGrid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后台数据显示各项评估率、完成率，除展示比例数值外，同时展示得到比例的分子、分母及数值</w:t>
            </w:r>
          </w:p>
        </w:tc>
      </w:tr>
      <w:tr w14:paraId="54D95F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9" w:hRule="atLeast"/>
          <w:jc w:val="center"/>
        </w:trPr>
        <w:tc>
          <w:tcPr>
            <w:tcW w:w="154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967D8">
            <w:pPr>
              <w:snapToGrid w:val="0"/>
              <w:jc w:val="center"/>
              <w:rPr>
                <w:rFonts w:hint="eastAsia" w:ascii="宋体" w:hAnsi="宋体" w:eastAsia="宋体" w:cs="宋体"/>
                <w:i w:val="0"/>
                <w:iCs w:val="0"/>
                <w:color w:val="000000"/>
                <w:sz w:val="22"/>
                <w:szCs w:val="22"/>
                <w:u w:val="none"/>
              </w:rPr>
            </w:pPr>
          </w:p>
        </w:tc>
        <w:tc>
          <w:tcPr>
            <w:tcW w:w="7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1E7D3">
            <w:pPr>
              <w:keepNext w:val="0"/>
              <w:keepLines w:val="0"/>
              <w:widowControl/>
              <w:suppressLineNumbers w:val="0"/>
              <w:snapToGrid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增加表格详细展示“未完成”各项质控任务病例的信息，方便科室及时完善</w:t>
            </w:r>
          </w:p>
        </w:tc>
      </w:tr>
      <w:tr w14:paraId="4ECF93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4" w:hRule="atLeast"/>
          <w:jc w:val="center"/>
        </w:trPr>
        <w:tc>
          <w:tcPr>
            <w:tcW w:w="154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21F12">
            <w:pPr>
              <w:snapToGrid w:val="0"/>
              <w:jc w:val="center"/>
              <w:rPr>
                <w:rFonts w:hint="eastAsia" w:ascii="宋体" w:hAnsi="宋体" w:eastAsia="宋体" w:cs="宋体"/>
                <w:i w:val="0"/>
                <w:iCs w:val="0"/>
                <w:color w:val="000000"/>
                <w:sz w:val="22"/>
                <w:szCs w:val="22"/>
                <w:u w:val="none"/>
              </w:rPr>
            </w:pPr>
          </w:p>
        </w:tc>
        <w:tc>
          <w:tcPr>
            <w:tcW w:w="7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60E0D">
            <w:pPr>
              <w:keepNext w:val="0"/>
              <w:keepLines w:val="0"/>
              <w:widowControl/>
              <w:suppressLineNumbers w:val="0"/>
              <w:snapToGrid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临床系统弹窗在病历书写时弹出，修复有时无法弹出的bug</w:t>
            </w:r>
          </w:p>
        </w:tc>
      </w:tr>
      <w:tr w14:paraId="7C77A4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9" w:hRule="atLeast"/>
          <w:jc w:val="center"/>
        </w:trPr>
        <w:tc>
          <w:tcPr>
            <w:tcW w:w="154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0D93E">
            <w:pPr>
              <w:snapToGrid w:val="0"/>
              <w:jc w:val="center"/>
              <w:rPr>
                <w:rFonts w:hint="eastAsia" w:ascii="宋体" w:hAnsi="宋体" w:eastAsia="宋体" w:cs="宋体"/>
                <w:i w:val="0"/>
                <w:iCs w:val="0"/>
                <w:color w:val="000000"/>
                <w:sz w:val="22"/>
                <w:szCs w:val="22"/>
                <w:u w:val="none"/>
              </w:rPr>
            </w:pPr>
          </w:p>
        </w:tc>
        <w:tc>
          <w:tcPr>
            <w:tcW w:w="7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0C315">
            <w:pPr>
              <w:keepNext w:val="0"/>
              <w:keepLines w:val="0"/>
              <w:widowControl/>
              <w:suppressLineNumbers w:val="0"/>
              <w:snapToGrid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AI抓取信息自动评估结果的功能，抓取来源除病程外，增加入院记录；自动评估功能要准确，科室反馈有时患者医生评估为低危，但患者住院期间或出院后系统仍会自动评估患者VTE风险为高危，影响科室质控数据</w:t>
            </w:r>
          </w:p>
        </w:tc>
      </w:tr>
      <w:tr w14:paraId="66E2B8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9" w:hRule="atLeast"/>
          <w:jc w:val="center"/>
        </w:trPr>
        <w:tc>
          <w:tcPr>
            <w:tcW w:w="154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A7A04">
            <w:pPr>
              <w:snapToGrid w:val="0"/>
              <w:jc w:val="center"/>
              <w:rPr>
                <w:rFonts w:hint="eastAsia" w:ascii="宋体" w:hAnsi="宋体" w:eastAsia="宋体" w:cs="宋体"/>
                <w:i w:val="0"/>
                <w:iCs w:val="0"/>
                <w:color w:val="000000"/>
                <w:sz w:val="22"/>
                <w:szCs w:val="22"/>
                <w:u w:val="none"/>
              </w:rPr>
            </w:pPr>
          </w:p>
        </w:tc>
        <w:tc>
          <w:tcPr>
            <w:tcW w:w="7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DE53D">
            <w:pPr>
              <w:keepNext w:val="0"/>
              <w:keepLines w:val="0"/>
              <w:widowControl/>
              <w:suppressLineNumbers w:val="0"/>
              <w:snapToGrid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对于不适宜采取机械或药物预防的患者，“手动点击完成”的选项弹窗要灵敏弹出并放在显眼位置</w:t>
            </w:r>
          </w:p>
        </w:tc>
      </w:tr>
      <w:tr w14:paraId="30F8C4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84" w:hRule="atLeast"/>
          <w:jc w:val="center"/>
        </w:trPr>
        <w:tc>
          <w:tcPr>
            <w:tcW w:w="154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4E676">
            <w:pPr>
              <w:snapToGrid w:val="0"/>
              <w:jc w:val="center"/>
              <w:rPr>
                <w:rFonts w:hint="eastAsia" w:ascii="宋体" w:hAnsi="宋体" w:eastAsia="宋体" w:cs="宋体"/>
                <w:i w:val="0"/>
                <w:iCs w:val="0"/>
                <w:color w:val="000000"/>
                <w:sz w:val="22"/>
                <w:szCs w:val="22"/>
                <w:u w:val="none"/>
              </w:rPr>
            </w:pPr>
          </w:p>
        </w:tc>
        <w:tc>
          <w:tcPr>
            <w:tcW w:w="7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9C23C">
            <w:pPr>
              <w:keepNext w:val="0"/>
              <w:keepLines w:val="0"/>
              <w:widowControl/>
              <w:suppressLineNumbers w:val="0"/>
              <w:snapToGrid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在评估表弹窗时增加提示语，提醒护士、医生评估表选择标准：手术患者使用Caprini评分量表（低危0-2分、中危3-4分、高危≥5分）；非手术患者使用Padua评分量表（低危0-3分、高位≥4分）；需外科手术治疗的肿瘤患者使用Caprini评分量表、进行放化疗的内科和门诊肿瘤患者使用Khorana评分量表</w:t>
            </w:r>
          </w:p>
        </w:tc>
      </w:tr>
      <w:tr w14:paraId="25CA3D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9" w:hRule="atLeast"/>
          <w:jc w:val="center"/>
        </w:trPr>
        <w:tc>
          <w:tcPr>
            <w:tcW w:w="154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054C1">
            <w:pPr>
              <w:snapToGrid w:val="0"/>
              <w:jc w:val="center"/>
              <w:rPr>
                <w:rFonts w:hint="eastAsia" w:ascii="宋体" w:hAnsi="宋体" w:eastAsia="宋体" w:cs="宋体"/>
                <w:i w:val="0"/>
                <w:iCs w:val="0"/>
                <w:color w:val="000000"/>
                <w:sz w:val="22"/>
                <w:szCs w:val="22"/>
                <w:u w:val="none"/>
              </w:rPr>
            </w:pPr>
          </w:p>
        </w:tc>
        <w:tc>
          <w:tcPr>
            <w:tcW w:w="7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365EB">
            <w:pPr>
              <w:keepNext w:val="0"/>
              <w:keepLines w:val="0"/>
              <w:widowControl/>
              <w:suppressLineNumbers w:val="0"/>
              <w:snapToGrid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增加住院期间三个关键动态时点的评估强提醒功能，即在患者入院后24h内、病情或治疗变化时、出院前24h内强提醒医生完成VTE评估，如未完成则无法进行后续操作（此强制功能设置开关，允许管理部门把控管理力度）</w:t>
            </w:r>
          </w:p>
        </w:tc>
      </w:tr>
      <w:tr w14:paraId="3C2E30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4" w:hRule="atLeast"/>
          <w:jc w:val="center"/>
        </w:trPr>
        <w:tc>
          <w:tcPr>
            <w:tcW w:w="1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1AA4B">
            <w:pPr>
              <w:snapToGrid w:val="0"/>
              <w:jc w:val="center"/>
              <w:rPr>
                <w:rFonts w:hint="eastAsia" w:ascii="宋体" w:hAnsi="宋体" w:eastAsia="宋体" w:cs="宋体"/>
                <w:i w:val="0"/>
                <w:iCs w:val="0"/>
                <w:color w:val="000000"/>
                <w:sz w:val="22"/>
                <w:szCs w:val="22"/>
                <w:u w:val="none"/>
                <w:lang w:eastAsia="zh-CN"/>
              </w:rPr>
            </w:pPr>
            <w:r>
              <w:rPr>
                <w:rFonts w:hint="eastAsia" w:ascii="宋体" w:hAnsi="宋体" w:eastAsia="宋体" w:cs="宋体"/>
                <w:i w:val="0"/>
                <w:iCs w:val="0"/>
                <w:color w:val="000000"/>
                <w:sz w:val="22"/>
                <w:szCs w:val="22"/>
                <w:u w:val="none"/>
                <w:lang w:eastAsia="zh-CN"/>
              </w:rPr>
              <w:t>知识库更新</w:t>
            </w:r>
          </w:p>
        </w:tc>
        <w:tc>
          <w:tcPr>
            <w:tcW w:w="76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0CB2C">
            <w:pPr>
              <w:keepNext w:val="0"/>
              <w:keepLines w:val="0"/>
              <w:widowControl/>
              <w:suppressLineNumbers w:val="0"/>
              <w:snapToGrid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更新知识库检索、用药建议、患者指导、诊断依据</w:t>
            </w:r>
            <w:r>
              <w:rPr>
                <w:rFonts w:hint="eastAsia" w:ascii="宋体" w:hAnsi="宋体" w:eastAsia="宋体" w:cs="宋体"/>
                <w:i w:val="0"/>
                <w:iCs w:val="0"/>
                <w:color w:val="000000"/>
                <w:kern w:val="0"/>
                <w:sz w:val="22"/>
                <w:szCs w:val="22"/>
                <w:u w:val="none"/>
                <w:lang w:val="en-US" w:eastAsia="zh-CN" w:bidi="ar"/>
              </w:rPr>
              <w:tab/>
            </w:r>
            <w:r>
              <w:rPr>
                <w:rFonts w:hint="eastAsia" w:ascii="宋体" w:hAnsi="宋体" w:eastAsia="宋体" w:cs="宋体"/>
                <w:i w:val="0"/>
                <w:iCs w:val="0"/>
                <w:color w:val="000000"/>
                <w:kern w:val="0"/>
                <w:sz w:val="22"/>
                <w:szCs w:val="22"/>
                <w:u w:val="none"/>
                <w:lang w:val="en-US" w:eastAsia="zh-CN" w:bidi="ar"/>
              </w:rPr>
              <w:t>、检验/检查知识库、药品知识库、评估表及医学计算公式、手术知识库、护理知识库、中药方剂、中医诊断知识库、文献库。</w:t>
            </w:r>
          </w:p>
        </w:tc>
      </w:tr>
    </w:tbl>
    <w:p w14:paraId="07982E49">
      <w:pPr>
        <w:rPr>
          <w:rFonts w:hint="default" w:ascii="宋体" w:hAnsi="宋体" w:eastAsia="宋体" w:cs="宋体"/>
          <w:b w:val="0"/>
          <w:bCs w:val="0"/>
          <w:sz w:val="22"/>
          <w:szCs w:val="22"/>
          <w:lang w:val="en-US" w:eastAsia="zh-CN"/>
        </w:rPr>
      </w:pPr>
    </w:p>
    <w:p w14:paraId="2652CA50">
      <w:pPr>
        <w:pStyle w:val="3"/>
        <w:bidi w:val="0"/>
        <w:rPr>
          <w:rFonts w:hint="eastAsia"/>
        </w:rPr>
      </w:pPr>
      <w:bookmarkStart w:id="215" w:name="_Toc26395"/>
      <w:bookmarkStart w:id="216" w:name="_Toc32344"/>
      <w:bookmarkStart w:id="217" w:name="_Toc18869"/>
      <w:bookmarkStart w:id="218" w:name="_Toc16338"/>
      <w:bookmarkStart w:id="219" w:name="_Toc14450"/>
      <w:r>
        <w:rPr>
          <w:rFonts w:hint="eastAsia"/>
          <w:lang w:val="en-US" w:eastAsia="zh-CN"/>
        </w:rPr>
        <w:t>一卡通系统</w:t>
      </w:r>
      <w:bookmarkEnd w:id="215"/>
      <w:bookmarkEnd w:id="216"/>
      <w:bookmarkEnd w:id="217"/>
      <w:bookmarkEnd w:id="218"/>
      <w:bookmarkEnd w:id="219"/>
    </w:p>
    <w:tbl>
      <w:tblPr>
        <w:tblStyle w:val="46"/>
        <w:tblW w:w="9618" w:type="dxa"/>
        <w:jc w:val="center"/>
        <w:tblLayout w:type="autofit"/>
        <w:tblCellMar>
          <w:top w:w="0" w:type="dxa"/>
          <w:left w:w="108" w:type="dxa"/>
          <w:bottom w:w="0" w:type="dxa"/>
          <w:right w:w="108" w:type="dxa"/>
        </w:tblCellMar>
      </w:tblPr>
      <w:tblGrid>
        <w:gridCol w:w="1733"/>
        <w:gridCol w:w="929"/>
        <w:gridCol w:w="6956"/>
      </w:tblGrid>
      <w:tr w14:paraId="3D5E655C">
        <w:tblPrEx>
          <w:tblCellMar>
            <w:top w:w="0" w:type="dxa"/>
            <w:left w:w="108" w:type="dxa"/>
            <w:bottom w:w="0" w:type="dxa"/>
            <w:right w:w="108" w:type="dxa"/>
          </w:tblCellMar>
        </w:tblPrEx>
        <w:trPr>
          <w:trHeight w:val="420" w:hRule="atLeast"/>
          <w:jc w:val="center"/>
        </w:trPr>
        <w:tc>
          <w:tcPr>
            <w:tcW w:w="1733" w:type="dxa"/>
            <w:tcBorders>
              <w:top w:val="single" w:color="auto" w:sz="8" w:space="0"/>
              <w:left w:val="single" w:color="auto" w:sz="8" w:space="0"/>
              <w:bottom w:val="single" w:color="auto" w:sz="8" w:space="0"/>
              <w:right w:val="single" w:color="auto" w:sz="8" w:space="0"/>
            </w:tcBorders>
            <w:noWrap w:val="0"/>
            <w:vAlign w:val="center"/>
          </w:tcPr>
          <w:p w14:paraId="3E3A972C">
            <w:pPr>
              <w:keepNext w:val="0"/>
              <w:keepLines w:val="0"/>
              <w:pageBreakBefore w:val="0"/>
              <w:widowControl/>
              <w:kinsoku/>
              <w:wordWrap/>
              <w:overflowPunct/>
              <w:topLinePunct w:val="0"/>
              <w:autoSpaceDE/>
              <w:autoSpaceDN/>
              <w:bidi w:val="0"/>
              <w:adjustRightInd w:val="0"/>
              <w:snapToGrid w:val="0"/>
              <w:spacing w:line="360" w:lineRule="auto"/>
              <w:jc w:val="left"/>
              <w:rPr>
                <w:rFonts w:ascii="宋体" w:hAnsi="宋体" w:cs="宋体"/>
                <w:color w:val="000000"/>
                <w:kern w:val="0"/>
                <w:sz w:val="21"/>
                <w:szCs w:val="21"/>
              </w:rPr>
            </w:pPr>
            <w:r>
              <w:rPr>
                <w:rFonts w:hint="eastAsia" w:ascii="宋体" w:hAnsi="宋体" w:cs="宋体"/>
                <w:color w:val="000000"/>
                <w:kern w:val="0"/>
                <w:sz w:val="21"/>
                <w:szCs w:val="21"/>
              </w:rPr>
              <w:t>需求名称</w:t>
            </w:r>
          </w:p>
        </w:tc>
        <w:tc>
          <w:tcPr>
            <w:tcW w:w="929" w:type="dxa"/>
            <w:tcBorders>
              <w:top w:val="single" w:color="auto" w:sz="8" w:space="0"/>
              <w:left w:val="nil"/>
              <w:bottom w:val="single" w:color="auto" w:sz="8" w:space="0"/>
              <w:right w:val="single" w:color="auto" w:sz="8" w:space="0"/>
            </w:tcBorders>
            <w:noWrap w:val="0"/>
            <w:vAlign w:val="center"/>
          </w:tcPr>
          <w:p w14:paraId="2EB4F49E">
            <w:pPr>
              <w:keepNext w:val="0"/>
              <w:keepLines w:val="0"/>
              <w:pageBreakBefore w:val="0"/>
              <w:widowControl/>
              <w:kinsoku/>
              <w:wordWrap/>
              <w:overflowPunct/>
              <w:topLinePunct w:val="0"/>
              <w:autoSpaceDE/>
              <w:autoSpaceDN/>
              <w:bidi w:val="0"/>
              <w:adjustRightInd w:val="0"/>
              <w:snapToGrid w:val="0"/>
              <w:spacing w:line="360" w:lineRule="auto"/>
              <w:jc w:val="left"/>
              <w:rPr>
                <w:rFonts w:ascii="宋体" w:hAnsi="宋体" w:cs="宋体"/>
                <w:color w:val="000000"/>
                <w:kern w:val="0"/>
                <w:sz w:val="21"/>
                <w:szCs w:val="21"/>
              </w:rPr>
            </w:pPr>
            <w:r>
              <w:rPr>
                <w:rFonts w:hint="eastAsia" w:ascii="宋体" w:hAnsi="宋体" w:cs="宋体"/>
                <w:color w:val="000000"/>
                <w:kern w:val="0"/>
                <w:sz w:val="21"/>
                <w:szCs w:val="21"/>
              </w:rPr>
              <w:t>序号</w:t>
            </w:r>
          </w:p>
        </w:tc>
        <w:tc>
          <w:tcPr>
            <w:tcW w:w="6956" w:type="dxa"/>
            <w:tcBorders>
              <w:top w:val="single" w:color="auto" w:sz="8" w:space="0"/>
              <w:left w:val="nil"/>
              <w:bottom w:val="single" w:color="auto" w:sz="8" w:space="0"/>
              <w:right w:val="single" w:color="auto" w:sz="8" w:space="0"/>
            </w:tcBorders>
            <w:noWrap w:val="0"/>
            <w:vAlign w:val="center"/>
          </w:tcPr>
          <w:p w14:paraId="4F75BD02">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cs="宋体"/>
                <w:color w:val="000000"/>
                <w:kern w:val="0"/>
                <w:sz w:val="21"/>
                <w:szCs w:val="21"/>
              </w:rPr>
            </w:pPr>
            <w:r>
              <w:rPr>
                <w:rFonts w:hint="eastAsia" w:ascii="宋体" w:hAnsi="宋体" w:cs="宋体"/>
                <w:color w:val="000000"/>
                <w:kern w:val="0"/>
                <w:sz w:val="21"/>
                <w:szCs w:val="21"/>
              </w:rPr>
              <w:t>需求描述</w:t>
            </w:r>
          </w:p>
        </w:tc>
      </w:tr>
      <w:tr w14:paraId="2D857A5D">
        <w:tblPrEx>
          <w:tblCellMar>
            <w:top w:w="0" w:type="dxa"/>
            <w:left w:w="108" w:type="dxa"/>
            <w:bottom w:w="0" w:type="dxa"/>
            <w:right w:w="108" w:type="dxa"/>
          </w:tblCellMar>
        </w:tblPrEx>
        <w:trPr>
          <w:trHeight w:val="420" w:hRule="atLeast"/>
          <w:jc w:val="center"/>
        </w:trPr>
        <w:tc>
          <w:tcPr>
            <w:tcW w:w="9618" w:type="dxa"/>
            <w:gridSpan w:val="3"/>
            <w:tcBorders>
              <w:top w:val="nil"/>
              <w:left w:val="single" w:color="auto" w:sz="8" w:space="0"/>
              <w:bottom w:val="single" w:color="auto" w:sz="4" w:space="0"/>
              <w:right w:val="single" w:color="auto" w:sz="8" w:space="0"/>
            </w:tcBorders>
            <w:noWrap w:val="0"/>
            <w:vAlign w:val="center"/>
          </w:tcPr>
          <w:p w14:paraId="1DEE6B32">
            <w:pPr>
              <w:keepNext w:val="0"/>
              <w:keepLines w:val="0"/>
              <w:pageBreakBefore w:val="0"/>
              <w:widowControl/>
              <w:kinsoku/>
              <w:wordWrap/>
              <w:overflowPunct/>
              <w:topLinePunct w:val="0"/>
              <w:autoSpaceDE/>
              <w:autoSpaceDN/>
              <w:bidi w:val="0"/>
              <w:adjustRightInd w:val="0"/>
              <w:snapToGrid w:val="0"/>
              <w:spacing w:line="360" w:lineRule="auto"/>
              <w:jc w:val="left"/>
              <w:rPr>
                <w:rFonts w:ascii="宋体" w:hAnsi="宋体" w:cs="宋体"/>
                <w:b/>
                <w:bCs/>
                <w:color w:val="auto"/>
                <w:kern w:val="0"/>
                <w:sz w:val="21"/>
                <w:szCs w:val="21"/>
              </w:rPr>
            </w:pPr>
            <w:r>
              <w:rPr>
                <w:rFonts w:hint="eastAsia" w:ascii="宋体" w:hAnsi="宋体" w:cs="宋体"/>
                <w:b/>
                <w:bCs/>
                <w:color w:val="auto"/>
                <w:kern w:val="0"/>
                <w:sz w:val="21"/>
                <w:szCs w:val="21"/>
              </w:rPr>
              <w:t>功能需求：</w:t>
            </w:r>
          </w:p>
        </w:tc>
      </w:tr>
      <w:tr w14:paraId="389B4393">
        <w:tblPrEx>
          <w:tblCellMar>
            <w:top w:w="0" w:type="dxa"/>
            <w:left w:w="108" w:type="dxa"/>
            <w:bottom w:w="0" w:type="dxa"/>
            <w:right w:w="108" w:type="dxa"/>
          </w:tblCellMar>
        </w:tblPrEx>
        <w:trPr>
          <w:trHeight w:val="1210" w:hRule="atLeast"/>
          <w:jc w:val="center"/>
        </w:trPr>
        <w:tc>
          <w:tcPr>
            <w:tcW w:w="1733" w:type="dxa"/>
            <w:vMerge w:val="restart"/>
            <w:tcBorders>
              <w:top w:val="single" w:color="auto" w:sz="4" w:space="0"/>
              <w:left w:val="single" w:color="auto" w:sz="4" w:space="0"/>
              <w:bottom w:val="single" w:color="auto" w:sz="4" w:space="0"/>
              <w:right w:val="single" w:color="auto" w:sz="4" w:space="0"/>
            </w:tcBorders>
            <w:noWrap w:val="0"/>
            <w:vAlign w:val="center"/>
          </w:tcPr>
          <w:p w14:paraId="0C59B7AB">
            <w:pPr>
              <w:keepNext w:val="0"/>
              <w:keepLines w:val="0"/>
              <w:pageBreakBefore w:val="0"/>
              <w:widowControl/>
              <w:kinsoku/>
              <w:wordWrap/>
              <w:overflowPunct/>
              <w:topLinePunct w:val="0"/>
              <w:autoSpaceDE/>
              <w:autoSpaceDN/>
              <w:bidi w:val="0"/>
              <w:adjustRightInd w:val="0"/>
              <w:snapToGrid w:val="0"/>
              <w:spacing w:line="360" w:lineRule="auto"/>
              <w:jc w:val="left"/>
              <w:rPr>
                <w:rFonts w:hint="default" w:ascii="宋体" w:hAnsi="宋体" w:cs="宋体"/>
                <w:color w:val="auto"/>
                <w:kern w:val="0"/>
                <w:sz w:val="21"/>
                <w:szCs w:val="21"/>
                <w:highlight w:val="none"/>
                <w:lang w:val="en-US"/>
              </w:rPr>
            </w:pPr>
            <w:r>
              <w:rPr>
                <w:rFonts w:hint="eastAsia" w:ascii="宋体" w:hAnsi="宋体" w:cs="宋体"/>
                <w:color w:val="auto"/>
                <w:kern w:val="0"/>
                <w:sz w:val="21"/>
                <w:szCs w:val="21"/>
                <w:highlight w:val="none"/>
              </w:rPr>
              <w:t>1.</w:t>
            </w:r>
            <w:r>
              <w:rPr>
                <w:rFonts w:hint="eastAsia" w:ascii="宋体" w:hAnsi="宋体" w:cs="宋体"/>
                <w:color w:val="auto"/>
                <w:kern w:val="0"/>
                <w:sz w:val="21"/>
                <w:szCs w:val="21"/>
                <w:highlight w:val="none"/>
                <w:lang w:val="en-US" w:eastAsia="zh-CN"/>
              </w:rPr>
              <w:t>消费系统、访客系统</w:t>
            </w:r>
          </w:p>
        </w:tc>
        <w:tc>
          <w:tcPr>
            <w:tcW w:w="929" w:type="dxa"/>
            <w:tcBorders>
              <w:top w:val="single" w:color="auto" w:sz="4" w:space="0"/>
              <w:left w:val="single" w:color="auto" w:sz="4" w:space="0"/>
              <w:bottom w:val="single" w:color="auto" w:sz="4" w:space="0"/>
              <w:right w:val="single" w:color="auto" w:sz="4" w:space="0"/>
            </w:tcBorders>
            <w:noWrap w:val="0"/>
            <w:vAlign w:val="center"/>
          </w:tcPr>
          <w:p w14:paraId="4B4EF701">
            <w:pPr>
              <w:keepNext w:val="0"/>
              <w:keepLines w:val="0"/>
              <w:pageBreakBefore w:val="0"/>
              <w:widowControl/>
              <w:kinsoku/>
              <w:wordWrap/>
              <w:overflowPunct/>
              <w:topLinePunct w:val="0"/>
              <w:autoSpaceDE/>
              <w:autoSpaceDN/>
              <w:bidi w:val="0"/>
              <w:adjustRightInd w:val="0"/>
              <w:snapToGrid w:val="0"/>
              <w:spacing w:line="360" w:lineRule="auto"/>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1.1</w:t>
            </w:r>
          </w:p>
        </w:tc>
        <w:tc>
          <w:tcPr>
            <w:tcW w:w="6956" w:type="dxa"/>
            <w:tcBorders>
              <w:top w:val="single" w:color="auto" w:sz="4" w:space="0"/>
              <w:left w:val="single" w:color="auto" w:sz="4" w:space="0"/>
              <w:bottom w:val="single" w:color="auto" w:sz="4" w:space="0"/>
              <w:right w:val="single" w:color="auto" w:sz="4" w:space="0"/>
            </w:tcBorders>
            <w:noWrap w:val="0"/>
            <w:vAlign w:val="center"/>
          </w:tcPr>
          <w:p w14:paraId="412FB792">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lang w:val="en-US" w:eastAsia="zh-CN"/>
              </w:rPr>
              <w:t>实现一卡通功能，可支付包括食堂、商店等所有园内支付场景，实现卡/码/脸消费。系统需要能与现有餐厅智慧称重系统、线上点餐预定系统对接，一卡通钱包余额支持线上充值到第三方点餐系统。</w:t>
            </w:r>
          </w:p>
        </w:tc>
      </w:tr>
      <w:tr w14:paraId="26BEE1A2">
        <w:tblPrEx>
          <w:tblCellMar>
            <w:top w:w="0" w:type="dxa"/>
            <w:left w:w="108" w:type="dxa"/>
            <w:bottom w:w="0" w:type="dxa"/>
            <w:right w:w="108" w:type="dxa"/>
          </w:tblCellMar>
        </w:tblPrEx>
        <w:trPr>
          <w:trHeight w:val="1611" w:hRule="atLeast"/>
          <w:jc w:val="center"/>
        </w:trPr>
        <w:tc>
          <w:tcPr>
            <w:tcW w:w="1733" w:type="dxa"/>
            <w:vMerge w:val="continue"/>
            <w:tcBorders>
              <w:top w:val="single" w:color="auto" w:sz="4" w:space="0"/>
              <w:left w:val="single" w:color="auto" w:sz="4" w:space="0"/>
              <w:bottom w:val="single" w:color="auto" w:sz="4" w:space="0"/>
              <w:right w:val="single" w:color="auto" w:sz="4" w:space="0"/>
            </w:tcBorders>
            <w:noWrap w:val="0"/>
            <w:vAlign w:val="center"/>
          </w:tcPr>
          <w:p w14:paraId="66B588B1">
            <w:pPr>
              <w:keepNext w:val="0"/>
              <w:keepLines w:val="0"/>
              <w:pageBreakBefore w:val="0"/>
              <w:widowControl/>
              <w:kinsoku/>
              <w:wordWrap/>
              <w:overflowPunct/>
              <w:topLinePunct w:val="0"/>
              <w:autoSpaceDE/>
              <w:autoSpaceDN/>
              <w:bidi w:val="0"/>
              <w:adjustRightInd w:val="0"/>
              <w:snapToGrid w:val="0"/>
              <w:spacing w:line="360" w:lineRule="auto"/>
              <w:jc w:val="left"/>
              <w:rPr>
                <w:rFonts w:ascii="宋体" w:hAnsi="宋体" w:cs="宋体"/>
                <w:color w:val="auto"/>
                <w:kern w:val="0"/>
                <w:sz w:val="21"/>
                <w:szCs w:val="21"/>
                <w:highlight w:val="none"/>
              </w:rPr>
            </w:pPr>
          </w:p>
        </w:tc>
        <w:tc>
          <w:tcPr>
            <w:tcW w:w="929" w:type="dxa"/>
            <w:tcBorders>
              <w:top w:val="single" w:color="auto" w:sz="4" w:space="0"/>
              <w:left w:val="single" w:color="auto" w:sz="4" w:space="0"/>
              <w:bottom w:val="single" w:color="auto" w:sz="4" w:space="0"/>
              <w:right w:val="single" w:color="auto" w:sz="4" w:space="0"/>
            </w:tcBorders>
            <w:noWrap w:val="0"/>
            <w:vAlign w:val="center"/>
          </w:tcPr>
          <w:p w14:paraId="702BAF4A">
            <w:pPr>
              <w:keepNext w:val="0"/>
              <w:keepLines w:val="0"/>
              <w:pageBreakBefore w:val="0"/>
              <w:widowControl/>
              <w:kinsoku/>
              <w:wordWrap/>
              <w:overflowPunct/>
              <w:topLinePunct w:val="0"/>
              <w:autoSpaceDE/>
              <w:autoSpaceDN/>
              <w:bidi w:val="0"/>
              <w:adjustRightInd w:val="0"/>
              <w:snapToGrid w:val="0"/>
              <w:spacing w:line="360" w:lineRule="auto"/>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1.2</w:t>
            </w:r>
          </w:p>
        </w:tc>
        <w:tc>
          <w:tcPr>
            <w:tcW w:w="6956" w:type="dxa"/>
            <w:tcBorders>
              <w:top w:val="single" w:color="auto" w:sz="4" w:space="0"/>
              <w:left w:val="single" w:color="auto" w:sz="4" w:space="0"/>
              <w:bottom w:val="single" w:color="auto" w:sz="4" w:space="0"/>
              <w:right w:val="single" w:color="auto" w:sz="4" w:space="0"/>
            </w:tcBorders>
            <w:noWrap w:val="0"/>
            <w:vAlign w:val="center"/>
          </w:tcPr>
          <w:p w14:paraId="0C697D8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数据安全：用户资金数据、个人信息需加密存储，防止泄露。交易数据及资金流水数据需安全存储，保存期限不少于 10 年，</w:t>
            </w:r>
          </w:p>
          <w:p w14:paraId="27D3CC2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并支持按需查询、统计及审计追溯</w:t>
            </w:r>
          </w:p>
          <w:p w14:paraId="58737AA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lang w:val="en-US" w:eastAsia="zh-CN"/>
              </w:rPr>
              <w:t>交易安全： 支付过程安全可靠，防止恶意扣款。</w:t>
            </w:r>
          </w:p>
        </w:tc>
      </w:tr>
      <w:tr w14:paraId="1A5DD323">
        <w:tblPrEx>
          <w:tblCellMar>
            <w:top w:w="0" w:type="dxa"/>
            <w:left w:w="108" w:type="dxa"/>
            <w:bottom w:w="0" w:type="dxa"/>
            <w:right w:w="108" w:type="dxa"/>
          </w:tblCellMar>
        </w:tblPrEx>
        <w:trPr>
          <w:trHeight w:val="2010" w:hRule="atLeast"/>
          <w:jc w:val="center"/>
        </w:trPr>
        <w:tc>
          <w:tcPr>
            <w:tcW w:w="1733" w:type="dxa"/>
            <w:vMerge w:val="continue"/>
            <w:tcBorders>
              <w:top w:val="single" w:color="auto" w:sz="4" w:space="0"/>
              <w:left w:val="single" w:color="auto" w:sz="4" w:space="0"/>
              <w:bottom w:val="single" w:color="auto" w:sz="4" w:space="0"/>
              <w:right w:val="single" w:color="auto" w:sz="4" w:space="0"/>
            </w:tcBorders>
            <w:noWrap w:val="0"/>
            <w:vAlign w:val="center"/>
          </w:tcPr>
          <w:p w14:paraId="647259E0">
            <w:pPr>
              <w:keepNext w:val="0"/>
              <w:keepLines w:val="0"/>
              <w:pageBreakBefore w:val="0"/>
              <w:widowControl/>
              <w:kinsoku/>
              <w:wordWrap/>
              <w:overflowPunct/>
              <w:topLinePunct w:val="0"/>
              <w:autoSpaceDE/>
              <w:autoSpaceDN/>
              <w:bidi w:val="0"/>
              <w:adjustRightInd w:val="0"/>
              <w:snapToGrid w:val="0"/>
              <w:spacing w:line="360" w:lineRule="auto"/>
              <w:jc w:val="left"/>
              <w:rPr>
                <w:rFonts w:ascii="宋体" w:hAnsi="宋体" w:cs="宋体"/>
                <w:color w:val="auto"/>
                <w:kern w:val="0"/>
                <w:sz w:val="21"/>
                <w:szCs w:val="21"/>
                <w:highlight w:val="none"/>
              </w:rPr>
            </w:pPr>
          </w:p>
        </w:tc>
        <w:tc>
          <w:tcPr>
            <w:tcW w:w="929" w:type="dxa"/>
            <w:tcBorders>
              <w:top w:val="single" w:color="auto" w:sz="4" w:space="0"/>
              <w:left w:val="single" w:color="auto" w:sz="4" w:space="0"/>
              <w:bottom w:val="single" w:color="auto" w:sz="4" w:space="0"/>
              <w:right w:val="single" w:color="auto" w:sz="4" w:space="0"/>
            </w:tcBorders>
            <w:noWrap w:val="0"/>
            <w:vAlign w:val="center"/>
          </w:tcPr>
          <w:p w14:paraId="4D2647C4">
            <w:pPr>
              <w:keepNext w:val="0"/>
              <w:keepLines w:val="0"/>
              <w:pageBreakBefore w:val="0"/>
              <w:widowControl/>
              <w:kinsoku/>
              <w:wordWrap/>
              <w:overflowPunct/>
              <w:topLinePunct w:val="0"/>
              <w:autoSpaceDE/>
              <w:autoSpaceDN/>
              <w:bidi w:val="0"/>
              <w:adjustRightInd w:val="0"/>
              <w:snapToGrid w:val="0"/>
              <w:spacing w:line="360" w:lineRule="auto"/>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rPr>
              <w:t>1.3</w:t>
            </w:r>
          </w:p>
        </w:tc>
        <w:tc>
          <w:tcPr>
            <w:tcW w:w="6956" w:type="dxa"/>
            <w:tcBorders>
              <w:top w:val="single" w:color="auto" w:sz="4" w:space="0"/>
              <w:left w:val="single" w:color="auto" w:sz="4" w:space="0"/>
              <w:bottom w:val="single" w:color="auto" w:sz="4" w:space="0"/>
              <w:right w:val="single" w:color="auto" w:sz="4" w:space="0"/>
            </w:tcBorders>
            <w:noWrap w:val="0"/>
            <w:vAlign w:val="center"/>
          </w:tcPr>
          <w:p w14:paraId="33095C8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消费系统需要能根据不同类型的用户使用不用规则的扣费方式。（比如说内部人员有补贴或折扣，外部人员认证后消费加扣20%等）。系统需同时支持预付费钱包模式与后付费代扣模式，</w:t>
            </w:r>
          </w:p>
          <w:p w14:paraId="1C68A4C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并支持按人员类型、消费场景配置化设置扣费优先顺序，</w:t>
            </w:r>
          </w:p>
          <w:p w14:paraId="5EADE23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如优先扣减账户余额，余额不足时自动触发后付费代扣。</w:t>
            </w:r>
          </w:p>
        </w:tc>
      </w:tr>
      <w:tr w14:paraId="6286FD3A">
        <w:tblPrEx>
          <w:tblCellMar>
            <w:top w:w="0" w:type="dxa"/>
            <w:left w:w="108" w:type="dxa"/>
            <w:bottom w:w="0" w:type="dxa"/>
            <w:right w:w="108" w:type="dxa"/>
          </w:tblCellMar>
        </w:tblPrEx>
        <w:trPr>
          <w:trHeight w:val="810" w:hRule="atLeast"/>
          <w:jc w:val="center"/>
        </w:trPr>
        <w:tc>
          <w:tcPr>
            <w:tcW w:w="1733" w:type="dxa"/>
            <w:vMerge w:val="continue"/>
            <w:tcBorders>
              <w:top w:val="single" w:color="auto" w:sz="4" w:space="0"/>
              <w:left w:val="single" w:color="auto" w:sz="4" w:space="0"/>
              <w:bottom w:val="single" w:color="auto" w:sz="4" w:space="0"/>
              <w:right w:val="single" w:color="auto" w:sz="4" w:space="0"/>
            </w:tcBorders>
            <w:noWrap w:val="0"/>
            <w:vAlign w:val="center"/>
          </w:tcPr>
          <w:p w14:paraId="43CC3B08">
            <w:pPr>
              <w:keepNext w:val="0"/>
              <w:keepLines w:val="0"/>
              <w:pageBreakBefore w:val="0"/>
              <w:widowControl/>
              <w:kinsoku/>
              <w:wordWrap/>
              <w:overflowPunct/>
              <w:topLinePunct w:val="0"/>
              <w:autoSpaceDE/>
              <w:autoSpaceDN/>
              <w:bidi w:val="0"/>
              <w:adjustRightInd w:val="0"/>
              <w:snapToGrid w:val="0"/>
              <w:spacing w:line="360" w:lineRule="auto"/>
              <w:jc w:val="left"/>
              <w:rPr>
                <w:rFonts w:ascii="宋体" w:hAnsi="宋体" w:cs="宋体"/>
                <w:color w:val="auto"/>
                <w:kern w:val="0"/>
                <w:sz w:val="21"/>
                <w:szCs w:val="21"/>
                <w:highlight w:val="none"/>
              </w:rPr>
            </w:pPr>
          </w:p>
        </w:tc>
        <w:tc>
          <w:tcPr>
            <w:tcW w:w="929" w:type="dxa"/>
            <w:tcBorders>
              <w:top w:val="single" w:color="auto" w:sz="4" w:space="0"/>
              <w:left w:val="single" w:color="auto" w:sz="4" w:space="0"/>
              <w:bottom w:val="single" w:color="auto" w:sz="4" w:space="0"/>
              <w:right w:val="single" w:color="auto" w:sz="4" w:space="0"/>
            </w:tcBorders>
            <w:noWrap w:val="0"/>
            <w:vAlign w:val="center"/>
          </w:tcPr>
          <w:p w14:paraId="16486606">
            <w:pPr>
              <w:keepNext w:val="0"/>
              <w:keepLines w:val="0"/>
              <w:pageBreakBefore w:val="0"/>
              <w:widowControl/>
              <w:kinsoku/>
              <w:wordWrap/>
              <w:overflowPunct/>
              <w:topLinePunct w:val="0"/>
              <w:autoSpaceDE/>
              <w:autoSpaceDN/>
              <w:bidi w:val="0"/>
              <w:adjustRightInd w:val="0"/>
              <w:snapToGrid w:val="0"/>
              <w:spacing w:line="360" w:lineRule="auto"/>
              <w:jc w:val="left"/>
              <w:rPr>
                <w:rFonts w:hint="default"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1.4</w:t>
            </w:r>
          </w:p>
        </w:tc>
        <w:tc>
          <w:tcPr>
            <w:tcW w:w="6956" w:type="dxa"/>
            <w:tcBorders>
              <w:top w:val="single" w:color="auto" w:sz="4" w:space="0"/>
              <w:left w:val="single" w:color="auto" w:sz="4" w:space="0"/>
              <w:bottom w:val="single" w:color="auto" w:sz="4" w:space="0"/>
              <w:right w:val="single" w:color="auto" w:sz="4" w:space="0"/>
            </w:tcBorders>
            <w:noWrap w:val="0"/>
            <w:vAlign w:val="center"/>
          </w:tcPr>
          <w:p w14:paraId="095ADF4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权限管理： 为不同角色设置不同数据查看和操作权限。有完善的权限控制和操作日志，防止越权操作</w:t>
            </w:r>
          </w:p>
        </w:tc>
      </w:tr>
      <w:tr w14:paraId="134F2B56">
        <w:tblPrEx>
          <w:tblCellMar>
            <w:top w:w="0" w:type="dxa"/>
            <w:left w:w="108" w:type="dxa"/>
            <w:bottom w:w="0" w:type="dxa"/>
            <w:right w:w="108" w:type="dxa"/>
          </w:tblCellMar>
        </w:tblPrEx>
        <w:trPr>
          <w:trHeight w:val="810" w:hRule="atLeast"/>
          <w:jc w:val="center"/>
        </w:trPr>
        <w:tc>
          <w:tcPr>
            <w:tcW w:w="1733" w:type="dxa"/>
            <w:vMerge w:val="continue"/>
            <w:tcBorders>
              <w:top w:val="single" w:color="auto" w:sz="4" w:space="0"/>
              <w:left w:val="single" w:color="auto" w:sz="4" w:space="0"/>
              <w:bottom w:val="single" w:color="auto" w:sz="4" w:space="0"/>
              <w:right w:val="single" w:color="auto" w:sz="4" w:space="0"/>
            </w:tcBorders>
            <w:noWrap w:val="0"/>
            <w:vAlign w:val="center"/>
          </w:tcPr>
          <w:p w14:paraId="6E3B89CA">
            <w:pPr>
              <w:keepNext w:val="0"/>
              <w:keepLines w:val="0"/>
              <w:pageBreakBefore w:val="0"/>
              <w:widowControl/>
              <w:kinsoku/>
              <w:wordWrap/>
              <w:overflowPunct/>
              <w:topLinePunct w:val="0"/>
              <w:autoSpaceDE/>
              <w:autoSpaceDN/>
              <w:bidi w:val="0"/>
              <w:adjustRightInd w:val="0"/>
              <w:snapToGrid w:val="0"/>
              <w:spacing w:line="360" w:lineRule="auto"/>
              <w:jc w:val="left"/>
              <w:rPr>
                <w:rFonts w:ascii="宋体" w:hAnsi="宋体" w:cs="宋体"/>
                <w:color w:val="auto"/>
                <w:kern w:val="0"/>
                <w:sz w:val="21"/>
                <w:szCs w:val="21"/>
                <w:highlight w:val="none"/>
              </w:rPr>
            </w:pPr>
          </w:p>
        </w:tc>
        <w:tc>
          <w:tcPr>
            <w:tcW w:w="929" w:type="dxa"/>
            <w:tcBorders>
              <w:top w:val="single" w:color="auto" w:sz="4" w:space="0"/>
              <w:left w:val="single" w:color="auto" w:sz="4" w:space="0"/>
              <w:bottom w:val="single" w:color="auto" w:sz="4" w:space="0"/>
              <w:right w:val="single" w:color="auto" w:sz="4" w:space="0"/>
            </w:tcBorders>
            <w:noWrap w:val="0"/>
            <w:vAlign w:val="center"/>
          </w:tcPr>
          <w:p w14:paraId="37666106">
            <w:pPr>
              <w:keepNext w:val="0"/>
              <w:keepLines w:val="0"/>
              <w:pageBreakBefore w:val="0"/>
              <w:widowControl/>
              <w:kinsoku/>
              <w:wordWrap/>
              <w:overflowPunct/>
              <w:topLinePunct w:val="0"/>
              <w:autoSpaceDE/>
              <w:autoSpaceDN/>
              <w:bidi w:val="0"/>
              <w:adjustRightInd w:val="0"/>
              <w:snapToGrid w:val="0"/>
              <w:spacing w:line="360" w:lineRule="auto"/>
              <w:jc w:val="left"/>
              <w:rPr>
                <w:rFonts w:hint="default" w:ascii="宋体" w:hAnsi="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1.5</w:t>
            </w:r>
          </w:p>
        </w:tc>
        <w:tc>
          <w:tcPr>
            <w:tcW w:w="6956" w:type="dxa"/>
            <w:tcBorders>
              <w:top w:val="single" w:color="auto" w:sz="4" w:space="0"/>
              <w:left w:val="single" w:color="auto" w:sz="4" w:space="0"/>
              <w:bottom w:val="single" w:color="auto" w:sz="4" w:space="0"/>
              <w:right w:val="single" w:color="auto" w:sz="4" w:space="0"/>
            </w:tcBorders>
            <w:noWrap w:val="0"/>
            <w:vAlign w:val="center"/>
          </w:tcPr>
          <w:p w14:paraId="7BE6A3F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充值管理：线上可通过医院公众号/小程序使用微信充值。线下可在人工窗口使用现金、POS机刷卡充值。</w:t>
            </w:r>
          </w:p>
        </w:tc>
      </w:tr>
      <w:tr w14:paraId="3AD72A32">
        <w:tblPrEx>
          <w:tblCellMar>
            <w:top w:w="0" w:type="dxa"/>
            <w:left w:w="108" w:type="dxa"/>
            <w:bottom w:w="0" w:type="dxa"/>
            <w:right w:w="108" w:type="dxa"/>
          </w:tblCellMar>
        </w:tblPrEx>
        <w:trPr>
          <w:trHeight w:val="1210" w:hRule="atLeast"/>
          <w:jc w:val="center"/>
        </w:trPr>
        <w:tc>
          <w:tcPr>
            <w:tcW w:w="1733" w:type="dxa"/>
            <w:vMerge w:val="continue"/>
            <w:tcBorders>
              <w:top w:val="single" w:color="auto" w:sz="4" w:space="0"/>
              <w:left w:val="single" w:color="auto" w:sz="4" w:space="0"/>
              <w:bottom w:val="single" w:color="auto" w:sz="4" w:space="0"/>
              <w:right w:val="single" w:color="auto" w:sz="4" w:space="0"/>
            </w:tcBorders>
            <w:noWrap w:val="0"/>
            <w:vAlign w:val="center"/>
          </w:tcPr>
          <w:p w14:paraId="5E16CF0F">
            <w:pPr>
              <w:keepNext w:val="0"/>
              <w:keepLines w:val="0"/>
              <w:pageBreakBefore w:val="0"/>
              <w:widowControl/>
              <w:kinsoku/>
              <w:wordWrap/>
              <w:overflowPunct/>
              <w:topLinePunct w:val="0"/>
              <w:autoSpaceDE/>
              <w:autoSpaceDN/>
              <w:bidi w:val="0"/>
              <w:adjustRightInd w:val="0"/>
              <w:snapToGrid w:val="0"/>
              <w:spacing w:line="360" w:lineRule="auto"/>
              <w:jc w:val="left"/>
              <w:rPr>
                <w:rFonts w:ascii="宋体" w:hAnsi="宋体" w:cs="宋体"/>
                <w:color w:val="auto"/>
                <w:kern w:val="0"/>
                <w:sz w:val="21"/>
                <w:szCs w:val="21"/>
                <w:highlight w:val="none"/>
              </w:rPr>
            </w:pPr>
          </w:p>
        </w:tc>
        <w:tc>
          <w:tcPr>
            <w:tcW w:w="929" w:type="dxa"/>
            <w:tcBorders>
              <w:top w:val="single" w:color="auto" w:sz="4" w:space="0"/>
              <w:left w:val="single" w:color="auto" w:sz="4" w:space="0"/>
              <w:bottom w:val="single" w:color="auto" w:sz="4" w:space="0"/>
              <w:right w:val="single" w:color="auto" w:sz="4" w:space="0"/>
            </w:tcBorders>
            <w:noWrap w:val="0"/>
            <w:vAlign w:val="center"/>
          </w:tcPr>
          <w:p w14:paraId="213A711A">
            <w:pPr>
              <w:keepNext w:val="0"/>
              <w:keepLines w:val="0"/>
              <w:pageBreakBefore w:val="0"/>
              <w:widowControl/>
              <w:kinsoku/>
              <w:wordWrap/>
              <w:overflowPunct/>
              <w:topLinePunct w:val="0"/>
              <w:autoSpaceDE/>
              <w:autoSpaceDN/>
              <w:bidi w:val="0"/>
              <w:adjustRightInd w:val="0"/>
              <w:snapToGrid w:val="0"/>
              <w:spacing w:line="360" w:lineRule="auto"/>
              <w:jc w:val="left"/>
              <w:rPr>
                <w:rFonts w:hint="default"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1.6</w:t>
            </w:r>
          </w:p>
        </w:tc>
        <w:tc>
          <w:tcPr>
            <w:tcW w:w="6956" w:type="dxa"/>
            <w:tcBorders>
              <w:top w:val="single" w:color="auto" w:sz="4" w:space="0"/>
              <w:left w:val="single" w:color="auto" w:sz="4" w:space="0"/>
              <w:bottom w:val="single" w:color="auto" w:sz="4" w:space="0"/>
              <w:right w:val="single" w:color="auto" w:sz="4" w:space="0"/>
            </w:tcBorders>
            <w:noWrap w:val="0"/>
            <w:vAlign w:val="center"/>
          </w:tcPr>
          <w:p w14:paraId="068B49D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default" w:ascii="宋体" w:hAnsi="宋体" w:eastAsia="宋体" w:cs="宋体"/>
                <w:color w:val="auto"/>
                <w:kern w:val="0"/>
                <w:sz w:val="21"/>
                <w:szCs w:val="21"/>
                <w:highlight w:val="none"/>
                <w:lang w:val="en-US"/>
              </w:rPr>
            </w:pPr>
            <w:r>
              <w:rPr>
                <w:rFonts w:hint="eastAsia" w:ascii="宋体" w:hAnsi="宋体" w:eastAsia="宋体" w:cs="宋体"/>
                <w:color w:val="auto"/>
                <w:sz w:val="21"/>
                <w:szCs w:val="21"/>
                <w:highlight w:val="none"/>
                <w:lang w:val="en-US" w:eastAsia="zh-CN"/>
              </w:rPr>
              <w:t>消费管理：在餐厅POS机上刷卡或扫码支付，支持定额和不定额消费。可支持访客微信支付消费，支持线上充值、支持线上订餐。支持免密代扣微信或支付宝钱包消费</w:t>
            </w:r>
          </w:p>
        </w:tc>
      </w:tr>
      <w:tr w14:paraId="75D1B81F">
        <w:tblPrEx>
          <w:tblCellMar>
            <w:top w:w="0" w:type="dxa"/>
            <w:left w:w="108" w:type="dxa"/>
            <w:bottom w:w="0" w:type="dxa"/>
            <w:right w:w="108" w:type="dxa"/>
          </w:tblCellMar>
        </w:tblPrEx>
        <w:trPr>
          <w:trHeight w:val="1210" w:hRule="atLeast"/>
          <w:jc w:val="center"/>
        </w:trPr>
        <w:tc>
          <w:tcPr>
            <w:tcW w:w="1733" w:type="dxa"/>
            <w:vMerge w:val="continue"/>
            <w:tcBorders>
              <w:top w:val="single" w:color="auto" w:sz="4" w:space="0"/>
              <w:left w:val="single" w:color="auto" w:sz="4" w:space="0"/>
              <w:right w:val="single" w:color="auto" w:sz="8" w:space="0"/>
            </w:tcBorders>
            <w:noWrap w:val="0"/>
            <w:vAlign w:val="center"/>
          </w:tcPr>
          <w:p w14:paraId="52D31DED">
            <w:pPr>
              <w:keepNext w:val="0"/>
              <w:keepLines w:val="0"/>
              <w:pageBreakBefore w:val="0"/>
              <w:widowControl/>
              <w:kinsoku/>
              <w:wordWrap/>
              <w:overflowPunct/>
              <w:topLinePunct w:val="0"/>
              <w:autoSpaceDE/>
              <w:autoSpaceDN/>
              <w:bidi w:val="0"/>
              <w:adjustRightInd w:val="0"/>
              <w:snapToGrid w:val="0"/>
              <w:spacing w:line="360" w:lineRule="auto"/>
              <w:jc w:val="left"/>
              <w:rPr>
                <w:rFonts w:ascii="宋体" w:hAnsi="宋体" w:cs="宋体"/>
                <w:color w:val="auto"/>
                <w:kern w:val="0"/>
                <w:sz w:val="21"/>
                <w:szCs w:val="21"/>
                <w:highlight w:val="none"/>
              </w:rPr>
            </w:pPr>
          </w:p>
        </w:tc>
        <w:tc>
          <w:tcPr>
            <w:tcW w:w="929" w:type="dxa"/>
            <w:tcBorders>
              <w:top w:val="single" w:color="auto" w:sz="4" w:space="0"/>
              <w:left w:val="nil"/>
              <w:bottom w:val="single" w:color="auto" w:sz="8" w:space="0"/>
              <w:right w:val="single" w:color="auto" w:sz="8" w:space="0"/>
            </w:tcBorders>
            <w:noWrap w:val="0"/>
            <w:vAlign w:val="center"/>
          </w:tcPr>
          <w:p w14:paraId="638F8D45">
            <w:pPr>
              <w:keepNext w:val="0"/>
              <w:keepLines w:val="0"/>
              <w:pageBreakBefore w:val="0"/>
              <w:widowControl/>
              <w:kinsoku/>
              <w:wordWrap/>
              <w:overflowPunct/>
              <w:topLinePunct w:val="0"/>
              <w:autoSpaceDE/>
              <w:autoSpaceDN/>
              <w:bidi w:val="0"/>
              <w:adjustRightInd w:val="0"/>
              <w:snapToGrid w:val="0"/>
              <w:spacing w:line="360" w:lineRule="auto"/>
              <w:jc w:val="left"/>
              <w:rPr>
                <w:rFonts w:hint="default" w:ascii="宋体" w:hAnsi="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1.7</w:t>
            </w:r>
          </w:p>
        </w:tc>
        <w:tc>
          <w:tcPr>
            <w:tcW w:w="6956" w:type="dxa"/>
            <w:tcBorders>
              <w:top w:val="single" w:color="auto" w:sz="4" w:space="0"/>
              <w:left w:val="nil"/>
              <w:bottom w:val="single" w:color="auto" w:sz="8" w:space="0"/>
              <w:right w:val="single" w:color="auto" w:sz="8" w:space="0"/>
            </w:tcBorders>
            <w:noWrap w:val="0"/>
            <w:vAlign w:val="center"/>
          </w:tcPr>
          <w:p w14:paraId="0387367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挂失/解挂： 用户可通过线上渠道或窗口及时挂失自己账户，冻结账户余额，找回后可解挂。余额/流水查询： 用户可通过线上渠道、自助查询机、窗口查询实时余额和消费明细。</w:t>
            </w:r>
          </w:p>
        </w:tc>
      </w:tr>
      <w:tr w14:paraId="5DEB632C">
        <w:tblPrEx>
          <w:tblCellMar>
            <w:top w:w="0" w:type="dxa"/>
            <w:left w:w="108" w:type="dxa"/>
            <w:bottom w:w="0" w:type="dxa"/>
            <w:right w:w="108" w:type="dxa"/>
          </w:tblCellMar>
        </w:tblPrEx>
        <w:trPr>
          <w:trHeight w:val="820" w:hRule="atLeast"/>
          <w:jc w:val="center"/>
        </w:trPr>
        <w:tc>
          <w:tcPr>
            <w:tcW w:w="1733" w:type="dxa"/>
            <w:vMerge w:val="continue"/>
            <w:tcBorders>
              <w:left w:val="single" w:color="auto" w:sz="4" w:space="0"/>
              <w:right w:val="single" w:color="auto" w:sz="8" w:space="0"/>
            </w:tcBorders>
            <w:noWrap w:val="0"/>
            <w:vAlign w:val="center"/>
          </w:tcPr>
          <w:p w14:paraId="7264C353">
            <w:pPr>
              <w:keepNext w:val="0"/>
              <w:keepLines w:val="0"/>
              <w:pageBreakBefore w:val="0"/>
              <w:widowControl/>
              <w:kinsoku/>
              <w:wordWrap/>
              <w:overflowPunct/>
              <w:topLinePunct w:val="0"/>
              <w:autoSpaceDE/>
              <w:autoSpaceDN/>
              <w:bidi w:val="0"/>
              <w:adjustRightInd w:val="0"/>
              <w:snapToGrid w:val="0"/>
              <w:spacing w:line="360" w:lineRule="auto"/>
              <w:jc w:val="left"/>
              <w:rPr>
                <w:rFonts w:ascii="宋体" w:hAnsi="宋体" w:cs="宋体"/>
                <w:color w:val="auto"/>
                <w:kern w:val="0"/>
                <w:sz w:val="21"/>
                <w:szCs w:val="21"/>
                <w:highlight w:val="none"/>
              </w:rPr>
            </w:pPr>
          </w:p>
        </w:tc>
        <w:tc>
          <w:tcPr>
            <w:tcW w:w="929" w:type="dxa"/>
            <w:tcBorders>
              <w:top w:val="nil"/>
              <w:left w:val="nil"/>
              <w:bottom w:val="single" w:color="auto" w:sz="8" w:space="0"/>
              <w:right w:val="single" w:color="auto" w:sz="8" w:space="0"/>
            </w:tcBorders>
            <w:noWrap w:val="0"/>
            <w:vAlign w:val="center"/>
          </w:tcPr>
          <w:p w14:paraId="1B1ABA6C">
            <w:pPr>
              <w:keepNext w:val="0"/>
              <w:keepLines w:val="0"/>
              <w:pageBreakBefore w:val="0"/>
              <w:widowControl/>
              <w:kinsoku/>
              <w:wordWrap/>
              <w:overflowPunct/>
              <w:topLinePunct w:val="0"/>
              <w:autoSpaceDE/>
              <w:autoSpaceDN/>
              <w:bidi w:val="0"/>
              <w:adjustRightInd w:val="0"/>
              <w:snapToGrid w:val="0"/>
              <w:spacing w:line="360" w:lineRule="auto"/>
              <w:jc w:val="left"/>
              <w:rPr>
                <w:rFonts w:hint="default"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1.8</w:t>
            </w:r>
          </w:p>
        </w:tc>
        <w:tc>
          <w:tcPr>
            <w:tcW w:w="6956" w:type="dxa"/>
            <w:tcBorders>
              <w:top w:val="nil"/>
              <w:left w:val="nil"/>
              <w:bottom w:val="single" w:color="auto" w:sz="8" w:space="0"/>
              <w:right w:val="single" w:color="auto" w:sz="8" w:space="0"/>
            </w:tcBorders>
            <w:noWrap w:val="0"/>
            <w:vAlign w:val="center"/>
          </w:tcPr>
          <w:p w14:paraId="744B1D7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lang w:val="en-US" w:eastAsia="zh-CN"/>
              </w:rPr>
              <w:t>食堂数据分析，每日用餐人数分析，按分组统计每日数量，每周数量，月度趋势报表，月度档口销售占比饼图等等。</w:t>
            </w:r>
          </w:p>
        </w:tc>
      </w:tr>
      <w:tr w14:paraId="66C1B64D">
        <w:tblPrEx>
          <w:tblCellMar>
            <w:top w:w="0" w:type="dxa"/>
            <w:left w:w="108" w:type="dxa"/>
            <w:bottom w:w="0" w:type="dxa"/>
            <w:right w:w="108" w:type="dxa"/>
          </w:tblCellMar>
        </w:tblPrEx>
        <w:trPr>
          <w:trHeight w:val="820" w:hRule="atLeast"/>
          <w:jc w:val="center"/>
        </w:trPr>
        <w:tc>
          <w:tcPr>
            <w:tcW w:w="1733" w:type="dxa"/>
            <w:vMerge w:val="continue"/>
            <w:tcBorders>
              <w:left w:val="single" w:color="auto" w:sz="4" w:space="0"/>
              <w:right w:val="single" w:color="auto" w:sz="8" w:space="0"/>
            </w:tcBorders>
            <w:noWrap w:val="0"/>
            <w:vAlign w:val="center"/>
          </w:tcPr>
          <w:p w14:paraId="69FCEF09">
            <w:pPr>
              <w:keepNext w:val="0"/>
              <w:keepLines w:val="0"/>
              <w:pageBreakBefore w:val="0"/>
              <w:widowControl/>
              <w:kinsoku/>
              <w:wordWrap/>
              <w:overflowPunct/>
              <w:topLinePunct w:val="0"/>
              <w:autoSpaceDE/>
              <w:autoSpaceDN/>
              <w:bidi w:val="0"/>
              <w:adjustRightInd w:val="0"/>
              <w:snapToGrid w:val="0"/>
              <w:spacing w:line="360" w:lineRule="auto"/>
              <w:jc w:val="left"/>
              <w:rPr>
                <w:rFonts w:ascii="宋体" w:hAnsi="宋体" w:cs="宋体"/>
                <w:color w:val="auto"/>
                <w:kern w:val="0"/>
                <w:sz w:val="21"/>
                <w:szCs w:val="21"/>
                <w:highlight w:val="none"/>
              </w:rPr>
            </w:pPr>
          </w:p>
        </w:tc>
        <w:tc>
          <w:tcPr>
            <w:tcW w:w="929" w:type="dxa"/>
            <w:tcBorders>
              <w:top w:val="nil"/>
              <w:left w:val="nil"/>
              <w:bottom w:val="single" w:color="auto" w:sz="8" w:space="0"/>
              <w:right w:val="single" w:color="auto" w:sz="8" w:space="0"/>
            </w:tcBorders>
            <w:noWrap w:val="0"/>
            <w:vAlign w:val="center"/>
          </w:tcPr>
          <w:p w14:paraId="40F8AC91">
            <w:pPr>
              <w:keepNext w:val="0"/>
              <w:keepLines w:val="0"/>
              <w:pageBreakBefore w:val="0"/>
              <w:widowControl/>
              <w:kinsoku/>
              <w:wordWrap/>
              <w:overflowPunct/>
              <w:topLinePunct w:val="0"/>
              <w:autoSpaceDE/>
              <w:autoSpaceDN/>
              <w:bidi w:val="0"/>
              <w:adjustRightInd w:val="0"/>
              <w:snapToGrid w:val="0"/>
              <w:spacing w:line="360" w:lineRule="auto"/>
              <w:jc w:val="left"/>
              <w:rPr>
                <w:rFonts w:hint="default" w:ascii="宋体" w:hAnsi="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1.9</w:t>
            </w:r>
          </w:p>
        </w:tc>
        <w:tc>
          <w:tcPr>
            <w:tcW w:w="6956" w:type="dxa"/>
            <w:tcBorders>
              <w:top w:val="nil"/>
              <w:left w:val="nil"/>
              <w:bottom w:val="single" w:color="auto" w:sz="8" w:space="0"/>
              <w:right w:val="single" w:color="auto" w:sz="8" w:space="0"/>
            </w:tcBorders>
            <w:noWrap w:val="0"/>
            <w:vAlign w:val="center"/>
          </w:tcPr>
          <w:p w14:paraId="7F1FE7D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财务管理：可以实时生成营收报表、充值报表、分类销售报表。</w:t>
            </w:r>
          </w:p>
          <w:p w14:paraId="7ADA8DE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支持按日、周、月、年进行多维度财务分析。</w:t>
            </w:r>
          </w:p>
        </w:tc>
      </w:tr>
      <w:tr w14:paraId="22BA58BE">
        <w:tblPrEx>
          <w:tblCellMar>
            <w:top w:w="0" w:type="dxa"/>
            <w:left w:w="108" w:type="dxa"/>
            <w:bottom w:w="0" w:type="dxa"/>
            <w:right w:w="108" w:type="dxa"/>
          </w:tblCellMar>
        </w:tblPrEx>
        <w:trPr>
          <w:trHeight w:val="2820" w:hRule="atLeast"/>
          <w:jc w:val="center"/>
        </w:trPr>
        <w:tc>
          <w:tcPr>
            <w:tcW w:w="1733" w:type="dxa"/>
            <w:vMerge w:val="continue"/>
            <w:tcBorders>
              <w:left w:val="single" w:color="auto" w:sz="4" w:space="0"/>
              <w:right w:val="single" w:color="auto" w:sz="8" w:space="0"/>
            </w:tcBorders>
            <w:noWrap w:val="0"/>
            <w:vAlign w:val="center"/>
          </w:tcPr>
          <w:p w14:paraId="59388D21">
            <w:pPr>
              <w:keepNext w:val="0"/>
              <w:keepLines w:val="0"/>
              <w:pageBreakBefore w:val="0"/>
              <w:widowControl/>
              <w:kinsoku/>
              <w:wordWrap/>
              <w:overflowPunct/>
              <w:topLinePunct w:val="0"/>
              <w:autoSpaceDE/>
              <w:autoSpaceDN/>
              <w:bidi w:val="0"/>
              <w:adjustRightInd w:val="0"/>
              <w:snapToGrid w:val="0"/>
              <w:spacing w:line="360" w:lineRule="auto"/>
              <w:jc w:val="left"/>
              <w:rPr>
                <w:rFonts w:ascii="宋体" w:hAnsi="宋体" w:cs="宋体"/>
                <w:color w:val="auto"/>
                <w:kern w:val="0"/>
                <w:sz w:val="21"/>
                <w:szCs w:val="21"/>
                <w:highlight w:val="none"/>
              </w:rPr>
            </w:pPr>
          </w:p>
        </w:tc>
        <w:tc>
          <w:tcPr>
            <w:tcW w:w="929" w:type="dxa"/>
            <w:tcBorders>
              <w:top w:val="nil"/>
              <w:left w:val="nil"/>
              <w:bottom w:val="single" w:color="auto" w:sz="8" w:space="0"/>
              <w:right w:val="single" w:color="auto" w:sz="8" w:space="0"/>
            </w:tcBorders>
            <w:noWrap w:val="0"/>
            <w:vAlign w:val="center"/>
          </w:tcPr>
          <w:p w14:paraId="6112C370">
            <w:pPr>
              <w:keepNext w:val="0"/>
              <w:keepLines w:val="0"/>
              <w:pageBreakBefore w:val="0"/>
              <w:widowControl/>
              <w:kinsoku/>
              <w:wordWrap/>
              <w:overflowPunct/>
              <w:topLinePunct w:val="0"/>
              <w:autoSpaceDE/>
              <w:autoSpaceDN/>
              <w:bidi w:val="0"/>
              <w:adjustRightInd w:val="0"/>
              <w:snapToGrid w:val="0"/>
              <w:spacing w:line="360" w:lineRule="auto"/>
              <w:jc w:val="left"/>
              <w:rPr>
                <w:rFonts w:hint="default" w:ascii="宋体" w:hAnsi="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2.0</w:t>
            </w:r>
          </w:p>
        </w:tc>
        <w:tc>
          <w:tcPr>
            <w:tcW w:w="6956" w:type="dxa"/>
            <w:tcBorders>
              <w:top w:val="nil"/>
              <w:left w:val="nil"/>
              <w:bottom w:val="single" w:color="auto" w:sz="8" w:space="0"/>
              <w:right w:val="single" w:color="auto" w:sz="8" w:space="0"/>
            </w:tcBorders>
            <w:noWrap w:val="0"/>
            <w:vAlign w:val="center"/>
          </w:tcPr>
          <w:p w14:paraId="3E81628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硬件设备需求：</w:t>
            </w:r>
          </w:p>
          <w:p w14:paraId="6FC6C3B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证卡打印机2台：1、支持打印图案在</w:t>
            </w:r>
            <w:r>
              <w:rPr>
                <w:rFonts w:hint="eastAsia" w:ascii="宋体" w:hAnsi="宋体" w:eastAsia="宋体" w:cs="宋体"/>
                <w:color w:val="auto"/>
                <w:sz w:val="21"/>
                <w:szCs w:val="21"/>
                <w:highlight w:val="none"/>
              </w:rPr>
              <w:t>标准NFC卡（M1，CPU卡）</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集成非接触式通用读卡功能</w:t>
            </w:r>
          </w:p>
          <w:p w14:paraId="43E08D0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消费机</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5</w:t>
            </w:r>
            <w:r>
              <w:rPr>
                <w:rFonts w:hint="eastAsia" w:ascii="宋体" w:hAnsi="宋体" w:eastAsia="宋体" w:cs="宋体"/>
                <w:color w:val="auto"/>
                <w:sz w:val="21"/>
                <w:szCs w:val="21"/>
                <w:highlight w:val="none"/>
              </w:rPr>
              <w:t>台</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按后期具体商户数量需要提供零采</w:t>
            </w:r>
            <w:r>
              <w:rPr>
                <w:rFonts w:hint="eastAsia" w:ascii="宋体" w:hAnsi="宋体" w:eastAsia="宋体" w:cs="宋体"/>
                <w:color w:val="auto"/>
                <w:sz w:val="21"/>
                <w:szCs w:val="21"/>
                <w:highlight w:val="none"/>
                <w:lang w:val="en-US" w:eastAsia="zh-CN"/>
              </w:rPr>
              <w:t>方式2、支持</w:t>
            </w:r>
            <w:r>
              <w:rPr>
                <w:rFonts w:hint="eastAsia" w:ascii="宋体" w:hAnsi="宋体" w:eastAsia="宋体" w:cs="宋体"/>
                <w:color w:val="auto"/>
                <w:sz w:val="21"/>
                <w:szCs w:val="21"/>
                <w:highlight w:val="none"/>
              </w:rPr>
              <w:t>二维码支付（被扫）+标准NFC卡（M1，CPU卡）</w:t>
            </w:r>
            <w:r>
              <w:rPr>
                <w:rFonts w:hint="eastAsia" w:ascii="宋体" w:hAnsi="宋体" w:eastAsia="宋体" w:cs="宋体"/>
                <w:color w:val="auto"/>
                <w:sz w:val="21"/>
                <w:szCs w:val="21"/>
                <w:highlight w:val="none"/>
                <w:lang w:val="en-US" w:eastAsia="zh-CN"/>
              </w:rPr>
              <w:t>2种支付方式。</w:t>
            </w:r>
          </w:p>
          <w:p w14:paraId="5A85C1E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员工卡5000张</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1、支</w:t>
            </w:r>
            <w:r>
              <w:rPr>
                <w:rFonts w:hint="eastAsia" w:ascii="宋体" w:hAnsi="宋体" w:eastAsia="宋体" w:cs="宋体"/>
                <w:color w:val="auto"/>
                <w:sz w:val="21"/>
                <w:szCs w:val="21"/>
                <w:highlight w:val="none"/>
              </w:rPr>
              <w:t>持出厂按要求印制封面模板</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由院方提供设计稿件，如无提供则按厂商方提供模板N选1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支</w:t>
            </w:r>
            <w:r>
              <w:rPr>
                <w:rFonts w:hint="eastAsia" w:ascii="宋体" w:hAnsi="宋体" w:eastAsia="宋体" w:cs="宋体"/>
                <w:color w:val="auto"/>
                <w:sz w:val="21"/>
                <w:szCs w:val="21"/>
                <w:highlight w:val="none"/>
                <w:lang w:val="en-US" w:eastAsia="zh-CN"/>
              </w:rPr>
              <w:t>持</w:t>
            </w:r>
            <w:r>
              <w:rPr>
                <w:rFonts w:hint="eastAsia" w:ascii="宋体" w:hAnsi="宋体" w:eastAsia="宋体" w:cs="宋体"/>
                <w:color w:val="auto"/>
                <w:sz w:val="21"/>
                <w:szCs w:val="21"/>
                <w:highlight w:val="none"/>
              </w:rPr>
              <w:t>非接触式CPU卡芯片</w:t>
            </w:r>
            <w:r>
              <w:rPr>
                <w:rFonts w:hint="eastAsia" w:ascii="宋体" w:hAnsi="宋体" w:eastAsia="宋体" w:cs="宋体"/>
                <w:color w:val="auto"/>
                <w:sz w:val="21"/>
                <w:szCs w:val="21"/>
                <w:highlight w:val="none"/>
                <w:lang w:eastAsia="zh-CN"/>
              </w:rPr>
              <w:t>。</w:t>
            </w:r>
          </w:p>
        </w:tc>
      </w:tr>
      <w:tr w14:paraId="3D93584A">
        <w:tblPrEx>
          <w:tblCellMar>
            <w:top w:w="0" w:type="dxa"/>
            <w:left w:w="108" w:type="dxa"/>
            <w:bottom w:w="0" w:type="dxa"/>
            <w:right w:w="108" w:type="dxa"/>
          </w:tblCellMar>
        </w:tblPrEx>
        <w:trPr>
          <w:trHeight w:val="2020" w:hRule="atLeast"/>
          <w:jc w:val="center"/>
        </w:trPr>
        <w:tc>
          <w:tcPr>
            <w:tcW w:w="1733" w:type="dxa"/>
            <w:vMerge w:val="continue"/>
            <w:tcBorders>
              <w:left w:val="single" w:color="auto" w:sz="4" w:space="0"/>
              <w:bottom w:val="single" w:color="000000" w:sz="8" w:space="0"/>
              <w:right w:val="single" w:color="auto" w:sz="8" w:space="0"/>
            </w:tcBorders>
            <w:noWrap w:val="0"/>
            <w:vAlign w:val="center"/>
          </w:tcPr>
          <w:p w14:paraId="09131821">
            <w:pPr>
              <w:keepNext w:val="0"/>
              <w:keepLines w:val="0"/>
              <w:pageBreakBefore w:val="0"/>
              <w:widowControl/>
              <w:kinsoku/>
              <w:wordWrap/>
              <w:overflowPunct/>
              <w:topLinePunct w:val="0"/>
              <w:autoSpaceDE/>
              <w:autoSpaceDN/>
              <w:bidi w:val="0"/>
              <w:adjustRightInd w:val="0"/>
              <w:snapToGrid w:val="0"/>
              <w:spacing w:line="360" w:lineRule="auto"/>
              <w:jc w:val="left"/>
              <w:rPr>
                <w:rFonts w:ascii="宋体" w:hAnsi="宋体" w:cs="宋体"/>
                <w:color w:val="auto"/>
                <w:kern w:val="0"/>
                <w:sz w:val="21"/>
                <w:szCs w:val="21"/>
                <w:highlight w:val="none"/>
              </w:rPr>
            </w:pPr>
          </w:p>
        </w:tc>
        <w:tc>
          <w:tcPr>
            <w:tcW w:w="929" w:type="dxa"/>
            <w:tcBorders>
              <w:top w:val="nil"/>
              <w:left w:val="nil"/>
              <w:bottom w:val="single" w:color="auto" w:sz="8" w:space="0"/>
              <w:right w:val="single" w:color="auto" w:sz="8" w:space="0"/>
            </w:tcBorders>
            <w:noWrap w:val="0"/>
            <w:vAlign w:val="center"/>
          </w:tcPr>
          <w:p w14:paraId="47FDFF8A">
            <w:pPr>
              <w:keepNext w:val="0"/>
              <w:keepLines w:val="0"/>
              <w:pageBreakBefore w:val="0"/>
              <w:widowControl/>
              <w:kinsoku/>
              <w:wordWrap/>
              <w:overflowPunct/>
              <w:topLinePunct w:val="0"/>
              <w:autoSpaceDE/>
              <w:autoSpaceDN/>
              <w:bidi w:val="0"/>
              <w:adjustRightInd w:val="0"/>
              <w:snapToGrid w:val="0"/>
              <w:spacing w:line="360" w:lineRule="auto"/>
              <w:jc w:val="left"/>
              <w:rPr>
                <w:rFonts w:hint="default"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2.1</w:t>
            </w:r>
          </w:p>
        </w:tc>
        <w:tc>
          <w:tcPr>
            <w:tcW w:w="6956" w:type="dxa"/>
            <w:tcBorders>
              <w:top w:val="nil"/>
              <w:left w:val="nil"/>
              <w:bottom w:val="single" w:color="auto" w:sz="8" w:space="0"/>
              <w:right w:val="single" w:color="auto" w:sz="8" w:space="0"/>
            </w:tcBorders>
            <w:noWrap w:val="0"/>
            <w:vAlign w:val="center"/>
          </w:tcPr>
          <w:p w14:paraId="35E9A8C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访客</w:t>
            </w:r>
            <w:r>
              <w:rPr>
                <w:rFonts w:hint="eastAsia" w:ascii="宋体" w:hAnsi="宋体" w:eastAsia="宋体" w:cs="宋体"/>
                <w:color w:val="auto"/>
                <w:kern w:val="0"/>
                <w:sz w:val="21"/>
                <w:szCs w:val="21"/>
                <w:highlight w:val="none"/>
              </w:rPr>
              <w:t>线上邀约预约，多种身份验证方式</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联动道闸、电梯、停车场等权限，一码（脸）通行，无感通行</w:t>
            </w:r>
            <w:r>
              <w:rPr>
                <w:rFonts w:hint="eastAsia" w:ascii="宋体" w:hAnsi="宋体" w:eastAsia="宋体" w:cs="宋体"/>
                <w:color w:val="auto"/>
                <w:kern w:val="0"/>
                <w:sz w:val="21"/>
                <w:szCs w:val="21"/>
                <w:highlight w:val="none"/>
                <w:lang w:eastAsia="zh-CN"/>
              </w:rPr>
              <w:t>。签到激活、单次进出、分区管控，访客数据隔离。</w:t>
            </w:r>
          </w:p>
          <w:p w14:paraId="05CE25E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人脸识别能力需支持对接第三方人脸平台，并提供标准接口，不得限制采购方后续更换、扩展或复用人脸识别引擎能力。</w:t>
            </w:r>
          </w:p>
        </w:tc>
      </w:tr>
      <w:tr w14:paraId="0C26DCA0">
        <w:tblPrEx>
          <w:tblCellMar>
            <w:top w:w="0" w:type="dxa"/>
            <w:left w:w="108" w:type="dxa"/>
            <w:bottom w:w="0" w:type="dxa"/>
            <w:right w:w="108" w:type="dxa"/>
          </w:tblCellMar>
        </w:tblPrEx>
        <w:trPr>
          <w:trHeight w:val="420" w:hRule="atLeast"/>
          <w:jc w:val="center"/>
        </w:trPr>
        <w:tc>
          <w:tcPr>
            <w:tcW w:w="9618" w:type="dxa"/>
            <w:gridSpan w:val="3"/>
            <w:tcBorders>
              <w:top w:val="nil"/>
              <w:left w:val="single" w:color="auto" w:sz="8" w:space="0"/>
              <w:bottom w:val="single" w:color="000000" w:sz="8" w:space="0"/>
              <w:right w:val="single" w:color="auto" w:sz="8" w:space="0"/>
            </w:tcBorders>
            <w:noWrap w:val="0"/>
            <w:vAlign w:val="center"/>
          </w:tcPr>
          <w:p w14:paraId="752B0342">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lang w:eastAsia="zh-CN"/>
              </w:rPr>
            </w:pPr>
            <w:r>
              <w:rPr>
                <w:rFonts w:hint="eastAsia" w:ascii="宋体" w:hAnsi="宋体" w:cs="宋体"/>
                <w:color w:val="auto"/>
                <w:kern w:val="0"/>
                <w:sz w:val="21"/>
                <w:szCs w:val="21"/>
              </w:rPr>
              <w:t>其他需求</w:t>
            </w:r>
            <w:r>
              <w:rPr>
                <w:rFonts w:hint="eastAsia" w:ascii="宋体" w:hAnsi="宋体" w:cs="宋体"/>
                <w:color w:val="auto"/>
                <w:kern w:val="0"/>
                <w:sz w:val="21"/>
                <w:szCs w:val="21"/>
                <w:lang w:eastAsia="zh-CN"/>
              </w:rPr>
              <w:t>：</w:t>
            </w:r>
          </w:p>
        </w:tc>
      </w:tr>
      <w:tr w14:paraId="7AB7242A">
        <w:tblPrEx>
          <w:tblCellMar>
            <w:top w:w="0" w:type="dxa"/>
            <w:left w:w="108" w:type="dxa"/>
            <w:bottom w:w="0" w:type="dxa"/>
            <w:right w:w="108" w:type="dxa"/>
          </w:tblCellMar>
        </w:tblPrEx>
        <w:trPr>
          <w:trHeight w:val="2020" w:hRule="atLeast"/>
          <w:jc w:val="center"/>
        </w:trPr>
        <w:tc>
          <w:tcPr>
            <w:tcW w:w="1733" w:type="dxa"/>
            <w:tcBorders>
              <w:top w:val="nil"/>
              <w:left w:val="single" w:color="auto" w:sz="8" w:space="0"/>
              <w:bottom w:val="single" w:color="000000" w:sz="8" w:space="0"/>
              <w:right w:val="single" w:color="auto" w:sz="8" w:space="0"/>
            </w:tcBorders>
            <w:noWrap w:val="0"/>
            <w:vAlign w:val="center"/>
          </w:tcPr>
          <w:p w14:paraId="0AD6027E">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cs="宋体"/>
                <w:color w:val="auto"/>
                <w:kern w:val="0"/>
                <w:sz w:val="21"/>
                <w:szCs w:val="21"/>
              </w:rPr>
            </w:pPr>
            <w:r>
              <w:rPr>
                <w:rFonts w:hint="eastAsia" w:ascii="宋体" w:hAnsi="宋体" w:cs="宋体"/>
                <w:color w:val="auto"/>
                <w:kern w:val="0"/>
                <w:sz w:val="21"/>
                <w:szCs w:val="21"/>
                <w:lang w:val="en-US" w:eastAsia="zh-CN"/>
              </w:rPr>
              <w:t>2</w:t>
            </w:r>
            <w:r>
              <w:rPr>
                <w:rFonts w:ascii="宋体" w:hAnsi="宋体" w:cs="宋体"/>
                <w:color w:val="auto"/>
                <w:kern w:val="0"/>
                <w:sz w:val="21"/>
                <w:szCs w:val="21"/>
              </w:rPr>
              <w:t>.</w:t>
            </w:r>
            <w:r>
              <w:rPr>
                <w:rFonts w:hint="eastAsia" w:ascii="宋体" w:hAnsi="宋体" w:cs="宋体"/>
                <w:color w:val="auto"/>
                <w:kern w:val="0"/>
                <w:sz w:val="21"/>
                <w:szCs w:val="21"/>
                <w:lang w:eastAsia="zh-CN"/>
              </w:rPr>
              <w:t>门禁</w:t>
            </w:r>
            <w:r>
              <w:rPr>
                <w:rFonts w:hint="eastAsia" w:ascii="宋体" w:hAnsi="宋体" w:cs="宋体"/>
                <w:color w:val="auto"/>
                <w:kern w:val="0"/>
                <w:sz w:val="21"/>
                <w:szCs w:val="21"/>
              </w:rPr>
              <w:t>需求</w:t>
            </w:r>
          </w:p>
        </w:tc>
        <w:tc>
          <w:tcPr>
            <w:tcW w:w="929" w:type="dxa"/>
            <w:tcBorders>
              <w:top w:val="nil"/>
              <w:left w:val="nil"/>
              <w:bottom w:val="single" w:color="auto" w:sz="8" w:space="0"/>
              <w:right w:val="single" w:color="auto" w:sz="8" w:space="0"/>
            </w:tcBorders>
            <w:noWrap w:val="0"/>
            <w:vAlign w:val="center"/>
          </w:tcPr>
          <w:p w14:paraId="2CB921B7">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cs="宋体"/>
                <w:color w:val="auto"/>
                <w:kern w:val="0"/>
                <w:sz w:val="21"/>
                <w:szCs w:val="21"/>
              </w:rPr>
            </w:pPr>
            <w:r>
              <w:rPr>
                <w:rFonts w:hint="eastAsia" w:ascii="宋体" w:hAnsi="宋体" w:cs="宋体"/>
                <w:color w:val="auto"/>
                <w:kern w:val="0"/>
                <w:sz w:val="21"/>
                <w:szCs w:val="21"/>
                <w:lang w:val="en-US" w:eastAsia="zh-CN"/>
              </w:rPr>
              <w:t>2</w:t>
            </w:r>
            <w:r>
              <w:rPr>
                <w:rFonts w:ascii="宋体" w:hAnsi="宋体" w:cs="宋体"/>
                <w:color w:val="auto"/>
                <w:kern w:val="0"/>
                <w:sz w:val="21"/>
                <w:szCs w:val="21"/>
              </w:rPr>
              <w:t>.1</w:t>
            </w:r>
          </w:p>
        </w:tc>
        <w:tc>
          <w:tcPr>
            <w:tcW w:w="6956" w:type="dxa"/>
            <w:tcBorders>
              <w:top w:val="nil"/>
              <w:left w:val="nil"/>
              <w:bottom w:val="single" w:color="auto" w:sz="8" w:space="0"/>
              <w:right w:val="single" w:color="auto" w:sz="8" w:space="0"/>
            </w:tcBorders>
            <w:noWrap w:val="0"/>
            <w:vAlign w:val="center"/>
          </w:tcPr>
          <w:p w14:paraId="290C2256">
            <w:pPr>
              <w:pStyle w:val="58"/>
              <w:keepNext w:val="0"/>
              <w:keepLines w:val="0"/>
              <w:pageBreakBefore w:val="0"/>
              <w:numPr>
                <w:ilvl w:val="0"/>
                <w:numId w:val="78"/>
              </w:numPr>
              <w:kinsoku/>
              <w:wordWrap/>
              <w:overflowPunct/>
              <w:topLinePunct w:val="0"/>
              <w:autoSpaceDE/>
              <w:autoSpaceDN/>
              <w:bidi w:val="0"/>
              <w:adjustRightInd w:val="0"/>
              <w:snapToGrid w:val="0"/>
              <w:spacing w:line="360" w:lineRule="auto"/>
              <w:ind w:firstLine="0" w:firstLineChars="0"/>
              <w:jc w:val="left"/>
              <w:rPr>
                <w:rFonts w:hint="eastAsia"/>
                <w:color w:val="auto"/>
                <w:sz w:val="21"/>
                <w:szCs w:val="21"/>
                <w:lang w:val="en-US" w:eastAsia="zh-CN"/>
              </w:rPr>
            </w:pPr>
            <w:r>
              <w:rPr>
                <w:rFonts w:hint="eastAsia"/>
                <w:color w:val="auto"/>
                <w:sz w:val="21"/>
                <w:szCs w:val="21"/>
                <w:lang w:val="en-US" w:eastAsia="zh-CN"/>
              </w:rPr>
              <w:t>建设统一管理的一卡通平台需接入一期和二期的门禁，实现一卡通行。一期、二期门禁系统提供相关接口，并配合接入一卡通平台及系统调试；</w:t>
            </w:r>
          </w:p>
          <w:p w14:paraId="16590B7F">
            <w:pPr>
              <w:pStyle w:val="58"/>
              <w:keepNext w:val="0"/>
              <w:keepLines w:val="0"/>
              <w:pageBreakBefore w:val="0"/>
              <w:numPr>
                <w:ilvl w:val="0"/>
                <w:numId w:val="78"/>
              </w:numPr>
              <w:kinsoku/>
              <w:wordWrap/>
              <w:overflowPunct/>
              <w:topLinePunct w:val="0"/>
              <w:autoSpaceDE/>
              <w:autoSpaceDN/>
              <w:bidi w:val="0"/>
              <w:adjustRightInd w:val="0"/>
              <w:snapToGrid w:val="0"/>
              <w:spacing w:line="360" w:lineRule="auto"/>
              <w:ind w:firstLine="0" w:firstLineChars="0"/>
              <w:jc w:val="left"/>
              <w:rPr>
                <w:rFonts w:hint="default"/>
                <w:color w:val="auto"/>
                <w:sz w:val="21"/>
                <w:szCs w:val="21"/>
                <w:lang w:val="en-US" w:eastAsia="zh-CN"/>
              </w:rPr>
            </w:pPr>
            <w:r>
              <w:rPr>
                <w:rFonts w:hint="eastAsia"/>
                <w:color w:val="auto"/>
                <w:sz w:val="21"/>
                <w:szCs w:val="21"/>
                <w:lang w:val="en-US" w:eastAsia="zh-CN"/>
              </w:rPr>
              <w:t>访客系统需要和门禁、道闸、电梯、停车场等系统对接，相关系统需提供相关接口并配合调试；</w:t>
            </w:r>
          </w:p>
          <w:p w14:paraId="511F1C57">
            <w:pPr>
              <w:pStyle w:val="58"/>
              <w:keepNext w:val="0"/>
              <w:keepLines w:val="0"/>
              <w:pageBreakBefore w:val="0"/>
              <w:numPr>
                <w:ilvl w:val="0"/>
                <w:numId w:val="78"/>
              </w:numPr>
              <w:kinsoku/>
              <w:wordWrap/>
              <w:overflowPunct/>
              <w:topLinePunct w:val="0"/>
              <w:autoSpaceDE/>
              <w:autoSpaceDN/>
              <w:bidi w:val="0"/>
              <w:adjustRightInd w:val="0"/>
              <w:snapToGrid w:val="0"/>
              <w:spacing w:line="360" w:lineRule="auto"/>
              <w:ind w:firstLine="0" w:firstLineChars="0"/>
              <w:jc w:val="left"/>
              <w:rPr>
                <w:rFonts w:hint="default"/>
                <w:color w:val="auto"/>
                <w:sz w:val="21"/>
                <w:szCs w:val="21"/>
                <w:lang w:val="en-US" w:eastAsia="zh-CN"/>
              </w:rPr>
            </w:pPr>
            <w:r>
              <w:rPr>
                <w:rFonts w:hint="eastAsia"/>
                <w:color w:val="auto"/>
                <w:sz w:val="21"/>
                <w:szCs w:val="21"/>
                <w:lang w:val="en-US" w:eastAsia="zh-CN"/>
              </w:rPr>
              <w:t>入离职信息同步院内人事系统或是企微，可以同步生成/删除账号信息。</w:t>
            </w:r>
          </w:p>
        </w:tc>
      </w:tr>
      <w:tr w14:paraId="7817A8A6">
        <w:tblPrEx>
          <w:tblCellMar>
            <w:top w:w="0" w:type="dxa"/>
            <w:left w:w="108" w:type="dxa"/>
            <w:bottom w:w="0" w:type="dxa"/>
            <w:right w:w="108" w:type="dxa"/>
          </w:tblCellMar>
        </w:tblPrEx>
        <w:trPr>
          <w:trHeight w:val="820" w:hRule="atLeast"/>
          <w:jc w:val="center"/>
        </w:trPr>
        <w:tc>
          <w:tcPr>
            <w:tcW w:w="1733" w:type="dxa"/>
            <w:tcBorders>
              <w:top w:val="nil"/>
              <w:left w:val="single" w:color="auto" w:sz="8" w:space="0"/>
              <w:bottom w:val="single" w:color="000000" w:sz="8" w:space="0"/>
              <w:right w:val="single" w:color="auto" w:sz="8" w:space="0"/>
            </w:tcBorders>
            <w:noWrap w:val="0"/>
            <w:vAlign w:val="center"/>
          </w:tcPr>
          <w:p w14:paraId="43CF1B92">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cs="宋体"/>
                <w:color w:val="auto"/>
                <w:kern w:val="0"/>
                <w:sz w:val="21"/>
                <w:szCs w:val="21"/>
                <w:lang w:val="en-US" w:eastAsia="zh-CN" w:bidi="ar-SA"/>
              </w:rPr>
            </w:pPr>
            <w:r>
              <w:rPr>
                <w:rFonts w:hint="eastAsia" w:ascii="宋体" w:hAnsi="宋体" w:cs="宋体"/>
                <w:color w:val="auto"/>
                <w:kern w:val="0"/>
                <w:sz w:val="21"/>
                <w:szCs w:val="21"/>
                <w:lang w:val="en-US" w:eastAsia="zh-CN"/>
              </w:rPr>
              <w:t>3.银医需求</w:t>
            </w:r>
          </w:p>
        </w:tc>
        <w:tc>
          <w:tcPr>
            <w:tcW w:w="929" w:type="dxa"/>
            <w:tcBorders>
              <w:top w:val="nil"/>
              <w:left w:val="nil"/>
              <w:bottom w:val="single" w:color="auto" w:sz="8" w:space="0"/>
              <w:right w:val="single" w:color="auto" w:sz="8" w:space="0"/>
            </w:tcBorders>
            <w:noWrap w:val="0"/>
            <w:vAlign w:val="center"/>
          </w:tcPr>
          <w:p w14:paraId="740F3B0A">
            <w:pPr>
              <w:keepNext w:val="0"/>
              <w:keepLines w:val="0"/>
              <w:pageBreakBefore w:val="0"/>
              <w:widowControl/>
              <w:kinsoku/>
              <w:wordWrap/>
              <w:overflowPunct/>
              <w:topLinePunct w:val="0"/>
              <w:autoSpaceDE/>
              <w:autoSpaceDN/>
              <w:bidi w:val="0"/>
              <w:adjustRightInd w:val="0"/>
              <w:snapToGrid w:val="0"/>
              <w:spacing w:line="360" w:lineRule="auto"/>
              <w:jc w:val="left"/>
              <w:rPr>
                <w:rFonts w:hint="default" w:ascii="宋体" w:hAnsi="宋体" w:cs="宋体"/>
                <w:color w:val="auto"/>
                <w:kern w:val="0"/>
                <w:sz w:val="21"/>
                <w:szCs w:val="21"/>
                <w:lang w:val="en-US" w:eastAsia="zh-CN" w:bidi="ar-SA"/>
              </w:rPr>
            </w:pPr>
            <w:r>
              <w:rPr>
                <w:rFonts w:hint="eastAsia" w:ascii="宋体" w:hAnsi="宋体" w:cs="宋体"/>
                <w:color w:val="auto"/>
                <w:kern w:val="0"/>
                <w:sz w:val="21"/>
                <w:szCs w:val="21"/>
                <w:lang w:val="en-US" w:eastAsia="zh-CN"/>
              </w:rPr>
              <w:t>3.1</w:t>
            </w:r>
          </w:p>
        </w:tc>
        <w:tc>
          <w:tcPr>
            <w:tcW w:w="6956" w:type="dxa"/>
            <w:tcBorders>
              <w:top w:val="nil"/>
              <w:left w:val="nil"/>
              <w:bottom w:val="single" w:color="auto" w:sz="8" w:space="0"/>
              <w:right w:val="single" w:color="auto" w:sz="8" w:space="0"/>
            </w:tcBorders>
            <w:noWrap w:val="0"/>
            <w:vAlign w:val="center"/>
          </w:tcPr>
          <w:p w14:paraId="25AA25C4">
            <w:pPr>
              <w:pStyle w:val="58"/>
              <w:keepNext w:val="0"/>
              <w:keepLines w:val="0"/>
              <w:pageBreakBefore w:val="0"/>
              <w:numPr>
                <w:ilvl w:val="0"/>
                <w:numId w:val="0"/>
              </w:numPr>
              <w:kinsoku/>
              <w:wordWrap/>
              <w:overflowPunct/>
              <w:topLinePunct w:val="0"/>
              <w:autoSpaceDE/>
              <w:autoSpaceDN/>
              <w:bidi w:val="0"/>
              <w:adjustRightInd w:val="0"/>
              <w:snapToGrid w:val="0"/>
              <w:spacing w:line="360" w:lineRule="auto"/>
              <w:ind w:firstLine="0" w:firstLineChars="0"/>
              <w:jc w:val="left"/>
              <w:rPr>
                <w:rFonts w:hint="eastAsia"/>
                <w:color w:val="auto"/>
                <w:sz w:val="21"/>
                <w:szCs w:val="21"/>
                <w:lang w:val="en-US" w:eastAsia="zh-CN"/>
              </w:rPr>
            </w:pPr>
            <w:r>
              <w:rPr>
                <w:rFonts w:hint="eastAsia"/>
                <w:color w:val="auto"/>
                <w:sz w:val="21"/>
                <w:szCs w:val="21"/>
                <w:lang w:val="en-US" w:eastAsia="zh-CN"/>
              </w:rPr>
              <w:t>需支持银医业务拓展，</w:t>
            </w:r>
          </w:p>
          <w:p w14:paraId="2B568C99">
            <w:pPr>
              <w:pStyle w:val="58"/>
              <w:keepNext w:val="0"/>
              <w:keepLines w:val="0"/>
              <w:pageBreakBefore w:val="0"/>
              <w:numPr>
                <w:ilvl w:val="0"/>
                <w:numId w:val="0"/>
              </w:numPr>
              <w:kinsoku/>
              <w:wordWrap/>
              <w:overflowPunct/>
              <w:topLinePunct w:val="0"/>
              <w:autoSpaceDE/>
              <w:autoSpaceDN/>
              <w:bidi w:val="0"/>
              <w:adjustRightInd w:val="0"/>
              <w:snapToGrid w:val="0"/>
              <w:spacing w:line="360" w:lineRule="auto"/>
              <w:ind w:left="0" w:leftChars="0" w:firstLine="0" w:firstLineChars="0"/>
              <w:jc w:val="left"/>
              <w:rPr>
                <w:rFonts w:hint="default" w:ascii="长城仿宋"/>
                <w:color w:val="auto"/>
                <w:kern w:val="0"/>
                <w:sz w:val="21"/>
                <w:szCs w:val="21"/>
                <w:lang w:val="en-US" w:eastAsia="zh-CN" w:bidi="ar-SA"/>
              </w:rPr>
            </w:pPr>
            <w:r>
              <w:rPr>
                <w:rFonts w:hint="eastAsia"/>
                <w:color w:val="auto"/>
                <w:sz w:val="21"/>
                <w:szCs w:val="21"/>
                <w:lang w:val="en-US" w:eastAsia="zh-CN"/>
              </w:rPr>
              <w:t>支持指定银行免密代扣能力；</w:t>
            </w:r>
          </w:p>
        </w:tc>
      </w:tr>
      <w:tr w14:paraId="6598C200">
        <w:tblPrEx>
          <w:tblCellMar>
            <w:top w:w="0" w:type="dxa"/>
            <w:left w:w="108" w:type="dxa"/>
            <w:bottom w:w="0" w:type="dxa"/>
            <w:right w:w="108" w:type="dxa"/>
          </w:tblCellMar>
        </w:tblPrEx>
        <w:trPr>
          <w:trHeight w:val="3240" w:hRule="atLeast"/>
          <w:jc w:val="center"/>
        </w:trPr>
        <w:tc>
          <w:tcPr>
            <w:tcW w:w="1733" w:type="dxa"/>
            <w:tcBorders>
              <w:top w:val="nil"/>
              <w:left w:val="single" w:color="auto" w:sz="8" w:space="0"/>
              <w:bottom w:val="single" w:color="000000" w:sz="8" w:space="0"/>
              <w:right w:val="single" w:color="auto" w:sz="8" w:space="0"/>
            </w:tcBorders>
            <w:noWrap w:val="0"/>
            <w:vAlign w:val="center"/>
          </w:tcPr>
          <w:p w14:paraId="18B91EC0">
            <w:pPr>
              <w:keepNext w:val="0"/>
              <w:keepLines w:val="0"/>
              <w:pageBreakBefore w:val="0"/>
              <w:widowControl/>
              <w:kinsoku/>
              <w:wordWrap/>
              <w:overflowPunct/>
              <w:topLinePunct w:val="0"/>
              <w:autoSpaceDE/>
              <w:autoSpaceDN/>
              <w:bidi w:val="0"/>
              <w:adjustRightInd w:val="0"/>
              <w:snapToGrid w:val="0"/>
              <w:spacing w:line="360" w:lineRule="auto"/>
              <w:jc w:val="left"/>
              <w:rPr>
                <w:rFonts w:hint="default"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4.高可拓展性需求</w:t>
            </w:r>
          </w:p>
        </w:tc>
        <w:tc>
          <w:tcPr>
            <w:tcW w:w="929" w:type="dxa"/>
            <w:tcBorders>
              <w:top w:val="nil"/>
              <w:left w:val="nil"/>
              <w:bottom w:val="single" w:color="auto" w:sz="8" w:space="0"/>
              <w:right w:val="single" w:color="auto" w:sz="8" w:space="0"/>
            </w:tcBorders>
            <w:noWrap w:val="0"/>
            <w:vAlign w:val="center"/>
          </w:tcPr>
          <w:p w14:paraId="2958F6A9">
            <w:pPr>
              <w:keepNext w:val="0"/>
              <w:keepLines w:val="0"/>
              <w:pageBreakBefore w:val="0"/>
              <w:widowControl/>
              <w:kinsoku/>
              <w:wordWrap/>
              <w:overflowPunct/>
              <w:topLinePunct w:val="0"/>
              <w:autoSpaceDE/>
              <w:autoSpaceDN/>
              <w:bidi w:val="0"/>
              <w:adjustRightInd w:val="0"/>
              <w:snapToGrid w:val="0"/>
              <w:spacing w:line="360" w:lineRule="auto"/>
              <w:jc w:val="left"/>
              <w:rPr>
                <w:rFonts w:hint="default"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4.1</w:t>
            </w:r>
          </w:p>
        </w:tc>
        <w:tc>
          <w:tcPr>
            <w:tcW w:w="6956" w:type="dxa"/>
            <w:tcBorders>
              <w:top w:val="nil"/>
              <w:left w:val="nil"/>
              <w:bottom w:val="single" w:color="auto" w:sz="8" w:space="0"/>
              <w:right w:val="single" w:color="auto" w:sz="8" w:space="0"/>
            </w:tcBorders>
            <w:noWrap w:val="0"/>
            <w:vAlign w:val="center"/>
          </w:tcPr>
          <w:p w14:paraId="01D5FE18">
            <w:pPr>
              <w:pStyle w:val="58"/>
              <w:keepNext w:val="0"/>
              <w:keepLines w:val="0"/>
              <w:pageBreakBefore w:val="0"/>
              <w:numPr>
                <w:ilvl w:val="0"/>
                <w:numId w:val="0"/>
              </w:numPr>
              <w:kinsoku/>
              <w:wordWrap/>
              <w:overflowPunct/>
              <w:topLinePunct w:val="0"/>
              <w:autoSpaceDE/>
              <w:autoSpaceDN/>
              <w:bidi w:val="0"/>
              <w:adjustRightInd w:val="0"/>
              <w:snapToGrid w:val="0"/>
              <w:spacing w:line="360" w:lineRule="auto"/>
              <w:ind w:firstLine="0" w:firstLineChars="0"/>
              <w:jc w:val="left"/>
              <w:rPr>
                <w:rFonts w:hint="eastAsia"/>
                <w:color w:val="auto"/>
                <w:sz w:val="21"/>
                <w:szCs w:val="21"/>
                <w:lang w:val="en-US" w:eastAsia="zh-CN"/>
              </w:rPr>
            </w:pPr>
            <w:r>
              <w:rPr>
                <w:rFonts w:hint="eastAsia"/>
                <w:color w:val="auto"/>
                <w:sz w:val="21"/>
                <w:szCs w:val="21"/>
                <w:lang w:val="en-US" w:eastAsia="zh-CN"/>
              </w:rPr>
              <w:t>支持开放所有标准API接口，支持开放电子码解码能力，支持第三方设备适配不额外收取本方费用。接口文档、接口联调、技术对接及必要的技术支持均包含在本项目实施范围内，</w:t>
            </w:r>
          </w:p>
          <w:p w14:paraId="758B3B41">
            <w:pPr>
              <w:pStyle w:val="58"/>
              <w:keepNext w:val="0"/>
              <w:keepLines w:val="0"/>
              <w:pageBreakBefore w:val="0"/>
              <w:numPr>
                <w:ilvl w:val="0"/>
                <w:numId w:val="0"/>
              </w:numPr>
              <w:kinsoku/>
              <w:wordWrap/>
              <w:overflowPunct/>
              <w:topLinePunct w:val="0"/>
              <w:autoSpaceDE/>
              <w:autoSpaceDN/>
              <w:bidi w:val="0"/>
              <w:adjustRightInd w:val="0"/>
              <w:snapToGrid w:val="0"/>
              <w:spacing w:line="360" w:lineRule="auto"/>
              <w:ind w:firstLine="0" w:firstLineChars="0"/>
              <w:jc w:val="left"/>
              <w:rPr>
                <w:rFonts w:hint="eastAsia"/>
                <w:color w:val="auto"/>
                <w:sz w:val="21"/>
                <w:szCs w:val="21"/>
                <w:lang w:val="en-US" w:eastAsia="zh-CN"/>
              </w:rPr>
            </w:pPr>
            <w:r>
              <w:rPr>
                <w:rFonts w:hint="eastAsia"/>
                <w:color w:val="auto"/>
                <w:sz w:val="21"/>
                <w:szCs w:val="21"/>
                <w:lang w:val="en-US" w:eastAsia="zh-CN"/>
              </w:rPr>
              <w:t>中标人不得以接口调用、联调支持、技术咨询等任何形式另行收费</w:t>
            </w:r>
          </w:p>
          <w:p w14:paraId="7972BE5D">
            <w:pPr>
              <w:pStyle w:val="58"/>
              <w:keepNext w:val="0"/>
              <w:keepLines w:val="0"/>
              <w:pageBreakBefore w:val="0"/>
              <w:numPr>
                <w:ilvl w:val="0"/>
                <w:numId w:val="0"/>
              </w:numPr>
              <w:kinsoku/>
              <w:wordWrap/>
              <w:overflowPunct/>
              <w:topLinePunct w:val="0"/>
              <w:autoSpaceDE/>
              <w:autoSpaceDN/>
              <w:bidi w:val="0"/>
              <w:adjustRightInd w:val="0"/>
              <w:snapToGrid w:val="0"/>
              <w:spacing w:line="360" w:lineRule="auto"/>
              <w:ind w:firstLine="0" w:firstLineChars="0"/>
              <w:jc w:val="left"/>
              <w:rPr>
                <w:rFonts w:hint="eastAsia"/>
                <w:color w:val="auto"/>
                <w:sz w:val="21"/>
                <w:szCs w:val="21"/>
                <w:lang w:val="en-US" w:eastAsia="zh-CN"/>
              </w:rPr>
            </w:pPr>
            <w:r>
              <w:rPr>
                <w:rFonts w:hint="eastAsia"/>
                <w:color w:val="auto"/>
                <w:sz w:val="21"/>
                <w:szCs w:val="21"/>
                <w:lang w:val="en-US" w:eastAsia="zh-CN"/>
              </w:rPr>
              <w:t>支持自定义配置不同身份、院区/部门卡面</w:t>
            </w:r>
          </w:p>
          <w:p w14:paraId="557EA756">
            <w:pPr>
              <w:pStyle w:val="58"/>
              <w:keepNext w:val="0"/>
              <w:keepLines w:val="0"/>
              <w:pageBreakBefore w:val="0"/>
              <w:numPr>
                <w:ilvl w:val="0"/>
                <w:numId w:val="0"/>
              </w:numPr>
              <w:kinsoku/>
              <w:wordWrap/>
              <w:overflowPunct/>
              <w:topLinePunct w:val="0"/>
              <w:autoSpaceDE/>
              <w:autoSpaceDN/>
              <w:bidi w:val="0"/>
              <w:adjustRightInd w:val="0"/>
              <w:snapToGrid w:val="0"/>
              <w:spacing w:line="360" w:lineRule="auto"/>
              <w:ind w:firstLine="0" w:firstLineChars="0"/>
              <w:jc w:val="left"/>
              <w:rPr>
                <w:rFonts w:hint="eastAsia"/>
                <w:color w:val="auto"/>
                <w:sz w:val="21"/>
                <w:szCs w:val="21"/>
                <w:lang w:val="en-US" w:eastAsia="zh-CN"/>
              </w:rPr>
            </w:pPr>
            <w:r>
              <w:rPr>
                <w:rFonts w:hint="eastAsia"/>
                <w:color w:val="auto"/>
                <w:sz w:val="21"/>
                <w:szCs w:val="21"/>
                <w:lang w:val="en-US" w:eastAsia="zh-CN"/>
              </w:rPr>
              <w:t>支持自定义配置卡片应用大厅，支持自定义上架H5、小程序应用</w:t>
            </w:r>
          </w:p>
          <w:p w14:paraId="05132B28">
            <w:pPr>
              <w:pStyle w:val="58"/>
              <w:keepNext w:val="0"/>
              <w:keepLines w:val="0"/>
              <w:pageBreakBefore w:val="0"/>
              <w:numPr>
                <w:ilvl w:val="0"/>
                <w:numId w:val="0"/>
              </w:numPr>
              <w:kinsoku/>
              <w:wordWrap/>
              <w:overflowPunct/>
              <w:topLinePunct w:val="0"/>
              <w:autoSpaceDE/>
              <w:autoSpaceDN/>
              <w:bidi w:val="0"/>
              <w:adjustRightInd w:val="0"/>
              <w:snapToGrid w:val="0"/>
              <w:spacing w:line="360" w:lineRule="auto"/>
              <w:ind w:firstLine="0" w:firstLineChars="0"/>
              <w:jc w:val="left"/>
              <w:rPr>
                <w:rFonts w:hint="default"/>
                <w:color w:val="auto"/>
                <w:sz w:val="21"/>
                <w:szCs w:val="21"/>
                <w:lang w:val="en-US" w:eastAsia="zh-CN"/>
              </w:rPr>
            </w:pPr>
            <w:r>
              <w:rPr>
                <w:rFonts w:hint="eastAsia"/>
                <w:color w:val="auto"/>
                <w:sz w:val="21"/>
                <w:szCs w:val="21"/>
                <w:lang w:val="en-US" w:eastAsia="zh-CN"/>
              </w:rPr>
              <w:t>支持场景管控能力，支持未来拓展班车、会议室、活动签到等场景提供核验签到和表单问卷能力</w:t>
            </w:r>
          </w:p>
        </w:tc>
      </w:tr>
    </w:tbl>
    <w:p w14:paraId="4FDEEB89">
      <w:pPr>
        <w:rPr>
          <w:rFonts w:hint="default"/>
          <w:b/>
          <w:bCs/>
          <w:lang w:val="en-US" w:eastAsia="zh-CN"/>
        </w:rPr>
      </w:pPr>
    </w:p>
    <w:p w14:paraId="347679AD">
      <w:pPr>
        <w:pStyle w:val="3"/>
        <w:bidi w:val="0"/>
        <w:rPr>
          <w:rFonts w:hint="eastAsia"/>
        </w:rPr>
      </w:pPr>
      <w:bookmarkStart w:id="220" w:name="_Toc29091"/>
      <w:bookmarkStart w:id="221" w:name="_Toc8621"/>
      <w:bookmarkStart w:id="222" w:name="_Toc21758"/>
      <w:bookmarkStart w:id="223" w:name="_Toc25664"/>
      <w:bookmarkStart w:id="224" w:name="_Toc23143"/>
      <w:r>
        <w:rPr>
          <w:rFonts w:hint="eastAsia"/>
          <w:lang w:val="en-US" w:eastAsia="zh-CN"/>
        </w:rPr>
        <w:t>智慧超声</w:t>
      </w:r>
      <w:r>
        <w:rPr>
          <w:rFonts w:hint="eastAsia"/>
        </w:rPr>
        <w:t>系统</w:t>
      </w:r>
      <w:bookmarkEnd w:id="220"/>
      <w:bookmarkEnd w:id="221"/>
      <w:bookmarkEnd w:id="222"/>
      <w:bookmarkEnd w:id="223"/>
      <w:bookmarkEnd w:id="224"/>
    </w:p>
    <w:tbl>
      <w:tblPr>
        <w:tblStyle w:val="46"/>
        <w:tblW w:w="9898" w:type="dxa"/>
        <w:tblInd w:w="-176" w:type="dxa"/>
        <w:tblLayout w:type="autofit"/>
        <w:tblCellMar>
          <w:top w:w="0" w:type="dxa"/>
          <w:left w:w="108" w:type="dxa"/>
          <w:bottom w:w="0" w:type="dxa"/>
          <w:right w:w="108" w:type="dxa"/>
        </w:tblCellMar>
      </w:tblPr>
      <w:tblGrid>
        <w:gridCol w:w="1138"/>
        <w:gridCol w:w="1077"/>
        <w:gridCol w:w="7683"/>
      </w:tblGrid>
      <w:tr w14:paraId="2FA199BB">
        <w:tblPrEx>
          <w:tblCellMar>
            <w:top w:w="0" w:type="dxa"/>
            <w:left w:w="108" w:type="dxa"/>
            <w:bottom w:w="0" w:type="dxa"/>
            <w:right w:w="108" w:type="dxa"/>
          </w:tblCellMar>
        </w:tblPrEx>
        <w:trPr>
          <w:trHeight w:val="330" w:hRule="atLeast"/>
        </w:trPr>
        <w:tc>
          <w:tcPr>
            <w:tcW w:w="1138" w:type="dxa"/>
            <w:tcBorders>
              <w:top w:val="single" w:color="auto" w:sz="8" w:space="0"/>
              <w:left w:val="single" w:color="auto" w:sz="8" w:space="0"/>
              <w:bottom w:val="single" w:color="auto" w:sz="8" w:space="0"/>
              <w:right w:val="single" w:color="auto" w:sz="8" w:space="0"/>
            </w:tcBorders>
            <w:noWrap w:val="0"/>
            <w:vAlign w:val="center"/>
          </w:tcPr>
          <w:p w14:paraId="70D65F1C">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rPr>
            </w:pPr>
            <w:r>
              <w:rPr>
                <w:rFonts w:hint="eastAsia" w:ascii="宋体" w:hAnsi="宋体" w:cs="宋体"/>
                <w:color w:val="auto"/>
                <w:kern w:val="0"/>
                <w:szCs w:val="21"/>
              </w:rPr>
              <w:t>需求名称</w:t>
            </w:r>
          </w:p>
        </w:tc>
        <w:tc>
          <w:tcPr>
            <w:tcW w:w="1077" w:type="dxa"/>
            <w:tcBorders>
              <w:top w:val="single" w:color="auto" w:sz="8" w:space="0"/>
              <w:left w:val="nil"/>
              <w:bottom w:val="single" w:color="auto" w:sz="8" w:space="0"/>
              <w:right w:val="single" w:color="auto" w:sz="8" w:space="0"/>
            </w:tcBorders>
            <w:noWrap w:val="0"/>
            <w:vAlign w:val="center"/>
          </w:tcPr>
          <w:p w14:paraId="73CF8E11">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rPr>
            </w:pPr>
            <w:r>
              <w:rPr>
                <w:rFonts w:hint="eastAsia" w:ascii="宋体" w:hAnsi="宋体" w:cs="宋体"/>
                <w:color w:val="auto"/>
                <w:kern w:val="0"/>
                <w:szCs w:val="21"/>
              </w:rPr>
              <w:t>序号</w:t>
            </w:r>
          </w:p>
        </w:tc>
        <w:tc>
          <w:tcPr>
            <w:tcW w:w="7683" w:type="dxa"/>
            <w:tcBorders>
              <w:top w:val="single" w:color="auto" w:sz="8" w:space="0"/>
              <w:left w:val="nil"/>
              <w:bottom w:val="single" w:color="auto" w:sz="8" w:space="0"/>
              <w:right w:val="single" w:color="auto" w:sz="8" w:space="0"/>
            </w:tcBorders>
            <w:noWrap w:val="0"/>
            <w:vAlign w:val="center"/>
          </w:tcPr>
          <w:p w14:paraId="17FFB835">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宋体" w:hAnsi="宋体" w:cs="宋体"/>
                <w:color w:val="auto"/>
                <w:kern w:val="0"/>
                <w:szCs w:val="21"/>
              </w:rPr>
            </w:pPr>
            <w:r>
              <w:rPr>
                <w:rFonts w:hint="eastAsia" w:ascii="宋体" w:hAnsi="宋体" w:cs="宋体"/>
                <w:color w:val="auto"/>
                <w:kern w:val="0"/>
                <w:szCs w:val="21"/>
              </w:rPr>
              <w:t>需求描述</w:t>
            </w:r>
          </w:p>
        </w:tc>
      </w:tr>
      <w:tr w14:paraId="2CC3F457">
        <w:tblPrEx>
          <w:tblCellMar>
            <w:top w:w="0" w:type="dxa"/>
            <w:left w:w="108" w:type="dxa"/>
            <w:bottom w:w="0" w:type="dxa"/>
            <w:right w:w="108" w:type="dxa"/>
          </w:tblCellMar>
        </w:tblPrEx>
        <w:trPr>
          <w:trHeight w:val="330" w:hRule="atLeast"/>
        </w:trPr>
        <w:tc>
          <w:tcPr>
            <w:tcW w:w="9898" w:type="dxa"/>
            <w:gridSpan w:val="3"/>
            <w:tcBorders>
              <w:top w:val="nil"/>
              <w:left w:val="single" w:color="auto" w:sz="8" w:space="0"/>
              <w:bottom w:val="single" w:color="000000" w:sz="8" w:space="0"/>
              <w:right w:val="single" w:color="auto" w:sz="8" w:space="0"/>
            </w:tcBorders>
            <w:noWrap w:val="0"/>
            <w:vAlign w:val="center"/>
          </w:tcPr>
          <w:p w14:paraId="1B0335A0">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b/>
                <w:bCs/>
                <w:color w:val="auto"/>
                <w:kern w:val="0"/>
                <w:szCs w:val="21"/>
              </w:rPr>
            </w:pPr>
            <w:r>
              <w:rPr>
                <w:rFonts w:hint="eastAsia" w:ascii="宋体" w:hAnsi="宋体" w:cs="宋体"/>
                <w:b/>
                <w:bCs/>
                <w:color w:val="auto"/>
                <w:kern w:val="0"/>
                <w:szCs w:val="21"/>
              </w:rPr>
              <w:t>功能需求：</w:t>
            </w:r>
          </w:p>
        </w:tc>
      </w:tr>
      <w:tr w14:paraId="6A24AD07">
        <w:tblPrEx>
          <w:tblCellMar>
            <w:top w:w="0" w:type="dxa"/>
            <w:left w:w="108" w:type="dxa"/>
            <w:bottom w:w="0" w:type="dxa"/>
            <w:right w:w="108" w:type="dxa"/>
          </w:tblCellMar>
        </w:tblPrEx>
        <w:trPr>
          <w:trHeight w:val="330" w:hRule="atLeast"/>
        </w:trPr>
        <w:tc>
          <w:tcPr>
            <w:tcW w:w="9898" w:type="dxa"/>
            <w:gridSpan w:val="3"/>
            <w:tcBorders>
              <w:top w:val="nil"/>
              <w:left w:val="single" w:color="auto" w:sz="8" w:space="0"/>
              <w:bottom w:val="single" w:color="000000" w:sz="8" w:space="0"/>
              <w:right w:val="single" w:color="auto" w:sz="8" w:space="0"/>
            </w:tcBorders>
            <w:noWrap w:val="0"/>
            <w:vAlign w:val="center"/>
          </w:tcPr>
          <w:p w14:paraId="27F7BA59">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jc w:val="left"/>
              <w:textAlignment w:val="auto"/>
              <w:rPr>
                <w:rFonts w:hint="default" w:ascii="宋体" w:hAnsi="宋体" w:eastAsia="宋体" w:cs="宋体"/>
                <w:color w:val="auto"/>
                <w:kern w:val="0"/>
                <w:szCs w:val="21"/>
                <w:lang w:val="en-US" w:eastAsia="zh-CN"/>
              </w:rPr>
            </w:pPr>
            <w:r>
              <w:rPr>
                <w:rFonts w:hint="eastAsia" w:ascii="宋体" w:hAnsi="宋体" w:cs="宋体"/>
                <w:color w:val="auto"/>
                <w:kern w:val="0"/>
                <w:szCs w:val="21"/>
                <w:lang w:val="en-US" w:eastAsia="zh-CN"/>
              </w:rPr>
              <w:t>一、超声PACS升级改造服务</w:t>
            </w:r>
          </w:p>
        </w:tc>
      </w:tr>
      <w:tr w14:paraId="5EC90635">
        <w:tblPrEx>
          <w:tblCellMar>
            <w:top w:w="0" w:type="dxa"/>
            <w:left w:w="108" w:type="dxa"/>
            <w:bottom w:w="0" w:type="dxa"/>
            <w:right w:w="108" w:type="dxa"/>
          </w:tblCellMar>
        </w:tblPrEx>
        <w:trPr>
          <w:trHeight w:val="2104" w:hRule="atLeast"/>
        </w:trPr>
        <w:tc>
          <w:tcPr>
            <w:tcW w:w="1138" w:type="dxa"/>
            <w:tcBorders>
              <w:top w:val="nil"/>
              <w:left w:val="single" w:color="auto" w:sz="8" w:space="0"/>
              <w:bottom w:val="single" w:color="000000" w:sz="8" w:space="0"/>
              <w:right w:val="single" w:color="auto" w:sz="8" w:space="0"/>
            </w:tcBorders>
            <w:noWrap w:val="0"/>
            <w:vAlign w:val="center"/>
          </w:tcPr>
          <w:p w14:paraId="054DA87F">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default" w:ascii="宋体" w:hAnsi="宋体" w:eastAsia="宋体" w:cs="宋体"/>
                <w:color w:val="auto"/>
                <w:kern w:val="0"/>
                <w:szCs w:val="21"/>
                <w:lang w:val="en-US" w:eastAsia="zh-CN"/>
              </w:rPr>
            </w:pPr>
            <w:r>
              <w:rPr>
                <w:rFonts w:hint="eastAsia" w:ascii="宋体" w:hAnsi="宋体" w:cs="宋体"/>
                <w:color w:val="auto"/>
                <w:kern w:val="0"/>
                <w:szCs w:val="21"/>
              </w:rPr>
              <w:t>1.</w:t>
            </w:r>
            <w:r>
              <w:rPr>
                <w:rFonts w:hint="eastAsia" w:ascii="宋体" w:hAnsi="宋体" w:cs="宋体"/>
                <w:color w:val="auto"/>
                <w:kern w:val="0"/>
                <w:szCs w:val="21"/>
                <w:lang w:val="en-US" w:eastAsia="zh-CN"/>
              </w:rPr>
              <w:t>总体要求</w:t>
            </w:r>
          </w:p>
        </w:tc>
        <w:tc>
          <w:tcPr>
            <w:tcW w:w="1077" w:type="dxa"/>
            <w:tcBorders>
              <w:top w:val="nil"/>
              <w:left w:val="nil"/>
              <w:bottom w:val="single" w:color="auto" w:sz="8" w:space="0"/>
              <w:right w:val="single" w:color="auto" w:sz="8" w:space="0"/>
            </w:tcBorders>
            <w:noWrap w:val="0"/>
            <w:vAlign w:val="center"/>
          </w:tcPr>
          <w:p w14:paraId="1DE5051F">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default" w:ascii="宋体" w:hAnsi="宋体" w:eastAsia="宋体" w:cs="宋体"/>
                <w:color w:val="auto"/>
                <w:kern w:val="0"/>
                <w:szCs w:val="21"/>
                <w:lang w:val="en-US" w:eastAsia="zh-CN"/>
              </w:rPr>
            </w:pPr>
            <w:r>
              <w:rPr>
                <w:rFonts w:hint="eastAsia" w:ascii="宋体" w:hAnsi="宋体" w:cs="宋体"/>
                <w:color w:val="auto"/>
                <w:kern w:val="0"/>
                <w:szCs w:val="21"/>
              </w:rPr>
              <w:t>1.1</w:t>
            </w:r>
            <w:r>
              <w:rPr>
                <w:rFonts w:hint="eastAsia" w:ascii="宋体" w:hAnsi="宋体" w:cs="宋体"/>
                <w:color w:val="auto"/>
                <w:kern w:val="0"/>
                <w:szCs w:val="21"/>
                <w:lang w:val="en-US" w:eastAsia="zh-CN"/>
              </w:rPr>
              <w:t>总体要求</w:t>
            </w:r>
          </w:p>
        </w:tc>
        <w:tc>
          <w:tcPr>
            <w:tcW w:w="7683" w:type="dxa"/>
            <w:tcBorders>
              <w:top w:val="nil"/>
              <w:left w:val="nil"/>
              <w:bottom w:val="single" w:color="auto" w:sz="8" w:space="0"/>
              <w:right w:val="single" w:color="auto" w:sz="8" w:space="0"/>
            </w:tcBorders>
            <w:noWrap w:val="0"/>
            <w:vAlign w:val="center"/>
          </w:tcPr>
          <w:p w14:paraId="75FF8949">
            <w:pPr>
              <w:keepNext w:val="0"/>
              <w:keepLines w:val="0"/>
              <w:pageBreakBefore w:val="0"/>
              <w:widowControl/>
              <w:numPr>
                <w:ilvl w:val="0"/>
                <w:numId w:val="79"/>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支持集群部署：核心系统分布在多台服务器上，通过集群管理技术进行实现，完成服务器资源池化，实现业务永续与弹性服务能力。</w:t>
            </w:r>
          </w:p>
          <w:p w14:paraId="1F378940">
            <w:pPr>
              <w:keepNext w:val="0"/>
              <w:keepLines w:val="0"/>
              <w:pageBreakBefore w:val="0"/>
              <w:widowControl/>
              <w:numPr>
                <w:ilvl w:val="0"/>
                <w:numId w:val="79"/>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满足国产化信创要求，支持国产化数据库、国产化操作系统、国产化CPU。</w:t>
            </w:r>
          </w:p>
          <w:p w14:paraId="22404AC1">
            <w:pPr>
              <w:keepNext w:val="0"/>
              <w:keepLines w:val="0"/>
              <w:pageBreakBefore w:val="0"/>
              <w:widowControl/>
              <w:numPr>
                <w:ilvl w:val="0"/>
                <w:numId w:val="79"/>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安全等保测评中对登录限制的要求：支持设置登录密码强度、定期更换密码、复用次数周期；支持两种或两种以上组合的鉴别技术对管理用户进行身份鉴别；支持对单个帐户的多重并发会话进行限制；具有登录失败处理功能，可采取限制非法登录次数和自动退出等措施。</w:t>
            </w:r>
          </w:p>
          <w:p w14:paraId="3DDF15F3">
            <w:pPr>
              <w:keepNext w:val="0"/>
              <w:keepLines w:val="0"/>
              <w:pageBreakBefore w:val="0"/>
              <w:widowControl/>
              <w:numPr>
                <w:ilvl w:val="0"/>
                <w:numId w:val="79"/>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支持患者隐私保护，符合SSL加密技术，病人基本信息可以得到充分的保护，确保数据在传输途中的私密性。</w:t>
            </w:r>
          </w:p>
          <w:p w14:paraId="183024EB">
            <w:pPr>
              <w:keepNext w:val="0"/>
              <w:keepLines w:val="0"/>
              <w:pageBreakBefore w:val="0"/>
              <w:widowControl/>
              <w:numPr>
                <w:ilvl w:val="0"/>
                <w:numId w:val="79"/>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支持负载均衡功能：当数据请求到达PACS应用服务时，根据设定负载均衡算法的调度策略，合理地将每个请求快速分配到相应的服务器，释放单台服务器性能压力、保障服务的稳定性。</w:t>
            </w:r>
          </w:p>
          <w:p w14:paraId="7F2EE85D">
            <w:pPr>
              <w:keepNext w:val="0"/>
              <w:keepLines w:val="0"/>
              <w:pageBreakBefore w:val="0"/>
              <w:widowControl/>
              <w:numPr>
                <w:ilvl w:val="0"/>
                <w:numId w:val="79"/>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支持服务器弹性扩容，提供更高性能的请求响应处理机制并消除单点故障带来的不良影响，使系统能够轻松应对业务发展带来的资源扩容需求。</w:t>
            </w:r>
          </w:p>
          <w:p w14:paraId="7B92D9B7">
            <w:pPr>
              <w:keepNext w:val="0"/>
              <w:keepLines w:val="0"/>
              <w:pageBreakBefore w:val="0"/>
              <w:widowControl/>
              <w:numPr>
                <w:ilvl w:val="0"/>
                <w:numId w:val="79"/>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服务器管理系统支持单一存储模式、双机容错工作模式、集群存储模式。</w:t>
            </w:r>
          </w:p>
          <w:p w14:paraId="67D6508B">
            <w:pPr>
              <w:keepNext w:val="0"/>
              <w:keepLines w:val="0"/>
              <w:pageBreakBefore w:val="0"/>
              <w:widowControl/>
              <w:numPr>
                <w:ilvl w:val="0"/>
                <w:numId w:val="79"/>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支持大任务量并发请求，支持医院日后进行新设备连接不需再升级PACS服务器软件。</w:t>
            </w:r>
          </w:p>
        </w:tc>
      </w:tr>
      <w:tr w14:paraId="4142863B">
        <w:tblPrEx>
          <w:tblCellMar>
            <w:top w:w="0" w:type="dxa"/>
            <w:left w:w="108" w:type="dxa"/>
            <w:bottom w:w="0" w:type="dxa"/>
            <w:right w:w="108" w:type="dxa"/>
          </w:tblCellMar>
        </w:tblPrEx>
        <w:trPr>
          <w:trHeight w:val="5200" w:hRule="atLeast"/>
        </w:trPr>
        <w:tc>
          <w:tcPr>
            <w:tcW w:w="1138" w:type="dxa"/>
            <w:vMerge w:val="restart"/>
            <w:tcBorders>
              <w:top w:val="nil"/>
              <w:left w:val="single" w:color="auto" w:sz="4" w:space="0"/>
              <w:right w:val="single" w:color="auto" w:sz="8" w:space="0"/>
            </w:tcBorders>
            <w:noWrap w:val="0"/>
            <w:vAlign w:val="center"/>
          </w:tcPr>
          <w:p w14:paraId="0435BAA9">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default" w:ascii="宋体" w:hAnsi="宋体" w:eastAsia="宋体" w:cs="宋体"/>
                <w:color w:val="auto"/>
                <w:kern w:val="0"/>
                <w:szCs w:val="21"/>
                <w:lang w:val="en-US" w:eastAsia="zh-CN"/>
              </w:rPr>
            </w:pPr>
            <w:r>
              <w:rPr>
                <w:rFonts w:hint="eastAsia" w:ascii="宋体" w:hAnsi="宋体" w:cs="宋体"/>
                <w:color w:val="auto"/>
                <w:kern w:val="0"/>
                <w:szCs w:val="21"/>
              </w:rPr>
              <w:t xml:space="preserve">2. </w:t>
            </w:r>
            <w:r>
              <w:rPr>
                <w:rFonts w:hint="eastAsia" w:ascii="宋体" w:hAnsi="宋体" w:cs="宋体"/>
                <w:color w:val="auto"/>
                <w:kern w:val="0"/>
                <w:szCs w:val="21"/>
                <w:lang w:val="en-US" w:eastAsia="zh-CN"/>
              </w:rPr>
              <w:t>PACS服务端</w:t>
            </w:r>
          </w:p>
        </w:tc>
        <w:tc>
          <w:tcPr>
            <w:tcW w:w="1077" w:type="dxa"/>
            <w:tcBorders>
              <w:top w:val="nil"/>
              <w:left w:val="nil"/>
              <w:bottom w:val="single" w:color="auto" w:sz="8" w:space="0"/>
              <w:right w:val="single" w:color="auto" w:sz="8" w:space="0"/>
            </w:tcBorders>
            <w:noWrap w:val="0"/>
            <w:vAlign w:val="center"/>
          </w:tcPr>
          <w:p w14:paraId="1A759C1F">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default" w:ascii="宋体" w:hAnsi="宋体" w:eastAsia="宋体" w:cs="宋体"/>
                <w:color w:val="auto"/>
                <w:kern w:val="0"/>
                <w:szCs w:val="21"/>
                <w:lang w:val="en-US" w:eastAsia="zh-CN"/>
              </w:rPr>
            </w:pPr>
            <w:r>
              <w:rPr>
                <w:rFonts w:hint="eastAsia" w:ascii="宋体" w:hAnsi="宋体" w:cs="宋体"/>
                <w:color w:val="auto"/>
                <w:kern w:val="0"/>
                <w:szCs w:val="21"/>
              </w:rPr>
              <w:t>2.1</w:t>
            </w:r>
            <w:r>
              <w:rPr>
                <w:rFonts w:hint="eastAsia" w:ascii="宋体" w:hAnsi="宋体" w:cs="宋体"/>
                <w:color w:val="auto"/>
                <w:kern w:val="0"/>
                <w:szCs w:val="21"/>
                <w:lang w:val="en-US" w:eastAsia="zh-CN"/>
              </w:rPr>
              <w:t>DICOM标准服务</w:t>
            </w:r>
          </w:p>
        </w:tc>
        <w:tc>
          <w:tcPr>
            <w:tcW w:w="7683" w:type="dxa"/>
            <w:tcBorders>
              <w:top w:val="nil"/>
              <w:left w:val="nil"/>
              <w:bottom w:val="single" w:color="auto" w:sz="8" w:space="0"/>
              <w:right w:val="single" w:color="auto" w:sz="8" w:space="0"/>
            </w:tcBorders>
            <w:noWrap w:val="0"/>
            <w:vAlign w:val="center"/>
          </w:tcPr>
          <w:p w14:paraId="426599AC">
            <w:pPr>
              <w:keepNext w:val="0"/>
              <w:keepLines w:val="0"/>
              <w:pageBreakBefore w:val="0"/>
              <w:widowControl/>
              <w:numPr>
                <w:ilvl w:val="0"/>
                <w:numId w:val="80"/>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支持DICOM worklist服务：配置设备的IP,AETitle,以及监听端口，将已登记的患者信息传输到设备上进行检查，避免重复登记。</w:t>
            </w:r>
          </w:p>
          <w:p w14:paraId="384094AF">
            <w:pPr>
              <w:keepNext w:val="0"/>
              <w:keepLines w:val="0"/>
              <w:pageBreakBefore w:val="0"/>
              <w:widowControl/>
              <w:numPr>
                <w:ilvl w:val="0"/>
                <w:numId w:val="80"/>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Worklist设备快捷添加：支持在RIS系统上维护了检查设备信息之后，worklist列表直接选择即可添加，无需二次手动维护设备信息。</w:t>
            </w:r>
          </w:p>
          <w:p w14:paraId="2C6424D1">
            <w:pPr>
              <w:keepNext w:val="0"/>
              <w:keepLines w:val="0"/>
              <w:pageBreakBefore w:val="0"/>
              <w:widowControl/>
              <w:numPr>
                <w:ilvl w:val="0"/>
                <w:numId w:val="80"/>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支持控制worklist过滤条件：可以根据AETitle或设备类型以及两个的集合进行过滤将那些患者信息传输到设备上进行检查。</w:t>
            </w:r>
          </w:p>
          <w:p w14:paraId="681387D0">
            <w:pPr>
              <w:keepNext w:val="0"/>
              <w:keepLines w:val="0"/>
              <w:pageBreakBefore w:val="0"/>
              <w:widowControl/>
              <w:numPr>
                <w:ilvl w:val="0"/>
                <w:numId w:val="80"/>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Worklist支持显示已检查数据：系统默认只推送已登记未检查的患者到设备上进行检查，但是针对一些需要重复检查等特殊情况，支持设置已检查的数据也可以推送到设备上进行检查。</w:t>
            </w:r>
          </w:p>
          <w:p w14:paraId="3DE92742">
            <w:pPr>
              <w:keepNext w:val="0"/>
              <w:keepLines w:val="0"/>
              <w:pageBreakBefore w:val="0"/>
              <w:widowControl/>
              <w:numPr>
                <w:ilvl w:val="0"/>
                <w:numId w:val="80"/>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支持tag键设置：针对不同的设备品牌，支持维护不同的tag值信息，实现针对不同设备型号worklist的适配。</w:t>
            </w:r>
          </w:p>
          <w:p w14:paraId="367D2C64">
            <w:pPr>
              <w:keepNext w:val="0"/>
              <w:keepLines w:val="0"/>
              <w:pageBreakBefore w:val="0"/>
              <w:widowControl/>
              <w:numPr>
                <w:ilvl w:val="0"/>
                <w:numId w:val="80"/>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支持调试模式：在和设备对接时，支持选择调试模式，可以出现模式发送的功能，可以模拟发送设备的请求包，实现设备worklist功能调试的快捷操作。</w:t>
            </w:r>
          </w:p>
          <w:p w14:paraId="32F61219">
            <w:pPr>
              <w:keepNext w:val="0"/>
              <w:keepLines w:val="0"/>
              <w:pageBreakBefore w:val="0"/>
              <w:widowControl/>
              <w:numPr>
                <w:ilvl w:val="0"/>
                <w:numId w:val="80"/>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支持查看worklist设备访问日志：记录每个设备的访问记录，包括设备IP、AETitle、连接时间以及获取的检查条数、连接耗时等；并支持查看每个访问记录的日志详情，可以在详情里面查看具体的失败信息。</w:t>
            </w:r>
          </w:p>
          <w:p w14:paraId="62A83EE6">
            <w:pPr>
              <w:keepNext w:val="0"/>
              <w:keepLines w:val="0"/>
              <w:pageBreakBefore w:val="0"/>
              <w:widowControl/>
              <w:numPr>
                <w:ilvl w:val="0"/>
                <w:numId w:val="80"/>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软件的数据接口支持DICOM 协议，可以将符合DICOM协议的数据信息接收到软件系统中，并进行存储和归档等处理。</w:t>
            </w:r>
          </w:p>
          <w:p w14:paraId="2B0400BD">
            <w:pPr>
              <w:keepNext w:val="0"/>
              <w:keepLines w:val="0"/>
              <w:pageBreakBefore w:val="0"/>
              <w:widowControl/>
              <w:numPr>
                <w:ilvl w:val="0"/>
                <w:numId w:val="80"/>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支持DICOM服务配置：配置设备的IP,AETitle,以及监听端口，接收设备发送的DICOM检查影像。</w:t>
            </w:r>
          </w:p>
          <w:p w14:paraId="6F2F5FF4">
            <w:pPr>
              <w:keepNext w:val="0"/>
              <w:keepLines w:val="0"/>
              <w:pageBreakBefore w:val="0"/>
              <w:widowControl/>
              <w:numPr>
                <w:ilvl w:val="0"/>
                <w:numId w:val="80"/>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支持不同DICOM设备添加方案：支持获取RIS系统上维护的检查设备信息，直接选择添加即可；支持自定义添加：输入对应的设备IP、AETitle等信息进行添加。</w:t>
            </w:r>
          </w:p>
          <w:p w14:paraId="0F7E016F">
            <w:pPr>
              <w:keepNext w:val="0"/>
              <w:keepLines w:val="0"/>
              <w:pageBreakBefore w:val="0"/>
              <w:widowControl/>
              <w:numPr>
                <w:ilvl w:val="0"/>
                <w:numId w:val="80"/>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支持动态图拆分存储：针对超声需要采集动态图的情况，支持将动态图拆分进行存储，并且最终调阅模式为动态图。</w:t>
            </w:r>
          </w:p>
          <w:p w14:paraId="11D0107D">
            <w:pPr>
              <w:keepNext w:val="0"/>
              <w:keepLines w:val="0"/>
              <w:pageBreakBefore w:val="0"/>
              <w:widowControl/>
              <w:numPr>
                <w:ilvl w:val="0"/>
                <w:numId w:val="80"/>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支持对不同种类影像数据分别设定不同的压缩条件包括：不压缩、压缩，支持JPEG2000无损图像压缩技术DICOM3.0无损数据压缩算法。</w:t>
            </w:r>
          </w:p>
          <w:p w14:paraId="049CECBE">
            <w:pPr>
              <w:keepNext w:val="0"/>
              <w:keepLines w:val="0"/>
              <w:pageBreakBefore w:val="0"/>
              <w:widowControl/>
              <w:numPr>
                <w:ilvl w:val="0"/>
                <w:numId w:val="80"/>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支持查看DIOCM设备访问日志：记录每个设备的访问记录，包括设备IP、AETitle、连接时间以及影像studyUID成功、失败数量等，并支持影像studyUID的快速复制。</w:t>
            </w:r>
          </w:p>
          <w:p w14:paraId="3C7EFDAA">
            <w:pPr>
              <w:keepNext w:val="0"/>
              <w:keepLines w:val="0"/>
              <w:pageBreakBefore w:val="0"/>
              <w:widowControl/>
              <w:numPr>
                <w:ilvl w:val="0"/>
                <w:numId w:val="80"/>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支持访问日志错误高亮提醒：当dicom设备访问存在报错的时候，可以和其他日志进行颜色上的区分，并且支持查看对应的报错日志详情。</w:t>
            </w:r>
          </w:p>
          <w:p w14:paraId="1765961A">
            <w:pPr>
              <w:keepNext w:val="0"/>
              <w:keepLines w:val="0"/>
              <w:pageBreakBefore w:val="0"/>
              <w:widowControl/>
              <w:numPr>
                <w:ilvl w:val="0"/>
                <w:numId w:val="80"/>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根据不同的检查设备，结合医疗业务场景，支持按照检查设备配置不同的影像归档优先级。</w:t>
            </w:r>
          </w:p>
          <w:p w14:paraId="4B14952E">
            <w:pPr>
              <w:keepNext w:val="0"/>
              <w:keepLines w:val="0"/>
              <w:pageBreakBefore w:val="0"/>
              <w:widowControl/>
              <w:numPr>
                <w:ilvl w:val="0"/>
                <w:numId w:val="80"/>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支持提供对外的标准DICOM 协议服务：包括患者信息的查询，患者影像的查询，患者影像的获取等服务功能。</w:t>
            </w:r>
          </w:p>
          <w:p w14:paraId="16B9F8D3">
            <w:pPr>
              <w:keepNext w:val="0"/>
              <w:keepLines w:val="0"/>
              <w:pageBreakBefore w:val="0"/>
              <w:widowControl/>
              <w:numPr>
                <w:ilvl w:val="0"/>
                <w:numId w:val="80"/>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支持实时监控设备连接情况：查看各个设备IP、AETitle发送影像的数量以及连接的时长。</w:t>
            </w:r>
          </w:p>
          <w:p w14:paraId="5ED8B3F4">
            <w:pPr>
              <w:keepNext w:val="0"/>
              <w:keepLines w:val="0"/>
              <w:pageBreakBefore w:val="0"/>
              <w:widowControl/>
              <w:numPr>
                <w:ilvl w:val="0"/>
                <w:numId w:val="80"/>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验证设备有效性：支持worklist、DICOM等服务进行验证设备的有效性，未维护的设备无法或者本系统的患者数据以及传输DICOM影像。</w:t>
            </w:r>
          </w:p>
          <w:p w14:paraId="54459768">
            <w:pPr>
              <w:keepNext w:val="0"/>
              <w:keepLines w:val="0"/>
              <w:pageBreakBefore w:val="0"/>
              <w:widowControl/>
              <w:numPr>
                <w:ilvl w:val="0"/>
                <w:numId w:val="80"/>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支持服务日志查看和下载：dicom和worklist以及搜索查询都支持界面化查看错误日志，以及错误日志的快捷下载。</w:t>
            </w:r>
          </w:p>
          <w:p w14:paraId="7CDB24AB">
            <w:pPr>
              <w:keepNext w:val="0"/>
              <w:keepLines w:val="0"/>
              <w:pageBreakBefore w:val="0"/>
              <w:widowControl/>
              <w:numPr>
                <w:ilvl w:val="0"/>
                <w:numId w:val="80"/>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支持影像全流程校验：查看每个检查影像生成、接收、归档、匹配、查阅各个节点的具体时间及对应节点的耗时。</w:t>
            </w:r>
          </w:p>
        </w:tc>
      </w:tr>
      <w:tr w14:paraId="78AF69AB">
        <w:tblPrEx>
          <w:tblCellMar>
            <w:top w:w="0" w:type="dxa"/>
            <w:left w:w="108" w:type="dxa"/>
            <w:bottom w:w="0" w:type="dxa"/>
            <w:right w:w="108" w:type="dxa"/>
          </w:tblCellMar>
        </w:tblPrEx>
        <w:trPr>
          <w:trHeight w:val="288" w:hRule="atLeast"/>
        </w:trPr>
        <w:tc>
          <w:tcPr>
            <w:tcW w:w="1138" w:type="dxa"/>
            <w:vMerge w:val="continue"/>
            <w:tcBorders>
              <w:left w:val="single" w:color="auto" w:sz="4" w:space="0"/>
              <w:right w:val="single" w:color="auto" w:sz="8" w:space="0"/>
            </w:tcBorders>
            <w:noWrap w:val="0"/>
            <w:vAlign w:val="center"/>
          </w:tcPr>
          <w:p w14:paraId="273CB3F6">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宋体" w:hAnsi="宋体" w:cs="宋体"/>
                <w:color w:val="auto"/>
                <w:kern w:val="0"/>
                <w:szCs w:val="21"/>
              </w:rPr>
            </w:pPr>
          </w:p>
        </w:tc>
        <w:tc>
          <w:tcPr>
            <w:tcW w:w="1077" w:type="dxa"/>
            <w:tcBorders>
              <w:top w:val="nil"/>
              <w:left w:val="nil"/>
              <w:bottom w:val="single" w:color="auto" w:sz="8" w:space="0"/>
              <w:right w:val="single" w:color="auto" w:sz="8" w:space="0"/>
            </w:tcBorders>
            <w:noWrap w:val="0"/>
            <w:vAlign w:val="center"/>
          </w:tcPr>
          <w:p w14:paraId="61A47140">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default" w:ascii="宋体" w:hAnsi="宋体" w:eastAsia="宋体" w:cs="宋体"/>
                <w:color w:val="auto"/>
                <w:kern w:val="0"/>
                <w:szCs w:val="21"/>
                <w:lang w:val="en-US" w:eastAsia="zh-CN"/>
              </w:rPr>
            </w:pPr>
            <w:r>
              <w:rPr>
                <w:rFonts w:hint="eastAsia" w:ascii="宋体" w:hAnsi="宋体" w:cs="宋体"/>
                <w:color w:val="auto"/>
                <w:kern w:val="0"/>
                <w:szCs w:val="21"/>
                <w:lang w:val="en-US" w:eastAsia="zh-CN"/>
              </w:rPr>
              <w:t>2.2数据管理</w:t>
            </w:r>
          </w:p>
        </w:tc>
        <w:tc>
          <w:tcPr>
            <w:tcW w:w="7683" w:type="dxa"/>
            <w:tcBorders>
              <w:top w:val="nil"/>
              <w:left w:val="nil"/>
              <w:bottom w:val="single" w:color="auto" w:sz="8" w:space="0"/>
              <w:right w:val="single" w:color="auto" w:sz="8" w:space="0"/>
            </w:tcBorders>
            <w:noWrap w:val="0"/>
            <w:vAlign w:val="center"/>
          </w:tcPr>
          <w:p w14:paraId="685513B5">
            <w:pPr>
              <w:keepNext w:val="0"/>
              <w:keepLines w:val="0"/>
              <w:pageBreakBefore w:val="0"/>
              <w:widowControl/>
              <w:numPr>
                <w:ilvl w:val="0"/>
                <w:numId w:val="81"/>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兼容现有影像设备的Worklist信息请求，可以为每种设备型号定义消息请求方案，提供支持配置不同设备的中文字符编码格式，为不同设备定义部位编码。</w:t>
            </w:r>
          </w:p>
          <w:p w14:paraId="060EF55A">
            <w:pPr>
              <w:keepNext w:val="0"/>
              <w:keepLines w:val="0"/>
              <w:pageBreakBefore w:val="0"/>
              <w:widowControl/>
              <w:numPr>
                <w:ilvl w:val="0"/>
                <w:numId w:val="81"/>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支持根据不同的条件进行设置影像匹配规则：可以根据StudyUID、AccessionNumber、patientid字段进行影像匹配规则的设置。</w:t>
            </w:r>
          </w:p>
          <w:p w14:paraId="2929843E">
            <w:pPr>
              <w:keepNext w:val="0"/>
              <w:keepLines w:val="0"/>
              <w:pageBreakBefore w:val="0"/>
              <w:widowControl/>
              <w:numPr>
                <w:ilvl w:val="0"/>
                <w:numId w:val="81"/>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支持增加附加规则：使用PatientID进行影像匹配时，可以设置附加检查时间范围配置、附加设备类型配置、附加设备IP的配置，达到同一病人影像集中归档的目的。</w:t>
            </w:r>
          </w:p>
          <w:p w14:paraId="39996ED4">
            <w:pPr>
              <w:keepNext w:val="0"/>
              <w:keepLines w:val="0"/>
              <w:pageBreakBefore w:val="0"/>
              <w:widowControl/>
              <w:numPr>
                <w:ilvl w:val="0"/>
                <w:numId w:val="81"/>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支持通知消息服务：转发PPSM、IAN等状态消息给IM、RM、OF等。</w:t>
            </w:r>
          </w:p>
          <w:p w14:paraId="5433A29B">
            <w:pPr>
              <w:keepNext w:val="0"/>
              <w:keepLines w:val="0"/>
              <w:pageBreakBefore w:val="0"/>
              <w:widowControl/>
              <w:numPr>
                <w:ilvl w:val="0"/>
                <w:numId w:val="81"/>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支持定期对PACS扫描的申请单打包为DICOM格式，归档到文件存储。</w:t>
            </w:r>
          </w:p>
          <w:p w14:paraId="4F712CE6">
            <w:pPr>
              <w:keepNext w:val="0"/>
              <w:keepLines w:val="0"/>
              <w:pageBreakBefore w:val="0"/>
              <w:widowControl/>
              <w:numPr>
                <w:ilvl w:val="0"/>
                <w:numId w:val="81"/>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支持在影像归档拥堵时手动设置优先归档影像。</w:t>
            </w:r>
          </w:p>
          <w:p w14:paraId="16AE53CB">
            <w:pPr>
              <w:keepNext w:val="0"/>
              <w:keepLines w:val="0"/>
              <w:pageBreakBefore w:val="0"/>
              <w:widowControl/>
              <w:numPr>
                <w:ilvl w:val="0"/>
                <w:numId w:val="81"/>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支持归档日志查看：支持查看所有影像的归档日志，包括影像归档时间，设备IP、AETitle以及归档数量和归档耗时等。</w:t>
            </w:r>
          </w:p>
          <w:p w14:paraId="6F3B21C6">
            <w:pPr>
              <w:keepNext w:val="0"/>
              <w:keepLines w:val="0"/>
              <w:pageBreakBefore w:val="0"/>
              <w:widowControl/>
              <w:numPr>
                <w:ilvl w:val="0"/>
                <w:numId w:val="81"/>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支持更新影像TAG明细查看：当配置了影像信息更新的TAG时，对应影像tag键存在更新的时候，会显示具体的tag键、描述、更新前和更新后的字段值。</w:t>
            </w:r>
          </w:p>
          <w:p w14:paraId="4A809069">
            <w:pPr>
              <w:keepNext w:val="0"/>
              <w:keepLines w:val="0"/>
              <w:pageBreakBefore w:val="0"/>
              <w:widowControl/>
              <w:numPr>
                <w:ilvl w:val="0"/>
                <w:numId w:val="81"/>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支持查看影像归档失败的列表数据，并进行手动重发归档。</w:t>
            </w:r>
          </w:p>
          <w:p w14:paraId="2B482475">
            <w:pPr>
              <w:keepNext w:val="0"/>
              <w:keepLines w:val="0"/>
              <w:pageBreakBefore w:val="0"/>
              <w:widowControl/>
              <w:numPr>
                <w:ilvl w:val="0"/>
                <w:numId w:val="81"/>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支持查看各个影像的归档日志，以及各个模块的操作日志。</w:t>
            </w:r>
          </w:p>
        </w:tc>
      </w:tr>
      <w:tr w14:paraId="4DEAA292">
        <w:tblPrEx>
          <w:tblCellMar>
            <w:top w:w="0" w:type="dxa"/>
            <w:left w:w="108" w:type="dxa"/>
            <w:bottom w:w="0" w:type="dxa"/>
            <w:right w:w="108" w:type="dxa"/>
          </w:tblCellMar>
        </w:tblPrEx>
        <w:trPr>
          <w:trHeight w:val="504" w:hRule="atLeast"/>
        </w:trPr>
        <w:tc>
          <w:tcPr>
            <w:tcW w:w="1138" w:type="dxa"/>
            <w:vMerge w:val="continue"/>
            <w:tcBorders>
              <w:left w:val="single" w:color="auto" w:sz="4" w:space="0"/>
              <w:right w:val="single" w:color="auto" w:sz="8" w:space="0"/>
            </w:tcBorders>
            <w:noWrap w:val="0"/>
            <w:vAlign w:val="center"/>
          </w:tcPr>
          <w:p w14:paraId="00C5B3F5">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宋体" w:hAnsi="宋体" w:cs="宋体"/>
                <w:color w:val="auto"/>
                <w:kern w:val="0"/>
                <w:szCs w:val="21"/>
              </w:rPr>
            </w:pPr>
          </w:p>
        </w:tc>
        <w:tc>
          <w:tcPr>
            <w:tcW w:w="1077" w:type="dxa"/>
            <w:tcBorders>
              <w:top w:val="nil"/>
              <w:left w:val="nil"/>
              <w:bottom w:val="single" w:color="auto" w:sz="8" w:space="0"/>
              <w:right w:val="single" w:color="auto" w:sz="8" w:space="0"/>
            </w:tcBorders>
            <w:noWrap w:val="0"/>
            <w:vAlign w:val="center"/>
          </w:tcPr>
          <w:p w14:paraId="6E72FFD0">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default" w:ascii="宋体" w:hAnsi="宋体" w:eastAsia="宋体" w:cs="宋体"/>
                <w:color w:val="auto"/>
                <w:kern w:val="0"/>
                <w:szCs w:val="21"/>
                <w:lang w:val="en-US" w:eastAsia="zh-CN"/>
              </w:rPr>
            </w:pPr>
            <w:r>
              <w:rPr>
                <w:rFonts w:hint="eastAsia" w:ascii="宋体" w:hAnsi="宋体" w:cs="宋体"/>
                <w:color w:val="auto"/>
                <w:kern w:val="0"/>
                <w:szCs w:val="21"/>
                <w:lang w:val="en-US" w:eastAsia="zh-CN"/>
              </w:rPr>
              <w:t>2.3统一存储管理</w:t>
            </w:r>
          </w:p>
        </w:tc>
        <w:tc>
          <w:tcPr>
            <w:tcW w:w="7683" w:type="dxa"/>
            <w:tcBorders>
              <w:top w:val="nil"/>
              <w:left w:val="nil"/>
              <w:bottom w:val="single" w:color="auto" w:sz="8" w:space="0"/>
              <w:right w:val="single" w:color="auto" w:sz="8" w:space="0"/>
            </w:tcBorders>
            <w:noWrap w:val="0"/>
            <w:vAlign w:val="center"/>
          </w:tcPr>
          <w:p w14:paraId="7A60EA3F">
            <w:pPr>
              <w:keepNext w:val="0"/>
              <w:keepLines w:val="0"/>
              <w:pageBreakBefore w:val="0"/>
              <w:widowControl/>
              <w:numPr>
                <w:ilvl w:val="0"/>
                <w:numId w:val="82"/>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支持常见DICOM影像的存储，存储格式遵循DICOM3.0标准；支持DICOM结构化报告SR的存储；支持DICOM留痕信息GSPS的存储。</w:t>
            </w:r>
          </w:p>
          <w:p w14:paraId="5CE39BBD">
            <w:pPr>
              <w:keepNext w:val="0"/>
              <w:keepLines w:val="0"/>
              <w:pageBreakBefore w:val="0"/>
              <w:widowControl/>
              <w:numPr>
                <w:ilvl w:val="0"/>
                <w:numId w:val="82"/>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支持多种存储体系：‌包括本地磁盘存储、‌NAS存储、对象存储、IFAP存储、FTP存储多种常见存储类型。</w:t>
            </w:r>
          </w:p>
          <w:p w14:paraId="591D31C1">
            <w:pPr>
              <w:keepNext w:val="0"/>
              <w:keepLines w:val="0"/>
              <w:pageBreakBefore w:val="0"/>
              <w:widowControl/>
              <w:numPr>
                <w:ilvl w:val="0"/>
                <w:numId w:val="82"/>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支持存储空间多样化：支持进行存储空间的分配，是做存储空间或者做备份空间。</w:t>
            </w:r>
          </w:p>
          <w:p w14:paraId="7FBFE758">
            <w:pPr>
              <w:keepNext w:val="0"/>
              <w:keepLines w:val="0"/>
              <w:pageBreakBefore w:val="0"/>
              <w:widowControl/>
              <w:numPr>
                <w:ilvl w:val="0"/>
                <w:numId w:val="82"/>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支持归档影像自动进行冷热存储迁移，保证历史数据的长期存储，短期数据的快速调阅：可以进行热温数据的划分，实现热空间数据定期向温空间迁移，并定期删除热空间已迁移数据。</w:t>
            </w:r>
          </w:p>
          <w:p w14:paraId="3A9D7F14">
            <w:pPr>
              <w:keepNext w:val="0"/>
              <w:keepLines w:val="0"/>
              <w:pageBreakBefore w:val="0"/>
              <w:widowControl/>
              <w:numPr>
                <w:ilvl w:val="0"/>
                <w:numId w:val="82"/>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支持跨系统影像调阅：配置对应的外部系统的信息，包括：检查科室、通讯协议、IP、端口等。可以进行调阅配置的外部系统影像。</w:t>
            </w:r>
          </w:p>
          <w:p w14:paraId="76EFC016">
            <w:pPr>
              <w:keepNext w:val="0"/>
              <w:keepLines w:val="0"/>
              <w:pageBreakBefore w:val="0"/>
              <w:widowControl/>
              <w:numPr>
                <w:ilvl w:val="0"/>
                <w:numId w:val="82"/>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支持进行自动的容灾数据备份：根据设置自动执行计划，进行数据的自动容灾备份。</w:t>
            </w:r>
          </w:p>
          <w:p w14:paraId="231D98E7">
            <w:pPr>
              <w:keepNext w:val="0"/>
              <w:keepLines w:val="0"/>
              <w:pageBreakBefore w:val="0"/>
              <w:widowControl/>
              <w:numPr>
                <w:ilvl w:val="0"/>
                <w:numId w:val="82"/>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支持存储使用可视化：使用饼状图展示已使用空间和剩余空间的占比，使用卡片形式展示剩余空间大小、影像和报告占用空间大小、影像文件和报告文件存储数量以及分析当前存储剩余可使用的时间。</w:t>
            </w:r>
          </w:p>
          <w:p w14:paraId="609D41A4">
            <w:pPr>
              <w:keepNext w:val="0"/>
              <w:keepLines w:val="0"/>
              <w:pageBreakBefore w:val="0"/>
              <w:widowControl/>
              <w:numPr>
                <w:ilvl w:val="0"/>
                <w:numId w:val="82"/>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支持检查系统存储占用对比：针对当前存储内使用的检查系统，使用饼图可视化展示各个系统使用存储的占用百分比。</w:t>
            </w:r>
          </w:p>
          <w:p w14:paraId="08223B9F">
            <w:pPr>
              <w:keepNext w:val="0"/>
              <w:keepLines w:val="0"/>
              <w:pageBreakBefore w:val="0"/>
              <w:widowControl/>
              <w:numPr>
                <w:ilvl w:val="0"/>
                <w:numId w:val="82"/>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支持根据设备类型展示影像存储：根据不同的设备类型使用柱状图可视化展示存储占用情况。</w:t>
            </w:r>
          </w:p>
          <w:p w14:paraId="1830B219">
            <w:pPr>
              <w:keepNext w:val="0"/>
              <w:keepLines w:val="0"/>
              <w:pageBreakBefore w:val="0"/>
              <w:widowControl/>
              <w:numPr>
                <w:ilvl w:val="0"/>
                <w:numId w:val="82"/>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支持影像增长趋势查看：展示近一年存储增长趋势以及近7天影像平均上传增长趋势。</w:t>
            </w:r>
          </w:p>
        </w:tc>
      </w:tr>
      <w:tr w14:paraId="312DEA8E">
        <w:tblPrEx>
          <w:tblCellMar>
            <w:top w:w="0" w:type="dxa"/>
            <w:left w:w="108" w:type="dxa"/>
            <w:bottom w:w="0" w:type="dxa"/>
            <w:right w:w="108" w:type="dxa"/>
          </w:tblCellMar>
        </w:tblPrEx>
        <w:trPr>
          <w:trHeight w:val="949" w:hRule="atLeast"/>
        </w:trPr>
        <w:tc>
          <w:tcPr>
            <w:tcW w:w="1138" w:type="dxa"/>
            <w:vMerge w:val="continue"/>
            <w:tcBorders>
              <w:left w:val="single" w:color="auto" w:sz="4" w:space="0"/>
              <w:right w:val="single" w:color="auto" w:sz="8" w:space="0"/>
            </w:tcBorders>
            <w:noWrap w:val="0"/>
            <w:vAlign w:val="center"/>
          </w:tcPr>
          <w:p w14:paraId="54C61797">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宋体" w:hAnsi="宋体" w:cs="宋体"/>
                <w:color w:val="auto"/>
                <w:kern w:val="0"/>
                <w:szCs w:val="21"/>
              </w:rPr>
            </w:pPr>
          </w:p>
        </w:tc>
        <w:tc>
          <w:tcPr>
            <w:tcW w:w="1077" w:type="dxa"/>
            <w:tcBorders>
              <w:top w:val="nil"/>
              <w:left w:val="nil"/>
              <w:bottom w:val="single" w:color="auto" w:sz="8" w:space="0"/>
              <w:right w:val="single" w:color="auto" w:sz="8" w:space="0"/>
            </w:tcBorders>
            <w:noWrap w:val="0"/>
            <w:vAlign w:val="center"/>
          </w:tcPr>
          <w:p w14:paraId="2A6768B1">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default" w:ascii="宋体" w:hAnsi="宋体" w:cs="宋体"/>
                <w:color w:val="auto"/>
                <w:kern w:val="0"/>
                <w:szCs w:val="21"/>
                <w:lang w:val="en-US" w:eastAsia="zh-CN"/>
              </w:rPr>
            </w:pPr>
            <w:r>
              <w:rPr>
                <w:rFonts w:hint="eastAsia" w:ascii="宋体" w:hAnsi="宋体" w:cs="宋体"/>
                <w:color w:val="auto"/>
                <w:kern w:val="0"/>
                <w:szCs w:val="21"/>
                <w:lang w:val="en-US" w:eastAsia="zh-CN"/>
              </w:rPr>
              <w:t>2.4临床调阅服务</w:t>
            </w:r>
          </w:p>
        </w:tc>
        <w:tc>
          <w:tcPr>
            <w:tcW w:w="7683" w:type="dxa"/>
            <w:tcBorders>
              <w:top w:val="nil"/>
              <w:left w:val="nil"/>
              <w:bottom w:val="single" w:color="auto" w:sz="8" w:space="0"/>
              <w:right w:val="single" w:color="auto" w:sz="8" w:space="0"/>
            </w:tcBorders>
            <w:noWrap w:val="0"/>
            <w:vAlign w:val="center"/>
          </w:tcPr>
          <w:p w14:paraId="6EA8F067">
            <w:pPr>
              <w:keepNext w:val="0"/>
              <w:keepLines w:val="0"/>
              <w:pageBreakBefore w:val="0"/>
              <w:widowControl/>
              <w:numPr>
                <w:ilvl w:val="0"/>
                <w:numId w:val="83"/>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支持第三方系统通过链接集成的方式跳转到患者影像全息系统查看检查，并根据链接配置的参数打开指定的检查报告进行查看。</w:t>
            </w:r>
          </w:p>
          <w:p w14:paraId="1BA55369">
            <w:pPr>
              <w:keepNext w:val="0"/>
              <w:keepLines w:val="0"/>
              <w:pageBreakBefore w:val="0"/>
              <w:widowControl/>
              <w:numPr>
                <w:ilvl w:val="0"/>
                <w:numId w:val="83"/>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支持多个条件查询患者的检查报告，如：姓名、检查部位、检查类型、检查日期、是否危急、诊断意见。</w:t>
            </w:r>
          </w:p>
          <w:p w14:paraId="79BEEF89">
            <w:pPr>
              <w:keepNext w:val="0"/>
              <w:keepLines w:val="0"/>
              <w:pageBreakBefore w:val="0"/>
              <w:widowControl/>
              <w:numPr>
                <w:ilvl w:val="0"/>
                <w:numId w:val="83"/>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支持用户自定义多条件组合查询的检索方式，筛选出患者同一时间不同的检查类型，并在列表展示。</w:t>
            </w:r>
          </w:p>
          <w:p w14:paraId="69A434AF">
            <w:pPr>
              <w:keepNext w:val="0"/>
              <w:keepLines w:val="0"/>
              <w:pageBreakBefore w:val="0"/>
              <w:widowControl/>
              <w:numPr>
                <w:ilvl w:val="0"/>
                <w:numId w:val="83"/>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支持用户自定义检索条件，并保存个人使用习惯，下次使用时默认上次保存的使用习惯。</w:t>
            </w:r>
          </w:p>
          <w:p w14:paraId="67A390EE">
            <w:pPr>
              <w:keepNext w:val="0"/>
              <w:keepLines w:val="0"/>
              <w:pageBreakBefore w:val="0"/>
              <w:widowControl/>
              <w:numPr>
                <w:ilvl w:val="0"/>
                <w:numId w:val="83"/>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支持展示每一条检查的进程，通过一个时间闭环展示这条检查相关的每一个节点进程动态变化（开单、登记、检查、诊断、审核、打印），并计算检查节点的耗时、报告节点的耗时、审核节点的耗时。</w:t>
            </w:r>
          </w:p>
          <w:p w14:paraId="1DBECA88">
            <w:pPr>
              <w:keepNext w:val="0"/>
              <w:keepLines w:val="0"/>
              <w:pageBreakBefore w:val="0"/>
              <w:widowControl/>
              <w:numPr>
                <w:ilvl w:val="0"/>
                <w:numId w:val="83"/>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支持显示检查的危急内容、是否急诊、阴阳性、影像质量等级、报告质量等级。</w:t>
            </w:r>
          </w:p>
          <w:p w14:paraId="295A7BD0">
            <w:pPr>
              <w:keepNext w:val="0"/>
              <w:keepLines w:val="0"/>
              <w:pageBreakBefore w:val="0"/>
              <w:widowControl/>
              <w:numPr>
                <w:ilvl w:val="0"/>
                <w:numId w:val="83"/>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支持检查参数测量值、测量单位、范围值展示。</w:t>
            </w:r>
          </w:p>
          <w:p w14:paraId="5F19FA4B">
            <w:pPr>
              <w:keepNext w:val="0"/>
              <w:keepLines w:val="0"/>
              <w:pageBreakBefore w:val="0"/>
              <w:widowControl/>
              <w:numPr>
                <w:ilvl w:val="0"/>
                <w:numId w:val="83"/>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支持PACS设置了VIP（重点病人）的检查后，在患者影像全息只有指定用户输入验证码后才可以查看，严格保护重点病人的隐私。</w:t>
            </w:r>
          </w:p>
          <w:p w14:paraId="76AB5063">
            <w:pPr>
              <w:keepNext w:val="0"/>
              <w:keepLines w:val="0"/>
              <w:pageBreakBefore w:val="0"/>
              <w:widowControl/>
              <w:numPr>
                <w:ilvl w:val="0"/>
                <w:numId w:val="83"/>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支持通过jpg、pdf格式展示原始报告，保持报告格式与PACS系统一致。</w:t>
            </w:r>
          </w:p>
          <w:p w14:paraId="7C56E297">
            <w:pPr>
              <w:keepNext w:val="0"/>
              <w:keepLines w:val="0"/>
              <w:pageBreakBefore w:val="0"/>
              <w:widowControl/>
              <w:numPr>
                <w:ilvl w:val="0"/>
                <w:numId w:val="83"/>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支持文本形式显示患者信息、申请单内容、检查报告内容，并通过一键复制文本功能，方便用户复制报告文本信息。</w:t>
            </w:r>
          </w:p>
          <w:p w14:paraId="73C02E3C">
            <w:pPr>
              <w:keepNext w:val="0"/>
              <w:keepLines w:val="0"/>
              <w:pageBreakBefore w:val="0"/>
              <w:widowControl/>
              <w:numPr>
                <w:ilvl w:val="0"/>
                <w:numId w:val="83"/>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支持根据患者的基本信息检索出历史检查记录，方便临床医生查看历次检查，可通过检查医院、检查日期进行排序。</w:t>
            </w:r>
          </w:p>
          <w:p w14:paraId="7825B634">
            <w:pPr>
              <w:keepNext w:val="0"/>
              <w:keepLines w:val="0"/>
              <w:pageBreakBefore w:val="0"/>
              <w:widowControl/>
              <w:numPr>
                <w:ilvl w:val="0"/>
                <w:numId w:val="83"/>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支持提示同一份报告是否有相似检查，并可以只针对相似检查的报告进行</w:t>
            </w:r>
            <w:r>
              <w:rPr>
                <w:rFonts w:hint="eastAsia" w:ascii="宋体" w:hAnsi="宋体" w:eastAsia="宋体" w:cs="宋体"/>
                <w:color w:val="auto"/>
                <w:kern w:val="0"/>
                <w:szCs w:val="21"/>
                <w:lang w:eastAsia="zh-CN"/>
              </w:rPr>
              <w:t>报告</w:t>
            </w:r>
            <w:r>
              <w:rPr>
                <w:rFonts w:hint="eastAsia" w:ascii="宋体" w:hAnsi="宋体" w:eastAsia="宋体" w:cs="宋体"/>
                <w:color w:val="auto"/>
                <w:kern w:val="0"/>
                <w:szCs w:val="21"/>
              </w:rPr>
              <w:t>内容对比。</w:t>
            </w:r>
          </w:p>
          <w:p w14:paraId="16FA0BC3">
            <w:pPr>
              <w:keepNext w:val="0"/>
              <w:keepLines w:val="0"/>
              <w:pageBreakBefore w:val="0"/>
              <w:widowControl/>
              <w:numPr>
                <w:ilvl w:val="0"/>
                <w:numId w:val="83"/>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支持批量根据同一个患者打印多份检查报告，帮助用户批量报告并进行归档。</w:t>
            </w:r>
          </w:p>
          <w:p w14:paraId="19AD0153">
            <w:pPr>
              <w:keepNext w:val="0"/>
              <w:keepLines w:val="0"/>
              <w:pageBreakBefore w:val="0"/>
              <w:widowControl/>
              <w:numPr>
                <w:ilvl w:val="0"/>
                <w:numId w:val="83"/>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支持检查报告水印自定义设置。</w:t>
            </w:r>
          </w:p>
          <w:p w14:paraId="593CB824">
            <w:pPr>
              <w:keepNext w:val="0"/>
              <w:keepLines w:val="0"/>
              <w:pageBreakBefore w:val="0"/>
              <w:widowControl/>
              <w:numPr>
                <w:ilvl w:val="0"/>
                <w:numId w:val="83"/>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支持记录用户的调阅报告、打印报告、登录的行为，对用户使用系统的行为可追溯。</w:t>
            </w:r>
          </w:p>
        </w:tc>
      </w:tr>
      <w:tr w14:paraId="5BC81790">
        <w:tblPrEx>
          <w:tblCellMar>
            <w:top w:w="0" w:type="dxa"/>
            <w:left w:w="108" w:type="dxa"/>
            <w:bottom w:w="0" w:type="dxa"/>
            <w:right w:w="108" w:type="dxa"/>
          </w:tblCellMar>
        </w:tblPrEx>
        <w:trPr>
          <w:trHeight w:val="3962" w:hRule="atLeast"/>
        </w:trPr>
        <w:tc>
          <w:tcPr>
            <w:tcW w:w="1138" w:type="dxa"/>
            <w:vMerge w:val="restart"/>
            <w:tcBorders>
              <w:top w:val="single" w:color="auto" w:sz="4" w:space="0"/>
              <w:left w:val="single" w:color="auto" w:sz="4" w:space="0"/>
              <w:right w:val="single" w:color="auto" w:sz="4" w:space="0"/>
            </w:tcBorders>
            <w:noWrap w:val="0"/>
            <w:vAlign w:val="center"/>
          </w:tcPr>
          <w:p w14:paraId="462DE1ED">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default" w:ascii="宋体" w:hAnsi="宋体" w:eastAsia="宋体" w:cs="宋体"/>
                <w:color w:val="auto"/>
                <w:kern w:val="0"/>
                <w:szCs w:val="21"/>
                <w:lang w:val="en-US" w:eastAsia="zh-CN"/>
              </w:rPr>
            </w:pPr>
            <w:r>
              <w:rPr>
                <w:rFonts w:hint="eastAsia" w:ascii="宋体" w:hAnsi="宋体" w:cs="宋体"/>
                <w:color w:val="auto"/>
                <w:kern w:val="0"/>
                <w:szCs w:val="21"/>
              </w:rPr>
              <w:t xml:space="preserve">3. </w:t>
            </w:r>
            <w:r>
              <w:rPr>
                <w:rFonts w:hint="eastAsia" w:ascii="宋体" w:hAnsi="宋体" w:cs="宋体"/>
                <w:color w:val="auto"/>
                <w:kern w:val="0"/>
                <w:szCs w:val="21"/>
                <w:lang w:val="en-US" w:eastAsia="zh-CN"/>
              </w:rPr>
              <w:t>超声信息管理系统</w:t>
            </w:r>
          </w:p>
        </w:tc>
        <w:tc>
          <w:tcPr>
            <w:tcW w:w="1077" w:type="dxa"/>
            <w:tcBorders>
              <w:top w:val="single" w:color="auto" w:sz="4" w:space="0"/>
              <w:left w:val="single" w:color="auto" w:sz="4" w:space="0"/>
              <w:bottom w:val="single" w:color="auto" w:sz="4" w:space="0"/>
              <w:right w:val="single" w:color="auto" w:sz="4" w:space="0"/>
            </w:tcBorders>
            <w:noWrap w:val="0"/>
            <w:vAlign w:val="center"/>
          </w:tcPr>
          <w:p w14:paraId="7938E067">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default" w:ascii="宋体" w:hAnsi="宋体" w:cs="宋体"/>
                <w:color w:val="auto"/>
                <w:kern w:val="0"/>
                <w:szCs w:val="21"/>
                <w:lang w:val="en-US"/>
              </w:rPr>
            </w:pPr>
            <w:r>
              <w:rPr>
                <w:rFonts w:hint="eastAsia" w:ascii="宋体" w:hAnsi="宋体" w:cs="宋体"/>
                <w:color w:val="auto"/>
                <w:kern w:val="0"/>
                <w:szCs w:val="21"/>
              </w:rPr>
              <w:t>3.1</w:t>
            </w:r>
            <w:r>
              <w:rPr>
                <w:rFonts w:hint="eastAsia" w:ascii="宋体" w:hAnsi="宋体" w:cs="宋体"/>
                <w:color w:val="auto"/>
                <w:kern w:val="0"/>
                <w:szCs w:val="21"/>
                <w:lang w:val="en-US" w:eastAsia="zh-CN"/>
              </w:rPr>
              <w:t>登记管理</w:t>
            </w:r>
          </w:p>
        </w:tc>
        <w:tc>
          <w:tcPr>
            <w:tcW w:w="7683" w:type="dxa"/>
            <w:tcBorders>
              <w:top w:val="single" w:color="auto" w:sz="4" w:space="0"/>
              <w:left w:val="single" w:color="auto" w:sz="4" w:space="0"/>
              <w:bottom w:val="single" w:color="auto" w:sz="4" w:space="0"/>
              <w:right w:val="single" w:color="auto" w:sz="4" w:space="0"/>
            </w:tcBorders>
            <w:noWrap w:val="0"/>
            <w:vAlign w:val="center"/>
          </w:tcPr>
          <w:p w14:paraId="0B1851EA">
            <w:pPr>
              <w:keepNext w:val="0"/>
              <w:keepLines w:val="0"/>
              <w:pageBreakBefore w:val="0"/>
              <w:widowControl/>
              <w:numPr>
                <w:ilvl w:val="0"/>
                <w:numId w:val="84"/>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支持通过条码、二维码、就诊卡及电子健康卡，提取病人检查申请信息。</w:t>
            </w:r>
          </w:p>
          <w:p w14:paraId="26C24950">
            <w:pPr>
              <w:keepNext w:val="0"/>
              <w:keepLines w:val="0"/>
              <w:pageBreakBefore w:val="0"/>
              <w:widowControl/>
              <w:numPr>
                <w:ilvl w:val="0"/>
                <w:numId w:val="84"/>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支持接收来自集成平台或HIS的电子申请单信息。</w:t>
            </w:r>
          </w:p>
          <w:p w14:paraId="1EE0052E">
            <w:pPr>
              <w:keepNext w:val="0"/>
              <w:keepLines w:val="0"/>
              <w:pageBreakBefore w:val="0"/>
              <w:widowControl/>
              <w:numPr>
                <w:ilvl w:val="0"/>
                <w:numId w:val="84"/>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支持根据纸质申请单条形码输入提取申请单信息。</w:t>
            </w:r>
          </w:p>
          <w:p w14:paraId="7BCAF01D">
            <w:pPr>
              <w:keepNext w:val="0"/>
              <w:keepLines w:val="0"/>
              <w:pageBreakBefore w:val="0"/>
              <w:widowControl/>
              <w:numPr>
                <w:ilvl w:val="0"/>
                <w:numId w:val="84"/>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 xml:space="preserve">支持快速新增病人，点击后可以直接进行检查。 </w:t>
            </w:r>
          </w:p>
          <w:p w14:paraId="16419C05">
            <w:pPr>
              <w:keepNext w:val="0"/>
              <w:keepLines w:val="0"/>
              <w:pageBreakBefore w:val="0"/>
              <w:widowControl/>
              <w:numPr>
                <w:ilvl w:val="0"/>
                <w:numId w:val="84"/>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年龄较小的患者可以关联母亲信息，年龄可以由后台进行配置，默认小于5岁时可以关联母亲信息，关联后可以在诊断时快速查看母亲的检查记录。</w:t>
            </w:r>
          </w:p>
          <w:p w14:paraId="62A4A001">
            <w:pPr>
              <w:keepNext w:val="0"/>
              <w:keepLines w:val="0"/>
              <w:pageBreakBefore w:val="0"/>
              <w:widowControl/>
              <w:numPr>
                <w:ilvl w:val="0"/>
                <w:numId w:val="84"/>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支持登记时自动判断复诊病人或复诊弹框提醒，以及复诊病人信息更新。</w:t>
            </w:r>
          </w:p>
          <w:p w14:paraId="32D8B961">
            <w:pPr>
              <w:keepNext w:val="0"/>
              <w:keepLines w:val="0"/>
              <w:pageBreakBefore w:val="0"/>
              <w:widowControl/>
              <w:numPr>
                <w:ilvl w:val="0"/>
                <w:numId w:val="84"/>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支持通过高拍仪实现申请单扫描并长期保存，扫描的申请单可以同步给检查医生。</w:t>
            </w:r>
          </w:p>
          <w:p w14:paraId="7A30D67E">
            <w:pPr>
              <w:keepNext w:val="0"/>
              <w:keepLines w:val="0"/>
              <w:pageBreakBefore w:val="0"/>
              <w:widowControl/>
              <w:numPr>
                <w:ilvl w:val="0"/>
                <w:numId w:val="84"/>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支持配置电子申请单模版并可以在获取申请单信息后自动根据模版展示电子申请单内容。</w:t>
            </w:r>
          </w:p>
          <w:p w14:paraId="7CE77E55">
            <w:pPr>
              <w:keepNext w:val="0"/>
              <w:keepLines w:val="0"/>
              <w:pageBreakBefore w:val="0"/>
              <w:widowControl/>
              <w:numPr>
                <w:ilvl w:val="0"/>
                <w:numId w:val="84"/>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对同一个患者登记的多个独立检查任务进行合并，合并前进行同一患者、相同申请科室与患者来源、检查状态的校验，完全一致则允许合并，否则不允许合并，合并后支持修改优先级（默认最高级别）、预约时段、检查诊室、检查医生、排队号 。</w:t>
            </w:r>
          </w:p>
          <w:p w14:paraId="5EF35C49">
            <w:pPr>
              <w:keepNext w:val="0"/>
              <w:keepLines w:val="0"/>
              <w:pageBreakBefore w:val="0"/>
              <w:widowControl/>
              <w:numPr>
                <w:ilvl w:val="0"/>
                <w:numId w:val="84"/>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对已合并检查或医嘱项目＞1的进行拆分，点击拆分检查后支持根据申请单或医嘱项目拆分，支持展示拆分后的页面样式，包含需要展示患者姓名、医嘱项目、检查队列、优先级、预约时段、检查技师、检查诊室。</w:t>
            </w:r>
          </w:p>
          <w:p w14:paraId="0FB793E8">
            <w:pPr>
              <w:keepNext w:val="0"/>
              <w:keepLines w:val="0"/>
              <w:pageBreakBefore w:val="0"/>
              <w:widowControl/>
              <w:numPr>
                <w:ilvl w:val="0"/>
                <w:numId w:val="84"/>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支持根据不同医嘱项目设置不同的检查队列，在登记时可以自动推荐相应的队列。</w:t>
            </w:r>
          </w:p>
          <w:p w14:paraId="6B71BC82">
            <w:pPr>
              <w:keepNext w:val="0"/>
              <w:keepLines w:val="0"/>
              <w:pageBreakBefore w:val="0"/>
              <w:widowControl/>
              <w:numPr>
                <w:ilvl w:val="0"/>
                <w:numId w:val="84"/>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支持手工与自动分诊：手工将病人指定检查诊室或指定医生，或者根据检查队列自动分配到检查诊室。</w:t>
            </w:r>
          </w:p>
          <w:p w14:paraId="66F0F48D">
            <w:pPr>
              <w:keepNext w:val="0"/>
              <w:keepLines w:val="0"/>
              <w:pageBreakBefore w:val="0"/>
              <w:widowControl/>
              <w:numPr>
                <w:ilvl w:val="0"/>
                <w:numId w:val="84"/>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登记时可设置VIP检查：通过权限控制，拥有此权限的用户才可以设置患者为VIP及可以看到此检查。通过“VIP检查”功能，工作人员将患者标记为VIP，以确保其在检查安排和流程中的优先处理，设置后只有VIP查看权限的人才可以查看，保障了患者的隐私。</w:t>
            </w:r>
          </w:p>
          <w:p w14:paraId="3F6074AE">
            <w:pPr>
              <w:keepNext w:val="0"/>
              <w:keepLines w:val="0"/>
              <w:pageBreakBefore w:val="0"/>
              <w:widowControl/>
              <w:numPr>
                <w:ilvl w:val="0"/>
                <w:numId w:val="84"/>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临床授权：通过权限控制，被授权的临床医生在查看此患者的检查时需要在有效期内输入正确密码，否则无法查看此患者的检查数据。</w:t>
            </w:r>
          </w:p>
          <w:p w14:paraId="57FA8AE5">
            <w:pPr>
              <w:keepNext w:val="0"/>
              <w:keepLines w:val="0"/>
              <w:pageBreakBefore w:val="0"/>
              <w:widowControl/>
              <w:numPr>
                <w:ilvl w:val="0"/>
                <w:numId w:val="84"/>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支持设置可预约队列，登记时根据检查队列展示所选队列每天各时段的预约情况。</w:t>
            </w:r>
          </w:p>
          <w:p w14:paraId="43F0CD99">
            <w:pPr>
              <w:keepNext w:val="0"/>
              <w:keepLines w:val="0"/>
              <w:pageBreakBefore w:val="0"/>
              <w:widowControl/>
              <w:numPr>
                <w:ilvl w:val="0"/>
                <w:numId w:val="84"/>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可以通过日历视图查看每月各队列预约患者的数据情况，表格视图展示具体预约的患者数据，可以进行签到编辑的操作。</w:t>
            </w:r>
          </w:p>
          <w:p w14:paraId="47AA5B0E">
            <w:pPr>
              <w:keepNext w:val="0"/>
              <w:keepLines w:val="0"/>
              <w:pageBreakBefore w:val="0"/>
              <w:widowControl/>
              <w:numPr>
                <w:ilvl w:val="0"/>
                <w:numId w:val="84"/>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预约数据支持批量签到、扫码快速签到的功能。</w:t>
            </w:r>
          </w:p>
          <w:p w14:paraId="5D3A2444">
            <w:pPr>
              <w:keepNext w:val="0"/>
              <w:keepLines w:val="0"/>
              <w:pageBreakBefore w:val="0"/>
              <w:widowControl/>
              <w:numPr>
                <w:ilvl w:val="0"/>
                <w:numId w:val="84"/>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支持调整分诊列表、患者登记、待签到列表、待登记列表、工作列表的顺序与是否展示。</w:t>
            </w:r>
          </w:p>
          <w:p w14:paraId="156C62A6">
            <w:pPr>
              <w:keepNext w:val="0"/>
              <w:keepLines w:val="0"/>
              <w:pageBreakBefore w:val="0"/>
              <w:widowControl/>
              <w:numPr>
                <w:ilvl w:val="0"/>
                <w:numId w:val="84"/>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支持自定义配置患者登记的字段，按照基本信息、医嘱信息、登记信息的内容。</w:t>
            </w:r>
          </w:p>
          <w:p w14:paraId="6F04D032">
            <w:pPr>
              <w:keepNext w:val="0"/>
              <w:keepLines w:val="0"/>
              <w:pageBreakBefore w:val="0"/>
              <w:widowControl/>
              <w:numPr>
                <w:ilvl w:val="0"/>
                <w:numId w:val="84"/>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支持通过HL7接口与HIS系统进行对接，采用推或拉的模式获取待登记的数据。</w:t>
            </w:r>
          </w:p>
        </w:tc>
      </w:tr>
      <w:tr w14:paraId="5C50A0B8">
        <w:tblPrEx>
          <w:tblCellMar>
            <w:top w:w="0" w:type="dxa"/>
            <w:left w:w="108" w:type="dxa"/>
            <w:bottom w:w="0" w:type="dxa"/>
            <w:right w:w="108" w:type="dxa"/>
          </w:tblCellMar>
        </w:tblPrEx>
        <w:trPr>
          <w:trHeight w:val="5583" w:hRule="atLeast"/>
        </w:trPr>
        <w:tc>
          <w:tcPr>
            <w:tcW w:w="1138" w:type="dxa"/>
            <w:vMerge w:val="continue"/>
            <w:tcBorders>
              <w:left w:val="single" w:color="auto" w:sz="4" w:space="0"/>
              <w:right w:val="single" w:color="auto" w:sz="4" w:space="0"/>
            </w:tcBorders>
            <w:noWrap w:val="0"/>
            <w:vAlign w:val="center"/>
          </w:tcPr>
          <w:p w14:paraId="1845DD2C">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default" w:ascii="宋体" w:hAnsi="宋体" w:eastAsia="宋体" w:cs="宋体"/>
                <w:color w:val="auto"/>
                <w:kern w:val="0"/>
                <w:szCs w:val="21"/>
                <w:lang w:val="en-US" w:eastAsia="zh-CN"/>
              </w:rPr>
            </w:pPr>
          </w:p>
        </w:tc>
        <w:tc>
          <w:tcPr>
            <w:tcW w:w="1077" w:type="dxa"/>
            <w:tcBorders>
              <w:top w:val="single" w:color="auto" w:sz="4" w:space="0"/>
              <w:left w:val="nil"/>
              <w:bottom w:val="single" w:color="auto" w:sz="8" w:space="0"/>
              <w:right w:val="single" w:color="auto" w:sz="8" w:space="0"/>
            </w:tcBorders>
            <w:noWrap w:val="0"/>
            <w:vAlign w:val="center"/>
          </w:tcPr>
          <w:p w14:paraId="119A35F8">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default" w:ascii="宋体" w:hAnsi="宋体" w:eastAsia="宋体" w:cs="宋体"/>
                <w:color w:val="auto"/>
                <w:kern w:val="0"/>
                <w:szCs w:val="21"/>
                <w:lang w:val="en-US" w:eastAsia="zh-CN"/>
              </w:rPr>
            </w:pPr>
            <w:r>
              <w:rPr>
                <w:rFonts w:hint="eastAsia" w:ascii="宋体" w:hAnsi="宋体" w:cs="宋体"/>
                <w:color w:val="auto"/>
                <w:kern w:val="0"/>
                <w:szCs w:val="21"/>
                <w:lang w:val="en-US" w:eastAsia="zh-CN"/>
              </w:rPr>
              <w:t>3</w:t>
            </w:r>
            <w:r>
              <w:rPr>
                <w:rFonts w:ascii="宋体" w:hAnsi="宋体" w:cs="宋体"/>
                <w:color w:val="auto"/>
                <w:kern w:val="0"/>
                <w:szCs w:val="21"/>
              </w:rPr>
              <w:t>.</w:t>
            </w:r>
            <w:r>
              <w:rPr>
                <w:rFonts w:hint="eastAsia" w:ascii="宋体" w:hAnsi="宋体" w:cs="宋体"/>
                <w:color w:val="auto"/>
                <w:kern w:val="0"/>
                <w:szCs w:val="21"/>
                <w:lang w:val="en-US" w:eastAsia="zh-CN"/>
              </w:rPr>
              <w:t>2分诊管理</w:t>
            </w:r>
          </w:p>
        </w:tc>
        <w:tc>
          <w:tcPr>
            <w:tcW w:w="7683" w:type="dxa"/>
            <w:tcBorders>
              <w:top w:val="single" w:color="auto" w:sz="4" w:space="0"/>
              <w:left w:val="nil"/>
              <w:bottom w:val="single" w:color="auto" w:sz="8" w:space="0"/>
              <w:right w:val="single" w:color="auto" w:sz="8" w:space="0"/>
            </w:tcBorders>
            <w:noWrap w:val="0"/>
            <w:vAlign w:val="center"/>
          </w:tcPr>
          <w:p w14:paraId="24D091D3">
            <w:pPr>
              <w:keepNext w:val="0"/>
              <w:keepLines w:val="0"/>
              <w:pageBreakBefore w:val="0"/>
              <w:widowControl/>
              <w:numPr>
                <w:ilvl w:val="0"/>
                <w:numId w:val="85"/>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支持根据患者登记顺序+检查队列生成并打印排队号。</w:t>
            </w:r>
          </w:p>
          <w:p w14:paraId="6E90A0CC">
            <w:pPr>
              <w:keepNext w:val="0"/>
              <w:keepLines w:val="0"/>
              <w:pageBreakBefore w:val="0"/>
              <w:widowControl/>
              <w:numPr>
                <w:ilvl w:val="0"/>
                <w:numId w:val="85"/>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支持查看当天各检查诊室的空闲状态及患者的排队人数情况。</w:t>
            </w:r>
          </w:p>
          <w:p w14:paraId="68634F22">
            <w:pPr>
              <w:keepNext w:val="0"/>
              <w:keepLines w:val="0"/>
              <w:pageBreakBefore w:val="0"/>
              <w:widowControl/>
              <w:numPr>
                <w:ilvl w:val="0"/>
                <w:numId w:val="85"/>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支持查看当天各检查队列等候人数、已叫人数、合计人数、部位数、部位积分数。</w:t>
            </w:r>
          </w:p>
          <w:p w14:paraId="64D99433">
            <w:pPr>
              <w:keepNext w:val="0"/>
              <w:keepLines w:val="0"/>
              <w:pageBreakBefore w:val="0"/>
              <w:widowControl/>
              <w:numPr>
                <w:ilvl w:val="0"/>
                <w:numId w:val="85"/>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支持显示患者等待时间，患者重新排队时等待时间重置。</w:t>
            </w:r>
          </w:p>
          <w:p w14:paraId="02D35EAA">
            <w:pPr>
              <w:keepNext w:val="0"/>
              <w:keepLines w:val="0"/>
              <w:pageBreakBefore w:val="0"/>
              <w:widowControl/>
              <w:numPr>
                <w:ilvl w:val="0"/>
                <w:numId w:val="85"/>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分诊成功后自动计算候诊时长。若患者候诊时长超过系统预设时限，将在队列名称后显示“堵”标记，自动提醒护士队列堵塞，并高亮显示堵塞数据，以便及时分流。</w:t>
            </w:r>
          </w:p>
          <w:p w14:paraId="74DC58A9">
            <w:pPr>
              <w:keepNext w:val="0"/>
              <w:keepLines w:val="0"/>
              <w:pageBreakBefore w:val="0"/>
              <w:widowControl/>
              <w:numPr>
                <w:ilvl w:val="0"/>
                <w:numId w:val="85"/>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支持设置常用语音播放内容并结合患者姓名进行播放、支持自定义语音播放文字内容。</w:t>
            </w:r>
          </w:p>
          <w:p w14:paraId="78B66DA6">
            <w:pPr>
              <w:keepNext w:val="0"/>
              <w:keepLines w:val="0"/>
              <w:pageBreakBefore w:val="0"/>
              <w:widowControl/>
              <w:numPr>
                <w:ilvl w:val="0"/>
                <w:numId w:val="85"/>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可以根据优先级、患者来源等配置不同颜色进行区分显示。</w:t>
            </w:r>
          </w:p>
          <w:p w14:paraId="386936F0">
            <w:pPr>
              <w:keepNext w:val="0"/>
              <w:keepLines w:val="0"/>
              <w:pageBreakBefore w:val="0"/>
              <w:widowControl/>
              <w:numPr>
                <w:ilvl w:val="0"/>
                <w:numId w:val="85"/>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提供数据检索功能，可以通过多条件检索预约登记的病人信息。</w:t>
            </w:r>
          </w:p>
          <w:p w14:paraId="4395E086">
            <w:pPr>
              <w:keepNext w:val="0"/>
              <w:keepLines w:val="0"/>
              <w:pageBreakBefore w:val="0"/>
              <w:widowControl/>
              <w:numPr>
                <w:ilvl w:val="0"/>
                <w:numId w:val="85"/>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支持排队小票格式信息配置，如排队号、医嘱项目、检查部位检查诊室名称、排队人数、预约日期、注意事项等信息。</w:t>
            </w:r>
          </w:p>
          <w:p w14:paraId="599A63D2">
            <w:pPr>
              <w:keepNext w:val="0"/>
              <w:keepLines w:val="0"/>
              <w:pageBreakBefore w:val="0"/>
              <w:widowControl/>
              <w:numPr>
                <w:ilvl w:val="0"/>
                <w:numId w:val="85"/>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扫描申请单调取HIS系统该患者的数据并弹出his补录界面，默认带出补录患者的信息（患者ID、姓名、性别、年龄、患者来源、医嘱项目、检查部位、临床诊断、申请时间）。可根据患者来源和HIS号检索要补录的患者信息。</w:t>
            </w:r>
          </w:p>
        </w:tc>
      </w:tr>
      <w:tr w14:paraId="4F2E7E0D">
        <w:tblPrEx>
          <w:tblCellMar>
            <w:top w:w="0" w:type="dxa"/>
            <w:left w:w="108" w:type="dxa"/>
            <w:bottom w:w="0" w:type="dxa"/>
            <w:right w:w="108" w:type="dxa"/>
          </w:tblCellMar>
        </w:tblPrEx>
        <w:trPr>
          <w:trHeight w:val="1568" w:hRule="atLeast"/>
        </w:trPr>
        <w:tc>
          <w:tcPr>
            <w:tcW w:w="1138" w:type="dxa"/>
            <w:vMerge w:val="continue"/>
            <w:tcBorders>
              <w:left w:val="single" w:color="auto" w:sz="4" w:space="0"/>
              <w:right w:val="single" w:color="auto" w:sz="4" w:space="0"/>
            </w:tcBorders>
            <w:noWrap w:val="0"/>
            <w:vAlign w:val="center"/>
          </w:tcPr>
          <w:p w14:paraId="0FB3EE08">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rPr>
            </w:pPr>
          </w:p>
        </w:tc>
        <w:tc>
          <w:tcPr>
            <w:tcW w:w="1077" w:type="dxa"/>
            <w:tcBorders>
              <w:top w:val="nil"/>
              <w:left w:val="nil"/>
              <w:bottom w:val="single" w:color="auto" w:sz="8" w:space="0"/>
              <w:right w:val="single" w:color="auto" w:sz="8" w:space="0"/>
            </w:tcBorders>
            <w:noWrap w:val="0"/>
            <w:vAlign w:val="center"/>
          </w:tcPr>
          <w:p w14:paraId="36CB3686">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default" w:ascii="宋体" w:hAnsi="宋体" w:eastAsia="宋体" w:cs="宋体"/>
                <w:color w:val="auto"/>
                <w:kern w:val="0"/>
                <w:szCs w:val="21"/>
                <w:lang w:val="en-US" w:eastAsia="zh-CN"/>
              </w:rPr>
            </w:pPr>
            <w:r>
              <w:rPr>
                <w:rFonts w:hint="eastAsia" w:ascii="宋体" w:hAnsi="宋体" w:cs="宋体"/>
                <w:color w:val="auto"/>
                <w:kern w:val="0"/>
                <w:szCs w:val="21"/>
                <w:lang w:val="en-US" w:eastAsia="zh-CN"/>
              </w:rPr>
              <w:t>3.3叫号管理</w:t>
            </w:r>
          </w:p>
        </w:tc>
        <w:tc>
          <w:tcPr>
            <w:tcW w:w="7683" w:type="dxa"/>
            <w:tcBorders>
              <w:top w:val="nil"/>
              <w:left w:val="nil"/>
              <w:bottom w:val="single" w:color="auto" w:sz="8" w:space="0"/>
              <w:right w:val="single" w:color="auto" w:sz="8" w:space="0"/>
            </w:tcBorders>
            <w:noWrap w:val="0"/>
            <w:vAlign w:val="center"/>
          </w:tcPr>
          <w:p w14:paraId="220141C1">
            <w:pPr>
              <w:keepNext w:val="0"/>
              <w:keepLines w:val="0"/>
              <w:pageBreakBefore w:val="0"/>
              <w:widowControl/>
              <w:numPr>
                <w:ilvl w:val="0"/>
                <w:numId w:val="86"/>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支持以检查队列或检查诊室区分显示患者排队信息、已叫号信息、过号信息、正叫信息以及温馨提示信息。</w:t>
            </w:r>
          </w:p>
          <w:p w14:paraId="06F20313">
            <w:pPr>
              <w:keepNext w:val="0"/>
              <w:keepLines w:val="0"/>
              <w:pageBreakBefore w:val="0"/>
              <w:widowControl/>
              <w:numPr>
                <w:ilvl w:val="0"/>
                <w:numId w:val="86"/>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点击呼叫按钮后根据后台参数配置，如果开启配置则弹出扫描核验信息，同时需要检查医生点击确定按钮进行患者信息及检查部位确认。</w:t>
            </w:r>
          </w:p>
          <w:p w14:paraId="504702C2">
            <w:pPr>
              <w:keepNext w:val="0"/>
              <w:keepLines w:val="0"/>
              <w:pageBreakBefore w:val="0"/>
              <w:widowControl/>
              <w:numPr>
                <w:ilvl w:val="0"/>
                <w:numId w:val="86"/>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支持显示患者类型信息如急诊、预约等，按照优先级叫号，支持重复呼叫。</w:t>
            </w:r>
          </w:p>
          <w:p w14:paraId="4B706670">
            <w:pPr>
              <w:keepNext w:val="0"/>
              <w:keepLines w:val="0"/>
              <w:pageBreakBefore w:val="0"/>
              <w:widowControl/>
              <w:numPr>
                <w:ilvl w:val="0"/>
                <w:numId w:val="86"/>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支持设置呼叫规则以及留号规则。</w:t>
            </w:r>
          </w:p>
          <w:p w14:paraId="78D3EE20">
            <w:pPr>
              <w:keepNext w:val="0"/>
              <w:keepLines w:val="0"/>
              <w:pageBreakBefore w:val="0"/>
              <w:widowControl/>
              <w:numPr>
                <w:ilvl w:val="0"/>
                <w:numId w:val="86"/>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支持语音设置，包括叫号语音播放次数、报告语音播放次数、设置语音播放内容、设置语音速度等。</w:t>
            </w:r>
          </w:p>
          <w:p w14:paraId="2B6FEA76">
            <w:pPr>
              <w:keepNext w:val="0"/>
              <w:keepLines w:val="0"/>
              <w:pageBreakBefore w:val="0"/>
              <w:widowControl/>
              <w:numPr>
                <w:ilvl w:val="0"/>
                <w:numId w:val="86"/>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支持叫号屏图像化配置，自定义叫号屏背景、字体等内容。</w:t>
            </w:r>
          </w:p>
          <w:p w14:paraId="6B031DB2">
            <w:pPr>
              <w:keepNext w:val="0"/>
              <w:keepLines w:val="0"/>
              <w:pageBreakBefore w:val="0"/>
              <w:widowControl/>
              <w:numPr>
                <w:ilvl w:val="0"/>
                <w:numId w:val="86"/>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开启盲叫与半盲功能。盲叫功能将隐藏候诊列表，仅保留“呼叫下一位”操作。半盲功能展示候诊列表，但会对关键字段（如检查部位、医嘱项目、患者姓名、年龄等，具体显示字段可配置）进行星号脱敏处理，避免挑拣患者。</w:t>
            </w:r>
          </w:p>
          <w:p w14:paraId="699CB71E">
            <w:pPr>
              <w:keepNext w:val="0"/>
              <w:keepLines w:val="0"/>
              <w:pageBreakBefore w:val="0"/>
              <w:widowControl/>
              <w:numPr>
                <w:ilvl w:val="0"/>
                <w:numId w:val="86"/>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支持配置自动叫号功能，开启后医生在诊断完成上一份检查后，不需要做其它操作，系统将自动按照顺序呼叫下一位。</w:t>
            </w:r>
          </w:p>
          <w:p w14:paraId="2C60468F">
            <w:pPr>
              <w:keepNext w:val="0"/>
              <w:keepLines w:val="0"/>
              <w:pageBreakBefore w:val="0"/>
              <w:widowControl/>
              <w:numPr>
                <w:ilvl w:val="0"/>
                <w:numId w:val="86"/>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呼叫容错机制：支持医生误叫号后操作“出本诊室”选择待叫号状态使其继续排队。支持患者不满足检查条件时，操作“出本诊室”选择暂停状态使其暂停检查；支持医生多次呼叫患者后未到达，操作“出本诊室”选择过号状态作过号处理。</w:t>
            </w:r>
          </w:p>
          <w:p w14:paraId="3545F21D">
            <w:pPr>
              <w:keepNext w:val="0"/>
              <w:keepLines w:val="0"/>
              <w:pageBreakBefore w:val="0"/>
              <w:widowControl/>
              <w:numPr>
                <w:ilvl w:val="0"/>
                <w:numId w:val="86"/>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支持患者信息脱敏显示：排队患者姓名以及正叫患者姓名进行脱敏显示。</w:t>
            </w:r>
          </w:p>
          <w:p w14:paraId="6400F9C3">
            <w:pPr>
              <w:keepNext w:val="0"/>
              <w:keepLines w:val="0"/>
              <w:pageBreakBefore w:val="0"/>
              <w:widowControl/>
              <w:numPr>
                <w:ilvl w:val="0"/>
                <w:numId w:val="86"/>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支持优先级颜色展示：不同的优先级展示不同的颜色。</w:t>
            </w:r>
          </w:p>
          <w:p w14:paraId="1A42AF67">
            <w:pPr>
              <w:keepNext w:val="0"/>
              <w:keepLines w:val="0"/>
              <w:pageBreakBefore w:val="0"/>
              <w:widowControl/>
              <w:numPr>
                <w:ilvl w:val="0"/>
                <w:numId w:val="86"/>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支持二维码签到管理：上传二维码以及二维码描述，并在叫号屏上进行显示进行扫码签到等操作。</w:t>
            </w:r>
          </w:p>
          <w:p w14:paraId="2FE6DB96">
            <w:pPr>
              <w:keepNext w:val="0"/>
              <w:keepLines w:val="0"/>
              <w:pageBreakBefore w:val="0"/>
              <w:widowControl/>
              <w:numPr>
                <w:ilvl w:val="0"/>
                <w:numId w:val="86"/>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支持呼叫互斥：设置组合内的一个屏幕发声时，其他屏幕不发声。</w:t>
            </w:r>
          </w:p>
          <w:p w14:paraId="7B0BA7FD">
            <w:pPr>
              <w:keepNext w:val="0"/>
              <w:keepLines w:val="0"/>
              <w:pageBreakBefore w:val="0"/>
              <w:widowControl/>
              <w:numPr>
                <w:ilvl w:val="0"/>
                <w:numId w:val="86"/>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支持与超声分诊叫号数据的对接，可以使用接口、视图模式进行获取数据。</w:t>
            </w:r>
          </w:p>
          <w:p w14:paraId="0F682B9D">
            <w:pPr>
              <w:keepNext w:val="0"/>
              <w:keepLines w:val="0"/>
              <w:pageBreakBefore w:val="0"/>
              <w:widowControl/>
              <w:numPr>
                <w:ilvl w:val="0"/>
                <w:numId w:val="86"/>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支持自定义多音字、偏僻字读音设置。</w:t>
            </w:r>
          </w:p>
        </w:tc>
      </w:tr>
      <w:tr w14:paraId="4FC434A4">
        <w:tblPrEx>
          <w:tblCellMar>
            <w:top w:w="0" w:type="dxa"/>
            <w:left w:w="108" w:type="dxa"/>
            <w:bottom w:w="0" w:type="dxa"/>
            <w:right w:w="108" w:type="dxa"/>
          </w:tblCellMar>
        </w:tblPrEx>
        <w:trPr>
          <w:trHeight w:val="4354" w:hRule="atLeast"/>
        </w:trPr>
        <w:tc>
          <w:tcPr>
            <w:tcW w:w="1138" w:type="dxa"/>
            <w:vMerge w:val="continue"/>
            <w:tcBorders>
              <w:left w:val="single" w:color="auto" w:sz="4" w:space="0"/>
              <w:right w:val="single" w:color="auto" w:sz="4" w:space="0"/>
            </w:tcBorders>
            <w:noWrap w:val="0"/>
            <w:vAlign w:val="center"/>
          </w:tcPr>
          <w:p w14:paraId="179DDDCE">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rPr>
            </w:pPr>
          </w:p>
        </w:tc>
        <w:tc>
          <w:tcPr>
            <w:tcW w:w="1077" w:type="dxa"/>
            <w:tcBorders>
              <w:top w:val="nil"/>
              <w:left w:val="nil"/>
              <w:bottom w:val="single" w:color="auto" w:sz="8" w:space="0"/>
              <w:right w:val="single" w:color="auto" w:sz="8" w:space="0"/>
            </w:tcBorders>
            <w:noWrap w:val="0"/>
            <w:vAlign w:val="center"/>
          </w:tcPr>
          <w:p w14:paraId="68B9877E">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default" w:ascii="宋体" w:hAnsi="宋体" w:eastAsia="宋体" w:cs="宋体"/>
                <w:color w:val="auto"/>
                <w:kern w:val="0"/>
                <w:szCs w:val="21"/>
                <w:lang w:val="en-US" w:eastAsia="zh-CN"/>
              </w:rPr>
            </w:pPr>
            <w:r>
              <w:rPr>
                <w:rFonts w:hint="eastAsia" w:ascii="宋体" w:hAnsi="宋体" w:cs="宋体"/>
                <w:color w:val="auto"/>
                <w:kern w:val="0"/>
                <w:szCs w:val="21"/>
                <w:lang w:val="en-US" w:eastAsia="zh-CN"/>
              </w:rPr>
              <w:t>3.4实时影像</w:t>
            </w:r>
          </w:p>
        </w:tc>
        <w:tc>
          <w:tcPr>
            <w:tcW w:w="7683" w:type="dxa"/>
            <w:tcBorders>
              <w:top w:val="nil"/>
              <w:left w:val="nil"/>
              <w:bottom w:val="single" w:color="auto" w:sz="8" w:space="0"/>
              <w:right w:val="single" w:color="auto" w:sz="8" w:space="0"/>
            </w:tcBorders>
            <w:noWrap w:val="0"/>
            <w:vAlign w:val="center"/>
          </w:tcPr>
          <w:p w14:paraId="2ADE6BD0">
            <w:pPr>
              <w:keepNext w:val="0"/>
              <w:keepLines w:val="0"/>
              <w:pageBreakBefore w:val="0"/>
              <w:widowControl/>
              <w:numPr>
                <w:ilvl w:val="0"/>
                <w:numId w:val="87"/>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支持模拟信号采集；含HDMI、SDI、DVI输出口图像输出接口。</w:t>
            </w:r>
          </w:p>
          <w:p w14:paraId="3216C840">
            <w:pPr>
              <w:keepNext w:val="0"/>
              <w:keepLines w:val="0"/>
              <w:pageBreakBefore w:val="0"/>
              <w:widowControl/>
              <w:numPr>
                <w:ilvl w:val="0"/>
                <w:numId w:val="87"/>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支持与符合DICOM3.0标准的超声设备无缝集成，设备图像可一键传入超声工作站；支持DICOM采集传输与编辑报告对不同患者分别操作，互不影响，提高超声检查效率。</w:t>
            </w:r>
          </w:p>
          <w:p w14:paraId="121FBDF2">
            <w:pPr>
              <w:keepNext w:val="0"/>
              <w:keepLines w:val="0"/>
              <w:pageBreakBefore w:val="0"/>
              <w:widowControl/>
              <w:numPr>
                <w:ilvl w:val="0"/>
                <w:numId w:val="87"/>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支持通过采集手柄、键盘快捷键采集图像。</w:t>
            </w:r>
          </w:p>
          <w:p w14:paraId="7F7801F8">
            <w:pPr>
              <w:keepNext w:val="0"/>
              <w:keepLines w:val="0"/>
              <w:pageBreakBefore w:val="0"/>
              <w:widowControl/>
              <w:numPr>
                <w:ilvl w:val="0"/>
                <w:numId w:val="87"/>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支持静态图像采集及动态图像采集。</w:t>
            </w:r>
          </w:p>
          <w:p w14:paraId="70FC291F">
            <w:pPr>
              <w:keepNext w:val="0"/>
              <w:keepLines w:val="0"/>
              <w:pageBreakBefore w:val="0"/>
              <w:widowControl/>
              <w:numPr>
                <w:ilvl w:val="0"/>
                <w:numId w:val="87"/>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支持适配不同设备的影像界面，能够设置截取图像区域、图像边框。</w:t>
            </w:r>
          </w:p>
          <w:p w14:paraId="0B524D51">
            <w:pPr>
              <w:keepNext w:val="0"/>
              <w:keepLines w:val="0"/>
              <w:pageBreakBefore w:val="0"/>
              <w:widowControl/>
              <w:numPr>
                <w:ilvl w:val="0"/>
                <w:numId w:val="87"/>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支持对图像进行移动、缩放、自适应、隐藏测量值、定标、文字标注、箭头标注、直线测量、角度测量、矩形测量、多边形测量、椭圆测量、还原、删除、保存测量和标注、</w:t>
            </w:r>
            <w:r>
              <w:rPr>
                <w:rFonts w:hint="eastAsia" w:ascii="宋体" w:hAnsi="宋体" w:eastAsia="宋体" w:cs="宋体"/>
                <w:color w:val="auto"/>
                <w:kern w:val="0"/>
                <w:szCs w:val="21"/>
                <w:lang w:val="en-US" w:eastAsia="zh-CN"/>
              </w:rPr>
              <w:t>清除</w:t>
            </w:r>
            <w:r>
              <w:rPr>
                <w:rFonts w:hint="eastAsia" w:ascii="宋体" w:hAnsi="宋体" w:eastAsia="宋体" w:cs="宋体"/>
                <w:color w:val="auto"/>
                <w:kern w:val="0"/>
                <w:szCs w:val="21"/>
              </w:rPr>
              <w:t>测量和标注。</w:t>
            </w:r>
          </w:p>
          <w:p w14:paraId="04E96D3C">
            <w:pPr>
              <w:keepNext w:val="0"/>
              <w:keepLines w:val="0"/>
              <w:pageBreakBefore w:val="0"/>
              <w:widowControl/>
              <w:numPr>
                <w:ilvl w:val="0"/>
                <w:numId w:val="87"/>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支持将图像导出为DCM/JPG格式；将影像导出为AVI格式。</w:t>
            </w:r>
          </w:p>
          <w:p w14:paraId="4E467BCA">
            <w:pPr>
              <w:keepNext w:val="0"/>
              <w:keepLines w:val="0"/>
              <w:pageBreakBefore w:val="0"/>
              <w:widowControl/>
              <w:numPr>
                <w:ilvl w:val="0"/>
                <w:numId w:val="87"/>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支持将JPG以及AVI格式的影像进行导入系统。</w:t>
            </w:r>
          </w:p>
          <w:p w14:paraId="0FC999FC">
            <w:pPr>
              <w:keepNext w:val="0"/>
              <w:keepLines w:val="0"/>
              <w:pageBreakBefore w:val="0"/>
              <w:widowControl/>
              <w:numPr>
                <w:ilvl w:val="0"/>
                <w:numId w:val="87"/>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影像匹配：对未关联患者信息的图像支持选中患者进行影像匹配，同时支持解除匹配。</w:t>
            </w:r>
          </w:p>
        </w:tc>
      </w:tr>
      <w:tr w14:paraId="36B447B8">
        <w:tblPrEx>
          <w:tblCellMar>
            <w:top w:w="0" w:type="dxa"/>
            <w:left w:w="108" w:type="dxa"/>
            <w:bottom w:w="0" w:type="dxa"/>
            <w:right w:w="108" w:type="dxa"/>
          </w:tblCellMar>
        </w:tblPrEx>
        <w:trPr>
          <w:trHeight w:val="786" w:hRule="atLeast"/>
        </w:trPr>
        <w:tc>
          <w:tcPr>
            <w:tcW w:w="1138" w:type="dxa"/>
            <w:vMerge w:val="continue"/>
            <w:tcBorders>
              <w:left w:val="single" w:color="auto" w:sz="4" w:space="0"/>
              <w:bottom w:val="single" w:color="000000" w:sz="8" w:space="0"/>
              <w:right w:val="single" w:color="auto" w:sz="4" w:space="0"/>
            </w:tcBorders>
            <w:noWrap w:val="0"/>
            <w:vAlign w:val="center"/>
          </w:tcPr>
          <w:p w14:paraId="6167293B">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rPr>
            </w:pPr>
          </w:p>
        </w:tc>
        <w:tc>
          <w:tcPr>
            <w:tcW w:w="1077" w:type="dxa"/>
            <w:tcBorders>
              <w:top w:val="nil"/>
              <w:left w:val="nil"/>
              <w:bottom w:val="single" w:color="auto" w:sz="8" w:space="0"/>
              <w:right w:val="single" w:color="auto" w:sz="8" w:space="0"/>
            </w:tcBorders>
            <w:noWrap w:val="0"/>
            <w:vAlign w:val="center"/>
          </w:tcPr>
          <w:p w14:paraId="25B11ED7">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default" w:ascii="宋体" w:hAnsi="宋体" w:cs="宋体"/>
                <w:color w:val="auto"/>
                <w:kern w:val="0"/>
                <w:szCs w:val="21"/>
                <w:lang w:val="en-US" w:eastAsia="zh-CN"/>
              </w:rPr>
            </w:pPr>
            <w:r>
              <w:rPr>
                <w:rFonts w:hint="eastAsia" w:ascii="宋体" w:hAnsi="宋体" w:cs="宋体"/>
                <w:color w:val="auto"/>
                <w:kern w:val="0"/>
                <w:szCs w:val="21"/>
                <w:lang w:val="en-US" w:eastAsia="zh-CN"/>
              </w:rPr>
              <w:t>3.5诊断中心</w:t>
            </w:r>
          </w:p>
        </w:tc>
        <w:tc>
          <w:tcPr>
            <w:tcW w:w="7683" w:type="dxa"/>
            <w:tcBorders>
              <w:top w:val="nil"/>
              <w:left w:val="nil"/>
              <w:bottom w:val="single" w:color="auto" w:sz="8" w:space="0"/>
              <w:right w:val="single" w:color="auto" w:sz="8" w:space="0"/>
            </w:tcBorders>
            <w:noWrap w:val="0"/>
            <w:vAlign w:val="center"/>
          </w:tcPr>
          <w:p w14:paraId="2CB959B9">
            <w:pPr>
              <w:keepNext w:val="0"/>
              <w:keepLines w:val="0"/>
              <w:pageBreakBefore w:val="0"/>
              <w:widowControl/>
              <w:numPr>
                <w:ilvl w:val="0"/>
                <w:numId w:val="88"/>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支持同一诊室两个医生工作模式，一人专业书写报告，一人专业检查采图，同时对两个病人进行检查诊断。</w:t>
            </w:r>
          </w:p>
          <w:p w14:paraId="1D371AC1">
            <w:pPr>
              <w:keepNext w:val="0"/>
              <w:keepLines w:val="0"/>
              <w:pageBreakBefore w:val="0"/>
              <w:widowControl/>
              <w:numPr>
                <w:ilvl w:val="0"/>
                <w:numId w:val="88"/>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支持影像采集和报告诊断同屏工作模式。</w:t>
            </w:r>
          </w:p>
          <w:p w14:paraId="28B798CE">
            <w:pPr>
              <w:keepNext w:val="0"/>
              <w:keepLines w:val="0"/>
              <w:pageBreakBefore w:val="0"/>
              <w:widowControl/>
              <w:numPr>
                <w:ilvl w:val="0"/>
                <w:numId w:val="88"/>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呼叫患者后对传染病患者做温馨提醒，需要医生做好防护。</w:t>
            </w:r>
          </w:p>
          <w:p w14:paraId="74287218">
            <w:pPr>
              <w:keepNext w:val="0"/>
              <w:keepLines w:val="0"/>
              <w:pageBreakBefore w:val="0"/>
              <w:widowControl/>
              <w:numPr>
                <w:ilvl w:val="0"/>
                <w:numId w:val="88"/>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支持叫号与诊断在一个页面进行操作，诊断完成后直接在当前页面呼叫下一位。</w:t>
            </w:r>
          </w:p>
          <w:p w14:paraId="076E9CA8">
            <w:pPr>
              <w:keepNext w:val="0"/>
              <w:keepLines w:val="0"/>
              <w:pageBreakBefore w:val="0"/>
              <w:widowControl/>
              <w:numPr>
                <w:ilvl w:val="0"/>
                <w:numId w:val="88"/>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当用户打开报告界面进行书写时，根据当前检查的信息（检查部位），自动查询相匹配的检查报告模版内容，并进行置顶和展开。方便医生进行快速引用。</w:t>
            </w:r>
          </w:p>
          <w:p w14:paraId="4476E08F">
            <w:pPr>
              <w:keepNext w:val="0"/>
              <w:keepLines w:val="0"/>
              <w:pageBreakBefore w:val="0"/>
              <w:widowControl/>
              <w:numPr>
                <w:ilvl w:val="0"/>
                <w:numId w:val="88"/>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支持诊断知识库管理：可以编辑知识库术语，增加正常/异常病历，增加文件夹，作废节点，还原节点等操作。</w:t>
            </w:r>
          </w:p>
          <w:p w14:paraId="3C4B5B42">
            <w:pPr>
              <w:keepNext w:val="0"/>
              <w:keepLines w:val="0"/>
              <w:pageBreakBefore w:val="0"/>
              <w:widowControl/>
              <w:numPr>
                <w:ilvl w:val="0"/>
                <w:numId w:val="88"/>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支持在维护知识库时关联检查参数。诊断中若填写关联参数，引用该知识库内容时，参数可自动填充至报告；修改参数时联动更新，减少医生报告书写错误。</w:t>
            </w:r>
          </w:p>
          <w:p w14:paraId="51C0FDAC">
            <w:pPr>
              <w:keepNext w:val="0"/>
              <w:keepLines w:val="0"/>
              <w:pageBreakBefore w:val="0"/>
              <w:widowControl/>
              <w:numPr>
                <w:ilvl w:val="0"/>
                <w:numId w:val="88"/>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支持报告书写完成后进入预览模式，可以对报告进行所见即所得的查看。</w:t>
            </w:r>
          </w:p>
          <w:p w14:paraId="10E03DBB">
            <w:pPr>
              <w:keepNext w:val="0"/>
              <w:keepLines w:val="0"/>
              <w:pageBreakBefore w:val="0"/>
              <w:widowControl/>
              <w:numPr>
                <w:ilvl w:val="0"/>
                <w:numId w:val="88"/>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支持配置多个报告模版，同时可以根据不同的规则配置完成打印报告时使用哪个报告模版。</w:t>
            </w:r>
          </w:p>
          <w:p w14:paraId="17CB6619">
            <w:pPr>
              <w:keepNext w:val="0"/>
              <w:keepLines w:val="0"/>
              <w:pageBreakBefore w:val="0"/>
              <w:widowControl/>
              <w:numPr>
                <w:ilvl w:val="0"/>
                <w:numId w:val="88"/>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支持诊断报告界面字体大小、常见字符、行高等设置。</w:t>
            </w:r>
          </w:p>
          <w:p w14:paraId="01D59AA6">
            <w:pPr>
              <w:keepNext w:val="0"/>
              <w:keepLines w:val="0"/>
              <w:pageBreakBefore w:val="0"/>
              <w:widowControl/>
              <w:numPr>
                <w:ilvl w:val="0"/>
                <w:numId w:val="88"/>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支持一键调整检查所见和提示字体增大和缩小。</w:t>
            </w:r>
          </w:p>
          <w:p w14:paraId="344D5B65">
            <w:pPr>
              <w:keepNext w:val="0"/>
              <w:keepLines w:val="0"/>
              <w:pageBreakBefore w:val="0"/>
              <w:widowControl/>
              <w:numPr>
                <w:ilvl w:val="0"/>
                <w:numId w:val="88"/>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支持预产期/孕周自动获得：输入末次月经自动获得预产期、孕周，输入孕周也可获得末次月经、预产期。以及孕周自动校验。</w:t>
            </w:r>
          </w:p>
          <w:p w14:paraId="6C703715">
            <w:pPr>
              <w:keepNext w:val="0"/>
              <w:keepLines w:val="0"/>
              <w:pageBreakBefore w:val="0"/>
              <w:widowControl/>
              <w:numPr>
                <w:ilvl w:val="0"/>
                <w:numId w:val="88"/>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支持打开多个患者的页签，书写多个患者的检查报告。</w:t>
            </w:r>
          </w:p>
          <w:p w14:paraId="1AB06F20">
            <w:pPr>
              <w:keepNext w:val="0"/>
              <w:keepLines w:val="0"/>
              <w:pageBreakBefore w:val="0"/>
              <w:widowControl/>
              <w:numPr>
                <w:ilvl w:val="0"/>
                <w:numId w:val="88"/>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bookmarkStart w:id="225" w:name="_Hlk176884530"/>
            <w:r>
              <w:rPr>
                <w:rFonts w:hint="eastAsia" w:ascii="宋体" w:hAnsi="宋体" w:eastAsia="宋体" w:cs="宋体"/>
                <w:color w:val="auto"/>
                <w:kern w:val="0"/>
                <w:szCs w:val="21"/>
              </w:rPr>
              <w:t>支持诊断报告智能校验提醒</w:t>
            </w:r>
            <w:bookmarkEnd w:id="225"/>
            <w:r>
              <w:rPr>
                <w:rFonts w:hint="eastAsia" w:ascii="宋体" w:hAnsi="宋体" w:eastAsia="宋体" w:cs="宋体"/>
                <w:color w:val="auto"/>
                <w:kern w:val="0"/>
                <w:szCs w:val="21"/>
                <w:lang w:eastAsia="zh-CN"/>
              </w:rPr>
              <w:t>。</w:t>
            </w:r>
          </w:p>
          <w:p w14:paraId="2DC562A7">
            <w:pPr>
              <w:keepNext w:val="0"/>
              <w:keepLines w:val="0"/>
              <w:pageBreakBefore w:val="0"/>
              <w:widowControl/>
              <w:numPr>
                <w:ilvl w:val="0"/>
                <w:numId w:val="88"/>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支持引用系统知识库的典型病历报告；支持引用病人历史的检查报告。</w:t>
            </w:r>
          </w:p>
          <w:p w14:paraId="46144DBE">
            <w:pPr>
              <w:keepNext w:val="0"/>
              <w:keepLines w:val="0"/>
              <w:pageBreakBefore w:val="0"/>
              <w:widowControl/>
              <w:numPr>
                <w:ilvl w:val="0"/>
                <w:numId w:val="88"/>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支持测量参数按使用情况在报告单中动态显示，如未测量填值时不在报告单中显示。</w:t>
            </w:r>
          </w:p>
          <w:p w14:paraId="443C15FE">
            <w:pPr>
              <w:keepNext w:val="0"/>
              <w:keepLines w:val="0"/>
              <w:pageBreakBefore w:val="0"/>
              <w:widowControl/>
              <w:numPr>
                <w:ilvl w:val="0"/>
                <w:numId w:val="88"/>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支持自动患者匹配功能，如该患者的过往检查历史记录，将查询并提示出来。</w:t>
            </w:r>
          </w:p>
          <w:p w14:paraId="528EB28A">
            <w:pPr>
              <w:keepNext w:val="0"/>
              <w:keepLines w:val="0"/>
              <w:pageBreakBefore w:val="0"/>
              <w:widowControl/>
              <w:numPr>
                <w:ilvl w:val="0"/>
                <w:numId w:val="88"/>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支持报告痕迹对比功能：报告完成后可查看当前报告的修改记录，包括报告操作人、操作时间、检查所见、检查提示。</w:t>
            </w:r>
          </w:p>
          <w:p w14:paraId="55E79B7F">
            <w:pPr>
              <w:keepNext w:val="0"/>
              <w:keepLines w:val="0"/>
              <w:pageBreakBefore w:val="0"/>
              <w:widowControl/>
              <w:numPr>
                <w:ilvl w:val="0"/>
                <w:numId w:val="88"/>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支持历史版本查看与恢复</w:t>
            </w:r>
            <w:r>
              <w:rPr>
                <w:rFonts w:hint="eastAsia" w:ascii="宋体" w:hAnsi="宋体" w:eastAsia="宋体" w:cs="宋体"/>
                <w:color w:val="auto"/>
                <w:kern w:val="0"/>
                <w:szCs w:val="21"/>
                <w:lang w:eastAsia="zh-CN"/>
              </w:rPr>
              <w:t>。</w:t>
            </w:r>
          </w:p>
          <w:p w14:paraId="2745B60A">
            <w:pPr>
              <w:keepNext w:val="0"/>
              <w:keepLines w:val="0"/>
              <w:pageBreakBefore w:val="0"/>
              <w:widowControl/>
              <w:numPr>
                <w:ilvl w:val="0"/>
                <w:numId w:val="88"/>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支持报告多级审核机制，上级医生可对报告进行修改、审核、并保存修改记录信息。</w:t>
            </w:r>
          </w:p>
          <w:p w14:paraId="7FD68229">
            <w:pPr>
              <w:keepNext w:val="0"/>
              <w:keepLines w:val="0"/>
              <w:pageBreakBefore w:val="0"/>
              <w:widowControl/>
              <w:numPr>
                <w:ilvl w:val="0"/>
                <w:numId w:val="88"/>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支持打印的图像自动排版并可调整图像排列顺序，打印的图像数量没有限制。</w:t>
            </w:r>
          </w:p>
          <w:p w14:paraId="05FE8960">
            <w:pPr>
              <w:keepNext w:val="0"/>
              <w:keepLines w:val="0"/>
              <w:pageBreakBefore w:val="0"/>
              <w:widowControl/>
              <w:numPr>
                <w:ilvl w:val="0"/>
                <w:numId w:val="88"/>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支持规培医生的报告诊断以及双签报告模式。</w:t>
            </w:r>
          </w:p>
          <w:p w14:paraId="518E2BC9">
            <w:pPr>
              <w:keepNext w:val="0"/>
              <w:keepLines w:val="0"/>
              <w:pageBreakBefore w:val="0"/>
              <w:widowControl/>
              <w:numPr>
                <w:ilvl w:val="0"/>
                <w:numId w:val="88"/>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支持报告电子签名验证功能。</w:t>
            </w:r>
          </w:p>
          <w:p w14:paraId="54271FD9">
            <w:pPr>
              <w:keepNext w:val="0"/>
              <w:keepLines w:val="0"/>
              <w:pageBreakBefore w:val="0"/>
              <w:widowControl/>
              <w:numPr>
                <w:ilvl w:val="0"/>
                <w:numId w:val="88"/>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支持医疗机构的自助打印功能。</w:t>
            </w:r>
          </w:p>
          <w:p w14:paraId="4D3F90B2">
            <w:pPr>
              <w:keepNext w:val="0"/>
              <w:keepLines w:val="0"/>
              <w:pageBreakBefore w:val="0"/>
              <w:widowControl/>
              <w:numPr>
                <w:ilvl w:val="0"/>
                <w:numId w:val="88"/>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收藏夹支持自定义文件夹；对操作中的报告可收藏为教学病例。</w:t>
            </w:r>
          </w:p>
          <w:p w14:paraId="532A9128">
            <w:pPr>
              <w:keepNext w:val="0"/>
              <w:keepLines w:val="0"/>
              <w:pageBreakBefore w:val="0"/>
              <w:widowControl/>
              <w:numPr>
                <w:ilvl w:val="0"/>
                <w:numId w:val="88"/>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提供孕周计算器，可以根据末次月经、测量值计算孕周及预产期。</w:t>
            </w:r>
          </w:p>
          <w:p w14:paraId="102AD1BF">
            <w:pPr>
              <w:keepNext w:val="0"/>
              <w:keepLines w:val="0"/>
              <w:pageBreakBefore w:val="0"/>
              <w:widowControl/>
              <w:numPr>
                <w:ilvl w:val="0"/>
                <w:numId w:val="88"/>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支持报告对比： 医生编辑报告时，若当前检查存在相关历史病历，点击报告对比可在同一屏展示，帮助医生快速预览对比多份报告，提高报告诊断效率。</w:t>
            </w:r>
          </w:p>
          <w:p w14:paraId="622612BC">
            <w:pPr>
              <w:keepNext w:val="0"/>
              <w:keepLines w:val="0"/>
              <w:pageBreakBefore w:val="0"/>
              <w:widowControl/>
              <w:numPr>
                <w:ilvl w:val="0"/>
                <w:numId w:val="88"/>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lang w:val="en-US" w:eastAsia="zh-CN"/>
              </w:rPr>
              <w:t>支持妇科检查后定期将病理结果推送到PACS系统中弹窗提醒。</w:t>
            </w:r>
          </w:p>
        </w:tc>
      </w:tr>
      <w:tr w14:paraId="72E1E877">
        <w:tblPrEx>
          <w:tblCellMar>
            <w:top w:w="0" w:type="dxa"/>
            <w:left w:w="108" w:type="dxa"/>
            <w:bottom w:w="0" w:type="dxa"/>
            <w:right w:w="108" w:type="dxa"/>
          </w:tblCellMar>
        </w:tblPrEx>
        <w:trPr>
          <w:trHeight w:val="2806" w:hRule="atLeast"/>
        </w:trPr>
        <w:tc>
          <w:tcPr>
            <w:tcW w:w="1138" w:type="dxa"/>
            <w:vMerge w:val="continue"/>
            <w:tcBorders>
              <w:left w:val="single" w:color="auto" w:sz="4" w:space="0"/>
              <w:bottom w:val="single" w:color="000000" w:sz="8" w:space="0"/>
              <w:right w:val="single" w:color="auto" w:sz="4" w:space="0"/>
            </w:tcBorders>
            <w:noWrap w:val="0"/>
            <w:vAlign w:val="center"/>
          </w:tcPr>
          <w:p w14:paraId="11E74124">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rPr>
            </w:pPr>
          </w:p>
        </w:tc>
        <w:tc>
          <w:tcPr>
            <w:tcW w:w="1077" w:type="dxa"/>
            <w:tcBorders>
              <w:top w:val="nil"/>
              <w:left w:val="nil"/>
              <w:bottom w:val="single" w:color="auto" w:sz="8" w:space="0"/>
              <w:right w:val="single" w:color="auto" w:sz="8" w:space="0"/>
            </w:tcBorders>
            <w:noWrap w:val="0"/>
            <w:vAlign w:val="center"/>
          </w:tcPr>
          <w:p w14:paraId="26D3B04A">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default" w:ascii="宋体" w:hAnsi="宋体" w:cs="宋体"/>
                <w:color w:val="auto"/>
                <w:kern w:val="0"/>
                <w:szCs w:val="21"/>
                <w:lang w:val="en-US" w:eastAsia="zh-CN"/>
              </w:rPr>
            </w:pPr>
            <w:r>
              <w:rPr>
                <w:rFonts w:hint="eastAsia" w:ascii="宋体" w:hAnsi="宋体" w:cs="宋体"/>
                <w:color w:val="auto"/>
                <w:kern w:val="0"/>
                <w:szCs w:val="21"/>
                <w:lang w:val="en-US" w:eastAsia="zh-CN"/>
              </w:rPr>
              <w:t>3.6检查参数配置</w:t>
            </w:r>
          </w:p>
        </w:tc>
        <w:tc>
          <w:tcPr>
            <w:tcW w:w="7683" w:type="dxa"/>
            <w:tcBorders>
              <w:top w:val="nil"/>
              <w:left w:val="nil"/>
              <w:bottom w:val="single" w:color="auto" w:sz="8" w:space="0"/>
              <w:right w:val="single" w:color="auto" w:sz="8" w:space="0"/>
            </w:tcBorders>
            <w:noWrap w:val="0"/>
            <w:vAlign w:val="center"/>
          </w:tcPr>
          <w:p w14:paraId="49F1DA5C">
            <w:pPr>
              <w:keepNext w:val="0"/>
              <w:keepLines w:val="0"/>
              <w:pageBreakBefore w:val="0"/>
              <w:widowControl/>
              <w:numPr>
                <w:ilvl w:val="0"/>
                <w:numId w:val="89"/>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常规超声测值一体化设计，可以根据医院自定义参数模板样式即改即用。</w:t>
            </w:r>
          </w:p>
          <w:p w14:paraId="3A23F678">
            <w:pPr>
              <w:keepNext w:val="0"/>
              <w:keepLines w:val="0"/>
              <w:pageBreakBefore w:val="0"/>
              <w:widowControl/>
              <w:numPr>
                <w:ilvl w:val="0"/>
                <w:numId w:val="89"/>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支持按性别/年龄显示检查参数参考范围值。</w:t>
            </w:r>
          </w:p>
          <w:p w14:paraId="39DA9351">
            <w:pPr>
              <w:keepNext w:val="0"/>
              <w:keepLines w:val="0"/>
              <w:pageBreakBefore w:val="0"/>
              <w:widowControl/>
              <w:numPr>
                <w:ilvl w:val="0"/>
                <w:numId w:val="89"/>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提供早早孕、早孕NT、中晚孕一二三级、胎儿心脏、成人心脏、妇科、颅脑等参数的检查总表。</w:t>
            </w:r>
          </w:p>
          <w:p w14:paraId="181ADE19">
            <w:pPr>
              <w:keepNext w:val="0"/>
              <w:keepLines w:val="0"/>
              <w:pageBreakBefore w:val="0"/>
              <w:widowControl/>
              <w:numPr>
                <w:ilvl w:val="0"/>
                <w:numId w:val="89"/>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根据《中国成年人超声心动图检查测量指南》提供成人心脏的标准检查参数与不同性别/年龄下对应的参考范围。</w:t>
            </w:r>
          </w:p>
          <w:p w14:paraId="4296EBF7">
            <w:pPr>
              <w:keepNext w:val="0"/>
              <w:keepLines w:val="0"/>
              <w:pageBreakBefore w:val="0"/>
              <w:widowControl/>
              <w:numPr>
                <w:ilvl w:val="0"/>
                <w:numId w:val="89"/>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支持DICOM影像SR检查测量参数智能提取并自动填充到参数列表中。</w:t>
            </w:r>
          </w:p>
          <w:p w14:paraId="58A5DE6A">
            <w:pPr>
              <w:keepNext w:val="0"/>
              <w:keepLines w:val="0"/>
              <w:pageBreakBefore w:val="0"/>
              <w:widowControl/>
              <w:numPr>
                <w:ilvl w:val="0"/>
                <w:numId w:val="89"/>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提供超声检查参数实时预警： 支持选择范围区间或箭头指示样式。按范围区间展示时，正常值显示在区间内，异常值显示在区间外；按箭头指示展示时，异常值以高亮上下箭头标示。</w:t>
            </w:r>
          </w:p>
          <w:p w14:paraId="1B971702">
            <w:pPr>
              <w:keepNext w:val="0"/>
              <w:keepLines w:val="0"/>
              <w:pageBreakBefore w:val="0"/>
              <w:widowControl/>
              <w:numPr>
                <w:ilvl w:val="0"/>
                <w:numId w:val="89"/>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支持多胎参数填写：在诊断报告编辑界面选择相应的胎儿ID即可分别录值。</w:t>
            </w:r>
          </w:p>
          <w:p w14:paraId="411F6205">
            <w:pPr>
              <w:keepNext w:val="0"/>
              <w:keepLines w:val="0"/>
              <w:pageBreakBefore w:val="0"/>
              <w:widowControl/>
              <w:numPr>
                <w:ilvl w:val="0"/>
                <w:numId w:val="89"/>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提供多种参数的结构化存储功能，便于科研数据记录。这些参数包含胎儿头部、胎儿腹部、胎儿胸部、胎儿四肢、胎儿心脏、心功能、其他测量的数据，包含二维、多普勒、M超测量的数据、包含利用内置公式及相关测值计算后的数据。</w:t>
            </w:r>
          </w:p>
          <w:p w14:paraId="10295249">
            <w:pPr>
              <w:keepNext w:val="0"/>
              <w:keepLines w:val="0"/>
              <w:pageBreakBefore w:val="0"/>
              <w:widowControl/>
              <w:numPr>
                <w:ilvl w:val="0"/>
                <w:numId w:val="89"/>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超声测值自动计算：根据内置参数计算公式自动计算胎儿预估体重、预估孕周。</w:t>
            </w:r>
          </w:p>
          <w:p w14:paraId="2A0864BF">
            <w:pPr>
              <w:keepNext w:val="0"/>
              <w:keepLines w:val="0"/>
              <w:pageBreakBefore w:val="0"/>
              <w:widowControl/>
              <w:numPr>
                <w:ilvl w:val="0"/>
                <w:numId w:val="89"/>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根据胎儿胎龄，提供intergrowth-21st、NICHD亚裔、Hadlock、中国香港等多种标准计算公式。同时针对同一胎历次检查参数在生长曲线图内一体化显示，部分参数提供对应的百分位数、Z分数计算结果，便于观察胎儿生长趋势，此图支持单独采图打印到报告上提供给患者与产科医生。</w:t>
            </w:r>
          </w:p>
          <w:p w14:paraId="5D98CEC9">
            <w:pPr>
              <w:keepNext w:val="0"/>
              <w:keepLines w:val="0"/>
              <w:pageBreakBefore w:val="0"/>
              <w:widowControl/>
              <w:numPr>
                <w:ilvl w:val="0"/>
                <w:numId w:val="89"/>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支持检查参数设置，便于诊断报告时直接引用；支持编辑报告时需要填入的参数可全键盘录入。</w:t>
            </w:r>
          </w:p>
        </w:tc>
      </w:tr>
      <w:tr w14:paraId="34C95D21">
        <w:tblPrEx>
          <w:tblCellMar>
            <w:top w:w="0" w:type="dxa"/>
            <w:left w:w="108" w:type="dxa"/>
            <w:bottom w:w="0" w:type="dxa"/>
            <w:right w:w="108" w:type="dxa"/>
          </w:tblCellMar>
        </w:tblPrEx>
        <w:trPr>
          <w:trHeight w:val="3735" w:hRule="atLeast"/>
        </w:trPr>
        <w:tc>
          <w:tcPr>
            <w:tcW w:w="1138" w:type="dxa"/>
            <w:vMerge w:val="continue"/>
            <w:tcBorders>
              <w:left w:val="single" w:color="auto" w:sz="4" w:space="0"/>
              <w:bottom w:val="single" w:color="000000" w:sz="8" w:space="0"/>
              <w:right w:val="single" w:color="auto" w:sz="4" w:space="0"/>
            </w:tcBorders>
            <w:noWrap w:val="0"/>
            <w:vAlign w:val="center"/>
          </w:tcPr>
          <w:p w14:paraId="54ACA797">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rPr>
            </w:pPr>
          </w:p>
        </w:tc>
        <w:tc>
          <w:tcPr>
            <w:tcW w:w="1077" w:type="dxa"/>
            <w:tcBorders>
              <w:top w:val="nil"/>
              <w:left w:val="nil"/>
              <w:bottom w:val="single" w:color="auto" w:sz="8" w:space="0"/>
              <w:right w:val="single" w:color="auto" w:sz="8" w:space="0"/>
            </w:tcBorders>
            <w:noWrap w:val="0"/>
            <w:vAlign w:val="center"/>
          </w:tcPr>
          <w:p w14:paraId="4E32FC49">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default" w:ascii="宋体" w:hAnsi="宋体" w:cs="宋体"/>
                <w:color w:val="auto"/>
                <w:kern w:val="0"/>
                <w:szCs w:val="21"/>
                <w:lang w:val="en-US" w:eastAsia="zh-CN"/>
              </w:rPr>
            </w:pPr>
            <w:r>
              <w:rPr>
                <w:rFonts w:hint="eastAsia" w:ascii="宋体" w:hAnsi="宋体" w:cs="宋体"/>
                <w:color w:val="auto"/>
                <w:kern w:val="0"/>
                <w:szCs w:val="21"/>
                <w:lang w:val="en-US" w:eastAsia="zh-CN"/>
              </w:rPr>
              <w:t>3.7结构化报告</w:t>
            </w:r>
          </w:p>
        </w:tc>
        <w:tc>
          <w:tcPr>
            <w:tcW w:w="7683" w:type="dxa"/>
            <w:tcBorders>
              <w:top w:val="nil"/>
              <w:left w:val="nil"/>
              <w:bottom w:val="single" w:color="auto" w:sz="8" w:space="0"/>
              <w:right w:val="single" w:color="auto" w:sz="8" w:space="0"/>
            </w:tcBorders>
            <w:noWrap w:val="0"/>
            <w:vAlign w:val="center"/>
          </w:tcPr>
          <w:p w14:paraId="694FA715">
            <w:pPr>
              <w:keepNext w:val="0"/>
              <w:keepLines w:val="0"/>
              <w:pageBreakBefore w:val="0"/>
              <w:widowControl/>
              <w:numPr>
                <w:ilvl w:val="0"/>
                <w:numId w:val="90"/>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颅内动脉检查参数、血流方向填写，并根据填写血管的参数自动计算血管的狭窄程度、流速比，同时提供血管结构图展示对应部位血管的狭窄程度、血流方向；支持展示勾选血管名称的历史检查趋势，PSV曲线及检查备注；可将血管结构图填入报告，同时该结构图上展示对应血管的狭窄程度、所填血管的速度/深度。</w:t>
            </w:r>
          </w:p>
          <w:p w14:paraId="3E91B47E">
            <w:pPr>
              <w:keepNext w:val="0"/>
              <w:keepLines w:val="0"/>
              <w:pageBreakBefore w:val="0"/>
              <w:widowControl/>
              <w:numPr>
                <w:ilvl w:val="0"/>
                <w:numId w:val="90"/>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颈部血管检查参数填写，并根据填写血管的参数自动计算血管的狭窄程度，同时提供血管结构图展示对应部位血管的狭窄程度；支持展示勾选血管名称的历史检查趋势，PSV曲线及检查备注；可将血管结构图填入报告，同时该结构图上展示对应血管的狭窄程度、所填血管的速度/深度。</w:t>
            </w:r>
          </w:p>
          <w:p w14:paraId="60B4137A">
            <w:pPr>
              <w:keepNext w:val="0"/>
              <w:keepLines w:val="0"/>
              <w:pageBreakBefore w:val="0"/>
              <w:widowControl/>
              <w:numPr>
                <w:ilvl w:val="0"/>
                <w:numId w:val="90"/>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支持胎儿神经系统全结构化报告点选，完成后可生成结构化报告进行打印。</w:t>
            </w:r>
          </w:p>
        </w:tc>
      </w:tr>
      <w:tr w14:paraId="42A0A78C">
        <w:tblPrEx>
          <w:tblCellMar>
            <w:top w:w="0" w:type="dxa"/>
            <w:left w:w="108" w:type="dxa"/>
            <w:bottom w:w="0" w:type="dxa"/>
            <w:right w:w="108" w:type="dxa"/>
          </w:tblCellMar>
        </w:tblPrEx>
        <w:trPr>
          <w:trHeight w:val="5283" w:hRule="atLeast"/>
        </w:trPr>
        <w:tc>
          <w:tcPr>
            <w:tcW w:w="1138" w:type="dxa"/>
            <w:vMerge w:val="continue"/>
            <w:tcBorders>
              <w:left w:val="single" w:color="auto" w:sz="4" w:space="0"/>
              <w:bottom w:val="single" w:color="000000" w:sz="8" w:space="0"/>
              <w:right w:val="single" w:color="auto" w:sz="4" w:space="0"/>
            </w:tcBorders>
            <w:noWrap w:val="0"/>
            <w:vAlign w:val="center"/>
          </w:tcPr>
          <w:p w14:paraId="1DB97FB0">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rPr>
            </w:pPr>
          </w:p>
        </w:tc>
        <w:tc>
          <w:tcPr>
            <w:tcW w:w="1077" w:type="dxa"/>
            <w:tcBorders>
              <w:top w:val="nil"/>
              <w:left w:val="nil"/>
              <w:bottom w:val="single" w:color="auto" w:sz="8" w:space="0"/>
              <w:right w:val="single" w:color="auto" w:sz="8" w:space="0"/>
            </w:tcBorders>
            <w:noWrap w:val="0"/>
            <w:vAlign w:val="center"/>
          </w:tcPr>
          <w:p w14:paraId="24A5FBE9">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default" w:ascii="宋体" w:hAnsi="宋体" w:cs="宋体"/>
                <w:color w:val="auto"/>
                <w:kern w:val="0"/>
                <w:szCs w:val="21"/>
                <w:lang w:val="en-US" w:eastAsia="zh-CN"/>
              </w:rPr>
            </w:pPr>
            <w:r>
              <w:rPr>
                <w:rFonts w:hint="eastAsia" w:ascii="宋体" w:hAnsi="宋体" w:cs="宋体"/>
                <w:color w:val="auto"/>
                <w:kern w:val="0"/>
                <w:szCs w:val="21"/>
                <w:lang w:val="en-US" w:eastAsia="zh-CN"/>
              </w:rPr>
              <w:t>3.8病历管理</w:t>
            </w:r>
          </w:p>
        </w:tc>
        <w:tc>
          <w:tcPr>
            <w:tcW w:w="7683" w:type="dxa"/>
            <w:tcBorders>
              <w:top w:val="nil"/>
              <w:left w:val="nil"/>
              <w:bottom w:val="single" w:color="auto" w:sz="8" w:space="0"/>
              <w:right w:val="single" w:color="auto" w:sz="8" w:space="0"/>
            </w:tcBorders>
            <w:noWrap w:val="0"/>
            <w:vAlign w:val="center"/>
          </w:tcPr>
          <w:p w14:paraId="1324A89B">
            <w:pPr>
              <w:keepNext w:val="0"/>
              <w:keepLines w:val="0"/>
              <w:pageBreakBefore w:val="0"/>
              <w:widowControl/>
              <w:numPr>
                <w:ilvl w:val="0"/>
                <w:numId w:val="91"/>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支持精确查询和模糊查询功能。</w:t>
            </w:r>
          </w:p>
          <w:p w14:paraId="0FBE8307">
            <w:pPr>
              <w:keepNext w:val="0"/>
              <w:keepLines w:val="0"/>
              <w:pageBreakBefore w:val="0"/>
              <w:widowControl/>
              <w:numPr>
                <w:ilvl w:val="0"/>
                <w:numId w:val="91"/>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支持普通查询方式：根据患者信息、检查状态、检查医生、检查设备、检查日期、检查类型、签名状态等条件检索患者检查信息，多种检查条件可自由组合。</w:t>
            </w:r>
          </w:p>
          <w:p w14:paraId="12448647">
            <w:pPr>
              <w:keepNext w:val="0"/>
              <w:keepLines w:val="0"/>
              <w:pageBreakBefore w:val="0"/>
              <w:widowControl/>
              <w:numPr>
                <w:ilvl w:val="0"/>
                <w:numId w:val="91"/>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高级查询方式：可自由选择和组合查询字段，支持丰富的查询条件，下拉选择框字段支持包含/不包含，文本输入框字段支持包含/不包含、等于/不等于，数值类字段额外支持大于/小于、大于等于/小于等于，时间字段通过时间选择器筛选，满足多场景精准检索需求。</w:t>
            </w:r>
          </w:p>
          <w:p w14:paraId="1EFB5A87">
            <w:pPr>
              <w:keepNext w:val="0"/>
              <w:keepLines w:val="0"/>
              <w:pageBreakBefore w:val="0"/>
              <w:widowControl/>
              <w:numPr>
                <w:ilvl w:val="0"/>
                <w:numId w:val="91"/>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多形式导出功能：支持导出列表数据以及对应检查影像人工或自动图像，仅导出报告或导出报告及图像。</w:t>
            </w:r>
          </w:p>
          <w:p w14:paraId="44EEA69A">
            <w:pPr>
              <w:keepNext w:val="0"/>
              <w:keepLines w:val="0"/>
              <w:pageBreakBefore w:val="0"/>
              <w:widowControl/>
              <w:numPr>
                <w:ilvl w:val="0"/>
                <w:numId w:val="91"/>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支持自定义设置病历检索条件，并保存用户的使用习惯。</w:t>
            </w:r>
          </w:p>
          <w:p w14:paraId="7DE0641D">
            <w:pPr>
              <w:keepNext w:val="0"/>
              <w:keepLines w:val="0"/>
              <w:pageBreakBefore w:val="0"/>
              <w:widowControl/>
              <w:numPr>
                <w:ilvl w:val="0"/>
                <w:numId w:val="91"/>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检查状态多页签；将待检查、已检查、已诊断、已审核、已复审等状态作为固定页签，方便用户快速进行查询。</w:t>
            </w:r>
          </w:p>
          <w:p w14:paraId="699F9DB0">
            <w:pPr>
              <w:keepNext w:val="0"/>
              <w:keepLines w:val="0"/>
              <w:pageBreakBefore w:val="0"/>
              <w:widowControl/>
              <w:numPr>
                <w:ilvl w:val="0"/>
                <w:numId w:val="91"/>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支持不同来源病人不同颜色显示，如可对急诊患者设置不同背景颜色。</w:t>
            </w:r>
          </w:p>
          <w:p w14:paraId="0C622727">
            <w:pPr>
              <w:keepNext w:val="0"/>
              <w:keepLines w:val="0"/>
              <w:pageBreakBefore w:val="0"/>
              <w:widowControl/>
              <w:numPr>
                <w:ilvl w:val="0"/>
                <w:numId w:val="91"/>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支持检索结果列表的字段和顺序由用户灵活设置，并保存用户习惯。</w:t>
            </w:r>
          </w:p>
          <w:p w14:paraId="709C8C5D">
            <w:pPr>
              <w:keepNext w:val="0"/>
              <w:keepLines w:val="0"/>
              <w:pageBreakBefore w:val="0"/>
              <w:widowControl/>
              <w:numPr>
                <w:ilvl w:val="0"/>
                <w:numId w:val="91"/>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支持检查全流程时间节点展示： 记录开单、登记、检查开始、检查结束、诊断、打印及回传关键节点，并记录操作人及时间。异常时间节点将高亮提示。</w:t>
            </w:r>
          </w:p>
          <w:p w14:paraId="0AEA0532">
            <w:pPr>
              <w:keepNext w:val="0"/>
              <w:keepLines w:val="0"/>
              <w:pageBreakBefore w:val="0"/>
              <w:widowControl/>
              <w:numPr>
                <w:ilvl w:val="0"/>
                <w:numId w:val="91"/>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清空操作医生：支持当报告需要会诊或者其他账号异常占用的情况，可以进行清空对应的操作医生，然后对报告进行查看编辑操作。</w:t>
            </w:r>
          </w:p>
          <w:p w14:paraId="69B2C92D">
            <w:pPr>
              <w:keepNext w:val="0"/>
              <w:keepLines w:val="0"/>
              <w:pageBreakBefore w:val="0"/>
              <w:widowControl/>
              <w:numPr>
                <w:ilvl w:val="0"/>
                <w:numId w:val="91"/>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报告锁定：支持报告诊断完成后24小时后进行自动锁定，并且支持自定义锁定时间。</w:t>
            </w:r>
          </w:p>
          <w:p w14:paraId="66C5D7CC">
            <w:pPr>
              <w:keepNext w:val="0"/>
              <w:keepLines w:val="0"/>
              <w:pageBreakBefore w:val="0"/>
              <w:widowControl/>
              <w:numPr>
                <w:ilvl w:val="0"/>
                <w:numId w:val="91"/>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解除检查锁定：当报告处于锁定状态之后，支持具有权限的医生进行点击解除锁定进行报告查看和编辑。</w:t>
            </w:r>
          </w:p>
          <w:p w14:paraId="58BDD11C">
            <w:pPr>
              <w:keepNext w:val="0"/>
              <w:keepLines w:val="0"/>
              <w:pageBreakBefore w:val="0"/>
              <w:widowControl/>
              <w:numPr>
                <w:ilvl w:val="0"/>
                <w:numId w:val="91"/>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修改检查报告医生：支持对检查数据的检查和报告医生输入密码进行修改。</w:t>
            </w:r>
          </w:p>
          <w:p w14:paraId="200F28A8">
            <w:pPr>
              <w:keepNext w:val="0"/>
              <w:keepLines w:val="0"/>
              <w:pageBreakBefore w:val="0"/>
              <w:widowControl/>
              <w:numPr>
                <w:ilvl w:val="0"/>
                <w:numId w:val="91"/>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检索列表支持：编辑报告、操作日志、解除锁定、打印报告、导出、修改检查医生、修改报告医生、清空操作医生、影像匹配、加入质控、移出质控、痕迹对比、检查全流程、历史病历等功能。</w:t>
            </w:r>
          </w:p>
          <w:p w14:paraId="4A686A2E">
            <w:pPr>
              <w:keepNext w:val="0"/>
              <w:keepLines w:val="0"/>
              <w:pageBreakBefore w:val="0"/>
              <w:widowControl/>
              <w:numPr>
                <w:ilvl w:val="0"/>
                <w:numId w:val="91"/>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收藏列表：支持在诊断中心勾选收藏的数据进行分组展示。</w:t>
            </w:r>
          </w:p>
          <w:p w14:paraId="73FB50A5">
            <w:pPr>
              <w:keepNext w:val="0"/>
              <w:keepLines w:val="0"/>
              <w:pageBreakBefore w:val="0"/>
              <w:widowControl/>
              <w:numPr>
                <w:ilvl w:val="0"/>
                <w:numId w:val="91"/>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快速审核操作：在待审核列表点击审核进入诊断中心进行报告审核，支持直接点击下一条快速进行审核操作。</w:t>
            </w:r>
          </w:p>
        </w:tc>
      </w:tr>
      <w:tr w14:paraId="3B2CE61F">
        <w:tblPrEx>
          <w:tblCellMar>
            <w:top w:w="0" w:type="dxa"/>
            <w:left w:w="108" w:type="dxa"/>
            <w:bottom w:w="0" w:type="dxa"/>
            <w:right w:w="108" w:type="dxa"/>
          </w:tblCellMar>
        </w:tblPrEx>
        <w:trPr>
          <w:trHeight w:val="4664" w:hRule="atLeast"/>
        </w:trPr>
        <w:tc>
          <w:tcPr>
            <w:tcW w:w="1138" w:type="dxa"/>
            <w:vMerge w:val="continue"/>
            <w:tcBorders>
              <w:left w:val="single" w:color="auto" w:sz="4" w:space="0"/>
              <w:bottom w:val="single" w:color="000000" w:sz="8" w:space="0"/>
              <w:right w:val="single" w:color="auto" w:sz="4" w:space="0"/>
            </w:tcBorders>
            <w:noWrap w:val="0"/>
            <w:vAlign w:val="center"/>
          </w:tcPr>
          <w:p w14:paraId="528F1EFA">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rPr>
            </w:pPr>
          </w:p>
        </w:tc>
        <w:tc>
          <w:tcPr>
            <w:tcW w:w="1077" w:type="dxa"/>
            <w:tcBorders>
              <w:top w:val="nil"/>
              <w:left w:val="nil"/>
              <w:bottom w:val="single" w:color="auto" w:sz="8" w:space="0"/>
              <w:right w:val="single" w:color="auto" w:sz="8" w:space="0"/>
            </w:tcBorders>
            <w:noWrap w:val="0"/>
            <w:vAlign w:val="center"/>
          </w:tcPr>
          <w:p w14:paraId="4A6D5903">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default" w:ascii="宋体" w:hAnsi="宋体" w:cs="宋体"/>
                <w:color w:val="auto"/>
                <w:kern w:val="0"/>
                <w:szCs w:val="21"/>
                <w:lang w:val="en-US" w:eastAsia="zh-CN"/>
              </w:rPr>
            </w:pPr>
            <w:r>
              <w:rPr>
                <w:rFonts w:hint="eastAsia" w:ascii="宋体" w:hAnsi="宋体" w:cs="宋体"/>
                <w:color w:val="auto"/>
                <w:kern w:val="0"/>
                <w:szCs w:val="21"/>
                <w:lang w:val="en-US" w:eastAsia="zh-CN"/>
              </w:rPr>
              <w:t>3.9危急值预警及闭环管理</w:t>
            </w:r>
          </w:p>
        </w:tc>
        <w:tc>
          <w:tcPr>
            <w:tcW w:w="7683" w:type="dxa"/>
            <w:tcBorders>
              <w:top w:val="nil"/>
              <w:left w:val="nil"/>
              <w:bottom w:val="single" w:color="auto" w:sz="8" w:space="0"/>
              <w:right w:val="single" w:color="auto" w:sz="8" w:space="0"/>
            </w:tcBorders>
            <w:noWrap w:val="0"/>
            <w:vAlign w:val="center"/>
          </w:tcPr>
          <w:p w14:paraId="303A6EB8">
            <w:pPr>
              <w:keepNext w:val="0"/>
              <w:keepLines w:val="0"/>
              <w:pageBreakBefore w:val="0"/>
              <w:widowControl/>
              <w:numPr>
                <w:ilvl w:val="0"/>
                <w:numId w:val="92"/>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书写报告时支持预警危急值关键词，发现会提示用户出现危急值，是否需要上报，上报后可进行临床接收时间、处理时间，上报医生的知晓时间的闭环管理。</w:t>
            </w:r>
          </w:p>
          <w:p w14:paraId="57950972">
            <w:pPr>
              <w:keepNext w:val="0"/>
              <w:keepLines w:val="0"/>
              <w:pageBreakBefore w:val="0"/>
              <w:widowControl/>
              <w:numPr>
                <w:ilvl w:val="0"/>
                <w:numId w:val="92"/>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支持手动进行上报危急值，同时记录上报时间，对上报30分钟临床未接收的检查进行提醒，检查医生可及时联系临床医生进行处理。</w:t>
            </w:r>
          </w:p>
          <w:p w14:paraId="1D5FF336">
            <w:pPr>
              <w:keepNext w:val="0"/>
              <w:keepLines w:val="0"/>
              <w:pageBreakBefore w:val="0"/>
              <w:widowControl/>
              <w:numPr>
                <w:ilvl w:val="0"/>
                <w:numId w:val="92"/>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对于危急值的检查报告，要求在10分钟内完成报告，否则提醒检查医生及时完成。</w:t>
            </w:r>
          </w:p>
          <w:p w14:paraId="073C3CB1">
            <w:pPr>
              <w:keepNext w:val="0"/>
              <w:keepLines w:val="0"/>
              <w:pageBreakBefore w:val="0"/>
              <w:widowControl/>
              <w:numPr>
                <w:ilvl w:val="0"/>
                <w:numId w:val="92"/>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临床接收危急值后，需要通过接口将处理意见进行回传。</w:t>
            </w:r>
          </w:p>
          <w:p w14:paraId="7D2C55C6">
            <w:pPr>
              <w:keepNext w:val="0"/>
              <w:keepLines w:val="0"/>
              <w:pageBreakBefore w:val="0"/>
              <w:widowControl/>
              <w:numPr>
                <w:ilvl w:val="0"/>
                <w:numId w:val="92"/>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临床回传危急值处理意见后，超声系统会及时通知检查医生进行查看，完成危急值上报的闭环管理。</w:t>
            </w:r>
          </w:p>
          <w:p w14:paraId="4EF4249D">
            <w:pPr>
              <w:keepNext w:val="0"/>
              <w:keepLines w:val="0"/>
              <w:pageBreakBefore w:val="0"/>
              <w:widowControl/>
              <w:numPr>
                <w:ilvl w:val="0"/>
                <w:numId w:val="92"/>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记录危急值上报的各个关键时间点，如检查医生通知时间、临床医生接收时间、临床医生处理时间、检查医生知晓时间。</w:t>
            </w:r>
          </w:p>
          <w:p w14:paraId="25A07356">
            <w:pPr>
              <w:keepNext w:val="0"/>
              <w:keepLines w:val="0"/>
              <w:pageBreakBefore w:val="0"/>
              <w:widowControl/>
              <w:numPr>
                <w:ilvl w:val="0"/>
                <w:numId w:val="92"/>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根据国家卫健委发布的《超声诊断专业医疗质量控制指标（2022年版）》整理提供危急值关键词，同时可以根据医院要求维护其他关键词。</w:t>
            </w:r>
          </w:p>
          <w:p w14:paraId="17990705">
            <w:pPr>
              <w:keepNext w:val="0"/>
              <w:keepLines w:val="0"/>
              <w:pageBreakBefore w:val="0"/>
              <w:widowControl/>
              <w:numPr>
                <w:ilvl w:val="0"/>
                <w:numId w:val="92"/>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支持后台维护管理危急值关键词。</w:t>
            </w:r>
          </w:p>
        </w:tc>
      </w:tr>
      <w:tr w14:paraId="38B90DF0">
        <w:tblPrEx>
          <w:tblCellMar>
            <w:top w:w="0" w:type="dxa"/>
            <w:left w:w="108" w:type="dxa"/>
            <w:bottom w:w="0" w:type="dxa"/>
            <w:right w:w="108" w:type="dxa"/>
          </w:tblCellMar>
        </w:tblPrEx>
        <w:trPr>
          <w:trHeight w:val="2806" w:hRule="atLeast"/>
        </w:trPr>
        <w:tc>
          <w:tcPr>
            <w:tcW w:w="1138" w:type="dxa"/>
            <w:vMerge w:val="continue"/>
            <w:tcBorders>
              <w:left w:val="single" w:color="auto" w:sz="4" w:space="0"/>
              <w:bottom w:val="single" w:color="000000" w:sz="8" w:space="0"/>
              <w:right w:val="single" w:color="auto" w:sz="4" w:space="0"/>
            </w:tcBorders>
            <w:noWrap w:val="0"/>
            <w:vAlign w:val="center"/>
          </w:tcPr>
          <w:p w14:paraId="6E36A6E3">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rPr>
            </w:pPr>
          </w:p>
        </w:tc>
        <w:tc>
          <w:tcPr>
            <w:tcW w:w="1077" w:type="dxa"/>
            <w:tcBorders>
              <w:top w:val="nil"/>
              <w:left w:val="nil"/>
              <w:bottom w:val="single" w:color="auto" w:sz="8" w:space="0"/>
              <w:right w:val="single" w:color="auto" w:sz="8" w:space="0"/>
            </w:tcBorders>
            <w:noWrap w:val="0"/>
            <w:vAlign w:val="center"/>
          </w:tcPr>
          <w:p w14:paraId="5E9A9770">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default" w:ascii="宋体" w:hAnsi="宋体" w:cs="宋体"/>
                <w:color w:val="auto"/>
                <w:kern w:val="0"/>
                <w:szCs w:val="21"/>
                <w:lang w:val="en-US" w:eastAsia="zh-CN"/>
              </w:rPr>
            </w:pPr>
            <w:r>
              <w:rPr>
                <w:rFonts w:hint="eastAsia" w:ascii="宋体" w:hAnsi="宋体" w:cs="宋体"/>
                <w:color w:val="auto"/>
                <w:kern w:val="0"/>
                <w:szCs w:val="21"/>
                <w:lang w:val="en-US" w:eastAsia="zh-CN"/>
              </w:rPr>
              <w:t>3.10结构示意图标记系统</w:t>
            </w:r>
          </w:p>
        </w:tc>
        <w:tc>
          <w:tcPr>
            <w:tcW w:w="7683" w:type="dxa"/>
            <w:tcBorders>
              <w:top w:val="nil"/>
              <w:left w:val="nil"/>
              <w:bottom w:val="single" w:color="auto" w:sz="8" w:space="0"/>
              <w:right w:val="single" w:color="auto" w:sz="8" w:space="0"/>
            </w:tcBorders>
            <w:noWrap w:val="0"/>
            <w:vAlign w:val="center"/>
          </w:tcPr>
          <w:p w14:paraId="2B29302F">
            <w:pPr>
              <w:keepNext w:val="0"/>
              <w:keepLines w:val="0"/>
              <w:pageBreakBefore w:val="0"/>
              <w:widowControl/>
              <w:numPr>
                <w:ilvl w:val="0"/>
                <w:numId w:val="93"/>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诊断时医生可以根据检查部位引用结构示意图，并且可以在示意图上进行标记，标记后可以添加到图像列表打印到报告单上。</w:t>
            </w:r>
          </w:p>
          <w:p w14:paraId="6294AB37">
            <w:pPr>
              <w:keepNext w:val="0"/>
              <w:keepLines w:val="0"/>
              <w:pageBreakBefore w:val="0"/>
              <w:widowControl/>
              <w:numPr>
                <w:ilvl w:val="0"/>
                <w:numId w:val="93"/>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在诊断过程中可以默认展示患者检查部位关联的示意图。</w:t>
            </w:r>
          </w:p>
          <w:p w14:paraId="255AA9DD">
            <w:pPr>
              <w:keepNext w:val="0"/>
              <w:keepLines w:val="0"/>
              <w:pageBreakBefore w:val="0"/>
              <w:widowControl/>
              <w:numPr>
                <w:ilvl w:val="0"/>
                <w:numId w:val="93"/>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支持引用部位示意图，并在图上直接画出一个或多个病灶点。</w:t>
            </w:r>
          </w:p>
          <w:p w14:paraId="4D71103B">
            <w:pPr>
              <w:keepNext w:val="0"/>
              <w:keepLines w:val="0"/>
              <w:pageBreakBefore w:val="0"/>
              <w:widowControl/>
              <w:numPr>
                <w:ilvl w:val="0"/>
                <w:numId w:val="93"/>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支持标记的病灶示意图添加至影像列表，打印在检查报告中，使临床更加清晰明了的清楚病灶位置。</w:t>
            </w:r>
          </w:p>
          <w:p w14:paraId="0653ADF8">
            <w:pPr>
              <w:keepNext w:val="0"/>
              <w:keepLines w:val="0"/>
              <w:pageBreakBefore w:val="0"/>
              <w:widowControl/>
              <w:numPr>
                <w:ilvl w:val="0"/>
                <w:numId w:val="93"/>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支持一个检查病例关联多个示意结构图。</w:t>
            </w:r>
          </w:p>
          <w:p w14:paraId="0AE1795C">
            <w:pPr>
              <w:keepNext w:val="0"/>
              <w:keepLines w:val="0"/>
              <w:pageBreakBefore w:val="0"/>
              <w:widowControl/>
              <w:numPr>
                <w:ilvl w:val="0"/>
                <w:numId w:val="93"/>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支持后台管理上传示意图的图片。</w:t>
            </w:r>
          </w:p>
          <w:p w14:paraId="303F2290">
            <w:pPr>
              <w:keepNext w:val="0"/>
              <w:keepLines w:val="0"/>
              <w:pageBreakBefore w:val="0"/>
              <w:widowControl/>
              <w:numPr>
                <w:ilvl w:val="0"/>
                <w:numId w:val="93"/>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支持后台管理-检查部位关联一个或多个示意图。</w:t>
            </w:r>
          </w:p>
        </w:tc>
      </w:tr>
      <w:tr w14:paraId="65C7B39B">
        <w:tblPrEx>
          <w:tblCellMar>
            <w:top w:w="0" w:type="dxa"/>
            <w:left w:w="108" w:type="dxa"/>
            <w:bottom w:w="0" w:type="dxa"/>
            <w:right w:w="108" w:type="dxa"/>
          </w:tblCellMar>
        </w:tblPrEx>
        <w:trPr>
          <w:trHeight w:val="2187" w:hRule="atLeast"/>
        </w:trPr>
        <w:tc>
          <w:tcPr>
            <w:tcW w:w="1138" w:type="dxa"/>
            <w:vMerge w:val="continue"/>
            <w:tcBorders>
              <w:left w:val="single" w:color="auto" w:sz="4" w:space="0"/>
              <w:bottom w:val="single" w:color="000000" w:sz="8" w:space="0"/>
              <w:right w:val="single" w:color="auto" w:sz="4" w:space="0"/>
            </w:tcBorders>
            <w:noWrap w:val="0"/>
            <w:vAlign w:val="center"/>
          </w:tcPr>
          <w:p w14:paraId="1E378F7C">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rPr>
            </w:pPr>
          </w:p>
        </w:tc>
        <w:tc>
          <w:tcPr>
            <w:tcW w:w="1077" w:type="dxa"/>
            <w:tcBorders>
              <w:top w:val="nil"/>
              <w:left w:val="nil"/>
              <w:bottom w:val="single" w:color="auto" w:sz="8" w:space="0"/>
              <w:right w:val="single" w:color="auto" w:sz="8" w:space="0"/>
            </w:tcBorders>
            <w:noWrap w:val="0"/>
            <w:vAlign w:val="center"/>
          </w:tcPr>
          <w:p w14:paraId="20BC1EA8">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default" w:ascii="宋体" w:hAnsi="宋体" w:eastAsia="宋体" w:cs="宋体"/>
                <w:color w:val="auto"/>
                <w:kern w:val="0"/>
                <w:szCs w:val="21"/>
                <w:lang w:val="en-US" w:eastAsia="zh-CN"/>
              </w:rPr>
            </w:pPr>
            <w:r>
              <w:rPr>
                <w:rFonts w:hint="eastAsia" w:ascii="宋体" w:hAnsi="宋体" w:cs="宋体"/>
                <w:color w:val="auto"/>
                <w:kern w:val="0"/>
                <w:szCs w:val="21"/>
                <w:lang w:val="en-US" w:eastAsia="zh-CN"/>
              </w:rPr>
              <w:t>3.11科室管理</w:t>
            </w:r>
          </w:p>
        </w:tc>
        <w:tc>
          <w:tcPr>
            <w:tcW w:w="7683" w:type="dxa"/>
            <w:tcBorders>
              <w:top w:val="nil"/>
              <w:left w:val="nil"/>
              <w:bottom w:val="single" w:color="auto" w:sz="8" w:space="0"/>
              <w:right w:val="single" w:color="auto" w:sz="8" w:space="0"/>
            </w:tcBorders>
            <w:noWrap w:val="0"/>
            <w:vAlign w:val="center"/>
          </w:tcPr>
          <w:p w14:paraId="5C2F47EC">
            <w:pPr>
              <w:keepNext w:val="0"/>
              <w:keepLines w:val="0"/>
              <w:pageBreakBefore w:val="0"/>
              <w:widowControl/>
              <w:numPr>
                <w:ilvl w:val="0"/>
                <w:numId w:val="94"/>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报表展示设计：按照实际需求设计自定义报表。</w:t>
            </w:r>
          </w:p>
          <w:p w14:paraId="577C6B82">
            <w:pPr>
              <w:keepNext w:val="0"/>
              <w:keepLines w:val="0"/>
              <w:pageBreakBefore w:val="0"/>
              <w:widowControl/>
              <w:numPr>
                <w:ilvl w:val="0"/>
                <w:numId w:val="94"/>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科室工作维度统计：从下面几个报表维度进行统计科室工作：诊断医生工作量、记录医生工作量、登记医生工作量、会诊医生工作量、设备工作量、医嘱项目分类、阳性率统计、危急值数据统计。</w:t>
            </w:r>
          </w:p>
          <w:p w14:paraId="3CE8E5BB">
            <w:pPr>
              <w:keepNext w:val="0"/>
              <w:keepLines w:val="0"/>
              <w:pageBreakBefore w:val="0"/>
              <w:widowControl/>
              <w:numPr>
                <w:ilvl w:val="0"/>
                <w:numId w:val="94"/>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患者服务维度：从患者等待时长报表维度进行统计患者服务。</w:t>
            </w:r>
          </w:p>
          <w:p w14:paraId="2FF6D36D">
            <w:pPr>
              <w:keepNext w:val="0"/>
              <w:keepLines w:val="0"/>
              <w:pageBreakBefore w:val="0"/>
              <w:widowControl/>
              <w:numPr>
                <w:ilvl w:val="0"/>
                <w:numId w:val="94"/>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可设计报表、打印报表、导出数据保存为Excel文件。</w:t>
            </w:r>
          </w:p>
          <w:p w14:paraId="79CB1051">
            <w:pPr>
              <w:keepNext w:val="0"/>
              <w:keepLines w:val="0"/>
              <w:pageBreakBefore w:val="0"/>
              <w:widowControl/>
              <w:numPr>
                <w:ilvl w:val="0"/>
                <w:numId w:val="94"/>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图表跳转：支持查看主表数据时点击需要调整的字段进行跳转查看对应的明细数据。</w:t>
            </w:r>
          </w:p>
          <w:p w14:paraId="612E8C59">
            <w:pPr>
              <w:keepNext w:val="0"/>
              <w:keepLines w:val="0"/>
              <w:pageBreakBefore w:val="0"/>
              <w:widowControl/>
              <w:numPr>
                <w:ilvl w:val="0"/>
                <w:numId w:val="94"/>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驾驶舱大屏：支持统计超声日常的工作数据进行大屏展示，包括但不限于医生工作量汇总展示、患者等待时长统计、设备工作量统计、申请单数量与工作量对比展示、十八项质控指标统计。</w:t>
            </w:r>
          </w:p>
          <w:p w14:paraId="38D88638">
            <w:pPr>
              <w:keepNext w:val="0"/>
              <w:keepLines w:val="0"/>
              <w:pageBreakBefore w:val="0"/>
              <w:widowControl/>
              <w:numPr>
                <w:ilvl w:val="0"/>
                <w:numId w:val="94"/>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按照国家卫生健康委《超声诊断专业医疗质量控制指标（2022年版）》要求13项质控指标以及最新5项单病种质控指标，除超声仪器质检率和超声介入相关主要并发症发生率两个指标外，支持16项质控指标的自动统计：1、超声医师月均工作量；2、住院超声检查48小时完成率；3、超声危急值10分钟内通报完成率；4、超声报告书写合格率；5、乳腺病变超声报告进行乳腺影像报告和数据系统(BI-RADS)分类率；6、门急诊超声报告阳性率；7、住院超声报告阳性率；8、超声筛查中胎儿重大致死性畸形的检出率；9、超声诊断符合率； 10、乳腺占位超声诊断准确率；11、颈动脉狭窄（ ≥ 50% ）超声诊断符合率 ）；12、甲状腺结节超声报告指南使用率；13、卵巢-附件病变超声报告进行卵巢-附件报告和数据系统（O-RADS)分类率；14、超声危急值诊断符合率；15、甲状腺结节超声诊断符合率；16、卵巢-附件病变超声诊断符合率。</w:t>
            </w:r>
          </w:p>
          <w:p w14:paraId="656A09EC">
            <w:pPr>
              <w:keepNext w:val="0"/>
              <w:keepLines w:val="0"/>
              <w:pageBreakBefore w:val="0"/>
              <w:widowControl/>
              <w:numPr>
                <w:ilvl w:val="0"/>
                <w:numId w:val="94"/>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支持导出指标内容。</w:t>
            </w:r>
          </w:p>
          <w:p w14:paraId="7648E67B">
            <w:pPr>
              <w:keepNext w:val="0"/>
              <w:keepLines w:val="0"/>
              <w:pageBreakBefore w:val="0"/>
              <w:widowControl/>
              <w:numPr>
                <w:ilvl w:val="0"/>
                <w:numId w:val="94"/>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支持每个质控指标查看具体的统计数据详情，以及对应的趋势图表。</w:t>
            </w:r>
          </w:p>
        </w:tc>
      </w:tr>
      <w:tr w14:paraId="077D5770">
        <w:tblPrEx>
          <w:tblCellMar>
            <w:top w:w="0" w:type="dxa"/>
            <w:left w:w="108" w:type="dxa"/>
            <w:bottom w:w="0" w:type="dxa"/>
            <w:right w:w="108" w:type="dxa"/>
          </w:tblCellMar>
        </w:tblPrEx>
        <w:trPr>
          <w:trHeight w:val="330" w:hRule="atLeast"/>
        </w:trPr>
        <w:tc>
          <w:tcPr>
            <w:tcW w:w="9898" w:type="dxa"/>
            <w:gridSpan w:val="3"/>
            <w:tcBorders>
              <w:top w:val="nil"/>
              <w:left w:val="single" w:color="auto" w:sz="8" w:space="0"/>
              <w:bottom w:val="single" w:color="000000" w:sz="8" w:space="0"/>
              <w:right w:val="single" w:color="auto" w:sz="8" w:space="0"/>
            </w:tcBorders>
            <w:noWrap w:val="0"/>
            <w:vAlign w:val="center"/>
          </w:tcPr>
          <w:p w14:paraId="7D53070F">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jc w:val="left"/>
              <w:textAlignment w:val="auto"/>
              <w:rPr>
                <w:rFonts w:hint="default" w:ascii="宋体" w:hAnsi="宋体" w:eastAsia="宋体" w:cs="宋体"/>
                <w:color w:val="auto"/>
                <w:kern w:val="0"/>
                <w:szCs w:val="21"/>
                <w:lang w:val="en-US" w:eastAsia="zh-CN"/>
              </w:rPr>
            </w:pPr>
            <w:r>
              <w:rPr>
                <w:rFonts w:hint="eastAsia" w:ascii="宋体" w:hAnsi="宋体" w:eastAsia="宋体" w:cs="宋体"/>
                <w:color w:val="auto"/>
                <w:kern w:val="0"/>
                <w:szCs w:val="21"/>
                <w:lang w:val="en-US" w:eastAsia="zh-CN"/>
              </w:rPr>
              <w:t>二、超声全流程质控系统</w:t>
            </w:r>
          </w:p>
        </w:tc>
      </w:tr>
      <w:tr w14:paraId="54F68297">
        <w:tblPrEx>
          <w:tblCellMar>
            <w:top w:w="0" w:type="dxa"/>
            <w:left w:w="108" w:type="dxa"/>
            <w:bottom w:w="0" w:type="dxa"/>
            <w:right w:w="108" w:type="dxa"/>
          </w:tblCellMar>
        </w:tblPrEx>
        <w:trPr>
          <w:trHeight w:val="2497" w:hRule="atLeast"/>
        </w:trPr>
        <w:tc>
          <w:tcPr>
            <w:tcW w:w="1138" w:type="dxa"/>
            <w:vMerge w:val="restart"/>
            <w:tcBorders>
              <w:top w:val="nil"/>
              <w:left w:val="single" w:color="auto" w:sz="8" w:space="0"/>
              <w:right w:val="single" w:color="auto" w:sz="8" w:space="0"/>
            </w:tcBorders>
            <w:noWrap w:val="0"/>
            <w:vAlign w:val="center"/>
          </w:tcPr>
          <w:p w14:paraId="4823B745">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default" w:ascii="宋体" w:hAnsi="宋体" w:eastAsia="宋体" w:cs="宋体"/>
                <w:color w:val="auto"/>
                <w:kern w:val="0"/>
                <w:szCs w:val="21"/>
                <w:lang w:val="en-US" w:eastAsia="zh-CN"/>
              </w:rPr>
            </w:pPr>
            <w:r>
              <w:rPr>
                <w:rFonts w:hint="eastAsia" w:ascii="宋体" w:hAnsi="宋体" w:eastAsia="宋体" w:cs="宋体"/>
                <w:color w:val="auto"/>
                <w:kern w:val="0"/>
                <w:szCs w:val="21"/>
                <w:lang w:val="en-US" w:eastAsia="zh-CN"/>
              </w:rPr>
              <w:t>1.超声全流程质控</w:t>
            </w:r>
          </w:p>
        </w:tc>
        <w:tc>
          <w:tcPr>
            <w:tcW w:w="1077" w:type="dxa"/>
            <w:tcBorders>
              <w:top w:val="nil"/>
              <w:left w:val="nil"/>
              <w:bottom w:val="single" w:color="auto" w:sz="8" w:space="0"/>
              <w:right w:val="single" w:color="auto" w:sz="8" w:space="0"/>
            </w:tcBorders>
            <w:noWrap w:val="0"/>
            <w:vAlign w:val="center"/>
          </w:tcPr>
          <w:p w14:paraId="24CAD68A">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default" w:ascii="宋体" w:hAnsi="宋体" w:eastAsia="宋体" w:cs="宋体"/>
                <w:color w:val="auto"/>
                <w:kern w:val="0"/>
                <w:szCs w:val="21"/>
                <w:lang w:val="en-US" w:eastAsia="zh-CN"/>
              </w:rPr>
            </w:pPr>
            <w:r>
              <w:rPr>
                <w:rFonts w:hint="eastAsia" w:ascii="宋体" w:hAnsi="宋体" w:eastAsia="宋体" w:cs="宋体"/>
                <w:color w:val="auto"/>
                <w:kern w:val="0"/>
                <w:szCs w:val="21"/>
                <w:lang w:val="en-US" w:eastAsia="zh-CN"/>
              </w:rPr>
              <w:t>1.1基本要求</w:t>
            </w:r>
          </w:p>
        </w:tc>
        <w:tc>
          <w:tcPr>
            <w:tcW w:w="7683" w:type="dxa"/>
            <w:tcBorders>
              <w:top w:val="nil"/>
              <w:left w:val="nil"/>
              <w:bottom w:val="single" w:color="auto" w:sz="8" w:space="0"/>
              <w:right w:val="single" w:color="auto" w:sz="8" w:space="0"/>
            </w:tcBorders>
            <w:noWrap w:val="0"/>
            <w:vAlign w:val="center"/>
          </w:tcPr>
          <w:p w14:paraId="3B249EFB">
            <w:pPr>
              <w:keepNext w:val="0"/>
              <w:keepLines w:val="0"/>
              <w:pageBreakBefore w:val="0"/>
              <w:widowControl/>
              <w:numPr>
                <w:ilvl w:val="0"/>
                <w:numId w:val="95"/>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实时展示登录人员的各类待办事项，系统产生新的待处理的事件可在首页显示，并可直接点击进入对应的页面进行处理。</w:t>
            </w:r>
          </w:p>
          <w:p w14:paraId="5CA03875">
            <w:pPr>
              <w:keepNext w:val="0"/>
              <w:keepLines w:val="0"/>
              <w:pageBreakBefore w:val="0"/>
              <w:widowControl/>
              <w:numPr>
                <w:ilvl w:val="0"/>
                <w:numId w:val="95"/>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默认展示上月超声科的质控评分排名，需提供影像质控系统相关著作权登记证书作为佐证材料。</w:t>
            </w:r>
          </w:p>
          <w:p w14:paraId="3999AB84">
            <w:pPr>
              <w:keepNext w:val="0"/>
              <w:keepLines w:val="0"/>
              <w:pageBreakBefore w:val="0"/>
              <w:widowControl/>
              <w:numPr>
                <w:ilvl w:val="0"/>
                <w:numId w:val="95"/>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支持按日期预览科室内医生过程质控异常事件的发生情况。</w:t>
            </w:r>
          </w:p>
          <w:p w14:paraId="2B28EB4C">
            <w:pPr>
              <w:keepNext w:val="0"/>
              <w:keepLines w:val="0"/>
              <w:pageBreakBefore w:val="0"/>
              <w:widowControl/>
              <w:numPr>
                <w:ilvl w:val="0"/>
                <w:numId w:val="95"/>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支持按周展示登录用户上周的科室工作评分项加分减分情况。</w:t>
            </w:r>
          </w:p>
          <w:p w14:paraId="749534FF">
            <w:pPr>
              <w:keepNext w:val="0"/>
              <w:keepLines w:val="0"/>
              <w:pageBreakBefore w:val="0"/>
              <w:widowControl/>
              <w:numPr>
                <w:ilvl w:val="0"/>
                <w:numId w:val="95"/>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系统需包含检查过程质控、科室工作质控、图像报告质控、病例随访评价、质控指标、成果报告功能</w:t>
            </w:r>
          </w:p>
        </w:tc>
      </w:tr>
      <w:tr w14:paraId="1A724F73">
        <w:tblPrEx>
          <w:tblCellMar>
            <w:top w:w="0" w:type="dxa"/>
            <w:left w:w="108" w:type="dxa"/>
            <w:bottom w:w="0" w:type="dxa"/>
            <w:right w:w="108" w:type="dxa"/>
          </w:tblCellMar>
        </w:tblPrEx>
        <w:trPr>
          <w:trHeight w:val="5593" w:hRule="atLeast"/>
        </w:trPr>
        <w:tc>
          <w:tcPr>
            <w:tcW w:w="1138" w:type="dxa"/>
            <w:vMerge w:val="continue"/>
            <w:tcBorders>
              <w:left w:val="single" w:color="auto" w:sz="8" w:space="0"/>
              <w:right w:val="single" w:color="auto" w:sz="8" w:space="0"/>
            </w:tcBorders>
            <w:noWrap w:val="0"/>
            <w:vAlign w:val="center"/>
          </w:tcPr>
          <w:p w14:paraId="01BAE95C">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default" w:ascii="宋体" w:hAnsi="宋体" w:cs="宋体"/>
                <w:color w:val="auto"/>
                <w:kern w:val="0"/>
                <w:szCs w:val="21"/>
                <w:lang w:val="en-US"/>
              </w:rPr>
            </w:pPr>
          </w:p>
        </w:tc>
        <w:tc>
          <w:tcPr>
            <w:tcW w:w="1077" w:type="dxa"/>
            <w:tcBorders>
              <w:top w:val="nil"/>
              <w:left w:val="nil"/>
              <w:bottom w:val="single" w:color="auto" w:sz="8" w:space="0"/>
              <w:right w:val="single" w:color="auto" w:sz="8" w:space="0"/>
            </w:tcBorders>
            <w:noWrap w:val="0"/>
            <w:vAlign w:val="center"/>
          </w:tcPr>
          <w:p w14:paraId="67FF879D">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default" w:ascii="宋体" w:hAnsi="宋体" w:eastAsia="宋体" w:cs="宋体"/>
                <w:color w:val="auto"/>
                <w:kern w:val="0"/>
                <w:szCs w:val="21"/>
                <w:lang w:val="en-US" w:eastAsia="zh-CN"/>
              </w:rPr>
            </w:pPr>
            <w:r>
              <w:rPr>
                <w:rFonts w:hint="eastAsia" w:ascii="宋体" w:hAnsi="宋体" w:eastAsia="宋体" w:cs="宋体"/>
                <w:color w:val="auto"/>
                <w:kern w:val="0"/>
                <w:szCs w:val="21"/>
                <w:lang w:val="en-US" w:eastAsia="zh-CN"/>
              </w:rPr>
              <w:t>1.2检查过程质控</w:t>
            </w:r>
          </w:p>
        </w:tc>
        <w:tc>
          <w:tcPr>
            <w:tcW w:w="7683" w:type="dxa"/>
            <w:tcBorders>
              <w:top w:val="nil"/>
              <w:left w:val="nil"/>
              <w:bottom w:val="single" w:color="auto" w:sz="8" w:space="0"/>
              <w:right w:val="single" w:color="auto" w:sz="8" w:space="0"/>
            </w:tcBorders>
            <w:noWrap w:val="0"/>
            <w:vAlign w:val="center"/>
          </w:tcPr>
          <w:p w14:paraId="18ACB0CB">
            <w:pPr>
              <w:keepNext w:val="0"/>
              <w:keepLines w:val="0"/>
              <w:pageBreakBefore w:val="0"/>
              <w:widowControl/>
              <w:numPr>
                <w:ilvl w:val="0"/>
                <w:numId w:val="96"/>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每隔3分钟获取一次本科室内所有超声PACS系统的日志信息并以登录的检查医生为单位显示在页面上，包括所有的登录、登出、叫号、检查开始、检查结束相关信息。</w:t>
            </w:r>
          </w:p>
          <w:p w14:paraId="366FA54E">
            <w:pPr>
              <w:keepNext w:val="0"/>
              <w:keepLines w:val="0"/>
              <w:pageBreakBefore w:val="0"/>
              <w:widowControl/>
              <w:numPr>
                <w:ilvl w:val="0"/>
                <w:numId w:val="96"/>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分析每个检查医生登录、登出、叫号、检查开始、检查结束的时间，依据后台管理设置内容，分析每个检查医生是否迟到、是否超出规定时间不叫号、是否跳号叫号、是否一个检查相对于其检查部位所花时间过长或过短，并根据后台设置标记出这些异常的信息形成异常事件，以供有权限的人员查看，同时每个检查医生也可以查看自己的这些分析信息。</w:t>
            </w:r>
          </w:p>
          <w:p w14:paraId="39621BFB">
            <w:pPr>
              <w:keepNext w:val="0"/>
              <w:keepLines w:val="0"/>
              <w:pageBreakBefore w:val="0"/>
              <w:widowControl/>
              <w:numPr>
                <w:ilvl w:val="0"/>
                <w:numId w:val="96"/>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对于系统自动分析出的异常事件，支持对应的检查医生进行申诉，申诉后，可由有权限的人员进行处理，可取消该异常事件，也可选择保留异常事件。</w:t>
            </w:r>
          </w:p>
          <w:p w14:paraId="65019E91">
            <w:pPr>
              <w:keepNext w:val="0"/>
              <w:keepLines w:val="0"/>
              <w:pageBreakBefore w:val="0"/>
              <w:widowControl/>
              <w:numPr>
                <w:ilvl w:val="0"/>
                <w:numId w:val="96"/>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支持有权限的人员根据时间范围、人员名单、异常事件类型批量取消异常事件。</w:t>
            </w:r>
          </w:p>
          <w:p w14:paraId="3751353B">
            <w:pPr>
              <w:keepNext w:val="0"/>
              <w:keepLines w:val="0"/>
              <w:pageBreakBefore w:val="0"/>
              <w:widowControl/>
              <w:numPr>
                <w:ilvl w:val="0"/>
                <w:numId w:val="96"/>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系统分析出的这些异常信息也可依据后台管理设置添加或不添加科室工作质控填报事件对这个医生进行自动评分，并汇总进这个医生的评分里面。</w:t>
            </w:r>
          </w:p>
          <w:p w14:paraId="46CF3D6D">
            <w:pPr>
              <w:keepNext w:val="0"/>
              <w:keepLines w:val="0"/>
              <w:pageBreakBefore w:val="0"/>
              <w:widowControl/>
              <w:numPr>
                <w:ilvl w:val="0"/>
                <w:numId w:val="96"/>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支持按月统计科室内的异常事件信息</w:t>
            </w:r>
            <w:r>
              <w:rPr>
                <w:rFonts w:hint="eastAsia" w:ascii="宋体" w:hAnsi="宋体" w:eastAsia="宋体" w:cs="宋体"/>
                <w:color w:val="auto"/>
                <w:kern w:val="0"/>
                <w:szCs w:val="21"/>
                <w:lang w:eastAsia="zh-CN"/>
              </w:rPr>
              <w:t>。</w:t>
            </w:r>
          </w:p>
        </w:tc>
      </w:tr>
      <w:tr w14:paraId="6EE56FEB">
        <w:tblPrEx>
          <w:tblCellMar>
            <w:top w:w="0" w:type="dxa"/>
            <w:left w:w="108" w:type="dxa"/>
            <w:bottom w:w="0" w:type="dxa"/>
            <w:right w:w="108" w:type="dxa"/>
          </w:tblCellMar>
        </w:tblPrEx>
        <w:trPr>
          <w:trHeight w:val="4354" w:hRule="atLeast"/>
        </w:trPr>
        <w:tc>
          <w:tcPr>
            <w:tcW w:w="1138" w:type="dxa"/>
            <w:vMerge w:val="continue"/>
            <w:tcBorders>
              <w:left w:val="single" w:color="auto" w:sz="8" w:space="0"/>
              <w:bottom w:val="single" w:color="auto" w:sz="4" w:space="0"/>
              <w:right w:val="single" w:color="auto" w:sz="8" w:space="0"/>
            </w:tcBorders>
            <w:noWrap w:val="0"/>
            <w:vAlign w:val="center"/>
          </w:tcPr>
          <w:p w14:paraId="216FD1EE">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default" w:ascii="宋体" w:hAnsi="宋体" w:eastAsia="宋体" w:cs="宋体"/>
                <w:color w:val="auto"/>
                <w:kern w:val="0"/>
                <w:szCs w:val="21"/>
                <w:lang w:val="en-US" w:eastAsia="zh-CN"/>
              </w:rPr>
            </w:pPr>
          </w:p>
        </w:tc>
        <w:tc>
          <w:tcPr>
            <w:tcW w:w="1077" w:type="dxa"/>
            <w:tcBorders>
              <w:top w:val="nil"/>
              <w:left w:val="nil"/>
              <w:bottom w:val="single" w:color="auto" w:sz="4" w:space="0"/>
              <w:right w:val="single" w:color="auto" w:sz="8" w:space="0"/>
            </w:tcBorders>
            <w:noWrap w:val="0"/>
            <w:vAlign w:val="center"/>
          </w:tcPr>
          <w:p w14:paraId="51E6B7DF">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default" w:ascii="宋体" w:hAnsi="宋体" w:eastAsia="宋体" w:cs="宋体"/>
                <w:color w:val="auto"/>
                <w:kern w:val="0"/>
                <w:szCs w:val="21"/>
                <w:lang w:val="en-US" w:eastAsia="zh-CN"/>
              </w:rPr>
            </w:pPr>
            <w:r>
              <w:rPr>
                <w:rFonts w:hint="eastAsia" w:ascii="宋体" w:hAnsi="宋体" w:eastAsia="宋体" w:cs="宋体"/>
                <w:color w:val="auto"/>
                <w:kern w:val="0"/>
                <w:szCs w:val="21"/>
                <w:lang w:val="en-US" w:eastAsia="zh-CN"/>
              </w:rPr>
              <w:t>1.3科室工作质控</w:t>
            </w:r>
          </w:p>
        </w:tc>
        <w:tc>
          <w:tcPr>
            <w:tcW w:w="7683" w:type="dxa"/>
            <w:tcBorders>
              <w:top w:val="nil"/>
              <w:left w:val="nil"/>
              <w:bottom w:val="single" w:color="auto" w:sz="4" w:space="0"/>
              <w:right w:val="single" w:color="auto" w:sz="8" w:space="0"/>
            </w:tcBorders>
            <w:noWrap w:val="0"/>
            <w:vAlign w:val="center"/>
          </w:tcPr>
          <w:p w14:paraId="113C0644">
            <w:pPr>
              <w:keepNext w:val="0"/>
              <w:keepLines w:val="0"/>
              <w:pageBreakBefore w:val="0"/>
              <w:widowControl/>
              <w:numPr>
                <w:ilvl w:val="0"/>
                <w:numId w:val="97"/>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支持系统内所有用户依据后台维护的科室工作质控评分项对人员进行相关事件的填报。</w:t>
            </w:r>
          </w:p>
          <w:p w14:paraId="3B3071FF">
            <w:pPr>
              <w:keepNext w:val="0"/>
              <w:keepLines w:val="0"/>
              <w:pageBreakBefore w:val="0"/>
              <w:widowControl/>
              <w:numPr>
                <w:ilvl w:val="0"/>
                <w:numId w:val="97"/>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填报时，支持根据评分项规则自动显示被赋分人同一评分项当前周期内目前为止的填报次数及本次推荐分值。</w:t>
            </w:r>
          </w:p>
          <w:p w14:paraId="35547E8A">
            <w:pPr>
              <w:keepNext w:val="0"/>
              <w:keepLines w:val="0"/>
              <w:pageBreakBefore w:val="0"/>
              <w:widowControl/>
              <w:numPr>
                <w:ilvl w:val="0"/>
                <w:numId w:val="97"/>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支持提交填报事件时，检索出该被赋分人填报事件发生当天是否已有该评分项的事件，防止重复填报，若有则进行提醒。</w:t>
            </w:r>
          </w:p>
          <w:p w14:paraId="6EE412DB">
            <w:pPr>
              <w:keepNext w:val="0"/>
              <w:keepLines w:val="0"/>
              <w:pageBreakBefore w:val="0"/>
              <w:widowControl/>
              <w:numPr>
                <w:ilvl w:val="0"/>
                <w:numId w:val="97"/>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医疗与安全分类的评分项支持关联超声检查进行填报，支持调阅web阅片工具查看相关影像。</w:t>
            </w:r>
          </w:p>
          <w:p w14:paraId="2707BBBD">
            <w:pPr>
              <w:keepNext w:val="0"/>
              <w:keepLines w:val="0"/>
              <w:pageBreakBefore w:val="0"/>
              <w:widowControl/>
              <w:numPr>
                <w:ilvl w:val="0"/>
                <w:numId w:val="97"/>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提交填报事件成功后，根据后台配置的审核规则一级一级的随机分配给唯一的审核人员，并按审核流程展示在对应的审核人员的待办事项中以对其进行提醒。分配审核人时，各事件分类各级别的审核人员保证平均分配原则。</w:t>
            </w:r>
          </w:p>
          <w:p w14:paraId="48273FE4">
            <w:pPr>
              <w:keepNext w:val="0"/>
              <w:keepLines w:val="0"/>
              <w:pageBreakBefore w:val="0"/>
              <w:widowControl/>
              <w:numPr>
                <w:ilvl w:val="0"/>
                <w:numId w:val="97"/>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lang w:val="en-US" w:eastAsia="zh-CN"/>
              </w:rPr>
            </w:pPr>
            <w:r>
              <w:rPr>
                <w:rFonts w:hint="eastAsia" w:ascii="宋体" w:hAnsi="宋体" w:eastAsia="宋体" w:cs="宋体"/>
                <w:color w:val="auto"/>
                <w:kern w:val="0"/>
                <w:szCs w:val="21"/>
              </w:rPr>
              <w:t>支持提交审核结果后，发送消息给本事件的填报人及其他已经审核过的审核人。</w:t>
            </w:r>
          </w:p>
        </w:tc>
      </w:tr>
      <w:tr w14:paraId="3EED1E75">
        <w:tblPrEx>
          <w:tblCellMar>
            <w:top w:w="0" w:type="dxa"/>
            <w:left w:w="108" w:type="dxa"/>
            <w:bottom w:w="0" w:type="dxa"/>
            <w:right w:w="108" w:type="dxa"/>
          </w:tblCellMar>
        </w:tblPrEx>
        <w:trPr>
          <w:trHeight w:val="5583" w:hRule="atLeast"/>
        </w:trPr>
        <w:tc>
          <w:tcPr>
            <w:tcW w:w="1138" w:type="dxa"/>
            <w:vMerge w:val="continue"/>
            <w:tcBorders>
              <w:left w:val="single" w:color="auto" w:sz="8" w:space="0"/>
              <w:bottom w:val="single" w:color="auto" w:sz="4" w:space="0"/>
              <w:right w:val="single" w:color="auto" w:sz="8" w:space="0"/>
            </w:tcBorders>
            <w:noWrap w:val="0"/>
            <w:vAlign w:val="center"/>
          </w:tcPr>
          <w:p w14:paraId="7B957C77">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default" w:ascii="宋体" w:hAnsi="宋体" w:eastAsia="宋体" w:cs="宋体"/>
                <w:color w:val="auto"/>
                <w:kern w:val="0"/>
                <w:szCs w:val="21"/>
                <w:lang w:val="en-US" w:eastAsia="zh-CN"/>
              </w:rPr>
            </w:pPr>
          </w:p>
        </w:tc>
        <w:tc>
          <w:tcPr>
            <w:tcW w:w="1077" w:type="dxa"/>
            <w:tcBorders>
              <w:top w:val="nil"/>
              <w:left w:val="nil"/>
              <w:bottom w:val="single" w:color="auto" w:sz="4" w:space="0"/>
              <w:right w:val="single" w:color="auto" w:sz="8" w:space="0"/>
            </w:tcBorders>
            <w:noWrap w:val="0"/>
            <w:vAlign w:val="center"/>
          </w:tcPr>
          <w:p w14:paraId="29872E02">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default" w:ascii="宋体" w:hAnsi="宋体" w:eastAsia="宋体" w:cs="宋体"/>
                <w:color w:val="auto"/>
                <w:kern w:val="0"/>
                <w:szCs w:val="21"/>
                <w:lang w:val="en-US" w:eastAsia="zh-CN"/>
              </w:rPr>
            </w:pPr>
            <w:r>
              <w:rPr>
                <w:rFonts w:hint="eastAsia" w:ascii="宋体" w:hAnsi="宋体" w:eastAsia="宋体" w:cs="宋体"/>
                <w:color w:val="auto"/>
                <w:kern w:val="0"/>
                <w:szCs w:val="21"/>
                <w:lang w:val="en-US" w:eastAsia="zh-CN"/>
              </w:rPr>
              <w:t>1.4图像报告质控</w:t>
            </w:r>
          </w:p>
        </w:tc>
        <w:tc>
          <w:tcPr>
            <w:tcW w:w="7683" w:type="dxa"/>
            <w:tcBorders>
              <w:top w:val="nil"/>
              <w:left w:val="nil"/>
              <w:bottom w:val="single" w:color="auto" w:sz="4" w:space="0"/>
              <w:right w:val="single" w:color="auto" w:sz="8" w:space="0"/>
            </w:tcBorders>
            <w:noWrap w:val="0"/>
            <w:vAlign w:val="center"/>
          </w:tcPr>
          <w:p w14:paraId="6A53111A">
            <w:pPr>
              <w:keepNext w:val="0"/>
              <w:keepLines w:val="0"/>
              <w:pageBreakBefore w:val="0"/>
              <w:widowControl/>
              <w:numPr>
                <w:ilvl w:val="0"/>
                <w:numId w:val="98"/>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支持按职称、按医生姓名、按检查组别、检查部位、患者来源、抽检数量设置抽检规则。</w:t>
            </w:r>
          </w:p>
          <w:p w14:paraId="5F7D3DB3">
            <w:pPr>
              <w:keepNext w:val="0"/>
              <w:keepLines w:val="0"/>
              <w:pageBreakBefore w:val="0"/>
              <w:widowControl/>
              <w:numPr>
                <w:ilvl w:val="0"/>
                <w:numId w:val="98"/>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根据抽检规则、抽检报告日期通过新建图像报告质控任务、获取检查时留的所有图像以及对应的报告。抽检任务新建成功以后，可将抽中的图像报告平均分配给各检查组别各级别质控的打分人员，并按质控流程展示在对应的质控人员的待办事项中以提醒。最多支持图像报告的三级质控。</w:t>
            </w:r>
          </w:p>
          <w:p w14:paraId="64418506">
            <w:pPr>
              <w:keepNext w:val="0"/>
              <w:keepLines w:val="0"/>
              <w:pageBreakBefore w:val="0"/>
              <w:widowControl/>
              <w:numPr>
                <w:ilvl w:val="0"/>
                <w:numId w:val="98"/>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图像打分支持按切面打分，选择每张图像所属切面获取后台管理设置的该切面对应的评分规则再进行扣分。</w:t>
            </w:r>
          </w:p>
          <w:p w14:paraId="7FFB2181">
            <w:pPr>
              <w:keepNext w:val="0"/>
              <w:keepLines w:val="0"/>
              <w:pageBreakBefore w:val="0"/>
              <w:widowControl/>
              <w:numPr>
                <w:ilvl w:val="0"/>
                <w:numId w:val="98"/>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支持根据得分情况获取每一份检查缺切面情况并可针对缺切面的情况进行扣分。</w:t>
            </w:r>
          </w:p>
          <w:p w14:paraId="794CCF6A">
            <w:pPr>
              <w:keepNext w:val="0"/>
              <w:keepLines w:val="0"/>
              <w:pageBreakBefore w:val="0"/>
              <w:widowControl/>
              <w:numPr>
                <w:ilvl w:val="0"/>
                <w:numId w:val="98"/>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支持按后台维护的报告评分项显示报告评分项的内容，根据评分项内容进行扣分。</w:t>
            </w:r>
          </w:p>
          <w:p w14:paraId="4E66B9B1">
            <w:pPr>
              <w:keepNext w:val="0"/>
              <w:keepLines w:val="0"/>
              <w:pageBreakBefore w:val="0"/>
              <w:widowControl/>
              <w:numPr>
                <w:ilvl w:val="0"/>
                <w:numId w:val="98"/>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支持根据后台设置，当得分为一定等级时，自动生成报告医生的图像报告加分或扣分的科室工作评分事件，并汇总进这个医生的评分里。</w:t>
            </w:r>
          </w:p>
          <w:p w14:paraId="7728D786">
            <w:pPr>
              <w:keepNext w:val="0"/>
              <w:keepLines w:val="0"/>
              <w:pageBreakBefore w:val="0"/>
              <w:widowControl/>
              <w:numPr>
                <w:ilvl w:val="0"/>
                <w:numId w:val="98"/>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 xml:space="preserve">支持根据医院的具体需求，‌灵活选择仅进行图像打分、‌仅进行报告打分，‌或同时进行图像打分和报告打分。‌ </w:t>
            </w:r>
          </w:p>
          <w:p w14:paraId="35B2119D">
            <w:pPr>
              <w:keepNext w:val="0"/>
              <w:keepLines w:val="0"/>
              <w:pageBreakBefore w:val="0"/>
              <w:widowControl/>
              <w:numPr>
                <w:ilvl w:val="0"/>
                <w:numId w:val="98"/>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lang w:val="en-US" w:eastAsia="zh-CN"/>
              </w:rPr>
            </w:pPr>
            <w:r>
              <w:rPr>
                <w:rFonts w:hint="eastAsia" w:ascii="宋体" w:hAnsi="宋体" w:eastAsia="宋体" w:cs="宋体"/>
                <w:color w:val="auto"/>
                <w:kern w:val="0"/>
                <w:szCs w:val="21"/>
              </w:rPr>
              <w:t>支持打分完成之后查看当前图像和报告的最终得分和等级。</w:t>
            </w:r>
          </w:p>
        </w:tc>
      </w:tr>
      <w:tr w14:paraId="29DB1ADB">
        <w:tblPrEx>
          <w:tblCellMar>
            <w:top w:w="0" w:type="dxa"/>
            <w:left w:w="108" w:type="dxa"/>
            <w:bottom w:w="0" w:type="dxa"/>
            <w:right w:w="108" w:type="dxa"/>
          </w:tblCellMar>
        </w:tblPrEx>
        <w:trPr>
          <w:trHeight w:val="4344" w:hRule="atLeast"/>
        </w:trPr>
        <w:tc>
          <w:tcPr>
            <w:tcW w:w="1138" w:type="dxa"/>
            <w:vMerge w:val="continue"/>
            <w:tcBorders>
              <w:left w:val="single" w:color="auto" w:sz="8" w:space="0"/>
              <w:bottom w:val="single" w:color="auto" w:sz="4" w:space="0"/>
              <w:right w:val="single" w:color="auto" w:sz="8" w:space="0"/>
            </w:tcBorders>
            <w:noWrap w:val="0"/>
            <w:vAlign w:val="center"/>
          </w:tcPr>
          <w:p w14:paraId="7C7C5A0B">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default" w:ascii="宋体" w:hAnsi="宋体" w:eastAsia="宋体" w:cs="宋体"/>
                <w:color w:val="auto"/>
                <w:kern w:val="0"/>
                <w:szCs w:val="21"/>
                <w:lang w:val="en-US" w:eastAsia="zh-CN"/>
              </w:rPr>
            </w:pPr>
          </w:p>
        </w:tc>
        <w:tc>
          <w:tcPr>
            <w:tcW w:w="1077" w:type="dxa"/>
            <w:tcBorders>
              <w:top w:val="nil"/>
              <w:left w:val="nil"/>
              <w:bottom w:val="single" w:color="auto" w:sz="4" w:space="0"/>
              <w:right w:val="single" w:color="auto" w:sz="8" w:space="0"/>
            </w:tcBorders>
            <w:noWrap w:val="0"/>
            <w:vAlign w:val="center"/>
          </w:tcPr>
          <w:p w14:paraId="3E83782A">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default" w:ascii="宋体" w:hAnsi="宋体" w:eastAsia="宋体" w:cs="宋体"/>
                <w:color w:val="auto"/>
                <w:kern w:val="0"/>
                <w:szCs w:val="21"/>
                <w:lang w:val="en-US" w:eastAsia="zh-CN"/>
              </w:rPr>
            </w:pPr>
            <w:r>
              <w:rPr>
                <w:rFonts w:hint="eastAsia" w:ascii="宋体" w:hAnsi="宋体" w:eastAsia="宋体" w:cs="宋体"/>
                <w:color w:val="auto"/>
                <w:kern w:val="0"/>
                <w:szCs w:val="21"/>
                <w:lang w:val="en-US" w:eastAsia="zh-CN"/>
              </w:rPr>
              <w:t>1.5病例随访评价</w:t>
            </w:r>
          </w:p>
        </w:tc>
        <w:tc>
          <w:tcPr>
            <w:tcW w:w="7683" w:type="dxa"/>
            <w:tcBorders>
              <w:top w:val="nil"/>
              <w:left w:val="nil"/>
              <w:bottom w:val="single" w:color="auto" w:sz="4" w:space="0"/>
              <w:right w:val="single" w:color="auto" w:sz="8" w:space="0"/>
            </w:tcBorders>
            <w:noWrap w:val="0"/>
            <w:vAlign w:val="center"/>
          </w:tcPr>
          <w:p w14:paraId="625B7CDB">
            <w:pPr>
              <w:keepNext w:val="0"/>
              <w:keepLines w:val="0"/>
              <w:pageBreakBefore w:val="0"/>
              <w:widowControl/>
              <w:numPr>
                <w:ilvl w:val="0"/>
                <w:numId w:val="99"/>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支持对接超声数据系统、病理数据系统、手术数据系统、住院数据系统、放射数据系统，检验数据系统，匹配出同一个患者的超声、病理、手术、住院、放射、检验数据进行符合性评价。</w:t>
            </w:r>
          </w:p>
          <w:p w14:paraId="07575DB4">
            <w:pPr>
              <w:keepNext w:val="0"/>
              <w:keepLines w:val="0"/>
              <w:pageBreakBefore w:val="0"/>
              <w:widowControl/>
              <w:numPr>
                <w:ilvl w:val="0"/>
                <w:numId w:val="99"/>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根据超声报告日期、相应的病理/手术/住院/放射/检验报告数据在超声报告日期的范围、检查部位、报告医生新建抽检病例随访抽检任务，支持仅抽检阳性超声报告、仅抽检标记过待随访的超声报告数据。支持新建任务时指定在创建任务者之外的评价人，多个评价人平均分配任务。</w:t>
            </w:r>
          </w:p>
          <w:p w14:paraId="5B76B029">
            <w:pPr>
              <w:keepNext w:val="0"/>
              <w:keepLines w:val="0"/>
              <w:pageBreakBefore w:val="0"/>
              <w:widowControl/>
              <w:numPr>
                <w:ilvl w:val="0"/>
                <w:numId w:val="99"/>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每条超声报告的评价页面，支持显示匹配到的同一个患者的病理、手术、住院、放射、检验数据，用户可选择某条数据进行关联。</w:t>
            </w:r>
          </w:p>
          <w:p w14:paraId="7BBFFAB0">
            <w:pPr>
              <w:keepNext w:val="0"/>
              <w:keepLines w:val="0"/>
              <w:pageBreakBefore w:val="0"/>
              <w:widowControl/>
              <w:numPr>
                <w:ilvl w:val="0"/>
                <w:numId w:val="99"/>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支持人工进行随访的数据进行填写。</w:t>
            </w:r>
          </w:p>
          <w:p w14:paraId="0549246C">
            <w:pPr>
              <w:keepNext w:val="0"/>
              <w:keepLines w:val="0"/>
              <w:pageBreakBefore w:val="0"/>
              <w:widowControl/>
              <w:numPr>
                <w:ilvl w:val="0"/>
                <w:numId w:val="99"/>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选择关联后，自动获取其关联的检查的诊断内容，支持编辑。并可显示出后台设置的病例随访的评价项，用户可根据评价项对其进行评价，并选出最终的符合/基本符合/不符合作为评价结果。</w:t>
            </w:r>
          </w:p>
          <w:p w14:paraId="19678910">
            <w:pPr>
              <w:keepNext w:val="0"/>
              <w:keepLines w:val="0"/>
              <w:pageBreakBefore w:val="0"/>
              <w:widowControl/>
              <w:numPr>
                <w:ilvl w:val="0"/>
                <w:numId w:val="99"/>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已关联数据支持查看对应报告的PDF文件。</w:t>
            </w:r>
          </w:p>
          <w:p w14:paraId="02929CF2">
            <w:pPr>
              <w:keepNext w:val="0"/>
              <w:keepLines w:val="0"/>
              <w:pageBreakBefore w:val="0"/>
              <w:widowControl/>
              <w:numPr>
                <w:ilvl w:val="0"/>
                <w:numId w:val="99"/>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支持将提交结果的数据添加进公共收藏，并可在收藏时添加对应的标签。公共收藏的数据，本机构所有用户可见。并可根据需要，将公共收藏的数据添加标签收藏进自己的个人收藏。</w:t>
            </w:r>
          </w:p>
          <w:p w14:paraId="17AA1CBF">
            <w:pPr>
              <w:keepNext w:val="0"/>
              <w:keepLines w:val="0"/>
              <w:pageBreakBefore w:val="0"/>
              <w:widowControl/>
              <w:numPr>
                <w:ilvl w:val="0"/>
                <w:numId w:val="99"/>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lang w:val="en-US" w:eastAsia="zh-CN"/>
              </w:rPr>
            </w:pPr>
            <w:r>
              <w:rPr>
                <w:rFonts w:hint="eastAsia" w:ascii="宋体" w:hAnsi="宋体" w:eastAsia="宋体" w:cs="宋体"/>
                <w:color w:val="auto"/>
                <w:kern w:val="0"/>
                <w:szCs w:val="21"/>
              </w:rPr>
              <w:t>支持用户评价自己的待随访超声数据后，添加收藏至自己的个人收藏列表。</w:t>
            </w:r>
          </w:p>
        </w:tc>
      </w:tr>
      <w:tr w14:paraId="5F888E77">
        <w:tblPrEx>
          <w:tblCellMar>
            <w:top w:w="0" w:type="dxa"/>
            <w:left w:w="108" w:type="dxa"/>
            <w:bottom w:w="0" w:type="dxa"/>
            <w:right w:w="108" w:type="dxa"/>
          </w:tblCellMar>
        </w:tblPrEx>
        <w:trPr>
          <w:trHeight w:val="4344" w:hRule="atLeast"/>
        </w:trPr>
        <w:tc>
          <w:tcPr>
            <w:tcW w:w="1138" w:type="dxa"/>
            <w:vMerge w:val="continue"/>
            <w:tcBorders>
              <w:left w:val="single" w:color="auto" w:sz="8" w:space="0"/>
              <w:bottom w:val="single" w:color="auto" w:sz="4" w:space="0"/>
              <w:right w:val="single" w:color="auto" w:sz="8" w:space="0"/>
            </w:tcBorders>
            <w:noWrap w:val="0"/>
            <w:vAlign w:val="center"/>
          </w:tcPr>
          <w:p w14:paraId="448D6682">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default" w:ascii="宋体" w:hAnsi="宋体" w:eastAsia="宋体" w:cs="宋体"/>
                <w:color w:val="auto"/>
                <w:kern w:val="0"/>
                <w:szCs w:val="21"/>
                <w:lang w:val="en-US" w:eastAsia="zh-CN"/>
              </w:rPr>
            </w:pPr>
          </w:p>
        </w:tc>
        <w:tc>
          <w:tcPr>
            <w:tcW w:w="1077" w:type="dxa"/>
            <w:tcBorders>
              <w:top w:val="nil"/>
              <w:left w:val="nil"/>
              <w:bottom w:val="single" w:color="auto" w:sz="4" w:space="0"/>
              <w:right w:val="single" w:color="auto" w:sz="8" w:space="0"/>
            </w:tcBorders>
            <w:noWrap w:val="0"/>
            <w:vAlign w:val="center"/>
          </w:tcPr>
          <w:p w14:paraId="0B745A04">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default" w:ascii="宋体" w:hAnsi="宋体" w:eastAsia="宋体" w:cs="宋体"/>
                <w:color w:val="auto"/>
                <w:kern w:val="0"/>
                <w:szCs w:val="21"/>
                <w:lang w:val="en-US" w:eastAsia="zh-CN"/>
              </w:rPr>
            </w:pPr>
            <w:r>
              <w:rPr>
                <w:rFonts w:hint="eastAsia" w:ascii="宋体" w:hAnsi="宋体" w:eastAsia="宋体" w:cs="宋体"/>
                <w:color w:val="auto"/>
                <w:kern w:val="0"/>
                <w:szCs w:val="21"/>
                <w:lang w:val="en-US" w:eastAsia="zh-CN"/>
              </w:rPr>
              <w:t>1.6质控指标</w:t>
            </w:r>
          </w:p>
        </w:tc>
        <w:tc>
          <w:tcPr>
            <w:tcW w:w="7683" w:type="dxa"/>
            <w:tcBorders>
              <w:top w:val="nil"/>
              <w:left w:val="nil"/>
              <w:bottom w:val="single" w:color="auto" w:sz="4" w:space="0"/>
              <w:right w:val="single" w:color="auto" w:sz="8" w:space="0"/>
            </w:tcBorders>
            <w:noWrap w:val="0"/>
            <w:vAlign w:val="center"/>
          </w:tcPr>
          <w:p w14:paraId="15ACE700">
            <w:pPr>
              <w:keepNext w:val="0"/>
              <w:keepLines w:val="0"/>
              <w:pageBreakBefore w:val="0"/>
              <w:widowControl/>
              <w:numPr>
                <w:ilvl w:val="0"/>
                <w:numId w:val="100"/>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lang w:val="en-US" w:eastAsia="zh-CN"/>
              </w:rPr>
            </w:pPr>
            <w:r>
              <w:rPr>
                <w:rFonts w:hint="eastAsia" w:ascii="宋体" w:hAnsi="宋体" w:eastAsia="宋体" w:cs="宋体"/>
                <w:color w:val="auto"/>
                <w:kern w:val="0"/>
                <w:szCs w:val="21"/>
              </w:rPr>
              <w:t>按照国家卫生健康委《超声诊断专业医疗质量控制指标（2022年版）》要求13项质控指标以及最新5项单病种质控指标，除超声仪器质检率和超声介入相关主要并发症发生率两个指标外，支持16项质控指标的自动统计：1、超声医师月均工作量； 2、住院超声检查48小时完成率； 3、超声危急值10分钟内通报完成率； 4、超声报告书写合格率； 5、乳腺病变超声报告进行乳腺影像报告和数据系统(BI-RADS)分类率；6、门急诊超声报告阳性率；7、住院超声报告阳性率； 8、超声筛查中胎儿重大致死性畸形的检出率；  9、超声诊断符合率；  10、乳腺占位超声诊断准确率；  11、颈动脉狭窄（ ≥ 50% ）超声诊断符合率 ）；12、甲状腺结节超声报告指南使用率； 13、卵巢-附件病变超声报告进行卵巢-附件报告和数据系统（O-RADS)分类率； 14、超声危急值诊断符合率； 15、甲状腺结节超声诊断符合率； 16、卵巢-附件病变超声诊断符合率。</w:t>
            </w:r>
          </w:p>
        </w:tc>
      </w:tr>
      <w:tr w14:paraId="1ACC9867">
        <w:tblPrEx>
          <w:tblCellMar>
            <w:top w:w="0" w:type="dxa"/>
            <w:left w:w="108" w:type="dxa"/>
            <w:bottom w:w="0" w:type="dxa"/>
            <w:right w:w="108" w:type="dxa"/>
          </w:tblCellMar>
        </w:tblPrEx>
        <w:trPr>
          <w:trHeight w:val="4035" w:hRule="atLeast"/>
        </w:trPr>
        <w:tc>
          <w:tcPr>
            <w:tcW w:w="1138" w:type="dxa"/>
            <w:vMerge w:val="continue"/>
            <w:tcBorders>
              <w:left w:val="single" w:color="auto" w:sz="8" w:space="0"/>
              <w:bottom w:val="single" w:color="auto" w:sz="4" w:space="0"/>
              <w:right w:val="single" w:color="auto" w:sz="8" w:space="0"/>
            </w:tcBorders>
            <w:noWrap w:val="0"/>
            <w:vAlign w:val="center"/>
          </w:tcPr>
          <w:p w14:paraId="758A4691">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default" w:ascii="宋体" w:hAnsi="宋体" w:eastAsia="宋体" w:cs="宋体"/>
                <w:color w:val="auto"/>
                <w:kern w:val="0"/>
                <w:szCs w:val="21"/>
                <w:lang w:val="en-US" w:eastAsia="zh-CN"/>
              </w:rPr>
            </w:pPr>
          </w:p>
        </w:tc>
        <w:tc>
          <w:tcPr>
            <w:tcW w:w="1077" w:type="dxa"/>
            <w:tcBorders>
              <w:top w:val="nil"/>
              <w:left w:val="nil"/>
              <w:bottom w:val="single" w:color="auto" w:sz="4" w:space="0"/>
              <w:right w:val="single" w:color="auto" w:sz="8" w:space="0"/>
            </w:tcBorders>
            <w:noWrap w:val="0"/>
            <w:vAlign w:val="center"/>
          </w:tcPr>
          <w:p w14:paraId="13375A1E">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default" w:ascii="宋体" w:hAnsi="宋体" w:eastAsia="宋体" w:cs="宋体"/>
                <w:color w:val="auto"/>
                <w:kern w:val="0"/>
                <w:szCs w:val="21"/>
                <w:lang w:val="en-US" w:eastAsia="zh-CN"/>
              </w:rPr>
            </w:pPr>
            <w:r>
              <w:rPr>
                <w:rFonts w:hint="eastAsia" w:ascii="宋体" w:hAnsi="宋体" w:eastAsia="宋体" w:cs="宋体"/>
                <w:color w:val="auto"/>
                <w:kern w:val="0"/>
                <w:szCs w:val="21"/>
                <w:lang w:val="en-US" w:eastAsia="zh-CN"/>
              </w:rPr>
              <w:t>1.7赋分统计</w:t>
            </w:r>
          </w:p>
        </w:tc>
        <w:tc>
          <w:tcPr>
            <w:tcW w:w="7683" w:type="dxa"/>
            <w:tcBorders>
              <w:top w:val="nil"/>
              <w:left w:val="nil"/>
              <w:bottom w:val="single" w:color="auto" w:sz="4" w:space="0"/>
              <w:right w:val="single" w:color="auto" w:sz="8" w:space="0"/>
            </w:tcBorders>
            <w:noWrap w:val="0"/>
            <w:vAlign w:val="center"/>
          </w:tcPr>
          <w:p w14:paraId="19AC7595">
            <w:pPr>
              <w:keepNext w:val="0"/>
              <w:keepLines w:val="0"/>
              <w:pageBreakBefore w:val="0"/>
              <w:widowControl/>
              <w:numPr>
                <w:ilvl w:val="0"/>
                <w:numId w:val="101"/>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支持从科室角度和从医生个人角度，按月、按年统计科室工作质控、图像报告质控的得分情况，此外医生个人的科室工作质控得分情况支持按周统计。</w:t>
            </w:r>
          </w:p>
          <w:p w14:paraId="206B22D2">
            <w:pPr>
              <w:keepNext w:val="0"/>
              <w:keepLines w:val="0"/>
              <w:pageBreakBefore w:val="0"/>
              <w:widowControl/>
              <w:numPr>
                <w:ilvl w:val="0"/>
                <w:numId w:val="101"/>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从医生个人角度统计科室质控得分情况，支持按名次顺序显示统计期内的评分排行榜，支持点击查看每个人的评分详情：总分、各分类加分总分、减分总分；各加分评分项柱状图，各减分评分项柱状图；支持查看其事件明细表。</w:t>
            </w:r>
          </w:p>
          <w:p w14:paraId="3AE0DE06">
            <w:pPr>
              <w:keepNext w:val="0"/>
              <w:keepLines w:val="0"/>
              <w:pageBreakBefore w:val="0"/>
              <w:widowControl/>
              <w:numPr>
                <w:ilvl w:val="0"/>
                <w:numId w:val="101"/>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从科室角度统计科室质控得分情况，支持展示统计期内各事件分类的科室内所有人的总分、正分总分、负分总分</w:t>
            </w:r>
            <w:r>
              <w:rPr>
                <w:rFonts w:hint="eastAsia" w:ascii="宋体" w:hAnsi="宋体" w:eastAsia="宋体" w:cs="宋体"/>
                <w:color w:val="auto"/>
                <w:kern w:val="0"/>
                <w:szCs w:val="21"/>
                <w:lang w:eastAsia="zh-CN"/>
              </w:rPr>
              <w:t>；</w:t>
            </w:r>
          </w:p>
          <w:p w14:paraId="474B725F">
            <w:pPr>
              <w:keepNext w:val="0"/>
              <w:keepLines w:val="0"/>
              <w:pageBreakBefore w:val="0"/>
              <w:widowControl/>
              <w:numPr>
                <w:ilvl w:val="0"/>
                <w:numId w:val="101"/>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从医生个人角度统计图像报告质控得分情况，支持按名次顺序显示统计期内图像报告评分排行榜，支持点击查看每个人的评分详情：</w:t>
            </w:r>
          </w:p>
          <w:p w14:paraId="40CA1574">
            <w:pPr>
              <w:keepNext w:val="0"/>
              <w:keepLines w:val="0"/>
              <w:pageBreakBefore w:val="0"/>
              <w:widowControl/>
              <w:numPr>
                <w:ilvl w:val="0"/>
                <w:numId w:val="101"/>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lang w:val="en-US" w:eastAsia="zh-CN"/>
              </w:rPr>
            </w:pPr>
            <w:r>
              <w:rPr>
                <w:rFonts w:hint="eastAsia" w:ascii="宋体" w:hAnsi="宋体" w:eastAsia="宋体" w:cs="宋体"/>
                <w:color w:val="auto"/>
                <w:kern w:val="0"/>
                <w:szCs w:val="21"/>
              </w:rPr>
              <w:t>从科室角度统计图像报告质控得分情况，支持展示科室内所有人统计期内图像报告被打分次数及图像报告得分等级分布；</w:t>
            </w:r>
          </w:p>
        </w:tc>
      </w:tr>
      <w:tr w14:paraId="5CE66DF3">
        <w:tblPrEx>
          <w:tblCellMar>
            <w:top w:w="0" w:type="dxa"/>
            <w:left w:w="108" w:type="dxa"/>
            <w:bottom w:w="0" w:type="dxa"/>
            <w:right w:w="108" w:type="dxa"/>
          </w:tblCellMar>
        </w:tblPrEx>
        <w:trPr>
          <w:trHeight w:val="4035" w:hRule="atLeast"/>
        </w:trPr>
        <w:tc>
          <w:tcPr>
            <w:tcW w:w="1138" w:type="dxa"/>
            <w:vMerge w:val="continue"/>
            <w:tcBorders>
              <w:left w:val="single" w:color="auto" w:sz="8" w:space="0"/>
              <w:bottom w:val="single" w:color="auto" w:sz="4" w:space="0"/>
              <w:right w:val="single" w:color="auto" w:sz="8" w:space="0"/>
            </w:tcBorders>
            <w:noWrap w:val="0"/>
            <w:vAlign w:val="center"/>
          </w:tcPr>
          <w:p w14:paraId="0398B84E">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default" w:ascii="宋体" w:hAnsi="宋体" w:eastAsia="宋体" w:cs="宋体"/>
                <w:color w:val="auto"/>
                <w:kern w:val="0"/>
                <w:szCs w:val="21"/>
                <w:lang w:val="en-US" w:eastAsia="zh-CN"/>
              </w:rPr>
            </w:pPr>
          </w:p>
        </w:tc>
        <w:tc>
          <w:tcPr>
            <w:tcW w:w="1077" w:type="dxa"/>
            <w:tcBorders>
              <w:top w:val="nil"/>
              <w:left w:val="nil"/>
              <w:bottom w:val="single" w:color="auto" w:sz="4" w:space="0"/>
              <w:right w:val="single" w:color="auto" w:sz="8" w:space="0"/>
            </w:tcBorders>
            <w:noWrap w:val="0"/>
            <w:vAlign w:val="center"/>
          </w:tcPr>
          <w:p w14:paraId="1E766862">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default" w:ascii="宋体" w:hAnsi="宋体" w:eastAsia="宋体" w:cs="宋体"/>
                <w:color w:val="auto"/>
                <w:kern w:val="0"/>
                <w:szCs w:val="21"/>
                <w:lang w:val="en-US" w:eastAsia="zh-CN"/>
              </w:rPr>
            </w:pPr>
            <w:r>
              <w:rPr>
                <w:rFonts w:hint="eastAsia" w:ascii="宋体" w:hAnsi="宋体" w:eastAsia="宋体" w:cs="宋体"/>
                <w:color w:val="auto"/>
                <w:kern w:val="0"/>
                <w:szCs w:val="21"/>
                <w:lang w:val="en-US" w:eastAsia="zh-CN"/>
              </w:rPr>
              <w:t>1.8后台管理</w:t>
            </w:r>
          </w:p>
        </w:tc>
        <w:tc>
          <w:tcPr>
            <w:tcW w:w="7683" w:type="dxa"/>
            <w:tcBorders>
              <w:top w:val="nil"/>
              <w:left w:val="nil"/>
              <w:bottom w:val="single" w:color="auto" w:sz="4" w:space="0"/>
              <w:right w:val="single" w:color="auto" w:sz="8" w:space="0"/>
            </w:tcBorders>
            <w:noWrap w:val="0"/>
            <w:vAlign w:val="center"/>
          </w:tcPr>
          <w:p w14:paraId="7AB1A9C0">
            <w:pPr>
              <w:keepNext w:val="0"/>
              <w:keepLines w:val="0"/>
              <w:pageBreakBefore w:val="0"/>
              <w:widowControl/>
              <w:numPr>
                <w:ilvl w:val="0"/>
                <w:numId w:val="102"/>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设置科室工作质控的评分项，支持设置每一个评分项的计分增长规则，即同一评分项多次填报，可在基础分值上加倍赋分，支持相对标准赋分和相对上一次赋分两种计分增长规则。支持设置计分增长规则的有效周期。</w:t>
            </w:r>
          </w:p>
          <w:p w14:paraId="6F46102E">
            <w:pPr>
              <w:keepNext w:val="0"/>
              <w:keepLines w:val="0"/>
              <w:pageBreakBefore w:val="0"/>
              <w:widowControl/>
              <w:numPr>
                <w:ilvl w:val="0"/>
                <w:numId w:val="102"/>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支持按不同事件分类设置不同的审核规则，可设置不需审核、一级审核、二级审核，可设置每一级审核的审核员。</w:t>
            </w:r>
          </w:p>
          <w:p w14:paraId="4638C661">
            <w:pPr>
              <w:keepNext w:val="0"/>
              <w:keepLines w:val="0"/>
              <w:pageBreakBefore w:val="0"/>
              <w:widowControl/>
              <w:numPr>
                <w:ilvl w:val="0"/>
                <w:numId w:val="102"/>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支持设置每一个检查部位非疑难、非会诊的情况下允许的检查时长的范围。</w:t>
            </w:r>
          </w:p>
          <w:p w14:paraId="30F77C48">
            <w:pPr>
              <w:keepNext w:val="0"/>
              <w:keepLines w:val="0"/>
              <w:pageBreakBefore w:val="0"/>
              <w:widowControl/>
              <w:numPr>
                <w:ilvl w:val="0"/>
                <w:numId w:val="102"/>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支持将检查部位维护进其所属检查组别，并可维护每个检查部位的积分。</w:t>
            </w:r>
          </w:p>
          <w:p w14:paraId="21915757">
            <w:pPr>
              <w:keepNext w:val="0"/>
              <w:keepLines w:val="0"/>
              <w:pageBreakBefore w:val="0"/>
              <w:widowControl/>
              <w:numPr>
                <w:ilvl w:val="0"/>
                <w:numId w:val="102"/>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支持设置每个检查组别的质控流程，可设置一级质控、二级质控、三级质控，可设置每个检查组别每一级的质控员。</w:t>
            </w:r>
          </w:p>
          <w:p w14:paraId="1136998A">
            <w:pPr>
              <w:keepNext w:val="0"/>
              <w:keepLines w:val="0"/>
              <w:pageBreakBefore w:val="0"/>
              <w:widowControl/>
              <w:numPr>
                <w:ilvl w:val="0"/>
                <w:numId w:val="102"/>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支持按部位添加正常所需切面及异常所需切面，支持对每个切面添加评分规则。评分规则支持设置不同的程度有不同的基础分值。</w:t>
            </w:r>
          </w:p>
          <w:p w14:paraId="0CC1EAEA">
            <w:pPr>
              <w:keepNext w:val="0"/>
              <w:keepLines w:val="0"/>
              <w:pageBreakBefore w:val="0"/>
              <w:widowControl/>
              <w:numPr>
                <w:ilvl w:val="0"/>
                <w:numId w:val="102"/>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支持设置报告评分规则，支持设置评分规则所属项目大类，支持设置各项目大类下的评分规则。</w:t>
            </w:r>
          </w:p>
          <w:p w14:paraId="49EF0ADB">
            <w:pPr>
              <w:keepNext w:val="0"/>
              <w:keepLines w:val="0"/>
              <w:pageBreakBefore w:val="0"/>
              <w:widowControl/>
              <w:numPr>
                <w:ilvl w:val="0"/>
                <w:numId w:val="102"/>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lang w:val="en-US" w:eastAsia="zh-CN"/>
              </w:rPr>
            </w:pPr>
            <w:r>
              <w:rPr>
                <w:rFonts w:hint="eastAsia" w:ascii="宋体" w:hAnsi="宋体" w:eastAsia="宋体" w:cs="宋体"/>
                <w:color w:val="auto"/>
                <w:kern w:val="0"/>
                <w:szCs w:val="21"/>
              </w:rPr>
              <w:t>支持维护本机构下的超声设备，支持下载设备维护模板，编辑以后导入系统。</w:t>
            </w:r>
          </w:p>
        </w:tc>
      </w:tr>
      <w:tr w14:paraId="4228005C">
        <w:tblPrEx>
          <w:tblCellMar>
            <w:top w:w="0" w:type="dxa"/>
            <w:left w:w="108" w:type="dxa"/>
            <w:bottom w:w="0" w:type="dxa"/>
            <w:right w:w="108" w:type="dxa"/>
          </w:tblCellMar>
        </w:tblPrEx>
        <w:trPr>
          <w:trHeight w:val="320" w:hRule="atLeast"/>
        </w:trPr>
        <w:tc>
          <w:tcPr>
            <w:tcW w:w="9898" w:type="dxa"/>
            <w:gridSpan w:val="3"/>
            <w:tcBorders>
              <w:top w:val="single" w:color="auto" w:sz="4" w:space="0"/>
              <w:left w:val="single" w:color="auto" w:sz="4" w:space="0"/>
              <w:bottom w:val="single" w:color="auto" w:sz="4" w:space="0"/>
              <w:right w:val="single" w:color="auto" w:sz="4" w:space="0"/>
            </w:tcBorders>
            <w:noWrap w:val="0"/>
            <w:vAlign w:val="center"/>
          </w:tcPr>
          <w:p w14:paraId="50E0A0B9">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jc w:val="left"/>
              <w:textAlignment w:val="auto"/>
              <w:rPr>
                <w:rFonts w:hint="default" w:ascii="宋体" w:hAnsi="宋体" w:eastAsia="宋体" w:cs="宋体"/>
                <w:color w:val="auto"/>
                <w:kern w:val="0"/>
                <w:szCs w:val="21"/>
                <w:lang w:val="en-US" w:eastAsia="zh-CN"/>
              </w:rPr>
            </w:pPr>
            <w:r>
              <w:rPr>
                <w:rFonts w:hint="eastAsia" w:ascii="宋体" w:hAnsi="宋体" w:eastAsia="宋体" w:cs="宋体"/>
                <w:color w:val="auto"/>
                <w:kern w:val="0"/>
                <w:szCs w:val="21"/>
                <w:lang w:val="en-US" w:eastAsia="zh-CN"/>
              </w:rPr>
              <w:t>三、诊室监控系统</w:t>
            </w:r>
          </w:p>
        </w:tc>
      </w:tr>
      <w:tr w14:paraId="7FDA3A6A">
        <w:tblPrEx>
          <w:tblCellMar>
            <w:top w:w="0" w:type="dxa"/>
            <w:left w:w="108" w:type="dxa"/>
            <w:bottom w:w="0" w:type="dxa"/>
            <w:right w:w="108" w:type="dxa"/>
          </w:tblCellMar>
        </w:tblPrEx>
        <w:trPr>
          <w:trHeight w:val="939" w:hRule="atLeast"/>
        </w:trPr>
        <w:tc>
          <w:tcPr>
            <w:tcW w:w="1138" w:type="dxa"/>
            <w:vMerge w:val="restart"/>
            <w:tcBorders>
              <w:top w:val="single" w:color="auto" w:sz="4" w:space="0"/>
              <w:left w:val="single" w:color="auto" w:sz="4" w:space="0"/>
              <w:right w:val="single" w:color="auto" w:sz="4" w:space="0"/>
            </w:tcBorders>
            <w:noWrap w:val="0"/>
            <w:vAlign w:val="center"/>
          </w:tcPr>
          <w:p w14:paraId="2DAA1E16">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default" w:ascii="宋体" w:hAnsi="宋体" w:cs="宋体"/>
                <w:color w:val="auto"/>
                <w:kern w:val="0"/>
                <w:szCs w:val="21"/>
                <w:lang w:val="en-US" w:eastAsia="zh-CN"/>
              </w:rPr>
            </w:pPr>
            <w:r>
              <w:rPr>
                <w:rFonts w:hint="eastAsia" w:ascii="宋体" w:hAnsi="宋体" w:cs="宋体"/>
                <w:color w:val="auto"/>
                <w:kern w:val="0"/>
                <w:szCs w:val="21"/>
                <w:lang w:val="en-US" w:eastAsia="zh-CN"/>
              </w:rPr>
              <w:t>1.诊室监控</w:t>
            </w:r>
          </w:p>
        </w:tc>
        <w:tc>
          <w:tcPr>
            <w:tcW w:w="1077" w:type="dxa"/>
            <w:tcBorders>
              <w:top w:val="single" w:color="auto" w:sz="4" w:space="0"/>
              <w:left w:val="single" w:color="auto" w:sz="4" w:space="0"/>
              <w:bottom w:val="single" w:color="auto" w:sz="4" w:space="0"/>
              <w:right w:val="single" w:color="auto" w:sz="4" w:space="0"/>
            </w:tcBorders>
            <w:noWrap w:val="0"/>
            <w:vAlign w:val="center"/>
          </w:tcPr>
          <w:p w14:paraId="7D898DF0">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default" w:ascii="宋体" w:hAnsi="宋体" w:eastAsia="宋体" w:cs="宋体"/>
                <w:color w:val="auto"/>
                <w:kern w:val="0"/>
                <w:szCs w:val="21"/>
                <w:lang w:val="en-US" w:eastAsia="zh-CN"/>
              </w:rPr>
            </w:pPr>
            <w:r>
              <w:rPr>
                <w:rFonts w:hint="eastAsia" w:ascii="宋体" w:hAnsi="宋体" w:eastAsia="宋体" w:cs="宋体"/>
                <w:color w:val="auto"/>
                <w:kern w:val="0"/>
                <w:szCs w:val="21"/>
                <w:lang w:val="en-US" w:eastAsia="zh-CN"/>
              </w:rPr>
              <w:t>1.1总体要求</w:t>
            </w:r>
          </w:p>
        </w:tc>
        <w:tc>
          <w:tcPr>
            <w:tcW w:w="7683" w:type="dxa"/>
            <w:tcBorders>
              <w:top w:val="single" w:color="auto" w:sz="4" w:space="0"/>
              <w:left w:val="single" w:color="auto" w:sz="4" w:space="0"/>
              <w:bottom w:val="single" w:color="auto" w:sz="4" w:space="0"/>
              <w:right w:val="single" w:color="auto" w:sz="4" w:space="0"/>
            </w:tcBorders>
            <w:noWrap w:val="0"/>
            <w:vAlign w:val="center"/>
          </w:tcPr>
          <w:p w14:paraId="523652B3">
            <w:pPr>
              <w:keepNext w:val="0"/>
              <w:keepLines w:val="0"/>
              <w:pageBreakBefore w:val="0"/>
              <w:widowControl/>
              <w:numPr>
                <w:ilvl w:val="0"/>
                <w:numId w:val="103"/>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lang w:eastAsia="zh-Hans"/>
              </w:rPr>
            </w:pPr>
            <w:r>
              <w:rPr>
                <w:rFonts w:hint="eastAsia" w:ascii="宋体" w:hAnsi="宋体" w:eastAsia="宋体" w:cs="宋体"/>
                <w:color w:val="auto"/>
                <w:kern w:val="0"/>
                <w:szCs w:val="21"/>
                <w:lang w:eastAsia="zh-Hans"/>
              </w:rPr>
              <w:t>会诊业务平台和音视频模块采用纯B/S架构，无需下载客户端。</w:t>
            </w:r>
          </w:p>
          <w:p w14:paraId="714DFF3C">
            <w:pPr>
              <w:keepNext w:val="0"/>
              <w:keepLines w:val="0"/>
              <w:pageBreakBefore w:val="0"/>
              <w:widowControl/>
              <w:numPr>
                <w:ilvl w:val="0"/>
                <w:numId w:val="103"/>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lang w:eastAsia="zh-Hans"/>
              </w:rPr>
            </w:pPr>
            <w:r>
              <w:rPr>
                <w:rFonts w:hint="eastAsia" w:ascii="宋体" w:hAnsi="宋体" w:eastAsia="宋体" w:cs="宋体"/>
                <w:color w:val="auto"/>
                <w:kern w:val="0"/>
                <w:szCs w:val="21"/>
                <w:lang w:val="en-US" w:eastAsia="zh-CN"/>
              </w:rPr>
              <w:t>支持从超声工作站一键发起会诊。</w:t>
            </w:r>
          </w:p>
          <w:p w14:paraId="638FB4A5">
            <w:pPr>
              <w:keepNext w:val="0"/>
              <w:keepLines w:val="0"/>
              <w:pageBreakBefore w:val="0"/>
              <w:widowControl/>
              <w:numPr>
                <w:ilvl w:val="0"/>
                <w:numId w:val="103"/>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default" w:ascii="宋体" w:hAnsi="宋体" w:eastAsia="宋体" w:cs="宋体"/>
                <w:color w:val="auto"/>
                <w:kern w:val="0"/>
                <w:szCs w:val="21"/>
                <w:lang w:val="en-US" w:eastAsia="zh-CN"/>
              </w:rPr>
            </w:pPr>
            <w:r>
              <w:rPr>
                <w:rFonts w:hint="eastAsia" w:ascii="宋体" w:hAnsi="宋体" w:eastAsia="宋体" w:cs="宋体"/>
                <w:color w:val="auto"/>
                <w:kern w:val="0"/>
                <w:szCs w:val="21"/>
                <w:lang w:eastAsia="zh-Hans"/>
              </w:rPr>
              <w:t>支持会诊意见回传到超声工作站</w:t>
            </w:r>
          </w:p>
        </w:tc>
      </w:tr>
      <w:tr w14:paraId="0EDAB7B9">
        <w:tblPrEx>
          <w:tblCellMar>
            <w:top w:w="0" w:type="dxa"/>
            <w:left w:w="108" w:type="dxa"/>
            <w:bottom w:w="0" w:type="dxa"/>
            <w:right w:w="108" w:type="dxa"/>
          </w:tblCellMar>
        </w:tblPrEx>
        <w:trPr>
          <w:trHeight w:val="4964" w:hRule="atLeast"/>
        </w:trPr>
        <w:tc>
          <w:tcPr>
            <w:tcW w:w="1138" w:type="dxa"/>
            <w:vMerge w:val="continue"/>
            <w:tcBorders>
              <w:left w:val="single" w:color="auto" w:sz="4" w:space="0"/>
              <w:right w:val="single" w:color="auto" w:sz="4" w:space="0"/>
            </w:tcBorders>
            <w:noWrap w:val="0"/>
            <w:vAlign w:val="center"/>
          </w:tcPr>
          <w:p w14:paraId="60A34738">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宋体" w:hAnsi="宋体" w:cs="宋体"/>
                <w:color w:val="auto"/>
                <w:kern w:val="0"/>
                <w:szCs w:val="21"/>
                <w:lang w:val="en-US" w:eastAsia="zh-CN"/>
              </w:rPr>
            </w:pPr>
          </w:p>
        </w:tc>
        <w:tc>
          <w:tcPr>
            <w:tcW w:w="1077" w:type="dxa"/>
            <w:tcBorders>
              <w:top w:val="single" w:color="auto" w:sz="4" w:space="0"/>
              <w:left w:val="nil"/>
              <w:bottom w:val="single" w:color="auto" w:sz="8" w:space="0"/>
              <w:right w:val="single" w:color="auto" w:sz="8" w:space="0"/>
            </w:tcBorders>
            <w:noWrap w:val="0"/>
            <w:vAlign w:val="center"/>
          </w:tcPr>
          <w:p w14:paraId="2363D5C0">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default" w:ascii="宋体" w:hAnsi="宋体" w:cs="宋体"/>
                <w:color w:val="auto"/>
                <w:kern w:val="0"/>
                <w:szCs w:val="21"/>
                <w:lang w:val="en-US" w:eastAsia="zh-CN"/>
              </w:rPr>
            </w:pPr>
            <w:r>
              <w:rPr>
                <w:rFonts w:hint="eastAsia" w:ascii="宋体" w:hAnsi="宋体" w:cs="宋体"/>
                <w:color w:val="auto"/>
                <w:kern w:val="0"/>
                <w:szCs w:val="21"/>
                <w:lang w:val="en-US" w:eastAsia="zh-CN"/>
              </w:rPr>
              <w:t>1.2发起会诊</w:t>
            </w:r>
          </w:p>
        </w:tc>
        <w:tc>
          <w:tcPr>
            <w:tcW w:w="7683" w:type="dxa"/>
            <w:tcBorders>
              <w:top w:val="single" w:color="auto" w:sz="4" w:space="0"/>
              <w:left w:val="nil"/>
              <w:bottom w:val="single" w:color="auto" w:sz="8" w:space="0"/>
              <w:right w:val="single" w:color="auto" w:sz="8" w:space="0"/>
            </w:tcBorders>
            <w:noWrap w:val="0"/>
            <w:vAlign w:val="center"/>
          </w:tcPr>
          <w:p w14:paraId="70E8CB6D">
            <w:pPr>
              <w:keepNext w:val="0"/>
              <w:keepLines w:val="0"/>
              <w:pageBreakBefore w:val="0"/>
              <w:widowControl/>
              <w:numPr>
                <w:ilvl w:val="0"/>
                <w:numId w:val="104"/>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lang w:eastAsia="zh-Hans"/>
              </w:rPr>
            </w:pPr>
            <w:r>
              <w:rPr>
                <w:rFonts w:hint="eastAsia" w:ascii="宋体" w:hAnsi="宋体" w:eastAsia="宋体" w:cs="宋体"/>
                <w:color w:val="auto"/>
                <w:kern w:val="0"/>
                <w:szCs w:val="21"/>
                <w:lang w:eastAsia="zh-Hans"/>
              </w:rPr>
              <w:t>支持医护手工录入患者基本信息。</w:t>
            </w:r>
          </w:p>
          <w:p w14:paraId="5B2BB3C1">
            <w:pPr>
              <w:keepNext w:val="0"/>
              <w:keepLines w:val="0"/>
              <w:pageBreakBefore w:val="0"/>
              <w:widowControl/>
              <w:numPr>
                <w:ilvl w:val="0"/>
                <w:numId w:val="104"/>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lang w:eastAsia="zh-Hans"/>
              </w:rPr>
            </w:pPr>
            <w:r>
              <w:rPr>
                <w:rFonts w:hint="eastAsia" w:ascii="宋体" w:hAnsi="宋体" w:eastAsia="宋体" w:cs="宋体"/>
                <w:color w:val="auto"/>
                <w:kern w:val="0"/>
                <w:szCs w:val="21"/>
                <w:lang w:eastAsia="zh-Hans"/>
              </w:rPr>
              <w:t>支持医护在线撤回会诊申请，撤回后患者信息将归回已撤回列表。</w:t>
            </w:r>
          </w:p>
          <w:p w14:paraId="612C8155">
            <w:pPr>
              <w:keepNext w:val="0"/>
              <w:keepLines w:val="0"/>
              <w:pageBreakBefore w:val="0"/>
              <w:widowControl/>
              <w:numPr>
                <w:ilvl w:val="0"/>
                <w:numId w:val="104"/>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lang w:eastAsia="zh-Hans"/>
              </w:rPr>
            </w:pPr>
            <w:r>
              <w:rPr>
                <w:rFonts w:hint="eastAsia" w:ascii="宋体" w:hAnsi="宋体" w:eastAsia="宋体" w:cs="宋体"/>
                <w:color w:val="auto"/>
                <w:kern w:val="0"/>
                <w:szCs w:val="21"/>
                <w:lang w:eastAsia="zh-Hans"/>
              </w:rPr>
              <w:t>支持医护对已撤回或已退回患者进行信息查看或重新发起会诊。</w:t>
            </w:r>
          </w:p>
          <w:p w14:paraId="64C81D24">
            <w:pPr>
              <w:keepNext w:val="0"/>
              <w:keepLines w:val="0"/>
              <w:pageBreakBefore w:val="0"/>
              <w:widowControl/>
              <w:numPr>
                <w:ilvl w:val="0"/>
                <w:numId w:val="104"/>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lang w:eastAsia="zh-Hans"/>
              </w:rPr>
            </w:pPr>
            <w:r>
              <w:rPr>
                <w:rFonts w:hint="eastAsia" w:ascii="宋体" w:hAnsi="宋体" w:eastAsia="宋体" w:cs="宋体"/>
                <w:color w:val="auto"/>
                <w:kern w:val="0"/>
                <w:szCs w:val="21"/>
                <w:lang w:eastAsia="zh-Hans"/>
              </w:rPr>
              <w:t>支持医护从“我发起的”、“我收到的”及“我协助的”三个列表</w:t>
            </w:r>
            <w:bookmarkStart w:id="226" w:name="_Hlk146209132"/>
            <w:r>
              <w:rPr>
                <w:rFonts w:hint="eastAsia" w:ascii="宋体" w:hAnsi="宋体" w:eastAsia="宋体" w:cs="宋体"/>
                <w:color w:val="auto"/>
                <w:kern w:val="0"/>
                <w:szCs w:val="21"/>
                <w:lang w:eastAsia="zh-Hans"/>
              </w:rPr>
              <w:t>查看会诊状态和患者信息，同时支持筛选不同的检索条件来查看对应条件的会诊状态和患者信息</w:t>
            </w:r>
            <w:bookmarkEnd w:id="226"/>
            <w:r>
              <w:rPr>
                <w:rFonts w:hint="eastAsia" w:ascii="宋体" w:hAnsi="宋体" w:eastAsia="宋体" w:cs="宋体"/>
                <w:color w:val="auto"/>
                <w:kern w:val="0"/>
                <w:szCs w:val="21"/>
                <w:lang w:eastAsia="zh-Hans"/>
              </w:rPr>
              <w:t>；</w:t>
            </w:r>
          </w:p>
          <w:p w14:paraId="76030112">
            <w:pPr>
              <w:keepNext w:val="0"/>
              <w:keepLines w:val="0"/>
              <w:pageBreakBefore w:val="0"/>
              <w:widowControl/>
              <w:numPr>
                <w:ilvl w:val="0"/>
                <w:numId w:val="104"/>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lang w:eastAsia="zh-Hans"/>
              </w:rPr>
            </w:pPr>
            <w:r>
              <w:rPr>
                <w:rFonts w:hint="eastAsia" w:ascii="宋体" w:hAnsi="宋体" w:eastAsia="宋体" w:cs="宋体"/>
                <w:color w:val="auto"/>
                <w:kern w:val="0"/>
                <w:szCs w:val="21"/>
                <w:lang w:eastAsia="zh-Hans"/>
              </w:rPr>
              <w:t>支持医护从“我发起的”及“我收到的”两个列表中查看包括待接收、待会诊、会诊中、已完成、已退回和已撤回的患者信息，包括病例详情和会议详情。</w:t>
            </w:r>
          </w:p>
          <w:p w14:paraId="2C748ED3">
            <w:pPr>
              <w:keepNext w:val="0"/>
              <w:keepLines w:val="0"/>
              <w:pageBreakBefore w:val="0"/>
              <w:widowControl/>
              <w:numPr>
                <w:ilvl w:val="0"/>
                <w:numId w:val="104"/>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lang w:eastAsia="zh-Hans"/>
              </w:rPr>
            </w:pPr>
            <w:r>
              <w:rPr>
                <w:rFonts w:hint="eastAsia" w:ascii="宋体" w:hAnsi="宋体" w:eastAsia="宋体" w:cs="宋体"/>
                <w:color w:val="auto"/>
                <w:kern w:val="0"/>
                <w:szCs w:val="21"/>
                <w:lang w:eastAsia="zh-Hans"/>
              </w:rPr>
              <w:t>支持医护从“我协助的”查看包括待会诊、会诊中、已完成的患者信息，包括病例详情和会议详情。</w:t>
            </w:r>
          </w:p>
          <w:p w14:paraId="3C74CED3">
            <w:pPr>
              <w:keepNext w:val="0"/>
              <w:keepLines w:val="0"/>
              <w:pageBreakBefore w:val="0"/>
              <w:widowControl/>
              <w:numPr>
                <w:ilvl w:val="0"/>
                <w:numId w:val="104"/>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lang w:eastAsia="zh-Hans"/>
              </w:rPr>
            </w:pPr>
            <w:r>
              <w:rPr>
                <w:rFonts w:hint="eastAsia" w:ascii="宋体" w:hAnsi="宋体" w:eastAsia="宋体" w:cs="宋体"/>
                <w:color w:val="auto"/>
                <w:kern w:val="0"/>
                <w:szCs w:val="21"/>
                <w:lang w:eastAsia="zh-Hans"/>
              </w:rPr>
              <w:t>支持医护实时查看超声视频，进行音视频对话。</w:t>
            </w:r>
          </w:p>
          <w:p w14:paraId="6678CCB4">
            <w:pPr>
              <w:keepNext w:val="0"/>
              <w:keepLines w:val="0"/>
              <w:pageBreakBefore w:val="0"/>
              <w:widowControl/>
              <w:numPr>
                <w:ilvl w:val="0"/>
                <w:numId w:val="104"/>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lang w:eastAsia="zh-Hans"/>
              </w:rPr>
            </w:pPr>
            <w:r>
              <w:rPr>
                <w:rFonts w:hint="eastAsia" w:ascii="宋体" w:hAnsi="宋体" w:eastAsia="宋体" w:cs="宋体"/>
                <w:color w:val="auto"/>
                <w:kern w:val="0"/>
                <w:szCs w:val="21"/>
                <w:lang w:eastAsia="zh-Hans"/>
              </w:rPr>
              <w:t>支持医护从“我收到的”列表中接收会诊申请，接收会诊申请后，可在正式会诊时从待会诊中一键进入音视频会诊。</w:t>
            </w:r>
          </w:p>
          <w:p w14:paraId="328010BF">
            <w:pPr>
              <w:keepNext w:val="0"/>
              <w:keepLines w:val="0"/>
              <w:pageBreakBefore w:val="0"/>
              <w:widowControl/>
              <w:numPr>
                <w:ilvl w:val="0"/>
                <w:numId w:val="104"/>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default" w:ascii="宋体" w:hAnsi="宋体" w:eastAsia="宋体" w:cs="宋体"/>
                <w:color w:val="auto"/>
                <w:kern w:val="0"/>
                <w:szCs w:val="21"/>
                <w:lang w:val="en-US" w:eastAsia="zh-CN"/>
              </w:rPr>
            </w:pPr>
            <w:r>
              <w:rPr>
                <w:rFonts w:hint="eastAsia" w:ascii="宋体" w:hAnsi="宋体" w:eastAsia="宋体" w:cs="宋体"/>
                <w:color w:val="auto"/>
                <w:kern w:val="0"/>
                <w:szCs w:val="21"/>
                <w:lang w:eastAsia="zh-Hans"/>
              </w:rPr>
              <w:t>支持医护退回还未开始的会诊申请，填写退回原因后患者信息将会归回已退回列表。</w:t>
            </w:r>
          </w:p>
        </w:tc>
      </w:tr>
      <w:tr w14:paraId="21DB6E1A">
        <w:tblPrEx>
          <w:tblCellMar>
            <w:top w:w="0" w:type="dxa"/>
            <w:left w:w="108" w:type="dxa"/>
            <w:bottom w:w="0" w:type="dxa"/>
            <w:right w:w="108" w:type="dxa"/>
          </w:tblCellMar>
        </w:tblPrEx>
        <w:trPr>
          <w:trHeight w:val="4045" w:hRule="atLeast"/>
        </w:trPr>
        <w:tc>
          <w:tcPr>
            <w:tcW w:w="1138" w:type="dxa"/>
            <w:vMerge w:val="continue"/>
            <w:tcBorders>
              <w:left w:val="single" w:color="auto" w:sz="4" w:space="0"/>
              <w:bottom w:val="single" w:color="000000" w:sz="8" w:space="0"/>
              <w:right w:val="single" w:color="auto" w:sz="4" w:space="0"/>
            </w:tcBorders>
            <w:noWrap w:val="0"/>
            <w:vAlign w:val="center"/>
          </w:tcPr>
          <w:p w14:paraId="0C70DA4C">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default" w:ascii="宋体" w:hAnsi="宋体" w:cs="宋体"/>
                <w:color w:val="auto"/>
                <w:kern w:val="0"/>
                <w:szCs w:val="21"/>
                <w:lang w:val="en-US" w:eastAsia="zh-CN"/>
              </w:rPr>
            </w:pPr>
          </w:p>
        </w:tc>
        <w:tc>
          <w:tcPr>
            <w:tcW w:w="1077" w:type="dxa"/>
            <w:tcBorders>
              <w:top w:val="nil"/>
              <w:left w:val="nil"/>
              <w:bottom w:val="single" w:color="auto" w:sz="8" w:space="0"/>
              <w:right w:val="single" w:color="auto" w:sz="8" w:space="0"/>
            </w:tcBorders>
            <w:noWrap w:val="0"/>
            <w:vAlign w:val="center"/>
          </w:tcPr>
          <w:p w14:paraId="25DE6D5C">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default" w:ascii="宋体" w:hAnsi="宋体" w:eastAsia="宋体" w:cs="宋体"/>
                <w:color w:val="auto"/>
                <w:kern w:val="0"/>
                <w:szCs w:val="21"/>
                <w:lang w:val="en-US" w:eastAsia="zh-CN"/>
              </w:rPr>
            </w:pPr>
            <w:r>
              <w:rPr>
                <w:rFonts w:hint="eastAsia" w:ascii="宋体" w:hAnsi="宋体" w:eastAsia="宋体" w:cs="宋体"/>
                <w:color w:val="auto"/>
                <w:kern w:val="0"/>
                <w:szCs w:val="21"/>
                <w:lang w:val="en-US" w:eastAsia="zh-CN"/>
              </w:rPr>
              <w:t>1.3实时会诊</w:t>
            </w:r>
          </w:p>
        </w:tc>
        <w:tc>
          <w:tcPr>
            <w:tcW w:w="7683" w:type="dxa"/>
            <w:tcBorders>
              <w:top w:val="nil"/>
              <w:left w:val="nil"/>
              <w:bottom w:val="single" w:color="auto" w:sz="8" w:space="0"/>
              <w:right w:val="single" w:color="auto" w:sz="8" w:space="0"/>
            </w:tcBorders>
            <w:noWrap w:val="0"/>
            <w:vAlign w:val="center"/>
          </w:tcPr>
          <w:p w14:paraId="597E7DD5">
            <w:pPr>
              <w:keepNext w:val="0"/>
              <w:keepLines w:val="0"/>
              <w:pageBreakBefore w:val="0"/>
              <w:widowControl/>
              <w:numPr>
                <w:ilvl w:val="0"/>
                <w:numId w:val="105"/>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lang w:eastAsia="zh-Hans"/>
              </w:rPr>
            </w:pPr>
            <w:r>
              <w:rPr>
                <w:rFonts w:hint="eastAsia" w:ascii="宋体" w:hAnsi="宋体" w:eastAsia="宋体" w:cs="宋体"/>
                <w:color w:val="auto"/>
                <w:kern w:val="0"/>
                <w:szCs w:val="21"/>
                <w:lang w:eastAsia="zh-Hans"/>
              </w:rPr>
              <w:t>支持医护由会诊列表进入或退出音视频会诊。</w:t>
            </w:r>
          </w:p>
          <w:p w14:paraId="7C11CB58">
            <w:pPr>
              <w:keepNext w:val="0"/>
              <w:keepLines w:val="0"/>
              <w:pageBreakBefore w:val="0"/>
              <w:widowControl/>
              <w:numPr>
                <w:ilvl w:val="0"/>
                <w:numId w:val="105"/>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lang w:eastAsia="zh-Hans"/>
              </w:rPr>
            </w:pPr>
            <w:r>
              <w:rPr>
                <w:rFonts w:hint="eastAsia" w:ascii="宋体" w:hAnsi="宋体" w:eastAsia="宋体" w:cs="宋体"/>
                <w:color w:val="auto"/>
                <w:kern w:val="0"/>
                <w:szCs w:val="21"/>
                <w:lang w:eastAsia="zh-Hans"/>
              </w:rPr>
              <w:t>支持显示会诊相关信息：会议主题、会议时间、主持人、当前发言人；支持显示每位参会者的姓名、机构、头像。</w:t>
            </w:r>
          </w:p>
          <w:p w14:paraId="319AB3E9">
            <w:pPr>
              <w:keepNext w:val="0"/>
              <w:keepLines w:val="0"/>
              <w:pageBreakBefore w:val="0"/>
              <w:widowControl/>
              <w:numPr>
                <w:ilvl w:val="0"/>
                <w:numId w:val="105"/>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lang w:eastAsia="zh-Hans"/>
              </w:rPr>
            </w:pPr>
            <w:r>
              <w:rPr>
                <w:rFonts w:hint="eastAsia" w:ascii="宋体" w:hAnsi="宋体" w:eastAsia="宋体" w:cs="宋体"/>
                <w:color w:val="auto"/>
                <w:kern w:val="0"/>
                <w:szCs w:val="21"/>
                <w:lang w:eastAsia="zh-Hans"/>
              </w:rPr>
              <w:t>支持参会人员选择静音和解除静音、打开和关闭摄像头。</w:t>
            </w:r>
          </w:p>
          <w:p w14:paraId="4C4502CA">
            <w:pPr>
              <w:keepNext w:val="0"/>
              <w:keepLines w:val="0"/>
              <w:pageBreakBefore w:val="0"/>
              <w:widowControl/>
              <w:numPr>
                <w:ilvl w:val="0"/>
                <w:numId w:val="105"/>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lang w:eastAsia="zh-Hans"/>
              </w:rPr>
            </w:pPr>
            <w:r>
              <w:rPr>
                <w:rFonts w:hint="eastAsia" w:ascii="宋体" w:hAnsi="宋体" w:eastAsia="宋体" w:cs="宋体"/>
                <w:color w:val="auto"/>
                <w:kern w:val="0"/>
                <w:szCs w:val="21"/>
                <w:lang w:eastAsia="zh-Hans"/>
              </w:rPr>
              <w:t>邀请协助：会诊过程中支持医护根据地区、机构等级、机构名称、医生类型以及医生姓名等多方面匹配对应专家，并邀请其参与协助会诊。</w:t>
            </w:r>
          </w:p>
          <w:p w14:paraId="79A484B1">
            <w:pPr>
              <w:keepNext w:val="0"/>
              <w:keepLines w:val="0"/>
              <w:pageBreakBefore w:val="0"/>
              <w:widowControl/>
              <w:numPr>
                <w:ilvl w:val="0"/>
                <w:numId w:val="105"/>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lang w:eastAsia="zh-Hans"/>
              </w:rPr>
            </w:pPr>
            <w:r>
              <w:rPr>
                <w:rFonts w:hint="eastAsia" w:ascii="宋体" w:hAnsi="宋体" w:eastAsia="宋体" w:cs="宋体"/>
                <w:color w:val="auto"/>
                <w:kern w:val="0"/>
                <w:szCs w:val="21"/>
                <w:lang w:eastAsia="zh-Hans"/>
              </w:rPr>
              <w:t>邀请系统外人员：支持参会医护通过复制邀请链接、密码在线邀请系统外人员参与会诊。</w:t>
            </w:r>
          </w:p>
          <w:p w14:paraId="67385903">
            <w:pPr>
              <w:keepNext w:val="0"/>
              <w:keepLines w:val="0"/>
              <w:pageBreakBefore w:val="0"/>
              <w:widowControl/>
              <w:numPr>
                <w:ilvl w:val="0"/>
                <w:numId w:val="105"/>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lang w:eastAsia="zh-Hans"/>
              </w:rPr>
            </w:pPr>
            <w:r>
              <w:rPr>
                <w:rFonts w:hint="eastAsia" w:ascii="宋体" w:hAnsi="宋体" w:eastAsia="宋体" w:cs="宋体"/>
                <w:color w:val="auto"/>
                <w:kern w:val="0"/>
                <w:szCs w:val="21"/>
                <w:lang w:eastAsia="zh-Hans"/>
              </w:rPr>
              <w:t>支持在线查看参会者，，支持修改在会议中显示的昵称，会议主持人可全员静音或全员关闭摄像头。</w:t>
            </w:r>
          </w:p>
          <w:p w14:paraId="4D70E140">
            <w:pPr>
              <w:keepNext w:val="0"/>
              <w:keepLines w:val="0"/>
              <w:pageBreakBefore w:val="0"/>
              <w:widowControl/>
              <w:numPr>
                <w:ilvl w:val="0"/>
                <w:numId w:val="105"/>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lang w:eastAsia="zh-Hans"/>
              </w:rPr>
            </w:pPr>
            <w:r>
              <w:rPr>
                <w:rFonts w:hint="eastAsia" w:ascii="宋体" w:hAnsi="宋体" w:eastAsia="宋体" w:cs="宋体"/>
                <w:color w:val="auto"/>
                <w:kern w:val="0"/>
                <w:szCs w:val="21"/>
                <w:lang w:eastAsia="zh-Hans"/>
              </w:rPr>
              <w:t>支持屏幕共享，可主动共享和观看。</w:t>
            </w:r>
          </w:p>
          <w:p w14:paraId="7AB6EBF1">
            <w:pPr>
              <w:keepNext w:val="0"/>
              <w:keepLines w:val="0"/>
              <w:pageBreakBefore w:val="0"/>
              <w:widowControl/>
              <w:numPr>
                <w:ilvl w:val="0"/>
                <w:numId w:val="105"/>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lang w:eastAsia="zh-Hans"/>
              </w:rPr>
            </w:pPr>
            <w:r>
              <w:rPr>
                <w:rFonts w:hint="eastAsia" w:ascii="宋体" w:hAnsi="宋体" w:eastAsia="宋体" w:cs="宋体"/>
                <w:color w:val="auto"/>
                <w:kern w:val="0"/>
                <w:szCs w:val="21"/>
                <w:lang w:eastAsia="zh-Hans"/>
              </w:rPr>
              <w:t>支持通过二维码或者分享链接或短信邀请参与会诊</w:t>
            </w:r>
          </w:p>
          <w:p w14:paraId="5E51E16E">
            <w:pPr>
              <w:keepNext w:val="0"/>
              <w:keepLines w:val="0"/>
              <w:pageBreakBefore w:val="0"/>
              <w:widowControl/>
              <w:numPr>
                <w:ilvl w:val="0"/>
                <w:numId w:val="105"/>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lang w:eastAsia="zh-Hans"/>
              </w:rPr>
            </w:pPr>
            <w:r>
              <w:rPr>
                <w:rFonts w:hint="eastAsia" w:ascii="宋体" w:hAnsi="宋体" w:eastAsia="宋体" w:cs="宋体"/>
                <w:color w:val="auto"/>
                <w:kern w:val="0"/>
                <w:szCs w:val="21"/>
                <w:lang w:eastAsia="zh-Hans"/>
              </w:rPr>
              <w:t>支持多方实时音视频互动。</w:t>
            </w:r>
          </w:p>
        </w:tc>
      </w:tr>
      <w:tr w14:paraId="4C43D071">
        <w:tblPrEx>
          <w:tblCellMar>
            <w:top w:w="0" w:type="dxa"/>
            <w:left w:w="108" w:type="dxa"/>
            <w:bottom w:w="0" w:type="dxa"/>
            <w:right w:w="108" w:type="dxa"/>
          </w:tblCellMar>
        </w:tblPrEx>
        <w:trPr>
          <w:trHeight w:val="1259" w:hRule="atLeast"/>
        </w:trPr>
        <w:tc>
          <w:tcPr>
            <w:tcW w:w="1138" w:type="dxa"/>
            <w:vMerge w:val="continue"/>
            <w:tcBorders>
              <w:left w:val="single" w:color="auto" w:sz="4" w:space="0"/>
              <w:bottom w:val="single" w:color="000000" w:sz="8" w:space="0"/>
              <w:right w:val="single" w:color="auto" w:sz="4" w:space="0"/>
            </w:tcBorders>
            <w:noWrap w:val="0"/>
            <w:vAlign w:val="center"/>
          </w:tcPr>
          <w:p w14:paraId="0E4386B3">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default" w:ascii="宋体" w:hAnsi="宋体" w:cs="宋体"/>
                <w:color w:val="auto"/>
                <w:kern w:val="0"/>
                <w:szCs w:val="21"/>
                <w:lang w:val="en-US" w:eastAsia="zh-CN"/>
              </w:rPr>
            </w:pPr>
          </w:p>
        </w:tc>
        <w:tc>
          <w:tcPr>
            <w:tcW w:w="1077" w:type="dxa"/>
            <w:tcBorders>
              <w:top w:val="nil"/>
              <w:left w:val="nil"/>
              <w:bottom w:val="single" w:color="auto" w:sz="8" w:space="0"/>
              <w:right w:val="single" w:color="auto" w:sz="8" w:space="0"/>
            </w:tcBorders>
            <w:noWrap w:val="0"/>
            <w:vAlign w:val="center"/>
          </w:tcPr>
          <w:p w14:paraId="0DF1FAC6">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default" w:ascii="宋体" w:hAnsi="宋体" w:eastAsia="宋体" w:cs="宋体"/>
                <w:color w:val="auto"/>
                <w:kern w:val="0"/>
                <w:szCs w:val="21"/>
                <w:lang w:val="en-US" w:eastAsia="zh-CN"/>
              </w:rPr>
            </w:pPr>
            <w:r>
              <w:rPr>
                <w:rFonts w:hint="eastAsia" w:ascii="宋体" w:hAnsi="宋体" w:eastAsia="宋体" w:cs="宋体"/>
                <w:color w:val="auto"/>
                <w:kern w:val="0"/>
                <w:szCs w:val="21"/>
                <w:lang w:val="en-US" w:eastAsia="zh-CN"/>
              </w:rPr>
              <w:t>1.4会议结论</w:t>
            </w:r>
          </w:p>
        </w:tc>
        <w:tc>
          <w:tcPr>
            <w:tcW w:w="7683" w:type="dxa"/>
            <w:tcBorders>
              <w:top w:val="nil"/>
              <w:left w:val="nil"/>
              <w:bottom w:val="single" w:color="auto" w:sz="8" w:space="0"/>
              <w:right w:val="single" w:color="auto" w:sz="8" w:space="0"/>
            </w:tcBorders>
            <w:noWrap w:val="0"/>
            <w:vAlign w:val="center"/>
          </w:tcPr>
          <w:p w14:paraId="7F9038F7">
            <w:pPr>
              <w:keepNext w:val="0"/>
              <w:keepLines w:val="0"/>
              <w:pageBreakBefore w:val="0"/>
              <w:widowControl/>
              <w:numPr>
                <w:ilvl w:val="0"/>
                <w:numId w:val="106"/>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lang w:eastAsia="zh-Hans"/>
              </w:rPr>
            </w:pPr>
            <w:r>
              <w:rPr>
                <w:rFonts w:hint="eastAsia" w:ascii="宋体" w:hAnsi="宋体" w:eastAsia="宋体" w:cs="宋体"/>
                <w:color w:val="auto"/>
                <w:kern w:val="0"/>
                <w:szCs w:val="21"/>
                <w:lang w:eastAsia="zh-Hans"/>
              </w:rPr>
              <w:t>支持会诊接收者书写会诊结论，书写后的会诊结论可以返回工作站进行查看，发起者可参考会诊结论方便出具会诊报告。</w:t>
            </w:r>
          </w:p>
          <w:p w14:paraId="136CE8AC">
            <w:pPr>
              <w:keepNext w:val="0"/>
              <w:keepLines w:val="0"/>
              <w:pageBreakBefore w:val="0"/>
              <w:widowControl/>
              <w:numPr>
                <w:ilvl w:val="0"/>
                <w:numId w:val="106"/>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lang w:eastAsia="zh-Hans"/>
              </w:rPr>
            </w:pPr>
            <w:r>
              <w:rPr>
                <w:rFonts w:hint="eastAsia" w:ascii="宋体" w:hAnsi="宋体" w:eastAsia="宋体" w:cs="宋体"/>
                <w:color w:val="auto"/>
                <w:kern w:val="0"/>
                <w:szCs w:val="21"/>
                <w:lang w:eastAsia="zh-Hans"/>
              </w:rPr>
              <w:t>支持在书写会诊结论过程调用电子签名。</w:t>
            </w:r>
          </w:p>
          <w:p w14:paraId="04A56638">
            <w:pPr>
              <w:keepNext w:val="0"/>
              <w:keepLines w:val="0"/>
              <w:pageBreakBefore w:val="0"/>
              <w:widowControl/>
              <w:numPr>
                <w:ilvl w:val="0"/>
                <w:numId w:val="106"/>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lang w:eastAsia="zh-Hans"/>
              </w:rPr>
            </w:pPr>
            <w:r>
              <w:rPr>
                <w:rFonts w:hint="eastAsia" w:ascii="宋体" w:hAnsi="宋体" w:eastAsia="宋体" w:cs="宋体"/>
                <w:color w:val="auto"/>
                <w:kern w:val="0"/>
                <w:szCs w:val="21"/>
                <w:lang w:eastAsia="zh-Hans"/>
              </w:rPr>
              <w:t>支持医护在线查看已完成患者的会诊结论和会诊详情。</w:t>
            </w:r>
          </w:p>
        </w:tc>
      </w:tr>
      <w:tr w14:paraId="6E430040">
        <w:tblPrEx>
          <w:tblCellMar>
            <w:top w:w="0" w:type="dxa"/>
            <w:left w:w="108" w:type="dxa"/>
            <w:bottom w:w="0" w:type="dxa"/>
            <w:right w:w="108" w:type="dxa"/>
          </w:tblCellMar>
        </w:tblPrEx>
        <w:trPr>
          <w:trHeight w:val="949" w:hRule="atLeast"/>
        </w:trPr>
        <w:tc>
          <w:tcPr>
            <w:tcW w:w="1138" w:type="dxa"/>
            <w:vMerge w:val="continue"/>
            <w:tcBorders>
              <w:left w:val="single" w:color="auto" w:sz="4" w:space="0"/>
              <w:bottom w:val="single" w:color="000000" w:sz="8" w:space="0"/>
              <w:right w:val="single" w:color="auto" w:sz="4" w:space="0"/>
            </w:tcBorders>
            <w:noWrap w:val="0"/>
            <w:vAlign w:val="center"/>
          </w:tcPr>
          <w:p w14:paraId="2840136C">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default" w:ascii="宋体" w:hAnsi="宋体" w:cs="宋体"/>
                <w:color w:val="auto"/>
                <w:kern w:val="0"/>
                <w:szCs w:val="21"/>
                <w:lang w:val="en-US" w:eastAsia="zh-CN"/>
              </w:rPr>
            </w:pPr>
          </w:p>
        </w:tc>
        <w:tc>
          <w:tcPr>
            <w:tcW w:w="1077" w:type="dxa"/>
            <w:tcBorders>
              <w:top w:val="nil"/>
              <w:left w:val="nil"/>
              <w:bottom w:val="single" w:color="auto" w:sz="8" w:space="0"/>
              <w:right w:val="single" w:color="auto" w:sz="8" w:space="0"/>
            </w:tcBorders>
            <w:noWrap w:val="0"/>
            <w:vAlign w:val="center"/>
          </w:tcPr>
          <w:p w14:paraId="24B1912F">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default" w:ascii="宋体" w:hAnsi="宋体" w:eastAsia="宋体" w:cs="宋体"/>
                <w:color w:val="auto"/>
                <w:kern w:val="0"/>
                <w:szCs w:val="21"/>
                <w:lang w:val="en-US" w:eastAsia="zh-CN"/>
              </w:rPr>
            </w:pPr>
            <w:r>
              <w:rPr>
                <w:rFonts w:hint="eastAsia" w:ascii="宋体" w:hAnsi="宋体" w:eastAsia="宋体" w:cs="宋体"/>
                <w:color w:val="auto"/>
                <w:kern w:val="0"/>
                <w:szCs w:val="21"/>
                <w:lang w:val="en-US" w:eastAsia="zh-CN"/>
              </w:rPr>
              <w:t>1.5病例收藏</w:t>
            </w:r>
          </w:p>
        </w:tc>
        <w:tc>
          <w:tcPr>
            <w:tcW w:w="7683" w:type="dxa"/>
            <w:tcBorders>
              <w:top w:val="nil"/>
              <w:left w:val="nil"/>
              <w:bottom w:val="single" w:color="auto" w:sz="8" w:space="0"/>
              <w:right w:val="single" w:color="auto" w:sz="8" w:space="0"/>
            </w:tcBorders>
            <w:noWrap w:val="0"/>
            <w:vAlign w:val="center"/>
          </w:tcPr>
          <w:p w14:paraId="1BF3CF3E">
            <w:pPr>
              <w:keepNext w:val="0"/>
              <w:keepLines w:val="0"/>
              <w:pageBreakBefore w:val="0"/>
              <w:widowControl/>
              <w:numPr>
                <w:ilvl w:val="0"/>
                <w:numId w:val="107"/>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lang w:eastAsia="zh-Hans"/>
              </w:rPr>
            </w:pPr>
            <w:r>
              <w:rPr>
                <w:rFonts w:hint="eastAsia" w:ascii="宋体" w:hAnsi="宋体" w:eastAsia="宋体" w:cs="宋体"/>
                <w:color w:val="auto"/>
                <w:kern w:val="0"/>
                <w:szCs w:val="21"/>
                <w:lang w:eastAsia="zh-Hans"/>
              </w:rPr>
              <w:t>支持对已完成会诊结论的会诊进行收藏。</w:t>
            </w:r>
          </w:p>
          <w:p w14:paraId="3FAE40E5">
            <w:pPr>
              <w:keepNext w:val="0"/>
              <w:keepLines w:val="0"/>
              <w:pageBreakBefore w:val="0"/>
              <w:widowControl/>
              <w:numPr>
                <w:ilvl w:val="0"/>
                <w:numId w:val="107"/>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lang w:eastAsia="zh-Hans"/>
              </w:rPr>
            </w:pPr>
            <w:r>
              <w:rPr>
                <w:rFonts w:hint="eastAsia" w:ascii="宋体" w:hAnsi="宋体" w:eastAsia="宋体" w:cs="宋体"/>
                <w:color w:val="auto"/>
                <w:kern w:val="0"/>
                <w:szCs w:val="21"/>
                <w:lang w:eastAsia="zh-Hans"/>
              </w:rPr>
              <w:t>支持医护在收藏列表查看已收藏的患者信息。</w:t>
            </w:r>
          </w:p>
          <w:p w14:paraId="577FD299">
            <w:pPr>
              <w:keepNext w:val="0"/>
              <w:keepLines w:val="0"/>
              <w:pageBreakBefore w:val="0"/>
              <w:widowControl/>
              <w:numPr>
                <w:ilvl w:val="0"/>
                <w:numId w:val="107"/>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lang w:eastAsia="zh-Hans"/>
              </w:rPr>
            </w:pPr>
            <w:r>
              <w:rPr>
                <w:rFonts w:hint="eastAsia" w:ascii="宋体" w:hAnsi="宋体" w:eastAsia="宋体" w:cs="宋体"/>
                <w:color w:val="auto"/>
                <w:kern w:val="0"/>
                <w:szCs w:val="21"/>
                <w:lang w:eastAsia="zh-Hans"/>
              </w:rPr>
              <w:t>支持医护在收藏列表取消并移除已收藏患者信息。</w:t>
            </w:r>
          </w:p>
        </w:tc>
      </w:tr>
      <w:tr w14:paraId="7394CD44">
        <w:tblPrEx>
          <w:tblCellMar>
            <w:top w:w="0" w:type="dxa"/>
            <w:left w:w="108" w:type="dxa"/>
            <w:bottom w:w="0" w:type="dxa"/>
            <w:right w:w="108" w:type="dxa"/>
          </w:tblCellMar>
        </w:tblPrEx>
        <w:trPr>
          <w:trHeight w:val="3735" w:hRule="atLeast"/>
        </w:trPr>
        <w:tc>
          <w:tcPr>
            <w:tcW w:w="1138" w:type="dxa"/>
            <w:vMerge w:val="continue"/>
            <w:tcBorders>
              <w:left w:val="single" w:color="auto" w:sz="4" w:space="0"/>
              <w:bottom w:val="single" w:color="000000" w:sz="8" w:space="0"/>
              <w:right w:val="single" w:color="auto" w:sz="4" w:space="0"/>
            </w:tcBorders>
            <w:noWrap w:val="0"/>
            <w:vAlign w:val="center"/>
          </w:tcPr>
          <w:p w14:paraId="21C9B5E3">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default" w:ascii="宋体" w:hAnsi="宋体" w:cs="宋体"/>
                <w:color w:val="auto"/>
                <w:kern w:val="0"/>
                <w:szCs w:val="21"/>
                <w:lang w:val="en-US" w:eastAsia="zh-CN"/>
              </w:rPr>
            </w:pPr>
          </w:p>
        </w:tc>
        <w:tc>
          <w:tcPr>
            <w:tcW w:w="1077" w:type="dxa"/>
            <w:tcBorders>
              <w:top w:val="nil"/>
              <w:left w:val="nil"/>
              <w:bottom w:val="single" w:color="auto" w:sz="8" w:space="0"/>
              <w:right w:val="single" w:color="auto" w:sz="8" w:space="0"/>
            </w:tcBorders>
            <w:noWrap w:val="0"/>
            <w:vAlign w:val="center"/>
          </w:tcPr>
          <w:p w14:paraId="24E86B14">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default" w:ascii="宋体" w:hAnsi="宋体" w:eastAsia="宋体" w:cs="宋体"/>
                <w:color w:val="auto"/>
                <w:kern w:val="0"/>
                <w:szCs w:val="21"/>
                <w:lang w:val="en-US" w:eastAsia="zh-CN"/>
              </w:rPr>
            </w:pPr>
            <w:r>
              <w:rPr>
                <w:rFonts w:hint="eastAsia" w:ascii="宋体" w:hAnsi="宋体" w:eastAsia="宋体" w:cs="宋体"/>
                <w:color w:val="auto"/>
                <w:kern w:val="0"/>
                <w:szCs w:val="21"/>
                <w:lang w:val="en-US" w:eastAsia="zh-CN"/>
              </w:rPr>
              <w:t>1.6后台管理</w:t>
            </w:r>
          </w:p>
        </w:tc>
        <w:tc>
          <w:tcPr>
            <w:tcW w:w="7683" w:type="dxa"/>
            <w:tcBorders>
              <w:top w:val="nil"/>
              <w:left w:val="nil"/>
              <w:bottom w:val="single" w:color="auto" w:sz="8" w:space="0"/>
              <w:right w:val="single" w:color="auto" w:sz="8" w:space="0"/>
            </w:tcBorders>
            <w:noWrap w:val="0"/>
            <w:vAlign w:val="center"/>
          </w:tcPr>
          <w:p w14:paraId="704500AF">
            <w:pPr>
              <w:keepNext w:val="0"/>
              <w:keepLines w:val="0"/>
              <w:pageBreakBefore w:val="0"/>
              <w:widowControl/>
              <w:numPr>
                <w:ilvl w:val="0"/>
                <w:numId w:val="108"/>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lang w:val="en-US" w:eastAsia="zh-Hans"/>
              </w:rPr>
            </w:pPr>
            <w:r>
              <w:rPr>
                <w:rFonts w:hint="eastAsia" w:ascii="宋体" w:hAnsi="宋体" w:eastAsia="宋体" w:cs="宋体"/>
                <w:color w:val="auto"/>
                <w:kern w:val="0"/>
                <w:szCs w:val="21"/>
                <w:lang w:val="en-US" w:eastAsia="zh-Hans"/>
              </w:rPr>
              <w:t>支持添加和移除会诊医生。</w:t>
            </w:r>
          </w:p>
          <w:p w14:paraId="285C4506">
            <w:pPr>
              <w:keepNext w:val="0"/>
              <w:keepLines w:val="0"/>
              <w:pageBreakBefore w:val="0"/>
              <w:widowControl/>
              <w:numPr>
                <w:ilvl w:val="0"/>
                <w:numId w:val="108"/>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lang w:val="en-US" w:eastAsia="zh-Hans"/>
              </w:rPr>
            </w:pPr>
            <w:r>
              <w:rPr>
                <w:rFonts w:hint="eastAsia" w:ascii="宋体" w:hAnsi="宋体" w:eastAsia="宋体" w:cs="宋体"/>
                <w:color w:val="auto"/>
                <w:kern w:val="0"/>
                <w:szCs w:val="21"/>
                <w:lang w:val="en-US" w:eastAsia="zh-Hans"/>
              </w:rPr>
              <w:t>支持设置会诊专家的会诊时间、会诊医生、重复方式等。</w:t>
            </w:r>
          </w:p>
          <w:p w14:paraId="419D1162">
            <w:pPr>
              <w:keepNext w:val="0"/>
              <w:keepLines w:val="0"/>
              <w:pageBreakBefore w:val="0"/>
              <w:widowControl/>
              <w:numPr>
                <w:ilvl w:val="0"/>
                <w:numId w:val="108"/>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lang w:val="en-US" w:eastAsia="zh-Hans"/>
              </w:rPr>
            </w:pPr>
            <w:r>
              <w:rPr>
                <w:rFonts w:hint="eastAsia" w:ascii="宋体" w:hAnsi="宋体" w:eastAsia="宋体" w:cs="宋体"/>
                <w:color w:val="auto"/>
                <w:kern w:val="0"/>
                <w:szCs w:val="21"/>
                <w:lang w:val="en-US" w:eastAsia="zh-Hans"/>
              </w:rPr>
              <w:t>会诊项目管理：根据医院的检查项目进行设置会诊项目名称以及所属会诊类型；</w:t>
            </w:r>
          </w:p>
          <w:p w14:paraId="65D1B202">
            <w:pPr>
              <w:keepNext w:val="0"/>
              <w:keepLines w:val="0"/>
              <w:pageBreakBefore w:val="0"/>
              <w:widowControl/>
              <w:numPr>
                <w:ilvl w:val="0"/>
                <w:numId w:val="108"/>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lang w:val="en-US" w:eastAsia="zh-Hans"/>
              </w:rPr>
            </w:pPr>
            <w:r>
              <w:rPr>
                <w:rFonts w:hint="eastAsia" w:ascii="宋体" w:hAnsi="宋体" w:eastAsia="宋体" w:cs="宋体"/>
                <w:color w:val="auto"/>
                <w:kern w:val="0"/>
                <w:szCs w:val="21"/>
                <w:lang w:val="en-US" w:eastAsia="zh-Hans"/>
              </w:rPr>
              <w:t>基础字典管理：维护系统维护基础字典、内容、描述等信息。</w:t>
            </w:r>
          </w:p>
          <w:p w14:paraId="50C637B7">
            <w:pPr>
              <w:keepNext w:val="0"/>
              <w:keepLines w:val="0"/>
              <w:pageBreakBefore w:val="0"/>
              <w:widowControl/>
              <w:numPr>
                <w:ilvl w:val="0"/>
                <w:numId w:val="108"/>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lang w:val="en-US" w:eastAsia="zh-Hans"/>
              </w:rPr>
            </w:pPr>
            <w:r>
              <w:rPr>
                <w:rFonts w:hint="eastAsia" w:ascii="宋体" w:hAnsi="宋体" w:eastAsia="宋体" w:cs="宋体"/>
                <w:color w:val="auto"/>
                <w:kern w:val="0"/>
                <w:szCs w:val="21"/>
                <w:lang w:val="en-US" w:eastAsia="zh-Hans"/>
              </w:rPr>
              <w:t>系统提供平台内部信息通知功能，仅供对系统出现的一些需要注意的事项对系统内部用户进行告知使用。</w:t>
            </w:r>
          </w:p>
          <w:p w14:paraId="5F4A6F27">
            <w:pPr>
              <w:keepNext w:val="0"/>
              <w:keepLines w:val="0"/>
              <w:pageBreakBefore w:val="0"/>
              <w:widowControl/>
              <w:numPr>
                <w:ilvl w:val="0"/>
                <w:numId w:val="108"/>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lang w:val="en-US" w:eastAsia="zh-Hans"/>
              </w:rPr>
            </w:pPr>
            <w:r>
              <w:rPr>
                <w:rFonts w:hint="eastAsia" w:ascii="宋体" w:hAnsi="宋体" w:eastAsia="宋体" w:cs="宋体"/>
                <w:color w:val="auto"/>
                <w:kern w:val="0"/>
                <w:szCs w:val="21"/>
                <w:lang w:val="en-US" w:eastAsia="zh-Hans"/>
              </w:rPr>
              <w:t>支持根据通知的紧急程度设置不同的级别。不同级别的通知采取不同的提示方式，要求最高级别的通知必须要确保接收人查看。</w:t>
            </w:r>
          </w:p>
          <w:p w14:paraId="7498BB63">
            <w:pPr>
              <w:keepNext w:val="0"/>
              <w:keepLines w:val="0"/>
              <w:pageBreakBefore w:val="0"/>
              <w:widowControl/>
              <w:numPr>
                <w:ilvl w:val="0"/>
                <w:numId w:val="108"/>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lang w:val="en-US" w:eastAsia="zh-Hans"/>
              </w:rPr>
            </w:pPr>
            <w:r>
              <w:rPr>
                <w:rFonts w:hint="eastAsia" w:ascii="宋体" w:hAnsi="宋体" w:eastAsia="宋体" w:cs="宋体"/>
                <w:color w:val="auto"/>
                <w:kern w:val="0"/>
                <w:szCs w:val="21"/>
                <w:lang w:val="en-US" w:eastAsia="zh-Hans"/>
              </w:rPr>
              <w:t>支持在会诊消息模板一键停用或启用消息模板。</w:t>
            </w:r>
          </w:p>
          <w:p w14:paraId="18F61898">
            <w:pPr>
              <w:keepNext w:val="0"/>
              <w:keepLines w:val="0"/>
              <w:pageBreakBefore w:val="0"/>
              <w:widowControl/>
              <w:numPr>
                <w:ilvl w:val="0"/>
                <w:numId w:val="108"/>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lang w:val="en-US" w:eastAsia="zh-Hans"/>
              </w:rPr>
            </w:pPr>
            <w:r>
              <w:rPr>
                <w:rFonts w:hint="eastAsia" w:ascii="宋体" w:hAnsi="宋体" w:eastAsia="宋体" w:cs="宋体"/>
                <w:color w:val="auto"/>
                <w:kern w:val="0"/>
                <w:szCs w:val="21"/>
                <w:lang w:val="en-US" w:eastAsia="zh-Hans"/>
              </w:rPr>
              <w:t>系统用户能够对通知进行新增、修改、删除操作。</w:t>
            </w:r>
          </w:p>
          <w:p w14:paraId="49141790">
            <w:pPr>
              <w:keepNext w:val="0"/>
              <w:keepLines w:val="0"/>
              <w:pageBreakBefore w:val="0"/>
              <w:widowControl/>
              <w:numPr>
                <w:ilvl w:val="0"/>
                <w:numId w:val="108"/>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lang w:eastAsia="zh-Hans"/>
              </w:rPr>
            </w:pPr>
            <w:r>
              <w:rPr>
                <w:rFonts w:hint="eastAsia" w:ascii="宋体" w:hAnsi="宋体" w:eastAsia="宋体" w:cs="宋体"/>
                <w:color w:val="auto"/>
                <w:kern w:val="0"/>
                <w:szCs w:val="21"/>
                <w:lang w:val="en-US" w:eastAsia="zh-Hans"/>
              </w:rPr>
              <w:t>发送的通知要求能够支持定时发送功能。</w:t>
            </w:r>
          </w:p>
        </w:tc>
      </w:tr>
      <w:tr w14:paraId="52A756B9">
        <w:tblPrEx>
          <w:tblCellMar>
            <w:top w:w="0" w:type="dxa"/>
            <w:left w:w="108" w:type="dxa"/>
            <w:bottom w:w="0" w:type="dxa"/>
            <w:right w:w="108" w:type="dxa"/>
          </w:tblCellMar>
        </w:tblPrEx>
        <w:trPr>
          <w:trHeight w:val="330" w:hRule="atLeast"/>
        </w:trPr>
        <w:tc>
          <w:tcPr>
            <w:tcW w:w="9898" w:type="dxa"/>
            <w:gridSpan w:val="3"/>
            <w:tcBorders>
              <w:top w:val="nil"/>
              <w:left w:val="single" w:color="auto" w:sz="8" w:space="0"/>
              <w:bottom w:val="single" w:color="000000" w:sz="8" w:space="0"/>
              <w:right w:val="single" w:color="auto" w:sz="8" w:space="0"/>
            </w:tcBorders>
            <w:noWrap w:val="0"/>
            <w:vAlign w:val="center"/>
          </w:tcPr>
          <w:p w14:paraId="53BD2528">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jc w:val="left"/>
              <w:textAlignment w:val="auto"/>
              <w:rPr>
                <w:rFonts w:hint="default" w:ascii="宋体" w:hAnsi="宋体" w:eastAsia="宋体" w:cs="宋体"/>
                <w:color w:val="auto"/>
                <w:kern w:val="0"/>
                <w:szCs w:val="21"/>
                <w:lang w:val="en-US" w:eastAsia="zh-CN"/>
              </w:rPr>
            </w:pPr>
            <w:r>
              <w:rPr>
                <w:rFonts w:hint="eastAsia" w:ascii="宋体" w:hAnsi="宋体" w:eastAsia="宋体" w:cs="宋体"/>
                <w:color w:val="auto"/>
                <w:kern w:val="0"/>
                <w:szCs w:val="21"/>
                <w:lang w:val="en-US" w:eastAsia="zh-CN"/>
              </w:rPr>
              <w:t>四、超声云报告</w:t>
            </w:r>
          </w:p>
        </w:tc>
      </w:tr>
      <w:tr w14:paraId="1B069D82">
        <w:tblPrEx>
          <w:tblCellMar>
            <w:top w:w="0" w:type="dxa"/>
            <w:left w:w="108" w:type="dxa"/>
            <w:bottom w:w="0" w:type="dxa"/>
            <w:right w:w="108" w:type="dxa"/>
          </w:tblCellMar>
        </w:tblPrEx>
        <w:trPr>
          <w:trHeight w:val="4045" w:hRule="atLeast"/>
        </w:trPr>
        <w:tc>
          <w:tcPr>
            <w:tcW w:w="1138" w:type="dxa"/>
            <w:vMerge w:val="restart"/>
            <w:tcBorders>
              <w:top w:val="nil"/>
              <w:left w:val="single" w:color="auto" w:sz="4" w:space="0"/>
              <w:right w:val="single" w:color="auto" w:sz="8" w:space="0"/>
            </w:tcBorders>
            <w:noWrap w:val="0"/>
            <w:vAlign w:val="center"/>
          </w:tcPr>
          <w:p w14:paraId="41BF4F53">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jc w:val="left"/>
              <w:textAlignment w:val="auto"/>
              <w:rPr>
                <w:rFonts w:hint="default" w:ascii="宋体" w:hAnsi="宋体" w:eastAsia="宋体" w:cs="宋体"/>
                <w:color w:val="auto"/>
                <w:kern w:val="0"/>
                <w:szCs w:val="21"/>
                <w:lang w:val="en-US" w:eastAsia="zh-CN"/>
              </w:rPr>
            </w:pPr>
            <w:r>
              <w:rPr>
                <w:rFonts w:hint="eastAsia" w:ascii="宋体" w:hAnsi="宋体" w:eastAsia="宋体" w:cs="宋体"/>
                <w:color w:val="auto"/>
                <w:kern w:val="0"/>
                <w:szCs w:val="21"/>
                <w:lang w:val="en-US" w:eastAsia="zh-CN"/>
              </w:rPr>
              <w:t>1.超声云报告</w:t>
            </w:r>
          </w:p>
        </w:tc>
        <w:tc>
          <w:tcPr>
            <w:tcW w:w="1077" w:type="dxa"/>
            <w:tcBorders>
              <w:top w:val="nil"/>
              <w:left w:val="single" w:color="auto" w:sz="8" w:space="0"/>
              <w:bottom w:val="single" w:color="000000" w:sz="8" w:space="0"/>
              <w:right w:val="single" w:color="auto" w:sz="8" w:space="0"/>
            </w:tcBorders>
            <w:noWrap w:val="0"/>
            <w:vAlign w:val="center"/>
          </w:tcPr>
          <w:p w14:paraId="36417D33">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default" w:ascii="宋体" w:hAnsi="宋体" w:eastAsia="宋体" w:cs="宋体"/>
                <w:color w:val="auto"/>
                <w:kern w:val="0"/>
                <w:szCs w:val="21"/>
                <w:lang w:val="en-US" w:eastAsia="zh-CN"/>
              </w:rPr>
            </w:pPr>
            <w:r>
              <w:rPr>
                <w:rFonts w:hint="eastAsia" w:ascii="宋体" w:hAnsi="宋体" w:eastAsia="宋体" w:cs="宋体"/>
                <w:color w:val="auto"/>
                <w:kern w:val="0"/>
                <w:szCs w:val="21"/>
                <w:lang w:val="en-US" w:eastAsia="zh-CN"/>
              </w:rPr>
              <w:t>1.1整体要求</w:t>
            </w:r>
          </w:p>
        </w:tc>
        <w:tc>
          <w:tcPr>
            <w:tcW w:w="7683" w:type="dxa"/>
            <w:tcBorders>
              <w:top w:val="nil"/>
              <w:left w:val="single" w:color="auto" w:sz="8" w:space="0"/>
              <w:bottom w:val="single" w:color="000000" w:sz="8" w:space="0"/>
              <w:right w:val="single" w:color="auto" w:sz="8" w:space="0"/>
            </w:tcBorders>
            <w:noWrap w:val="0"/>
            <w:vAlign w:val="center"/>
          </w:tcPr>
          <w:p w14:paraId="3D7F8181">
            <w:pPr>
              <w:keepNext w:val="0"/>
              <w:keepLines w:val="0"/>
              <w:pageBreakBefore w:val="0"/>
              <w:widowControl/>
              <w:numPr>
                <w:ilvl w:val="0"/>
                <w:numId w:val="109"/>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lang w:val="en-US" w:eastAsia="zh-CN"/>
              </w:rPr>
            </w:pPr>
            <w:r>
              <w:rPr>
                <w:rFonts w:hint="eastAsia" w:ascii="宋体" w:hAnsi="宋体" w:eastAsia="宋体" w:cs="宋体"/>
                <w:color w:val="auto"/>
                <w:kern w:val="0"/>
                <w:szCs w:val="21"/>
                <w:lang w:val="en-US" w:eastAsia="zh-CN"/>
              </w:rPr>
              <w:t>支持与医院超声PACS系统对接，对超声科室的检查数据按照规则进行采集。</w:t>
            </w:r>
          </w:p>
          <w:p w14:paraId="31A8AACB">
            <w:pPr>
              <w:keepNext w:val="0"/>
              <w:keepLines w:val="0"/>
              <w:pageBreakBefore w:val="0"/>
              <w:widowControl/>
              <w:numPr>
                <w:ilvl w:val="0"/>
                <w:numId w:val="109"/>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lang w:val="en-US" w:eastAsia="zh-CN"/>
              </w:rPr>
            </w:pPr>
            <w:r>
              <w:rPr>
                <w:rFonts w:hint="eastAsia" w:ascii="宋体" w:hAnsi="宋体" w:eastAsia="宋体" w:cs="宋体"/>
                <w:color w:val="auto"/>
                <w:kern w:val="0"/>
                <w:szCs w:val="21"/>
                <w:lang w:val="en-US" w:eastAsia="zh-CN"/>
              </w:rPr>
              <w:t>支持与超声PACS对接采集非结构化影像数据（如Dicom，Jpg）以及结构化报告数据。</w:t>
            </w:r>
          </w:p>
          <w:p w14:paraId="69FFC49E">
            <w:pPr>
              <w:keepNext w:val="0"/>
              <w:keepLines w:val="0"/>
              <w:pageBreakBefore w:val="0"/>
              <w:widowControl/>
              <w:numPr>
                <w:ilvl w:val="0"/>
                <w:numId w:val="109"/>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lang w:val="en-US" w:eastAsia="zh-CN"/>
              </w:rPr>
            </w:pPr>
            <w:r>
              <w:rPr>
                <w:rFonts w:hint="eastAsia" w:ascii="宋体" w:hAnsi="宋体" w:eastAsia="宋体" w:cs="宋体"/>
                <w:color w:val="auto"/>
                <w:kern w:val="0"/>
                <w:szCs w:val="21"/>
                <w:lang w:val="en-US" w:eastAsia="zh-CN"/>
              </w:rPr>
              <w:t>支持业务数据传输支持Restful标准接口/视图对接，使用XXL-JOB分布式任务调度平台定时触发采集。</w:t>
            </w:r>
          </w:p>
          <w:p w14:paraId="6F80A91E">
            <w:pPr>
              <w:keepNext w:val="0"/>
              <w:keepLines w:val="0"/>
              <w:pageBreakBefore w:val="0"/>
              <w:widowControl/>
              <w:numPr>
                <w:ilvl w:val="0"/>
                <w:numId w:val="109"/>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lang w:val="en-US" w:eastAsia="zh-CN"/>
              </w:rPr>
            </w:pPr>
            <w:r>
              <w:rPr>
                <w:rFonts w:hint="eastAsia" w:ascii="宋体" w:hAnsi="宋体" w:eastAsia="宋体" w:cs="宋体"/>
                <w:color w:val="auto"/>
                <w:kern w:val="0"/>
                <w:szCs w:val="21"/>
                <w:lang w:val="en-US" w:eastAsia="zh-CN"/>
              </w:rPr>
              <w:t>支持存储同时接收多个采集服务的数据传输，支持并发归档影像。</w:t>
            </w:r>
          </w:p>
          <w:p w14:paraId="3FDF4761">
            <w:pPr>
              <w:keepNext w:val="0"/>
              <w:keepLines w:val="0"/>
              <w:pageBreakBefore w:val="0"/>
              <w:widowControl/>
              <w:numPr>
                <w:ilvl w:val="0"/>
                <w:numId w:val="109"/>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lang w:val="en-US" w:eastAsia="zh-CN"/>
              </w:rPr>
            </w:pPr>
            <w:r>
              <w:rPr>
                <w:rFonts w:hint="eastAsia" w:ascii="宋体" w:hAnsi="宋体" w:eastAsia="宋体" w:cs="宋体"/>
                <w:color w:val="auto"/>
                <w:kern w:val="0"/>
                <w:szCs w:val="21"/>
                <w:lang w:val="en-US" w:eastAsia="zh-CN"/>
              </w:rPr>
              <w:t>支持长期归档存储设备支持设置自动删除策略，定时检测存储服务器磁盘空间，按照所配置删除策略进行影像删除。</w:t>
            </w:r>
          </w:p>
          <w:p w14:paraId="3A8E35ED">
            <w:pPr>
              <w:keepNext w:val="0"/>
              <w:keepLines w:val="0"/>
              <w:pageBreakBefore w:val="0"/>
              <w:widowControl/>
              <w:numPr>
                <w:ilvl w:val="0"/>
                <w:numId w:val="109"/>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lang w:val="en-US" w:eastAsia="zh-CN"/>
              </w:rPr>
            </w:pPr>
            <w:r>
              <w:rPr>
                <w:rFonts w:hint="eastAsia" w:ascii="宋体" w:hAnsi="宋体" w:eastAsia="宋体" w:cs="宋体"/>
                <w:color w:val="auto"/>
                <w:kern w:val="0"/>
                <w:szCs w:val="21"/>
                <w:lang w:val="en-US" w:eastAsia="zh-CN"/>
              </w:rPr>
              <w:t>支持长期归档存储设备提供无缝升级，升级无需停机，升级时现有存储继续使用。</w:t>
            </w:r>
          </w:p>
          <w:p w14:paraId="38CD383D">
            <w:pPr>
              <w:keepNext w:val="0"/>
              <w:keepLines w:val="0"/>
              <w:pageBreakBefore w:val="0"/>
              <w:widowControl/>
              <w:numPr>
                <w:ilvl w:val="0"/>
                <w:numId w:val="109"/>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lang w:val="en-US" w:eastAsia="zh-CN"/>
              </w:rPr>
            </w:pPr>
            <w:r>
              <w:rPr>
                <w:rFonts w:hint="eastAsia" w:ascii="宋体" w:hAnsi="宋体" w:eastAsia="宋体" w:cs="宋体"/>
                <w:color w:val="auto"/>
                <w:kern w:val="0"/>
                <w:szCs w:val="21"/>
                <w:lang w:val="en-US" w:eastAsia="zh-CN"/>
              </w:rPr>
              <w:t>支持根据检查状态设置患者可查看检查报告的时间。</w:t>
            </w:r>
          </w:p>
          <w:p w14:paraId="161A4439">
            <w:pPr>
              <w:keepNext w:val="0"/>
              <w:keepLines w:val="0"/>
              <w:pageBreakBefore w:val="0"/>
              <w:widowControl/>
              <w:numPr>
                <w:ilvl w:val="0"/>
                <w:numId w:val="109"/>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lang w:val="en-US" w:eastAsia="zh-CN"/>
              </w:rPr>
            </w:pPr>
            <w:r>
              <w:rPr>
                <w:rFonts w:hint="eastAsia" w:ascii="宋体" w:hAnsi="宋体" w:eastAsia="宋体" w:cs="宋体"/>
                <w:color w:val="auto"/>
                <w:kern w:val="0"/>
                <w:szCs w:val="21"/>
                <w:lang w:val="en-US" w:eastAsia="zh-CN"/>
              </w:rPr>
              <w:t>支持配置是否允许患者查看原始报告详情。</w:t>
            </w:r>
          </w:p>
        </w:tc>
      </w:tr>
      <w:tr w14:paraId="00FA89BC">
        <w:tblPrEx>
          <w:tblCellMar>
            <w:top w:w="0" w:type="dxa"/>
            <w:left w:w="108" w:type="dxa"/>
            <w:bottom w:w="0" w:type="dxa"/>
            <w:right w:w="108" w:type="dxa"/>
          </w:tblCellMar>
        </w:tblPrEx>
        <w:trPr>
          <w:trHeight w:val="1259" w:hRule="atLeast"/>
        </w:trPr>
        <w:tc>
          <w:tcPr>
            <w:tcW w:w="1138" w:type="dxa"/>
            <w:vMerge w:val="continue"/>
            <w:tcBorders>
              <w:left w:val="single" w:color="auto" w:sz="4" w:space="0"/>
              <w:bottom w:val="single" w:color="auto" w:sz="4" w:space="0"/>
              <w:right w:val="single" w:color="auto" w:sz="8" w:space="0"/>
            </w:tcBorders>
            <w:noWrap w:val="0"/>
            <w:vAlign w:val="center"/>
          </w:tcPr>
          <w:p w14:paraId="625C7B3C">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宋体" w:hAnsi="宋体" w:eastAsia="宋体" w:cs="宋体"/>
                <w:color w:val="auto"/>
                <w:kern w:val="0"/>
                <w:szCs w:val="21"/>
                <w:lang w:val="en-US" w:eastAsia="zh-CN"/>
              </w:rPr>
            </w:pPr>
          </w:p>
        </w:tc>
        <w:tc>
          <w:tcPr>
            <w:tcW w:w="1077" w:type="dxa"/>
            <w:tcBorders>
              <w:top w:val="nil"/>
              <w:left w:val="single" w:color="auto" w:sz="8" w:space="0"/>
              <w:bottom w:val="single" w:color="auto" w:sz="4" w:space="0"/>
              <w:right w:val="single" w:color="auto" w:sz="8" w:space="0"/>
            </w:tcBorders>
            <w:noWrap w:val="0"/>
            <w:vAlign w:val="center"/>
          </w:tcPr>
          <w:p w14:paraId="676DEE51">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default" w:ascii="宋体" w:hAnsi="宋体" w:eastAsia="宋体" w:cs="宋体"/>
                <w:color w:val="auto"/>
                <w:kern w:val="0"/>
                <w:szCs w:val="21"/>
                <w:lang w:val="en-US" w:eastAsia="zh-CN"/>
              </w:rPr>
            </w:pPr>
            <w:r>
              <w:rPr>
                <w:rFonts w:hint="eastAsia" w:ascii="宋体" w:hAnsi="宋体" w:eastAsia="宋体" w:cs="宋体"/>
                <w:color w:val="auto"/>
                <w:kern w:val="0"/>
                <w:szCs w:val="21"/>
                <w:lang w:val="en-US" w:eastAsia="zh-CN"/>
              </w:rPr>
              <w:t>1.2数据统计与分析服务</w:t>
            </w:r>
          </w:p>
        </w:tc>
        <w:tc>
          <w:tcPr>
            <w:tcW w:w="7683" w:type="dxa"/>
            <w:tcBorders>
              <w:top w:val="nil"/>
              <w:left w:val="single" w:color="auto" w:sz="8" w:space="0"/>
              <w:bottom w:val="single" w:color="auto" w:sz="4" w:space="0"/>
              <w:right w:val="single" w:color="auto" w:sz="8" w:space="0"/>
            </w:tcBorders>
            <w:noWrap w:val="0"/>
            <w:vAlign w:val="center"/>
          </w:tcPr>
          <w:p w14:paraId="00964246">
            <w:pPr>
              <w:keepNext w:val="0"/>
              <w:keepLines w:val="0"/>
              <w:pageBreakBefore w:val="0"/>
              <w:widowControl/>
              <w:numPr>
                <w:ilvl w:val="0"/>
                <w:numId w:val="110"/>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lang w:val="en-US" w:eastAsia="zh-CN"/>
              </w:rPr>
            </w:pPr>
            <w:r>
              <w:rPr>
                <w:rFonts w:hint="eastAsia" w:ascii="宋体" w:hAnsi="宋体" w:eastAsia="宋体" w:cs="宋体"/>
                <w:color w:val="auto"/>
                <w:kern w:val="0"/>
                <w:szCs w:val="21"/>
                <w:lang w:val="en-US" w:eastAsia="zh-CN"/>
              </w:rPr>
              <w:t>支持统计检查总人次、报告打印人次、云报告使用量、对外分享次数、影响下载次数。支持统计展示云报告使用率。</w:t>
            </w:r>
          </w:p>
          <w:p w14:paraId="3F022A62">
            <w:pPr>
              <w:keepNext w:val="0"/>
              <w:keepLines w:val="0"/>
              <w:pageBreakBefore w:val="0"/>
              <w:widowControl/>
              <w:numPr>
                <w:ilvl w:val="0"/>
                <w:numId w:val="110"/>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lang w:val="en-US" w:eastAsia="zh-CN"/>
              </w:rPr>
            </w:pPr>
            <w:r>
              <w:rPr>
                <w:rFonts w:hint="eastAsia" w:ascii="宋体" w:hAnsi="宋体" w:eastAsia="宋体" w:cs="宋体"/>
                <w:color w:val="auto"/>
                <w:kern w:val="0"/>
                <w:szCs w:val="21"/>
                <w:lang w:val="en-US" w:eastAsia="zh-CN"/>
              </w:rPr>
              <w:t>支持统计数据传输过程采用Aes加密算法加密数据，确保数据安全。</w:t>
            </w:r>
          </w:p>
          <w:p w14:paraId="2ADA2676">
            <w:pPr>
              <w:keepNext w:val="0"/>
              <w:keepLines w:val="0"/>
              <w:pageBreakBefore w:val="0"/>
              <w:widowControl/>
              <w:numPr>
                <w:ilvl w:val="0"/>
                <w:numId w:val="110"/>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lang w:val="en-US" w:eastAsia="zh-CN"/>
              </w:rPr>
            </w:pPr>
            <w:r>
              <w:rPr>
                <w:rFonts w:hint="eastAsia" w:ascii="宋体" w:hAnsi="宋体" w:eastAsia="宋体" w:cs="宋体"/>
                <w:color w:val="auto"/>
                <w:kern w:val="0"/>
                <w:szCs w:val="21"/>
                <w:lang w:val="en-US" w:eastAsia="zh-CN"/>
              </w:rPr>
              <w:t>支持统计报表和统计图形的导出。</w:t>
            </w:r>
          </w:p>
        </w:tc>
      </w:tr>
      <w:tr w14:paraId="0DE0AD7D">
        <w:tblPrEx>
          <w:tblCellMar>
            <w:top w:w="0" w:type="dxa"/>
            <w:left w:w="108" w:type="dxa"/>
            <w:bottom w:w="0" w:type="dxa"/>
            <w:right w:w="108" w:type="dxa"/>
          </w:tblCellMar>
        </w:tblPrEx>
        <w:trPr>
          <w:trHeight w:val="4964" w:hRule="atLeast"/>
        </w:trPr>
        <w:tc>
          <w:tcPr>
            <w:tcW w:w="1138" w:type="dxa"/>
            <w:vMerge w:val="continue"/>
            <w:tcBorders>
              <w:top w:val="single" w:color="auto" w:sz="4" w:space="0"/>
              <w:left w:val="single" w:color="auto" w:sz="4" w:space="0"/>
              <w:bottom w:val="single" w:color="auto" w:sz="4" w:space="0"/>
              <w:right w:val="single" w:color="auto" w:sz="4" w:space="0"/>
            </w:tcBorders>
            <w:noWrap w:val="0"/>
            <w:vAlign w:val="center"/>
          </w:tcPr>
          <w:p w14:paraId="2F825387">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宋体" w:hAnsi="宋体" w:eastAsia="宋体" w:cs="宋体"/>
                <w:color w:val="auto"/>
                <w:kern w:val="0"/>
                <w:szCs w:val="21"/>
                <w:lang w:val="en-US" w:eastAsia="zh-CN"/>
              </w:rPr>
            </w:pPr>
          </w:p>
        </w:tc>
        <w:tc>
          <w:tcPr>
            <w:tcW w:w="1077" w:type="dxa"/>
            <w:tcBorders>
              <w:top w:val="single" w:color="auto" w:sz="4" w:space="0"/>
              <w:left w:val="single" w:color="auto" w:sz="4" w:space="0"/>
              <w:bottom w:val="single" w:color="auto" w:sz="4" w:space="0"/>
              <w:right w:val="single" w:color="auto" w:sz="4" w:space="0"/>
            </w:tcBorders>
            <w:noWrap w:val="0"/>
            <w:vAlign w:val="center"/>
          </w:tcPr>
          <w:p w14:paraId="02F682F5">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default" w:ascii="宋体" w:hAnsi="宋体" w:eastAsia="宋体" w:cs="宋体"/>
                <w:color w:val="auto"/>
                <w:kern w:val="0"/>
                <w:szCs w:val="21"/>
                <w:lang w:val="en-US" w:eastAsia="zh-CN"/>
              </w:rPr>
            </w:pPr>
            <w:r>
              <w:rPr>
                <w:rFonts w:hint="eastAsia" w:ascii="宋体" w:hAnsi="宋体" w:eastAsia="宋体" w:cs="宋体"/>
                <w:color w:val="auto"/>
                <w:kern w:val="0"/>
                <w:szCs w:val="21"/>
                <w:lang w:val="en-US" w:eastAsia="zh-CN"/>
              </w:rPr>
              <w:t>1.3患者服务</w:t>
            </w:r>
          </w:p>
        </w:tc>
        <w:tc>
          <w:tcPr>
            <w:tcW w:w="7683" w:type="dxa"/>
            <w:tcBorders>
              <w:top w:val="single" w:color="auto" w:sz="4" w:space="0"/>
              <w:left w:val="single" w:color="auto" w:sz="4" w:space="0"/>
              <w:bottom w:val="single" w:color="auto" w:sz="4" w:space="0"/>
              <w:right w:val="single" w:color="auto" w:sz="4" w:space="0"/>
            </w:tcBorders>
            <w:noWrap w:val="0"/>
            <w:vAlign w:val="center"/>
          </w:tcPr>
          <w:p w14:paraId="69193377">
            <w:pPr>
              <w:keepNext w:val="0"/>
              <w:keepLines w:val="0"/>
              <w:pageBreakBefore w:val="0"/>
              <w:widowControl/>
              <w:numPr>
                <w:ilvl w:val="0"/>
                <w:numId w:val="111"/>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lang w:val="en-US" w:eastAsia="zh-CN"/>
              </w:rPr>
            </w:pPr>
            <w:r>
              <w:rPr>
                <w:rFonts w:hint="eastAsia" w:ascii="宋体" w:hAnsi="宋体" w:eastAsia="宋体" w:cs="宋体"/>
                <w:color w:val="auto"/>
                <w:kern w:val="0"/>
                <w:szCs w:val="21"/>
                <w:lang w:val="en-US" w:eastAsia="zh-CN"/>
              </w:rPr>
              <w:t>支持超声检查的图文报告统一查阅功能。</w:t>
            </w:r>
          </w:p>
          <w:p w14:paraId="6B64FB18">
            <w:pPr>
              <w:keepNext w:val="0"/>
              <w:keepLines w:val="0"/>
              <w:pageBreakBefore w:val="0"/>
              <w:widowControl/>
              <w:numPr>
                <w:ilvl w:val="0"/>
                <w:numId w:val="111"/>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lang w:val="en-US" w:eastAsia="zh-CN"/>
              </w:rPr>
            </w:pPr>
            <w:r>
              <w:rPr>
                <w:rFonts w:hint="eastAsia" w:ascii="宋体" w:hAnsi="宋体" w:eastAsia="宋体" w:cs="宋体"/>
                <w:color w:val="auto"/>
                <w:kern w:val="0"/>
                <w:szCs w:val="21"/>
                <w:lang w:val="en-US" w:eastAsia="zh-CN"/>
              </w:rPr>
              <w:t>支持手机、平板设备查阅检查报告和影像。</w:t>
            </w:r>
          </w:p>
          <w:p w14:paraId="0C5C2B4C">
            <w:pPr>
              <w:keepNext w:val="0"/>
              <w:keepLines w:val="0"/>
              <w:pageBreakBefore w:val="0"/>
              <w:widowControl/>
              <w:numPr>
                <w:ilvl w:val="0"/>
                <w:numId w:val="111"/>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lang w:val="en-US" w:eastAsia="zh-CN"/>
              </w:rPr>
            </w:pPr>
            <w:r>
              <w:rPr>
                <w:rFonts w:hint="eastAsia" w:ascii="宋体" w:hAnsi="宋体" w:eastAsia="宋体" w:cs="宋体"/>
                <w:color w:val="auto"/>
                <w:kern w:val="0"/>
                <w:szCs w:val="21"/>
                <w:lang w:val="en-US" w:eastAsia="zh-Hans"/>
              </w:rPr>
              <w:t>支持通过姓名+身份证号，姓名+就诊号进行检查的查询</w:t>
            </w:r>
            <w:r>
              <w:rPr>
                <w:rFonts w:hint="eastAsia" w:ascii="宋体" w:hAnsi="宋体" w:eastAsia="宋体" w:cs="宋体"/>
                <w:color w:val="auto"/>
                <w:kern w:val="0"/>
                <w:szCs w:val="21"/>
                <w:lang w:val="en-US" w:eastAsia="zh-CN"/>
              </w:rPr>
              <w:t>。</w:t>
            </w:r>
          </w:p>
          <w:p w14:paraId="7962AC26">
            <w:pPr>
              <w:keepNext w:val="0"/>
              <w:keepLines w:val="0"/>
              <w:pageBreakBefore w:val="0"/>
              <w:widowControl/>
              <w:numPr>
                <w:ilvl w:val="0"/>
                <w:numId w:val="111"/>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lang w:val="en-US" w:eastAsia="zh-CN"/>
              </w:rPr>
            </w:pPr>
            <w:r>
              <w:rPr>
                <w:rFonts w:hint="eastAsia" w:ascii="宋体" w:hAnsi="宋体" w:eastAsia="宋体" w:cs="宋体"/>
                <w:color w:val="auto"/>
                <w:kern w:val="0"/>
                <w:szCs w:val="21"/>
                <w:lang w:val="en-US" w:eastAsia="zh-CN"/>
              </w:rPr>
              <w:t>支持扫描报告单二维码进入查看检查报告和影像。</w:t>
            </w:r>
          </w:p>
          <w:p w14:paraId="584CD265">
            <w:pPr>
              <w:keepNext w:val="0"/>
              <w:keepLines w:val="0"/>
              <w:pageBreakBefore w:val="0"/>
              <w:widowControl/>
              <w:numPr>
                <w:ilvl w:val="0"/>
                <w:numId w:val="111"/>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lang w:val="en-US" w:eastAsia="zh-CN"/>
              </w:rPr>
            </w:pPr>
            <w:r>
              <w:rPr>
                <w:rFonts w:hint="eastAsia" w:ascii="宋体" w:hAnsi="宋体" w:eastAsia="宋体" w:cs="宋体"/>
                <w:color w:val="auto"/>
                <w:kern w:val="0"/>
                <w:szCs w:val="21"/>
                <w:lang w:val="en-US" w:eastAsia="zh-CN"/>
              </w:rPr>
              <w:t>支持移动设备直接触摸式滑动翻页浏览检查报告和影像。</w:t>
            </w:r>
          </w:p>
          <w:p w14:paraId="19C2D539">
            <w:pPr>
              <w:keepNext w:val="0"/>
              <w:keepLines w:val="0"/>
              <w:pageBreakBefore w:val="0"/>
              <w:widowControl/>
              <w:numPr>
                <w:ilvl w:val="0"/>
                <w:numId w:val="111"/>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lang w:val="en-US" w:eastAsia="zh-CN"/>
              </w:rPr>
            </w:pPr>
            <w:r>
              <w:rPr>
                <w:rFonts w:hint="eastAsia" w:ascii="宋体" w:hAnsi="宋体" w:eastAsia="宋体" w:cs="宋体"/>
                <w:color w:val="auto"/>
                <w:kern w:val="0"/>
                <w:szCs w:val="21"/>
                <w:lang w:val="en-US" w:eastAsia="zh-CN"/>
              </w:rPr>
              <w:t>支持图片格式的检查报告的查看和保存下载，便于用户后续自主打印。</w:t>
            </w:r>
          </w:p>
          <w:p w14:paraId="1F804DEA">
            <w:pPr>
              <w:keepNext w:val="0"/>
              <w:keepLines w:val="0"/>
              <w:pageBreakBefore w:val="0"/>
              <w:widowControl/>
              <w:numPr>
                <w:ilvl w:val="0"/>
                <w:numId w:val="111"/>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lang w:val="en-US" w:eastAsia="zh-CN"/>
              </w:rPr>
            </w:pPr>
            <w:r>
              <w:rPr>
                <w:rFonts w:hint="eastAsia" w:ascii="宋体" w:hAnsi="宋体" w:eastAsia="宋体" w:cs="宋体"/>
                <w:color w:val="auto"/>
                <w:kern w:val="0"/>
                <w:szCs w:val="21"/>
                <w:lang w:val="en-US" w:eastAsia="zh-Hans"/>
              </w:rPr>
              <w:t>支持图片格式查看检查影像。</w:t>
            </w:r>
            <w:r>
              <w:rPr>
                <w:rFonts w:hint="eastAsia" w:ascii="宋体" w:hAnsi="宋体" w:eastAsia="宋体" w:cs="宋体"/>
                <w:color w:val="auto"/>
                <w:kern w:val="0"/>
                <w:szCs w:val="21"/>
                <w:lang w:val="en-US" w:eastAsia="zh-CN"/>
              </w:rPr>
              <w:t>支持检查影像以原始Dicom格式</w:t>
            </w:r>
            <w:r>
              <w:rPr>
                <w:rFonts w:hint="eastAsia" w:ascii="宋体" w:hAnsi="宋体" w:eastAsia="宋体" w:cs="宋体"/>
                <w:color w:val="auto"/>
                <w:kern w:val="0"/>
                <w:szCs w:val="21"/>
                <w:lang w:val="en-US" w:eastAsia="zh-Hans"/>
              </w:rPr>
              <w:t>、Jpg格式</w:t>
            </w:r>
            <w:r>
              <w:rPr>
                <w:rFonts w:hint="eastAsia" w:ascii="宋体" w:hAnsi="宋体" w:eastAsia="宋体" w:cs="宋体"/>
                <w:color w:val="auto"/>
                <w:kern w:val="0"/>
                <w:szCs w:val="21"/>
                <w:lang w:val="en-US" w:eastAsia="zh-CN"/>
              </w:rPr>
              <w:t>导出。</w:t>
            </w:r>
          </w:p>
          <w:p w14:paraId="307C5255">
            <w:pPr>
              <w:keepNext w:val="0"/>
              <w:keepLines w:val="0"/>
              <w:pageBreakBefore w:val="0"/>
              <w:widowControl/>
              <w:numPr>
                <w:ilvl w:val="0"/>
                <w:numId w:val="111"/>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lang w:val="en-US" w:eastAsia="zh-CN"/>
              </w:rPr>
            </w:pPr>
            <w:r>
              <w:rPr>
                <w:rFonts w:hint="eastAsia" w:ascii="宋体" w:hAnsi="宋体" w:eastAsia="宋体" w:cs="宋体"/>
                <w:color w:val="auto"/>
                <w:kern w:val="0"/>
                <w:szCs w:val="21"/>
                <w:lang w:val="en-US" w:eastAsia="zh-CN"/>
              </w:rPr>
              <w:t>支持检查结果分享，系统可以生成分享二维码，扫描二维码，可查看检查报告和影像，用户对生成的分享二维码信息进行勾选“允许对方查看历史检查记录”选项，应能分享历史检查记录。</w:t>
            </w:r>
          </w:p>
          <w:p w14:paraId="1AD1DA8E">
            <w:pPr>
              <w:keepNext w:val="0"/>
              <w:keepLines w:val="0"/>
              <w:pageBreakBefore w:val="0"/>
              <w:widowControl/>
              <w:numPr>
                <w:ilvl w:val="0"/>
                <w:numId w:val="111"/>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lang w:val="en-US" w:eastAsia="zh-CN"/>
              </w:rPr>
            </w:pPr>
            <w:r>
              <w:rPr>
                <w:rFonts w:hint="eastAsia" w:ascii="宋体" w:hAnsi="宋体" w:eastAsia="宋体" w:cs="宋体"/>
                <w:color w:val="auto"/>
                <w:kern w:val="0"/>
                <w:szCs w:val="21"/>
                <w:lang w:val="en-US" w:eastAsia="zh-CN"/>
              </w:rPr>
              <w:t>支持更换绑定的手机号。</w:t>
            </w:r>
          </w:p>
          <w:p w14:paraId="5634C637">
            <w:pPr>
              <w:keepNext w:val="0"/>
              <w:keepLines w:val="0"/>
              <w:pageBreakBefore w:val="0"/>
              <w:widowControl/>
              <w:numPr>
                <w:ilvl w:val="0"/>
                <w:numId w:val="111"/>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lang w:val="en-US" w:eastAsia="zh-CN"/>
              </w:rPr>
            </w:pPr>
            <w:r>
              <w:rPr>
                <w:rFonts w:hint="eastAsia" w:ascii="宋体" w:hAnsi="宋体" w:eastAsia="宋体" w:cs="宋体"/>
                <w:color w:val="auto"/>
                <w:kern w:val="0"/>
                <w:szCs w:val="21"/>
                <w:lang w:val="en-US" w:eastAsia="zh-CN"/>
              </w:rPr>
              <w:t>支持手动绑定或解绑其他用户。</w:t>
            </w:r>
          </w:p>
          <w:p w14:paraId="0F6C32DC">
            <w:pPr>
              <w:keepNext w:val="0"/>
              <w:keepLines w:val="0"/>
              <w:pageBreakBefore w:val="0"/>
              <w:widowControl/>
              <w:numPr>
                <w:ilvl w:val="0"/>
                <w:numId w:val="111"/>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lang w:val="en-US" w:eastAsia="zh-CN"/>
              </w:rPr>
            </w:pPr>
            <w:r>
              <w:rPr>
                <w:rFonts w:hint="eastAsia" w:ascii="宋体" w:hAnsi="宋体" w:eastAsia="宋体" w:cs="宋体"/>
                <w:color w:val="auto"/>
                <w:kern w:val="0"/>
                <w:szCs w:val="21"/>
                <w:lang w:val="en-US" w:eastAsia="zh-CN"/>
              </w:rPr>
              <w:t>支持具有身份认证机制，用户认证手机号或身份证</w:t>
            </w:r>
            <w:r>
              <w:rPr>
                <w:rFonts w:hint="eastAsia" w:ascii="宋体" w:hAnsi="宋体" w:eastAsia="宋体" w:cs="宋体"/>
                <w:color w:val="auto"/>
                <w:kern w:val="0"/>
                <w:szCs w:val="21"/>
                <w:lang w:val="en-US" w:eastAsia="zh-Hans"/>
              </w:rPr>
              <w:t>尾号方式</w:t>
            </w:r>
            <w:r>
              <w:rPr>
                <w:rFonts w:hint="eastAsia" w:ascii="宋体" w:hAnsi="宋体" w:eastAsia="宋体" w:cs="宋体"/>
                <w:color w:val="auto"/>
                <w:kern w:val="0"/>
                <w:szCs w:val="21"/>
                <w:lang w:val="en-US" w:eastAsia="zh-CN"/>
              </w:rPr>
              <w:t>通过之后才能使用云报告功能。</w:t>
            </w:r>
          </w:p>
          <w:p w14:paraId="57DAAF8D">
            <w:pPr>
              <w:keepNext w:val="0"/>
              <w:keepLines w:val="0"/>
              <w:pageBreakBefore w:val="0"/>
              <w:widowControl/>
              <w:numPr>
                <w:ilvl w:val="0"/>
                <w:numId w:val="111"/>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lang w:val="en-US" w:eastAsia="zh-CN"/>
              </w:rPr>
            </w:pPr>
            <w:r>
              <w:rPr>
                <w:rFonts w:hint="eastAsia" w:ascii="宋体" w:hAnsi="宋体" w:eastAsia="宋体" w:cs="宋体"/>
                <w:color w:val="auto"/>
                <w:kern w:val="0"/>
                <w:szCs w:val="21"/>
                <w:lang w:val="en-US" w:eastAsia="zh-CN"/>
              </w:rPr>
              <w:t>支持设置报告单二维码的有效期。</w:t>
            </w:r>
          </w:p>
        </w:tc>
      </w:tr>
      <w:tr w14:paraId="48FE979C">
        <w:tblPrEx>
          <w:tblCellMar>
            <w:top w:w="0" w:type="dxa"/>
            <w:left w:w="108" w:type="dxa"/>
            <w:bottom w:w="0" w:type="dxa"/>
            <w:right w:w="108" w:type="dxa"/>
          </w:tblCellMar>
        </w:tblPrEx>
        <w:trPr>
          <w:trHeight w:val="320" w:hRule="atLeast"/>
        </w:trPr>
        <w:tc>
          <w:tcPr>
            <w:tcW w:w="9898" w:type="dxa"/>
            <w:gridSpan w:val="3"/>
            <w:tcBorders>
              <w:top w:val="single" w:color="auto" w:sz="4" w:space="0"/>
              <w:left w:val="single" w:color="auto" w:sz="4" w:space="0"/>
              <w:bottom w:val="single" w:color="auto" w:sz="4" w:space="0"/>
              <w:right w:val="single" w:color="auto" w:sz="4" w:space="0"/>
            </w:tcBorders>
            <w:noWrap w:val="0"/>
            <w:vAlign w:val="center"/>
          </w:tcPr>
          <w:p w14:paraId="20CFDD30">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jc w:val="left"/>
              <w:textAlignment w:val="auto"/>
              <w:rPr>
                <w:rFonts w:hint="default" w:ascii="宋体" w:hAnsi="宋体" w:eastAsia="宋体" w:cs="宋体"/>
                <w:color w:val="auto"/>
                <w:kern w:val="0"/>
                <w:szCs w:val="21"/>
                <w:lang w:val="en-US" w:eastAsia="zh-CN"/>
              </w:rPr>
            </w:pPr>
            <w:r>
              <w:rPr>
                <w:rFonts w:hint="eastAsia" w:ascii="宋体" w:hAnsi="宋体" w:eastAsia="宋体" w:cs="宋体"/>
                <w:color w:val="auto"/>
                <w:kern w:val="0"/>
                <w:szCs w:val="21"/>
                <w:lang w:val="en-US" w:eastAsia="zh-CN"/>
              </w:rPr>
              <w:t>五、超声自助签到模块</w:t>
            </w:r>
          </w:p>
        </w:tc>
      </w:tr>
      <w:tr w14:paraId="07E32FD6">
        <w:tblPrEx>
          <w:tblCellMar>
            <w:top w:w="0" w:type="dxa"/>
            <w:left w:w="108" w:type="dxa"/>
            <w:bottom w:w="0" w:type="dxa"/>
            <w:right w:w="108" w:type="dxa"/>
          </w:tblCellMar>
        </w:tblPrEx>
        <w:trPr>
          <w:trHeight w:val="1558" w:hRule="atLeast"/>
        </w:trPr>
        <w:tc>
          <w:tcPr>
            <w:tcW w:w="1138" w:type="dxa"/>
            <w:tcBorders>
              <w:top w:val="single" w:color="auto" w:sz="4" w:space="0"/>
              <w:left w:val="single" w:color="auto" w:sz="8" w:space="0"/>
              <w:bottom w:val="single" w:color="000000" w:sz="8" w:space="0"/>
              <w:right w:val="single" w:color="auto" w:sz="8" w:space="0"/>
            </w:tcBorders>
            <w:noWrap w:val="0"/>
            <w:vAlign w:val="center"/>
          </w:tcPr>
          <w:p w14:paraId="4B88FC66">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jc w:val="left"/>
              <w:textAlignment w:val="auto"/>
              <w:rPr>
                <w:rFonts w:hint="default" w:ascii="宋体" w:hAnsi="宋体" w:eastAsia="宋体" w:cs="宋体"/>
                <w:color w:val="auto"/>
                <w:kern w:val="0"/>
                <w:szCs w:val="21"/>
                <w:lang w:val="en-US" w:eastAsia="zh-CN"/>
              </w:rPr>
            </w:pPr>
            <w:r>
              <w:rPr>
                <w:rFonts w:hint="eastAsia" w:ascii="宋体" w:hAnsi="宋体" w:eastAsia="宋体" w:cs="宋体"/>
                <w:color w:val="auto"/>
                <w:kern w:val="0"/>
                <w:szCs w:val="21"/>
                <w:lang w:val="en-US" w:eastAsia="zh-CN"/>
              </w:rPr>
              <w:t>1.签到功能</w:t>
            </w:r>
          </w:p>
        </w:tc>
        <w:tc>
          <w:tcPr>
            <w:tcW w:w="1077" w:type="dxa"/>
            <w:tcBorders>
              <w:top w:val="single" w:color="auto" w:sz="4" w:space="0"/>
              <w:left w:val="single" w:color="auto" w:sz="8" w:space="0"/>
              <w:bottom w:val="single" w:color="000000" w:sz="8" w:space="0"/>
              <w:right w:val="single" w:color="auto" w:sz="8" w:space="0"/>
            </w:tcBorders>
            <w:noWrap w:val="0"/>
            <w:vAlign w:val="center"/>
          </w:tcPr>
          <w:p w14:paraId="392D078B">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jc w:val="left"/>
              <w:textAlignment w:val="auto"/>
              <w:rPr>
                <w:rFonts w:hint="default" w:ascii="宋体" w:hAnsi="宋体" w:eastAsia="宋体" w:cs="宋体"/>
                <w:color w:val="auto"/>
                <w:kern w:val="0"/>
                <w:szCs w:val="21"/>
                <w:lang w:val="en-US" w:eastAsia="zh-CN"/>
              </w:rPr>
            </w:pPr>
            <w:r>
              <w:rPr>
                <w:rFonts w:hint="eastAsia" w:ascii="宋体" w:hAnsi="宋体" w:eastAsia="宋体" w:cs="宋体"/>
                <w:color w:val="auto"/>
                <w:kern w:val="0"/>
                <w:szCs w:val="21"/>
                <w:lang w:val="en-US" w:eastAsia="zh-CN"/>
              </w:rPr>
              <w:t>1.1超声自助签到</w:t>
            </w:r>
          </w:p>
        </w:tc>
        <w:tc>
          <w:tcPr>
            <w:tcW w:w="7683" w:type="dxa"/>
            <w:tcBorders>
              <w:top w:val="single" w:color="auto" w:sz="4" w:space="0"/>
              <w:left w:val="single" w:color="auto" w:sz="8" w:space="0"/>
              <w:bottom w:val="single" w:color="000000" w:sz="8" w:space="0"/>
              <w:right w:val="single" w:color="auto" w:sz="8" w:space="0"/>
            </w:tcBorders>
            <w:noWrap w:val="0"/>
            <w:vAlign w:val="center"/>
          </w:tcPr>
          <w:p w14:paraId="1C3A185B">
            <w:pPr>
              <w:keepNext w:val="0"/>
              <w:keepLines w:val="0"/>
              <w:pageBreakBefore w:val="0"/>
              <w:widowControl/>
              <w:numPr>
                <w:ilvl w:val="0"/>
                <w:numId w:val="112"/>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lang w:val="en-US" w:eastAsia="zh-CN"/>
              </w:rPr>
            </w:pPr>
            <w:r>
              <w:rPr>
                <w:rFonts w:hint="eastAsia" w:ascii="宋体" w:hAnsi="宋体" w:eastAsia="宋体" w:cs="宋体"/>
                <w:color w:val="auto"/>
                <w:kern w:val="0"/>
                <w:szCs w:val="21"/>
                <w:lang w:val="en-US" w:eastAsia="zh-CN"/>
              </w:rPr>
              <w:t>超声科能在预约分诊系统内提前登记好未来几天的患者信息。</w:t>
            </w:r>
          </w:p>
          <w:p w14:paraId="45EED38A">
            <w:pPr>
              <w:keepNext w:val="0"/>
              <w:keepLines w:val="0"/>
              <w:pageBreakBefore w:val="0"/>
              <w:widowControl/>
              <w:numPr>
                <w:ilvl w:val="0"/>
                <w:numId w:val="112"/>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lang w:val="en-US" w:eastAsia="zh-CN"/>
              </w:rPr>
            </w:pPr>
            <w:r>
              <w:rPr>
                <w:rFonts w:hint="eastAsia" w:ascii="宋体" w:hAnsi="宋体" w:eastAsia="宋体" w:cs="宋体"/>
                <w:color w:val="auto"/>
                <w:kern w:val="0"/>
                <w:szCs w:val="21"/>
                <w:lang w:val="en-US" w:eastAsia="zh-CN"/>
              </w:rPr>
              <w:t>支持将提前登记的患者预约信息设置为暂停状态。</w:t>
            </w:r>
          </w:p>
          <w:p w14:paraId="0D8AA103">
            <w:pPr>
              <w:keepNext w:val="0"/>
              <w:keepLines w:val="0"/>
              <w:pageBreakBefore w:val="0"/>
              <w:widowControl/>
              <w:numPr>
                <w:ilvl w:val="0"/>
                <w:numId w:val="112"/>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lang w:val="en-US" w:eastAsia="zh-CN"/>
              </w:rPr>
            </w:pPr>
            <w:r>
              <w:rPr>
                <w:rFonts w:hint="eastAsia" w:ascii="宋体" w:hAnsi="宋体" w:eastAsia="宋体" w:cs="宋体"/>
                <w:color w:val="auto"/>
                <w:kern w:val="0"/>
                <w:szCs w:val="21"/>
                <w:lang w:val="en-US" w:eastAsia="zh-CN"/>
              </w:rPr>
              <w:t>支持预约好的患者信息能够被查询到。</w:t>
            </w:r>
          </w:p>
          <w:p w14:paraId="77761ACB">
            <w:pPr>
              <w:keepNext w:val="0"/>
              <w:keepLines w:val="0"/>
              <w:pageBreakBefore w:val="0"/>
              <w:widowControl/>
              <w:numPr>
                <w:ilvl w:val="0"/>
                <w:numId w:val="112"/>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lang w:val="en-US" w:eastAsia="zh-CN"/>
              </w:rPr>
            </w:pPr>
            <w:r>
              <w:rPr>
                <w:rFonts w:hint="eastAsia" w:ascii="宋体" w:hAnsi="宋体" w:eastAsia="宋体" w:cs="宋体"/>
                <w:color w:val="auto"/>
                <w:kern w:val="0"/>
                <w:szCs w:val="21"/>
                <w:lang w:val="en-US" w:eastAsia="zh-CN"/>
              </w:rPr>
              <w:t>支持提前预约好的患者来到超声科后，到自助机进行自助签到，将之前预约的号进行解冻激活，自动排队到相应队列，等待被呼叫。</w:t>
            </w:r>
          </w:p>
        </w:tc>
      </w:tr>
      <w:tr w14:paraId="023E3B51">
        <w:tblPrEx>
          <w:tblCellMar>
            <w:top w:w="0" w:type="dxa"/>
            <w:left w:w="108" w:type="dxa"/>
            <w:bottom w:w="0" w:type="dxa"/>
            <w:right w:w="108" w:type="dxa"/>
          </w:tblCellMar>
        </w:tblPrEx>
        <w:trPr>
          <w:trHeight w:val="330" w:hRule="atLeast"/>
        </w:trPr>
        <w:tc>
          <w:tcPr>
            <w:tcW w:w="9898" w:type="dxa"/>
            <w:gridSpan w:val="3"/>
            <w:tcBorders>
              <w:top w:val="nil"/>
              <w:left w:val="single" w:color="auto" w:sz="8" w:space="0"/>
              <w:bottom w:val="single" w:color="000000" w:sz="8" w:space="0"/>
              <w:right w:val="single" w:color="auto" w:sz="8" w:space="0"/>
            </w:tcBorders>
            <w:noWrap w:val="0"/>
            <w:vAlign w:val="center"/>
          </w:tcPr>
          <w:p w14:paraId="6747D438">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jc w:val="left"/>
              <w:textAlignment w:val="auto"/>
              <w:rPr>
                <w:rFonts w:hint="default" w:ascii="宋体" w:hAnsi="宋体" w:eastAsia="宋体" w:cs="宋体"/>
                <w:color w:val="auto"/>
                <w:kern w:val="0"/>
                <w:szCs w:val="21"/>
                <w:lang w:val="en-US" w:eastAsia="zh-CN"/>
              </w:rPr>
            </w:pPr>
            <w:r>
              <w:rPr>
                <w:rFonts w:hint="eastAsia" w:ascii="宋体" w:hAnsi="宋体" w:eastAsia="宋体" w:cs="宋体"/>
                <w:color w:val="auto"/>
                <w:kern w:val="0"/>
                <w:szCs w:val="21"/>
                <w:lang w:val="en-US" w:eastAsia="zh-CN"/>
              </w:rPr>
              <w:t>六、叫号系统</w:t>
            </w:r>
          </w:p>
        </w:tc>
      </w:tr>
      <w:tr w14:paraId="40A03CE6">
        <w:tblPrEx>
          <w:tblCellMar>
            <w:top w:w="0" w:type="dxa"/>
            <w:left w:w="108" w:type="dxa"/>
            <w:bottom w:w="0" w:type="dxa"/>
            <w:right w:w="108" w:type="dxa"/>
          </w:tblCellMar>
        </w:tblPrEx>
        <w:trPr>
          <w:trHeight w:val="5593" w:hRule="atLeast"/>
        </w:trPr>
        <w:tc>
          <w:tcPr>
            <w:tcW w:w="1138" w:type="dxa"/>
            <w:tcBorders>
              <w:top w:val="nil"/>
              <w:left w:val="single" w:color="auto" w:sz="8" w:space="0"/>
              <w:bottom w:val="single" w:color="000000" w:sz="8" w:space="0"/>
              <w:right w:val="single" w:color="auto" w:sz="8" w:space="0"/>
            </w:tcBorders>
            <w:noWrap w:val="0"/>
            <w:vAlign w:val="center"/>
          </w:tcPr>
          <w:p w14:paraId="14EE74CE">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宋体" w:hAnsi="宋体" w:cs="宋体"/>
                <w:color w:val="auto"/>
                <w:kern w:val="0"/>
                <w:sz w:val="21"/>
                <w:szCs w:val="21"/>
                <w:lang w:val="en-US" w:eastAsia="zh-CN" w:bidi="ar-SA"/>
              </w:rPr>
            </w:pPr>
            <w:r>
              <w:rPr>
                <w:rFonts w:hint="eastAsia" w:ascii="宋体" w:hAnsi="宋体" w:cs="宋体"/>
                <w:color w:val="auto"/>
                <w:kern w:val="0"/>
                <w:szCs w:val="21"/>
                <w:lang w:val="en-US" w:eastAsia="zh-CN"/>
              </w:rPr>
              <w:t>1.WEB叫号</w:t>
            </w:r>
          </w:p>
        </w:tc>
        <w:tc>
          <w:tcPr>
            <w:tcW w:w="1077" w:type="dxa"/>
            <w:tcBorders>
              <w:top w:val="nil"/>
              <w:left w:val="nil"/>
              <w:bottom w:val="single" w:color="auto" w:sz="8" w:space="0"/>
              <w:right w:val="single" w:color="auto" w:sz="8" w:space="0"/>
            </w:tcBorders>
            <w:noWrap w:val="0"/>
            <w:vAlign w:val="center"/>
          </w:tcPr>
          <w:p w14:paraId="7B796093">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color w:val="auto"/>
                <w:kern w:val="0"/>
                <w:sz w:val="21"/>
                <w:szCs w:val="21"/>
                <w:lang w:val="en-US" w:eastAsia="zh-CN" w:bidi="ar-SA"/>
              </w:rPr>
            </w:pPr>
            <w:r>
              <w:rPr>
                <w:rFonts w:hint="eastAsia" w:ascii="宋体" w:hAnsi="宋体" w:cs="宋体"/>
                <w:color w:val="auto"/>
                <w:kern w:val="0"/>
                <w:szCs w:val="21"/>
                <w:lang w:val="en-US" w:eastAsia="zh-CN"/>
              </w:rPr>
              <w:t>1.1WEB叫号</w:t>
            </w:r>
          </w:p>
        </w:tc>
        <w:tc>
          <w:tcPr>
            <w:tcW w:w="7683" w:type="dxa"/>
            <w:tcBorders>
              <w:top w:val="nil"/>
              <w:left w:val="nil"/>
              <w:bottom w:val="single" w:color="auto" w:sz="8" w:space="0"/>
              <w:right w:val="single" w:color="auto" w:sz="8" w:space="0"/>
            </w:tcBorders>
            <w:noWrap w:val="0"/>
            <w:vAlign w:val="center"/>
          </w:tcPr>
          <w:p w14:paraId="695BCC34">
            <w:pPr>
              <w:keepNext w:val="0"/>
              <w:keepLines w:val="0"/>
              <w:pageBreakBefore w:val="0"/>
              <w:widowControl/>
              <w:numPr>
                <w:ilvl w:val="0"/>
                <w:numId w:val="113"/>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lang w:val="en-US" w:eastAsia="zh-CN"/>
              </w:rPr>
            </w:pPr>
            <w:r>
              <w:rPr>
                <w:rFonts w:hint="eastAsia" w:ascii="宋体" w:hAnsi="宋体" w:eastAsia="宋体" w:cs="宋体"/>
                <w:color w:val="auto"/>
                <w:kern w:val="0"/>
                <w:szCs w:val="21"/>
                <w:lang w:val="en-US" w:eastAsia="zh-CN"/>
              </w:rPr>
              <w:t>可以同时维护处理不同的科室的叫号屏布局方案。</w:t>
            </w:r>
          </w:p>
          <w:p w14:paraId="10CF5C8A">
            <w:pPr>
              <w:keepNext w:val="0"/>
              <w:keepLines w:val="0"/>
              <w:pageBreakBefore w:val="0"/>
              <w:widowControl/>
              <w:numPr>
                <w:ilvl w:val="0"/>
                <w:numId w:val="113"/>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lang w:val="en-US" w:eastAsia="zh-CN"/>
              </w:rPr>
            </w:pPr>
            <w:r>
              <w:rPr>
                <w:rFonts w:hint="eastAsia" w:ascii="宋体" w:hAnsi="宋体" w:eastAsia="宋体" w:cs="宋体"/>
                <w:color w:val="auto"/>
                <w:kern w:val="0"/>
                <w:szCs w:val="21"/>
                <w:lang w:val="en-US" w:eastAsia="zh-CN"/>
              </w:rPr>
              <w:t>同一检查科室里面的大厅分诊屏或者诊室分诊屏存在不同的屏幕显示信息等不同时可以设置不同的方案。</w:t>
            </w:r>
          </w:p>
          <w:p w14:paraId="63A4AC35">
            <w:pPr>
              <w:keepNext w:val="0"/>
              <w:keepLines w:val="0"/>
              <w:pageBreakBefore w:val="0"/>
              <w:widowControl/>
              <w:numPr>
                <w:ilvl w:val="0"/>
                <w:numId w:val="113"/>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lang w:val="en-US" w:eastAsia="zh-CN"/>
              </w:rPr>
            </w:pPr>
            <w:r>
              <w:rPr>
                <w:rFonts w:hint="eastAsia" w:ascii="宋体" w:hAnsi="宋体" w:eastAsia="宋体" w:cs="宋体"/>
                <w:color w:val="auto"/>
                <w:kern w:val="0"/>
                <w:szCs w:val="21"/>
                <w:lang w:val="en-US" w:eastAsia="zh-CN"/>
              </w:rPr>
              <w:t>根据不同医院的使用场景可以选择不同的屏幕布局样式。</w:t>
            </w:r>
          </w:p>
          <w:p w14:paraId="5066AF14">
            <w:pPr>
              <w:keepNext w:val="0"/>
              <w:keepLines w:val="0"/>
              <w:pageBreakBefore w:val="0"/>
              <w:widowControl/>
              <w:numPr>
                <w:ilvl w:val="0"/>
                <w:numId w:val="113"/>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lang w:val="en-US" w:eastAsia="zh-CN"/>
              </w:rPr>
            </w:pPr>
            <w:r>
              <w:rPr>
                <w:rFonts w:hint="eastAsia" w:ascii="宋体" w:hAnsi="宋体" w:eastAsia="宋体" w:cs="宋体"/>
                <w:color w:val="auto"/>
                <w:kern w:val="0"/>
                <w:szCs w:val="21"/>
                <w:lang w:val="en-US" w:eastAsia="zh-CN"/>
              </w:rPr>
              <w:t>可以自定义排队，过号，已叫号的显示格式，以及显示格式的溢出，脱敏等信息。</w:t>
            </w:r>
          </w:p>
          <w:p w14:paraId="730A55AC">
            <w:pPr>
              <w:keepNext w:val="0"/>
              <w:keepLines w:val="0"/>
              <w:pageBreakBefore w:val="0"/>
              <w:widowControl/>
              <w:numPr>
                <w:ilvl w:val="0"/>
                <w:numId w:val="113"/>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lang w:val="en-US" w:eastAsia="zh-CN"/>
              </w:rPr>
            </w:pPr>
            <w:r>
              <w:rPr>
                <w:rFonts w:hint="eastAsia" w:ascii="宋体" w:hAnsi="宋体" w:eastAsia="宋体" w:cs="宋体"/>
                <w:color w:val="auto"/>
                <w:kern w:val="0"/>
                <w:szCs w:val="21"/>
                <w:lang w:val="en-US" w:eastAsia="zh-CN"/>
              </w:rPr>
              <w:t>自定义正在呼叫的格式以及次数。</w:t>
            </w:r>
          </w:p>
          <w:p w14:paraId="07FCE901">
            <w:pPr>
              <w:keepNext w:val="0"/>
              <w:keepLines w:val="0"/>
              <w:pageBreakBefore w:val="0"/>
              <w:widowControl/>
              <w:numPr>
                <w:ilvl w:val="0"/>
                <w:numId w:val="113"/>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lang w:val="en-US" w:eastAsia="zh-CN"/>
              </w:rPr>
            </w:pPr>
            <w:r>
              <w:rPr>
                <w:rFonts w:hint="eastAsia" w:ascii="宋体" w:hAnsi="宋体" w:eastAsia="宋体" w:cs="宋体"/>
                <w:color w:val="auto"/>
                <w:kern w:val="0"/>
                <w:szCs w:val="21"/>
                <w:lang w:val="en-US" w:eastAsia="zh-CN"/>
              </w:rPr>
              <w:t>可以选择叫号弹窗的大小以及脱敏设置。</w:t>
            </w:r>
          </w:p>
          <w:p w14:paraId="4857879E">
            <w:pPr>
              <w:keepNext w:val="0"/>
              <w:keepLines w:val="0"/>
              <w:pageBreakBefore w:val="0"/>
              <w:widowControl/>
              <w:numPr>
                <w:ilvl w:val="0"/>
                <w:numId w:val="113"/>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lang w:val="en-US" w:eastAsia="zh-CN"/>
              </w:rPr>
            </w:pPr>
            <w:r>
              <w:rPr>
                <w:rFonts w:hint="eastAsia" w:ascii="宋体" w:hAnsi="宋体" w:eastAsia="宋体" w:cs="宋体"/>
                <w:color w:val="auto"/>
                <w:kern w:val="0"/>
                <w:szCs w:val="21"/>
                <w:lang w:val="en-US" w:eastAsia="zh-CN"/>
              </w:rPr>
              <w:t>自定义正在候诊呼叫的格式。</w:t>
            </w:r>
          </w:p>
          <w:p w14:paraId="4F9CBF2C">
            <w:pPr>
              <w:keepNext w:val="0"/>
              <w:keepLines w:val="0"/>
              <w:pageBreakBefore w:val="0"/>
              <w:widowControl/>
              <w:numPr>
                <w:ilvl w:val="0"/>
                <w:numId w:val="113"/>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lang w:val="en-US" w:eastAsia="zh-CN"/>
              </w:rPr>
            </w:pPr>
            <w:r>
              <w:rPr>
                <w:rFonts w:hint="eastAsia" w:ascii="宋体" w:hAnsi="宋体" w:eastAsia="宋体" w:cs="宋体"/>
                <w:color w:val="auto"/>
                <w:kern w:val="0"/>
                <w:szCs w:val="21"/>
                <w:lang w:val="en-US" w:eastAsia="zh-CN"/>
              </w:rPr>
              <w:t>自定义设置温馨提示的内容，以及控制是否滚动。</w:t>
            </w:r>
          </w:p>
          <w:p w14:paraId="4B82ECF5">
            <w:pPr>
              <w:keepNext w:val="0"/>
              <w:keepLines w:val="0"/>
              <w:pageBreakBefore w:val="0"/>
              <w:widowControl/>
              <w:numPr>
                <w:ilvl w:val="0"/>
                <w:numId w:val="113"/>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lang w:val="en-US" w:eastAsia="zh-CN"/>
              </w:rPr>
            </w:pPr>
            <w:r>
              <w:rPr>
                <w:rFonts w:hint="eastAsia" w:ascii="宋体" w:hAnsi="宋体" w:eastAsia="宋体" w:cs="宋体"/>
                <w:color w:val="auto"/>
                <w:kern w:val="0"/>
                <w:szCs w:val="21"/>
                <w:lang w:val="en-US" w:eastAsia="zh-CN"/>
              </w:rPr>
              <w:t>支持上传二维码以及二维码描述。</w:t>
            </w:r>
          </w:p>
          <w:p w14:paraId="3D5A109C">
            <w:pPr>
              <w:keepNext w:val="0"/>
              <w:keepLines w:val="0"/>
              <w:pageBreakBefore w:val="0"/>
              <w:widowControl/>
              <w:numPr>
                <w:ilvl w:val="0"/>
                <w:numId w:val="113"/>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lang w:val="en-US" w:eastAsia="zh-CN"/>
              </w:rPr>
            </w:pPr>
            <w:r>
              <w:rPr>
                <w:rFonts w:hint="eastAsia" w:ascii="宋体" w:hAnsi="宋体" w:eastAsia="宋体" w:cs="宋体"/>
                <w:color w:val="auto"/>
                <w:kern w:val="0"/>
                <w:szCs w:val="21"/>
                <w:lang w:val="en-US" w:eastAsia="zh-CN"/>
              </w:rPr>
              <w:t>支持选择播放语音的的语音库来源，以及播放速度和音量。</w:t>
            </w:r>
          </w:p>
          <w:p w14:paraId="6A4A56B7">
            <w:pPr>
              <w:keepNext w:val="0"/>
              <w:keepLines w:val="0"/>
              <w:pageBreakBefore w:val="0"/>
              <w:widowControl/>
              <w:numPr>
                <w:ilvl w:val="0"/>
                <w:numId w:val="113"/>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lang w:val="en-US" w:eastAsia="zh-CN"/>
              </w:rPr>
            </w:pPr>
            <w:r>
              <w:rPr>
                <w:rFonts w:hint="eastAsia" w:ascii="宋体" w:hAnsi="宋体" w:eastAsia="宋体" w:cs="宋体"/>
                <w:color w:val="auto"/>
                <w:kern w:val="0"/>
                <w:szCs w:val="21"/>
                <w:lang w:val="en-US" w:eastAsia="zh-CN"/>
              </w:rPr>
              <w:t>支持配置声音内容进行播放试听声音。</w:t>
            </w:r>
          </w:p>
          <w:p w14:paraId="3493B366">
            <w:pPr>
              <w:keepNext w:val="0"/>
              <w:keepLines w:val="0"/>
              <w:pageBreakBefore w:val="0"/>
              <w:widowControl/>
              <w:numPr>
                <w:ilvl w:val="0"/>
                <w:numId w:val="113"/>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lang w:val="en-US" w:eastAsia="zh-CN"/>
              </w:rPr>
            </w:pPr>
            <w:r>
              <w:rPr>
                <w:rFonts w:hint="eastAsia" w:ascii="宋体" w:hAnsi="宋体" w:eastAsia="宋体" w:cs="宋体"/>
                <w:color w:val="auto"/>
                <w:kern w:val="0"/>
                <w:szCs w:val="21"/>
                <w:lang w:val="en-US" w:eastAsia="zh-CN"/>
              </w:rPr>
              <w:t>支持添加显示屏幕的IP，以及订阅显示的队列或者诊室。</w:t>
            </w:r>
          </w:p>
          <w:p w14:paraId="5E5ADE10">
            <w:pPr>
              <w:keepNext w:val="0"/>
              <w:keepLines w:val="0"/>
              <w:pageBreakBefore w:val="0"/>
              <w:widowControl/>
              <w:numPr>
                <w:ilvl w:val="0"/>
                <w:numId w:val="113"/>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lang w:val="en-US" w:eastAsia="zh-CN"/>
              </w:rPr>
            </w:pPr>
            <w:r>
              <w:rPr>
                <w:rFonts w:hint="eastAsia" w:ascii="宋体" w:hAnsi="宋体" w:eastAsia="宋体" w:cs="宋体"/>
                <w:color w:val="auto"/>
                <w:kern w:val="0"/>
                <w:szCs w:val="21"/>
                <w:lang w:val="en-US" w:eastAsia="zh-CN"/>
              </w:rPr>
              <w:t>支持设置组合内的正叫信息在组合内的每一个屏幕上显示。</w:t>
            </w:r>
          </w:p>
          <w:p w14:paraId="0C5C680E">
            <w:pPr>
              <w:keepNext w:val="0"/>
              <w:keepLines w:val="0"/>
              <w:pageBreakBefore w:val="0"/>
              <w:widowControl/>
              <w:numPr>
                <w:ilvl w:val="0"/>
                <w:numId w:val="113"/>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lang w:val="en-US" w:eastAsia="zh-CN"/>
              </w:rPr>
            </w:pPr>
            <w:r>
              <w:rPr>
                <w:rFonts w:hint="eastAsia" w:ascii="宋体" w:hAnsi="宋体" w:eastAsia="宋体" w:cs="宋体"/>
                <w:color w:val="auto"/>
                <w:kern w:val="0"/>
                <w:szCs w:val="21"/>
                <w:lang w:val="en-US" w:eastAsia="zh-CN"/>
              </w:rPr>
              <w:t>叫号屏上显示的患者信息顺序支持设置排序的字段以及排序规则。</w:t>
            </w:r>
          </w:p>
          <w:p w14:paraId="494F0956">
            <w:pPr>
              <w:keepNext w:val="0"/>
              <w:keepLines w:val="0"/>
              <w:pageBreakBefore w:val="0"/>
              <w:widowControl/>
              <w:numPr>
                <w:ilvl w:val="0"/>
                <w:numId w:val="113"/>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lang w:val="en-US" w:eastAsia="zh-CN"/>
              </w:rPr>
            </w:pPr>
            <w:r>
              <w:rPr>
                <w:rFonts w:hint="eastAsia" w:ascii="宋体" w:hAnsi="宋体" w:eastAsia="宋体" w:cs="宋体"/>
                <w:color w:val="auto"/>
                <w:kern w:val="0"/>
                <w:szCs w:val="21"/>
                <w:lang w:val="en-US" w:eastAsia="zh-CN"/>
              </w:rPr>
              <w:t>支持上传医院的logo信息并在叫号屏上面显示。</w:t>
            </w:r>
          </w:p>
          <w:p w14:paraId="4D7DCD7F">
            <w:pPr>
              <w:keepNext w:val="0"/>
              <w:keepLines w:val="0"/>
              <w:pageBreakBefore w:val="0"/>
              <w:widowControl/>
              <w:numPr>
                <w:ilvl w:val="0"/>
                <w:numId w:val="113"/>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Cs w:val="21"/>
                <w:lang w:val="en-US" w:eastAsia="zh-CN"/>
              </w:rPr>
              <w:t>支持系统内的所有操作内容进行日志记录。</w:t>
            </w:r>
          </w:p>
        </w:tc>
      </w:tr>
      <w:tr w14:paraId="1BB6788C">
        <w:tblPrEx>
          <w:tblCellMar>
            <w:top w:w="0" w:type="dxa"/>
            <w:left w:w="108" w:type="dxa"/>
            <w:bottom w:w="0" w:type="dxa"/>
            <w:right w:w="108" w:type="dxa"/>
          </w:tblCellMar>
        </w:tblPrEx>
        <w:trPr>
          <w:trHeight w:val="330" w:hRule="atLeast"/>
        </w:trPr>
        <w:tc>
          <w:tcPr>
            <w:tcW w:w="9898" w:type="dxa"/>
            <w:gridSpan w:val="3"/>
            <w:tcBorders>
              <w:top w:val="nil"/>
              <w:left w:val="single" w:color="auto" w:sz="8" w:space="0"/>
              <w:bottom w:val="single" w:color="000000" w:sz="8" w:space="0"/>
              <w:right w:val="single" w:color="auto" w:sz="8" w:space="0"/>
            </w:tcBorders>
            <w:noWrap w:val="0"/>
            <w:vAlign w:val="center"/>
          </w:tcPr>
          <w:p w14:paraId="7F725D8D">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jc w:val="left"/>
              <w:textAlignment w:val="auto"/>
              <w:rPr>
                <w:rFonts w:hint="default" w:ascii="宋体" w:hAnsi="宋体" w:eastAsia="宋体" w:cs="宋体"/>
                <w:color w:val="auto"/>
                <w:kern w:val="0"/>
                <w:szCs w:val="21"/>
                <w:lang w:val="en-US" w:eastAsia="zh-CN"/>
              </w:rPr>
            </w:pPr>
            <w:r>
              <w:rPr>
                <w:rFonts w:hint="eastAsia" w:ascii="宋体" w:hAnsi="宋体" w:eastAsia="宋体" w:cs="宋体"/>
                <w:color w:val="auto"/>
                <w:kern w:val="0"/>
                <w:szCs w:val="21"/>
                <w:lang w:val="en-US" w:eastAsia="zh-CN"/>
              </w:rPr>
              <w:t>五、评级要求</w:t>
            </w:r>
          </w:p>
        </w:tc>
      </w:tr>
      <w:tr w14:paraId="4458A3A8">
        <w:tblPrEx>
          <w:tblCellMar>
            <w:top w:w="0" w:type="dxa"/>
            <w:left w:w="108" w:type="dxa"/>
            <w:bottom w:w="0" w:type="dxa"/>
            <w:right w:w="108" w:type="dxa"/>
          </w:tblCellMar>
        </w:tblPrEx>
        <w:trPr>
          <w:trHeight w:val="639" w:hRule="atLeast"/>
        </w:trPr>
        <w:tc>
          <w:tcPr>
            <w:tcW w:w="1138" w:type="dxa"/>
            <w:tcBorders>
              <w:top w:val="nil"/>
              <w:left w:val="single" w:color="auto" w:sz="8" w:space="0"/>
              <w:bottom w:val="single" w:color="000000" w:sz="8" w:space="0"/>
              <w:right w:val="single" w:color="auto" w:sz="8" w:space="0"/>
            </w:tcBorders>
            <w:noWrap w:val="0"/>
            <w:vAlign w:val="center"/>
          </w:tcPr>
          <w:p w14:paraId="5246D15B">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default" w:ascii="宋体" w:hAnsi="宋体" w:cs="宋体"/>
                <w:color w:val="auto"/>
                <w:kern w:val="0"/>
                <w:szCs w:val="21"/>
                <w:lang w:val="en-US" w:eastAsia="zh-CN"/>
              </w:rPr>
            </w:pPr>
            <w:r>
              <w:rPr>
                <w:rFonts w:hint="eastAsia" w:ascii="宋体" w:hAnsi="宋体" w:cs="宋体"/>
                <w:color w:val="auto"/>
                <w:kern w:val="0"/>
                <w:szCs w:val="21"/>
                <w:lang w:val="en-US" w:eastAsia="zh-CN"/>
              </w:rPr>
              <w:t>1.评级服务</w:t>
            </w:r>
          </w:p>
        </w:tc>
        <w:tc>
          <w:tcPr>
            <w:tcW w:w="1077" w:type="dxa"/>
            <w:tcBorders>
              <w:top w:val="nil"/>
              <w:left w:val="nil"/>
              <w:bottom w:val="single" w:color="auto" w:sz="8" w:space="0"/>
              <w:right w:val="single" w:color="auto" w:sz="8" w:space="0"/>
            </w:tcBorders>
            <w:noWrap w:val="0"/>
            <w:vAlign w:val="center"/>
          </w:tcPr>
          <w:p w14:paraId="3E1BD62D">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default" w:ascii="宋体" w:hAnsi="宋体" w:cs="宋体"/>
                <w:color w:val="auto"/>
                <w:kern w:val="0"/>
                <w:szCs w:val="21"/>
                <w:lang w:val="en-US" w:eastAsia="zh-CN"/>
              </w:rPr>
            </w:pPr>
            <w:r>
              <w:rPr>
                <w:rFonts w:hint="eastAsia" w:ascii="宋体" w:hAnsi="宋体" w:cs="宋体"/>
                <w:color w:val="auto"/>
                <w:kern w:val="0"/>
                <w:szCs w:val="21"/>
                <w:lang w:val="en-US" w:eastAsia="zh-CN"/>
              </w:rPr>
              <w:t>1.1评级要求</w:t>
            </w:r>
          </w:p>
        </w:tc>
        <w:tc>
          <w:tcPr>
            <w:tcW w:w="7683" w:type="dxa"/>
            <w:tcBorders>
              <w:top w:val="nil"/>
              <w:left w:val="nil"/>
              <w:bottom w:val="single" w:color="auto" w:sz="8" w:space="0"/>
              <w:right w:val="single" w:color="auto" w:sz="8" w:space="0"/>
            </w:tcBorders>
            <w:noWrap w:val="0"/>
            <w:vAlign w:val="center"/>
          </w:tcPr>
          <w:p w14:paraId="0C417D55">
            <w:pPr>
              <w:keepNext w:val="0"/>
              <w:keepLines w:val="0"/>
              <w:pageBreakBefore w:val="0"/>
              <w:widowControl/>
              <w:numPr>
                <w:ilvl w:val="0"/>
                <w:numId w:val="114"/>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lang w:val="en-US" w:eastAsia="zh-CN"/>
              </w:rPr>
            </w:pPr>
            <w:r>
              <w:rPr>
                <w:rFonts w:hint="eastAsia" w:ascii="宋体" w:hAnsi="宋体" w:eastAsia="宋体" w:cs="宋体"/>
                <w:color w:val="auto"/>
                <w:kern w:val="0"/>
                <w:szCs w:val="21"/>
                <w:lang w:val="en-US" w:eastAsia="zh-CN"/>
              </w:rPr>
              <w:t>满足电子病历六级评审相关要求。</w:t>
            </w:r>
          </w:p>
          <w:p w14:paraId="1138117A">
            <w:pPr>
              <w:keepNext w:val="0"/>
              <w:keepLines w:val="0"/>
              <w:pageBreakBefore w:val="0"/>
              <w:widowControl/>
              <w:numPr>
                <w:ilvl w:val="0"/>
                <w:numId w:val="114"/>
              </w:numPr>
              <w:kinsoku/>
              <w:wordWrap/>
              <w:overflowPunct/>
              <w:topLinePunct w:val="0"/>
              <w:autoSpaceDE/>
              <w:autoSpaceDN/>
              <w:bidi w:val="0"/>
              <w:adjustRightInd w:val="0"/>
              <w:snapToGrid w:val="0"/>
              <w:spacing w:line="360" w:lineRule="auto"/>
              <w:ind w:left="425" w:leftChars="0" w:hanging="425" w:firstLineChars="0"/>
              <w:jc w:val="left"/>
              <w:textAlignment w:val="auto"/>
              <w:rPr>
                <w:rFonts w:hint="eastAsia" w:ascii="宋体" w:hAnsi="宋体" w:eastAsia="宋体" w:cs="宋体"/>
                <w:color w:val="auto"/>
                <w:kern w:val="0"/>
                <w:szCs w:val="21"/>
                <w:lang w:val="en-US" w:eastAsia="zh-CN"/>
              </w:rPr>
            </w:pPr>
            <w:r>
              <w:rPr>
                <w:rFonts w:hint="eastAsia" w:ascii="宋体" w:hAnsi="宋体" w:eastAsia="宋体" w:cs="宋体"/>
                <w:color w:val="auto"/>
                <w:kern w:val="0"/>
                <w:szCs w:val="21"/>
                <w:lang w:val="en-US" w:eastAsia="zh-CN"/>
              </w:rPr>
              <w:t>满足智慧服务四级相关要求。</w:t>
            </w:r>
          </w:p>
        </w:tc>
      </w:tr>
      <w:tr w14:paraId="746F517C">
        <w:tblPrEx>
          <w:tblCellMar>
            <w:top w:w="0" w:type="dxa"/>
            <w:left w:w="108" w:type="dxa"/>
            <w:bottom w:w="0" w:type="dxa"/>
            <w:right w:w="108" w:type="dxa"/>
          </w:tblCellMar>
        </w:tblPrEx>
        <w:trPr>
          <w:trHeight w:val="330" w:hRule="atLeast"/>
        </w:trPr>
        <w:tc>
          <w:tcPr>
            <w:tcW w:w="9898" w:type="dxa"/>
            <w:gridSpan w:val="3"/>
            <w:tcBorders>
              <w:top w:val="nil"/>
              <w:left w:val="single" w:color="auto" w:sz="8" w:space="0"/>
              <w:bottom w:val="single" w:color="000000" w:sz="8" w:space="0"/>
              <w:right w:val="single" w:color="auto" w:sz="8" w:space="0"/>
            </w:tcBorders>
            <w:noWrap w:val="0"/>
            <w:vAlign w:val="center"/>
          </w:tcPr>
          <w:p w14:paraId="4FEB1662">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宋体" w:hAnsi="宋体" w:cs="宋体"/>
                <w:color w:val="auto"/>
                <w:kern w:val="0"/>
                <w:szCs w:val="21"/>
              </w:rPr>
            </w:pPr>
            <w:r>
              <w:rPr>
                <w:rFonts w:hint="eastAsia" w:ascii="宋体" w:hAnsi="宋体" w:cs="宋体"/>
                <w:color w:val="auto"/>
                <w:kern w:val="0"/>
                <w:szCs w:val="21"/>
              </w:rPr>
              <w:t>商务需求：</w:t>
            </w:r>
          </w:p>
        </w:tc>
      </w:tr>
      <w:tr w14:paraId="12B7231E">
        <w:tblPrEx>
          <w:tblCellMar>
            <w:top w:w="0" w:type="dxa"/>
            <w:left w:w="108" w:type="dxa"/>
            <w:bottom w:w="0" w:type="dxa"/>
            <w:right w:w="108" w:type="dxa"/>
          </w:tblCellMar>
        </w:tblPrEx>
        <w:trPr>
          <w:trHeight w:val="639" w:hRule="atLeast"/>
        </w:trPr>
        <w:tc>
          <w:tcPr>
            <w:tcW w:w="1138" w:type="dxa"/>
            <w:vMerge w:val="restart"/>
            <w:tcBorders>
              <w:top w:val="nil"/>
              <w:left w:val="single" w:color="auto" w:sz="8" w:space="0"/>
              <w:right w:val="single" w:color="auto" w:sz="8" w:space="0"/>
            </w:tcBorders>
            <w:noWrap w:val="0"/>
            <w:vAlign w:val="center"/>
          </w:tcPr>
          <w:p w14:paraId="569BC184">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rPr>
            </w:pPr>
            <w:r>
              <w:rPr>
                <w:rFonts w:hint="eastAsia" w:ascii="宋体" w:hAnsi="宋体" w:cs="宋体"/>
                <w:color w:val="auto"/>
                <w:kern w:val="0"/>
                <w:szCs w:val="21"/>
                <w:lang w:val="en-US" w:eastAsia="zh-CN"/>
              </w:rPr>
              <w:t>1</w:t>
            </w:r>
            <w:r>
              <w:rPr>
                <w:rFonts w:hint="eastAsia" w:ascii="宋体" w:hAnsi="宋体" w:cs="宋体"/>
                <w:color w:val="auto"/>
                <w:kern w:val="0"/>
                <w:szCs w:val="21"/>
              </w:rPr>
              <w:t>. 售后服务</w:t>
            </w:r>
          </w:p>
        </w:tc>
        <w:tc>
          <w:tcPr>
            <w:tcW w:w="1077" w:type="dxa"/>
            <w:tcBorders>
              <w:top w:val="nil"/>
              <w:left w:val="nil"/>
              <w:bottom w:val="single" w:color="auto" w:sz="8" w:space="0"/>
              <w:right w:val="single" w:color="auto" w:sz="8" w:space="0"/>
            </w:tcBorders>
            <w:noWrap w:val="0"/>
            <w:vAlign w:val="center"/>
          </w:tcPr>
          <w:p w14:paraId="1137CBB3">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rPr>
            </w:pPr>
            <w:r>
              <w:rPr>
                <w:rFonts w:hint="eastAsia" w:ascii="宋体" w:hAnsi="宋体" w:cs="宋体"/>
                <w:color w:val="auto"/>
                <w:kern w:val="0"/>
                <w:szCs w:val="21"/>
                <w:lang w:val="en-US" w:eastAsia="zh-CN"/>
              </w:rPr>
              <w:t>1</w:t>
            </w:r>
            <w:r>
              <w:rPr>
                <w:rFonts w:hint="eastAsia" w:ascii="宋体" w:hAnsi="宋体" w:cs="宋体"/>
                <w:color w:val="auto"/>
                <w:kern w:val="0"/>
                <w:szCs w:val="21"/>
              </w:rPr>
              <w:t>.1</w:t>
            </w:r>
          </w:p>
        </w:tc>
        <w:tc>
          <w:tcPr>
            <w:tcW w:w="7683" w:type="dxa"/>
            <w:tcBorders>
              <w:top w:val="nil"/>
              <w:left w:val="nil"/>
              <w:bottom w:val="single" w:color="auto" w:sz="8" w:space="0"/>
              <w:right w:val="single" w:color="auto" w:sz="8" w:space="0"/>
            </w:tcBorders>
            <w:noWrap w:val="0"/>
            <w:vAlign w:val="center"/>
          </w:tcPr>
          <w:p w14:paraId="3A0C4EC5">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宋体" w:hAnsi="宋体" w:cs="宋体"/>
                <w:color w:val="auto"/>
                <w:kern w:val="0"/>
                <w:szCs w:val="21"/>
              </w:rPr>
            </w:pPr>
            <w:r>
              <w:rPr>
                <w:rFonts w:hint="eastAsia" w:ascii="宋体" w:hAnsi="宋体" w:cs="宋体"/>
                <w:color w:val="auto"/>
                <w:kern w:val="0"/>
                <w:szCs w:val="21"/>
              </w:rPr>
              <w:t>项目通过后，</w:t>
            </w:r>
            <w:r>
              <w:rPr>
                <w:rFonts w:hint="eastAsia" w:ascii="宋体" w:hAnsi="宋体" w:eastAsia="宋体" w:cs="宋体"/>
                <w:color w:val="auto"/>
                <w:kern w:val="0"/>
                <w:szCs w:val="21"/>
              </w:rPr>
              <w:t>保修期内，客服工程师负责定期到用户现场监测软件系统状态，降低系统故障率，包括预防性维护、排除故障、交流培训。</w:t>
            </w:r>
          </w:p>
        </w:tc>
      </w:tr>
      <w:tr w14:paraId="696BD420">
        <w:tblPrEx>
          <w:tblCellMar>
            <w:top w:w="0" w:type="dxa"/>
            <w:left w:w="108" w:type="dxa"/>
            <w:bottom w:w="0" w:type="dxa"/>
            <w:right w:w="108" w:type="dxa"/>
          </w:tblCellMar>
        </w:tblPrEx>
        <w:trPr>
          <w:trHeight w:val="330" w:hRule="atLeast"/>
        </w:trPr>
        <w:tc>
          <w:tcPr>
            <w:tcW w:w="1138" w:type="dxa"/>
            <w:vMerge w:val="continue"/>
            <w:tcBorders>
              <w:left w:val="single" w:color="auto" w:sz="8" w:space="0"/>
              <w:bottom w:val="single" w:color="000000" w:sz="8" w:space="0"/>
              <w:right w:val="single" w:color="auto" w:sz="8" w:space="0"/>
            </w:tcBorders>
            <w:noWrap w:val="0"/>
            <w:vAlign w:val="center"/>
          </w:tcPr>
          <w:p w14:paraId="73591D0A">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rPr>
            </w:pPr>
          </w:p>
        </w:tc>
        <w:tc>
          <w:tcPr>
            <w:tcW w:w="1077" w:type="dxa"/>
            <w:tcBorders>
              <w:top w:val="nil"/>
              <w:left w:val="nil"/>
              <w:bottom w:val="single" w:color="auto" w:sz="8" w:space="0"/>
              <w:right w:val="single" w:color="auto" w:sz="8" w:space="0"/>
            </w:tcBorders>
            <w:noWrap w:val="0"/>
            <w:vAlign w:val="center"/>
          </w:tcPr>
          <w:p w14:paraId="47BBACB8">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default" w:ascii="宋体" w:hAnsi="宋体" w:eastAsia="宋体" w:cs="宋体"/>
                <w:color w:val="auto"/>
                <w:kern w:val="0"/>
                <w:szCs w:val="21"/>
                <w:lang w:val="en-US" w:eastAsia="zh-CN"/>
              </w:rPr>
            </w:pPr>
            <w:r>
              <w:rPr>
                <w:rFonts w:hint="eastAsia" w:ascii="宋体" w:hAnsi="宋体" w:cs="宋体"/>
                <w:color w:val="auto"/>
                <w:kern w:val="0"/>
                <w:szCs w:val="21"/>
                <w:lang w:val="en-US" w:eastAsia="zh-CN"/>
              </w:rPr>
              <w:t>1.2</w:t>
            </w:r>
          </w:p>
        </w:tc>
        <w:tc>
          <w:tcPr>
            <w:tcW w:w="7683" w:type="dxa"/>
            <w:tcBorders>
              <w:top w:val="nil"/>
              <w:left w:val="nil"/>
              <w:bottom w:val="single" w:color="auto" w:sz="8" w:space="0"/>
              <w:right w:val="single" w:color="auto" w:sz="8" w:space="0"/>
            </w:tcBorders>
            <w:noWrap w:val="0"/>
            <w:vAlign w:val="center"/>
          </w:tcPr>
          <w:p w14:paraId="4B2E1D0D">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宋体" w:hAnsi="宋体" w:cs="宋体"/>
                <w:color w:val="auto"/>
                <w:kern w:val="0"/>
                <w:szCs w:val="21"/>
              </w:rPr>
            </w:pPr>
            <w:r>
              <w:rPr>
                <w:rFonts w:hint="eastAsia" w:ascii="宋体" w:hAnsi="宋体" w:eastAsia="宋体" w:cs="宋体"/>
                <w:color w:val="auto"/>
                <w:kern w:val="0"/>
                <w:szCs w:val="21"/>
              </w:rPr>
              <w:t xml:space="preserve">保修期内，一年的主动回访维护次数不小于 </w:t>
            </w:r>
            <w:r>
              <w:rPr>
                <w:rFonts w:hint="eastAsia" w:ascii="宋体" w:hAnsi="宋体" w:eastAsia="宋体" w:cs="宋体"/>
                <w:color w:val="auto"/>
                <w:kern w:val="0"/>
                <w:szCs w:val="21"/>
                <w:lang w:val="en-US" w:eastAsia="zh-CN"/>
              </w:rPr>
              <w:t>4</w:t>
            </w:r>
            <w:r>
              <w:rPr>
                <w:rFonts w:hint="eastAsia" w:ascii="宋体" w:hAnsi="宋体" w:eastAsia="宋体" w:cs="宋体"/>
                <w:color w:val="auto"/>
                <w:kern w:val="0"/>
                <w:szCs w:val="21"/>
              </w:rPr>
              <w:t>次。</w:t>
            </w:r>
          </w:p>
        </w:tc>
      </w:tr>
      <w:tr w14:paraId="3260A45D">
        <w:tblPrEx>
          <w:tblCellMar>
            <w:top w:w="0" w:type="dxa"/>
            <w:left w:w="108" w:type="dxa"/>
            <w:bottom w:w="0" w:type="dxa"/>
            <w:right w:w="108" w:type="dxa"/>
          </w:tblCellMar>
        </w:tblPrEx>
        <w:trPr>
          <w:trHeight w:val="639" w:hRule="atLeast"/>
        </w:trPr>
        <w:tc>
          <w:tcPr>
            <w:tcW w:w="1138" w:type="dxa"/>
            <w:vMerge w:val="continue"/>
            <w:tcBorders>
              <w:left w:val="single" w:color="auto" w:sz="8" w:space="0"/>
              <w:bottom w:val="single" w:color="000000" w:sz="8" w:space="0"/>
              <w:right w:val="single" w:color="auto" w:sz="8" w:space="0"/>
            </w:tcBorders>
            <w:noWrap w:val="0"/>
            <w:vAlign w:val="center"/>
          </w:tcPr>
          <w:p w14:paraId="778ADFD5">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rPr>
            </w:pPr>
          </w:p>
        </w:tc>
        <w:tc>
          <w:tcPr>
            <w:tcW w:w="1077" w:type="dxa"/>
            <w:tcBorders>
              <w:top w:val="nil"/>
              <w:left w:val="nil"/>
              <w:bottom w:val="single" w:color="auto" w:sz="8" w:space="0"/>
              <w:right w:val="single" w:color="auto" w:sz="8" w:space="0"/>
            </w:tcBorders>
            <w:noWrap w:val="0"/>
            <w:vAlign w:val="center"/>
          </w:tcPr>
          <w:p w14:paraId="55C7656F">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default" w:ascii="宋体" w:hAnsi="宋体" w:cs="宋体"/>
                <w:color w:val="auto"/>
                <w:kern w:val="0"/>
                <w:szCs w:val="21"/>
                <w:lang w:val="en-US" w:eastAsia="zh-CN"/>
              </w:rPr>
            </w:pPr>
            <w:r>
              <w:rPr>
                <w:rFonts w:hint="eastAsia" w:ascii="宋体" w:hAnsi="宋体" w:cs="宋体"/>
                <w:color w:val="auto"/>
                <w:kern w:val="0"/>
                <w:szCs w:val="21"/>
                <w:lang w:val="en-US" w:eastAsia="zh-CN"/>
              </w:rPr>
              <w:t>1.3</w:t>
            </w:r>
          </w:p>
        </w:tc>
        <w:tc>
          <w:tcPr>
            <w:tcW w:w="7683" w:type="dxa"/>
            <w:tcBorders>
              <w:top w:val="nil"/>
              <w:left w:val="nil"/>
              <w:bottom w:val="single" w:color="auto" w:sz="8" w:space="0"/>
              <w:right w:val="single" w:color="auto" w:sz="8" w:space="0"/>
            </w:tcBorders>
            <w:noWrap w:val="0"/>
            <w:vAlign w:val="center"/>
          </w:tcPr>
          <w:p w14:paraId="68C1A875">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color w:val="auto"/>
                <w:kern w:val="0"/>
                <w:szCs w:val="21"/>
                <w:lang w:eastAsia="zh-CN"/>
              </w:rPr>
            </w:pPr>
            <w:r>
              <w:rPr>
                <w:rFonts w:hint="eastAsia" w:ascii="宋体" w:hAnsi="宋体" w:eastAsia="宋体" w:cs="宋体"/>
                <w:color w:val="auto"/>
                <w:kern w:val="0"/>
                <w:szCs w:val="21"/>
              </w:rPr>
              <w:t>工作日现场服务时间为周一至周五，8:30-18:00（不包括国家法定节假日）。工作时间以外的紧急加班服务，用户须提供必备的工作条件。</w:t>
            </w:r>
          </w:p>
        </w:tc>
      </w:tr>
      <w:tr w14:paraId="0608476D">
        <w:tblPrEx>
          <w:tblCellMar>
            <w:top w:w="0" w:type="dxa"/>
            <w:left w:w="108" w:type="dxa"/>
            <w:bottom w:w="0" w:type="dxa"/>
            <w:right w:w="108" w:type="dxa"/>
          </w:tblCellMar>
        </w:tblPrEx>
        <w:trPr>
          <w:trHeight w:val="330" w:hRule="atLeast"/>
        </w:trPr>
        <w:tc>
          <w:tcPr>
            <w:tcW w:w="1138" w:type="dxa"/>
            <w:vMerge w:val="continue"/>
            <w:tcBorders>
              <w:left w:val="single" w:color="auto" w:sz="8" w:space="0"/>
              <w:bottom w:val="single" w:color="000000" w:sz="8" w:space="0"/>
              <w:right w:val="single" w:color="auto" w:sz="8" w:space="0"/>
            </w:tcBorders>
            <w:noWrap w:val="0"/>
            <w:vAlign w:val="center"/>
          </w:tcPr>
          <w:p w14:paraId="0F951DDC">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rPr>
            </w:pPr>
          </w:p>
        </w:tc>
        <w:tc>
          <w:tcPr>
            <w:tcW w:w="1077" w:type="dxa"/>
            <w:tcBorders>
              <w:top w:val="nil"/>
              <w:left w:val="nil"/>
              <w:bottom w:val="single" w:color="auto" w:sz="8" w:space="0"/>
              <w:right w:val="single" w:color="auto" w:sz="8" w:space="0"/>
            </w:tcBorders>
            <w:noWrap w:val="0"/>
            <w:vAlign w:val="center"/>
          </w:tcPr>
          <w:p w14:paraId="3313DCBD">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default" w:ascii="宋体" w:hAnsi="宋体" w:cs="宋体"/>
                <w:color w:val="auto"/>
                <w:kern w:val="0"/>
                <w:szCs w:val="21"/>
                <w:lang w:val="en-US" w:eastAsia="zh-CN"/>
              </w:rPr>
            </w:pPr>
            <w:r>
              <w:rPr>
                <w:rFonts w:hint="eastAsia" w:ascii="宋体" w:hAnsi="宋体" w:cs="宋体"/>
                <w:color w:val="auto"/>
                <w:kern w:val="0"/>
                <w:szCs w:val="21"/>
                <w:lang w:val="en-US" w:eastAsia="zh-CN"/>
              </w:rPr>
              <w:t>1.4</w:t>
            </w:r>
          </w:p>
        </w:tc>
        <w:tc>
          <w:tcPr>
            <w:tcW w:w="7683" w:type="dxa"/>
            <w:tcBorders>
              <w:top w:val="nil"/>
              <w:left w:val="nil"/>
              <w:bottom w:val="single" w:color="auto" w:sz="8" w:space="0"/>
              <w:right w:val="single" w:color="auto" w:sz="8" w:space="0"/>
            </w:tcBorders>
            <w:noWrap w:val="0"/>
            <w:vAlign w:val="center"/>
          </w:tcPr>
          <w:p w14:paraId="2D1A3B3D">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color w:val="auto"/>
                <w:kern w:val="0"/>
                <w:szCs w:val="21"/>
              </w:rPr>
            </w:pPr>
            <w:r>
              <w:rPr>
                <w:rFonts w:hint="eastAsia" w:ascii="宋体" w:hAnsi="宋体" w:eastAsia="宋体" w:cs="宋体"/>
                <w:color w:val="auto"/>
                <w:kern w:val="0"/>
                <w:szCs w:val="21"/>
              </w:rPr>
              <w:t>指导用户进行数据备份和必要的病毒防范。</w:t>
            </w:r>
          </w:p>
        </w:tc>
      </w:tr>
      <w:tr w14:paraId="423D2101">
        <w:tblPrEx>
          <w:tblCellMar>
            <w:top w:w="0" w:type="dxa"/>
            <w:left w:w="108" w:type="dxa"/>
            <w:bottom w:w="0" w:type="dxa"/>
            <w:right w:w="108" w:type="dxa"/>
          </w:tblCellMar>
        </w:tblPrEx>
        <w:trPr>
          <w:trHeight w:val="639" w:hRule="atLeast"/>
        </w:trPr>
        <w:tc>
          <w:tcPr>
            <w:tcW w:w="1138" w:type="dxa"/>
            <w:vMerge w:val="continue"/>
            <w:tcBorders>
              <w:left w:val="single" w:color="auto" w:sz="8" w:space="0"/>
              <w:bottom w:val="single" w:color="000000" w:sz="8" w:space="0"/>
              <w:right w:val="single" w:color="auto" w:sz="8" w:space="0"/>
            </w:tcBorders>
            <w:noWrap w:val="0"/>
            <w:vAlign w:val="center"/>
          </w:tcPr>
          <w:p w14:paraId="0CEE636C">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rPr>
            </w:pPr>
          </w:p>
        </w:tc>
        <w:tc>
          <w:tcPr>
            <w:tcW w:w="1077" w:type="dxa"/>
            <w:tcBorders>
              <w:top w:val="nil"/>
              <w:left w:val="nil"/>
              <w:bottom w:val="single" w:color="auto" w:sz="8" w:space="0"/>
              <w:right w:val="single" w:color="auto" w:sz="8" w:space="0"/>
            </w:tcBorders>
            <w:noWrap w:val="0"/>
            <w:vAlign w:val="center"/>
          </w:tcPr>
          <w:p w14:paraId="31E76081">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default" w:ascii="宋体" w:hAnsi="宋体" w:eastAsia="宋体" w:cs="宋体"/>
                <w:color w:val="auto"/>
                <w:kern w:val="0"/>
                <w:szCs w:val="21"/>
                <w:lang w:val="en-US" w:eastAsia="zh-CN"/>
              </w:rPr>
            </w:pPr>
            <w:r>
              <w:rPr>
                <w:rFonts w:hint="eastAsia" w:ascii="宋体" w:hAnsi="宋体" w:cs="宋体"/>
                <w:color w:val="auto"/>
                <w:kern w:val="0"/>
                <w:szCs w:val="21"/>
                <w:lang w:val="en-US" w:eastAsia="zh-CN"/>
              </w:rPr>
              <w:t>1.5</w:t>
            </w:r>
          </w:p>
        </w:tc>
        <w:tc>
          <w:tcPr>
            <w:tcW w:w="7683" w:type="dxa"/>
            <w:tcBorders>
              <w:top w:val="nil"/>
              <w:left w:val="nil"/>
              <w:bottom w:val="single" w:color="auto" w:sz="8" w:space="0"/>
              <w:right w:val="single" w:color="auto" w:sz="8" w:space="0"/>
            </w:tcBorders>
            <w:noWrap w:val="0"/>
            <w:vAlign w:val="center"/>
          </w:tcPr>
          <w:p w14:paraId="71253FA1">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宋体" w:hAnsi="宋体" w:cs="宋体"/>
                <w:color w:val="auto"/>
                <w:kern w:val="0"/>
                <w:szCs w:val="21"/>
              </w:rPr>
            </w:pPr>
            <w:r>
              <w:rPr>
                <w:rFonts w:hint="eastAsia" w:ascii="宋体" w:hAnsi="宋体" w:eastAsia="宋体" w:cs="宋体"/>
                <w:color w:val="auto"/>
                <w:kern w:val="0"/>
                <w:szCs w:val="21"/>
              </w:rPr>
              <w:t>每次维护服务后提供报告，并定期将维护记录的分 析提交用户，以供用户参考和改进。</w:t>
            </w:r>
          </w:p>
        </w:tc>
      </w:tr>
      <w:tr w14:paraId="3639E91A">
        <w:tblPrEx>
          <w:tblCellMar>
            <w:top w:w="0" w:type="dxa"/>
            <w:left w:w="108" w:type="dxa"/>
            <w:bottom w:w="0" w:type="dxa"/>
            <w:right w:w="108" w:type="dxa"/>
          </w:tblCellMar>
        </w:tblPrEx>
        <w:trPr>
          <w:trHeight w:val="949" w:hRule="atLeast"/>
        </w:trPr>
        <w:tc>
          <w:tcPr>
            <w:tcW w:w="1138" w:type="dxa"/>
            <w:vMerge w:val="continue"/>
            <w:tcBorders>
              <w:left w:val="single" w:color="auto" w:sz="8" w:space="0"/>
              <w:bottom w:val="single" w:color="000000" w:sz="8" w:space="0"/>
              <w:right w:val="single" w:color="auto" w:sz="8" w:space="0"/>
            </w:tcBorders>
            <w:noWrap w:val="0"/>
            <w:vAlign w:val="center"/>
          </w:tcPr>
          <w:p w14:paraId="0BA93A79">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rPr>
            </w:pPr>
          </w:p>
        </w:tc>
        <w:tc>
          <w:tcPr>
            <w:tcW w:w="1077" w:type="dxa"/>
            <w:tcBorders>
              <w:top w:val="nil"/>
              <w:left w:val="nil"/>
              <w:bottom w:val="single" w:color="auto" w:sz="8" w:space="0"/>
              <w:right w:val="single" w:color="auto" w:sz="8" w:space="0"/>
            </w:tcBorders>
            <w:noWrap w:val="0"/>
            <w:vAlign w:val="center"/>
          </w:tcPr>
          <w:p w14:paraId="5D28A9FB">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default" w:ascii="宋体" w:hAnsi="宋体" w:eastAsia="宋体" w:cs="宋体"/>
                <w:color w:val="auto"/>
                <w:kern w:val="0"/>
                <w:szCs w:val="21"/>
                <w:lang w:val="en-US" w:eastAsia="zh-CN"/>
              </w:rPr>
            </w:pPr>
            <w:r>
              <w:rPr>
                <w:rFonts w:hint="eastAsia" w:ascii="宋体" w:hAnsi="宋体" w:cs="宋体"/>
                <w:color w:val="auto"/>
                <w:kern w:val="0"/>
                <w:szCs w:val="21"/>
                <w:lang w:val="en-US" w:eastAsia="zh-CN"/>
              </w:rPr>
              <w:t>1.6</w:t>
            </w:r>
          </w:p>
        </w:tc>
        <w:tc>
          <w:tcPr>
            <w:tcW w:w="7683" w:type="dxa"/>
            <w:tcBorders>
              <w:top w:val="nil"/>
              <w:left w:val="nil"/>
              <w:bottom w:val="single" w:color="auto" w:sz="8" w:space="0"/>
              <w:right w:val="single" w:color="auto" w:sz="8" w:space="0"/>
            </w:tcBorders>
            <w:noWrap w:val="0"/>
            <w:vAlign w:val="center"/>
          </w:tcPr>
          <w:p w14:paraId="7E92AF9A">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color w:val="auto"/>
                <w:kern w:val="0"/>
                <w:szCs w:val="21"/>
                <w:lang w:val="en-US" w:eastAsia="zh-CN"/>
              </w:rPr>
            </w:pPr>
            <w:r>
              <w:rPr>
                <w:rFonts w:hint="eastAsia" w:ascii="宋体" w:hAnsi="宋体" w:eastAsia="宋体" w:cs="宋体"/>
                <w:color w:val="auto"/>
                <w:kern w:val="0"/>
                <w:szCs w:val="21"/>
              </w:rPr>
              <w:t>当故障无法通过电话和传真等方式解决时，</w:t>
            </w:r>
            <w:r>
              <w:rPr>
                <w:rFonts w:hint="eastAsia" w:ascii="宋体" w:hAnsi="宋体" w:eastAsia="宋体" w:cs="宋体"/>
                <w:color w:val="auto"/>
                <w:kern w:val="0"/>
                <w:szCs w:val="21"/>
                <w:lang w:eastAsia="zh-CN"/>
              </w:rPr>
              <w:t>中标人</w:t>
            </w:r>
            <w:r>
              <w:rPr>
                <w:rFonts w:hint="eastAsia" w:ascii="宋体" w:hAnsi="宋体" w:eastAsia="宋体" w:cs="宋体"/>
                <w:color w:val="auto"/>
                <w:kern w:val="0"/>
                <w:szCs w:val="21"/>
              </w:rPr>
              <w:t>工程师须执行现场响应服务，现场响应时间是指：在规定的服务时间范围内，从</w:t>
            </w:r>
            <w:r>
              <w:rPr>
                <w:rFonts w:hint="eastAsia" w:ascii="宋体" w:hAnsi="宋体" w:eastAsia="宋体" w:cs="宋体"/>
                <w:color w:val="auto"/>
                <w:kern w:val="0"/>
                <w:szCs w:val="21"/>
                <w:lang w:eastAsia="zh-CN"/>
              </w:rPr>
              <w:t>中标人</w:t>
            </w:r>
            <w:r>
              <w:rPr>
                <w:rFonts w:hint="eastAsia" w:ascii="宋体" w:hAnsi="宋体" w:eastAsia="宋体" w:cs="宋体"/>
                <w:color w:val="auto"/>
                <w:kern w:val="0"/>
                <w:szCs w:val="21"/>
              </w:rPr>
              <w:t>客服400中心收到并记录最初服务请求到</w:t>
            </w:r>
            <w:r>
              <w:rPr>
                <w:rFonts w:hint="eastAsia" w:ascii="宋体" w:hAnsi="宋体" w:eastAsia="宋体" w:cs="宋体"/>
                <w:color w:val="auto"/>
                <w:kern w:val="0"/>
                <w:szCs w:val="21"/>
                <w:lang w:eastAsia="zh-CN"/>
              </w:rPr>
              <w:t>中标人</w:t>
            </w:r>
            <w:r>
              <w:rPr>
                <w:rFonts w:hint="eastAsia" w:ascii="宋体" w:hAnsi="宋体" w:eastAsia="宋体" w:cs="宋体"/>
                <w:color w:val="auto"/>
                <w:kern w:val="0"/>
                <w:szCs w:val="21"/>
              </w:rPr>
              <w:t>工程师到达客户场地的这段时间</w:t>
            </w:r>
            <w:r>
              <w:rPr>
                <w:rFonts w:hint="eastAsia" w:ascii="宋体" w:hAnsi="宋体" w:eastAsia="宋体" w:cs="宋体"/>
                <w:color w:val="auto"/>
                <w:kern w:val="0"/>
                <w:szCs w:val="21"/>
                <w:lang w:val="en-US" w:eastAsia="zh-CN"/>
              </w:rPr>
              <w:t>.</w:t>
            </w:r>
          </w:p>
        </w:tc>
      </w:tr>
      <w:tr w14:paraId="1C2BCC24">
        <w:tblPrEx>
          <w:tblCellMar>
            <w:top w:w="0" w:type="dxa"/>
            <w:left w:w="108" w:type="dxa"/>
            <w:bottom w:w="0" w:type="dxa"/>
            <w:right w:w="108" w:type="dxa"/>
          </w:tblCellMar>
        </w:tblPrEx>
        <w:trPr>
          <w:trHeight w:val="1278" w:hRule="atLeast"/>
        </w:trPr>
        <w:tc>
          <w:tcPr>
            <w:tcW w:w="1138" w:type="dxa"/>
            <w:vMerge w:val="continue"/>
            <w:tcBorders>
              <w:left w:val="single" w:color="auto" w:sz="8" w:space="0"/>
              <w:bottom w:val="single" w:color="000000" w:sz="8" w:space="0"/>
              <w:right w:val="single" w:color="auto" w:sz="8" w:space="0"/>
            </w:tcBorders>
            <w:noWrap w:val="0"/>
            <w:vAlign w:val="center"/>
          </w:tcPr>
          <w:p w14:paraId="76D2D9D9">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rPr>
            </w:pPr>
          </w:p>
        </w:tc>
        <w:tc>
          <w:tcPr>
            <w:tcW w:w="1077" w:type="dxa"/>
            <w:tcBorders>
              <w:top w:val="nil"/>
              <w:left w:val="nil"/>
              <w:bottom w:val="single" w:color="auto" w:sz="8" w:space="0"/>
              <w:right w:val="single" w:color="auto" w:sz="8" w:space="0"/>
            </w:tcBorders>
            <w:noWrap w:val="0"/>
            <w:vAlign w:val="center"/>
          </w:tcPr>
          <w:p w14:paraId="2C48D7CE">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color w:val="auto"/>
                <w:kern w:val="0"/>
                <w:szCs w:val="21"/>
                <w:lang w:val="en-US" w:eastAsia="zh-CN"/>
              </w:rPr>
            </w:pPr>
            <w:r>
              <w:rPr>
                <w:rFonts w:hint="eastAsia" w:ascii="宋体" w:hAnsi="宋体" w:cs="宋体"/>
                <w:color w:val="auto"/>
                <w:kern w:val="0"/>
                <w:szCs w:val="21"/>
                <w:lang w:val="en-US" w:eastAsia="zh-CN"/>
              </w:rPr>
              <w:t>1</w:t>
            </w:r>
            <w:r>
              <w:rPr>
                <w:rFonts w:hint="eastAsia" w:ascii="宋体" w:hAnsi="宋体" w:cs="宋体"/>
                <w:color w:val="auto"/>
                <w:kern w:val="0"/>
                <w:szCs w:val="21"/>
              </w:rPr>
              <w:t>.</w:t>
            </w:r>
            <w:r>
              <w:rPr>
                <w:rFonts w:hint="eastAsia" w:ascii="宋体" w:hAnsi="宋体" w:cs="宋体"/>
                <w:color w:val="auto"/>
                <w:kern w:val="0"/>
                <w:szCs w:val="21"/>
                <w:lang w:val="en-US" w:eastAsia="zh-CN"/>
              </w:rPr>
              <w:t>7</w:t>
            </w:r>
          </w:p>
        </w:tc>
        <w:tc>
          <w:tcPr>
            <w:tcW w:w="7683" w:type="dxa"/>
            <w:tcBorders>
              <w:top w:val="nil"/>
              <w:left w:val="nil"/>
              <w:bottom w:val="single" w:color="auto" w:sz="8" w:space="0"/>
              <w:right w:val="single" w:color="auto" w:sz="8" w:space="0"/>
            </w:tcBorders>
            <w:noWrap w:val="0"/>
            <w:vAlign w:val="center"/>
          </w:tcPr>
          <w:p w14:paraId="2B304ADA">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宋体" w:hAnsi="宋体" w:cs="宋体"/>
                <w:color w:val="auto"/>
                <w:kern w:val="0"/>
                <w:szCs w:val="21"/>
              </w:rPr>
            </w:pPr>
            <w:r>
              <w:rPr>
                <w:rFonts w:hint="eastAsia" w:ascii="宋体" w:hAnsi="宋体" w:eastAsia="宋体" w:cs="宋体"/>
                <w:color w:val="auto"/>
                <w:kern w:val="0"/>
                <w:szCs w:val="21"/>
              </w:rPr>
              <w:t xml:space="preserve">用户提出维护请求后, </w:t>
            </w:r>
            <w:r>
              <w:rPr>
                <w:rFonts w:hint="eastAsia" w:ascii="宋体" w:hAnsi="宋体" w:eastAsia="宋体" w:cs="宋体"/>
                <w:color w:val="auto"/>
                <w:kern w:val="0"/>
                <w:szCs w:val="21"/>
                <w:lang w:eastAsia="zh-CN"/>
              </w:rPr>
              <w:t>中标人</w:t>
            </w:r>
            <w:r>
              <w:rPr>
                <w:rFonts w:hint="eastAsia" w:ascii="宋体" w:hAnsi="宋体" w:eastAsia="宋体" w:cs="宋体"/>
                <w:color w:val="auto"/>
                <w:kern w:val="0"/>
                <w:szCs w:val="21"/>
              </w:rPr>
              <w:t>技术支持部门使用各种手段或方式给予服务响应，</w:t>
            </w:r>
            <w:r>
              <w:rPr>
                <w:rFonts w:hint="eastAsia" w:ascii="宋体" w:hAnsi="宋体" w:eastAsia="宋体" w:cs="宋体"/>
                <w:color w:val="auto"/>
                <w:kern w:val="0"/>
                <w:szCs w:val="21"/>
                <w:lang w:eastAsia="zh-CN"/>
              </w:rPr>
              <w:t>中标人</w:t>
            </w:r>
            <w:r>
              <w:rPr>
                <w:rFonts w:hint="eastAsia" w:ascii="宋体" w:hAnsi="宋体" w:eastAsia="宋体" w:cs="宋体"/>
                <w:color w:val="auto"/>
                <w:kern w:val="0"/>
                <w:szCs w:val="21"/>
              </w:rPr>
              <w:t>工程师可通过电话,传真等方式向甲方了解故障现象,并指导甲方进行现场故障排查，尽快恢复设备正常工作。电话响应时间不超过20分钟。乙方承诺7×24免费电话支持服务。</w:t>
            </w:r>
          </w:p>
        </w:tc>
      </w:tr>
    </w:tbl>
    <w:p w14:paraId="4F763D52">
      <w:pPr>
        <w:rPr>
          <w:rFonts w:hint="default"/>
          <w:b/>
          <w:bCs/>
          <w:color w:val="auto"/>
          <w:lang w:val="en-US" w:eastAsia="zh-CN"/>
        </w:rPr>
      </w:pPr>
    </w:p>
    <w:p w14:paraId="4376B950">
      <w:pPr>
        <w:pStyle w:val="3"/>
        <w:bidi w:val="0"/>
        <w:rPr>
          <w:rFonts w:hint="eastAsia" w:ascii="宋体" w:hAnsi="宋体" w:cs="宋体"/>
          <w:b/>
          <w:bCs/>
          <w:kern w:val="0"/>
          <w:szCs w:val="21"/>
        </w:rPr>
      </w:pPr>
      <w:bookmarkStart w:id="227" w:name="_Toc4720"/>
      <w:bookmarkStart w:id="228" w:name="_Toc12557"/>
      <w:bookmarkStart w:id="229" w:name="_Toc2199"/>
      <w:bookmarkStart w:id="230" w:name="_Toc6036"/>
      <w:bookmarkStart w:id="231" w:name="_Toc27590"/>
      <w:r>
        <w:rPr>
          <w:rFonts w:hint="eastAsia"/>
        </w:rPr>
        <w:t>心电血压信息系统</w:t>
      </w:r>
      <w:bookmarkEnd w:id="227"/>
      <w:bookmarkEnd w:id="228"/>
      <w:bookmarkEnd w:id="229"/>
      <w:bookmarkEnd w:id="230"/>
      <w:bookmarkEnd w:id="231"/>
    </w:p>
    <w:tbl>
      <w:tblPr>
        <w:tblStyle w:val="46"/>
        <w:tblW w:w="98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0"/>
        <w:gridCol w:w="790"/>
        <w:gridCol w:w="7279"/>
      </w:tblGrid>
      <w:tr w14:paraId="35C67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1" w:hRule="atLeast"/>
          <w:jc w:val="center"/>
        </w:trPr>
        <w:tc>
          <w:tcPr>
            <w:tcW w:w="1790" w:type="dxa"/>
            <w:vAlign w:val="center"/>
          </w:tcPr>
          <w:p w14:paraId="3CAFFD71">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cs="宋体"/>
                <w:color w:val="000000"/>
                <w:kern w:val="0"/>
                <w:szCs w:val="21"/>
              </w:rPr>
            </w:pPr>
            <w:r>
              <w:rPr>
                <w:rFonts w:hint="eastAsia" w:ascii="宋体" w:hAnsi="宋体" w:cs="宋体"/>
                <w:color w:val="000000"/>
                <w:kern w:val="0"/>
                <w:szCs w:val="21"/>
              </w:rPr>
              <w:t>需求名称</w:t>
            </w:r>
          </w:p>
        </w:tc>
        <w:tc>
          <w:tcPr>
            <w:tcW w:w="790" w:type="dxa"/>
            <w:vAlign w:val="center"/>
          </w:tcPr>
          <w:p w14:paraId="469AA78D">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cs="宋体"/>
                <w:color w:val="000000"/>
                <w:kern w:val="0"/>
                <w:szCs w:val="21"/>
              </w:rPr>
            </w:pPr>
            <w:r>
              <w:rPr>
                <w:rFonts w:hint="eastAsia" w:ascii="宋体" w:hAnsi="宋体" w:cs="宋体"/>
                <w:color w:val="000000"/>
                <w:kern w:val="0"/>
                <w:szCs w:val="21"/>
              </w:rPr>
              <w:t>序号</w:t>
            </w:r>
          </w:p>
        </w:tc>
        <w:tc>
          <w:tcPr>
            <w:tcW w:w="7279" w:type="dxa"/>
            <w:vAlign w:val="center"/>
          </w:tcPr>
          <w:p w14:paraId="361A9B59">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cs="宋体"/>
                <w:color w:val="000000"/>
                <w:kern w:val="0"/>
                <w:szCs w:val="21"/>
              </w:rPr>
            </w:pPr>
            <w:r>
              <w:rPr>
                <w:rFonts w:hint="eastAsia" w:ascii="宋体" w:hAnsi="宋体" w:cs="宋体"/>
                <w:color w:val="000000"/>
                <w:kern w:val="0"/>
                <w:szCs w:val="21"/>
              </w:rPr>
              <w:t>需求描述</w:t>
            </w:r>
          </w:p>
        </w:tc>
      </w:tr>
      <w:tr w14:paraId="7DFE2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0" w:type="auto"/>
            <w:gridSpan w:val="3"/>
            <w:vAlign w:val="center"/>
          </w:tcPr>
          <w:p w14:paraId="19F59913">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cs="宋体"/>
                <w:b/>
                <w:bCs/>
                <w:kern w:val="0"/>
                <w:szCs w:val="21"/>
              </w:rPr>
            </w:pPr>
            <w:r>
              <w:rPr>
                <w:rFonts w:hint="eastAsia" w:ascii="宋体" w:hAnsi="宋体" w:cs="宋体"/>
                <w:b/>
                <w:bCs/>
                <w:kern w:val="0"/>
                <w:szCs w:val="21"/>
              </w:rPr>
              <w:t>功能需求：</w:t>
            </w:r>
          </w:p>
        </w:tc>
      </w:tr>
      <w:tr w14:paraId="2D9D2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0" w:hRule="atLeast"/>
          <w:jc w:val="center"/>
        </w:trPr>
        <w:tc>
          <w:tcPr>
            <w:tcW w:w="1790" w:type="dxa"/>
            <w:vMerge w:val="restart"/>
            <w:vAlign w:val="center"/>
          </w:tcPr>
          <w:p w14:paraId="1B0E03FF">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kern w:val="0"/>
                <w:szCs w:val="21"/>
                <w:lang w:eastAsia="zh-CN"/>
              </w:rPr>
            </w:pPr>
            <w:r>
              <w:rPr>
                <w:rFonts w:hint="eastAsia" w:ascii="宋体" w:hAnsi="宋体" w:cs="宋体"/>
                <w:kern w:val="0"/>
                <w:szCs w:val="21"/>
              </w:rPr>
              <w:t>1.系统</w:t>
            </w:r>
            <w:r>
              <w:rPr>
                <w:rFonts w:hint="eastAsia" w:ascii="宋体" w:hAnsi="宋体" w:cs="宋体"/>
                <w:kern w:val="0"/>
                <w:szCs w:val="21"/>
                <w:lang w:eastAsia="zh-CN"/>
              </w:rPr>
              <w:t>功能新增</w:t>
            </w:r>
          </w:p>
        </w:tc>
        <w:tc>
          <w:tcPr>
            <w:tcW w:w="790" w:type="dxa"/>
            <w:vAlign w:val="center"/>
          </w:tcPr>
          <w:p w14:paraId="03BC1233">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cs="宋体"/>
                <w:kern w:val="0"/>
                <w:szCs w:val="21"/>
              </w:rPr>
            </w:pPr>
            <w:r>
              <w:rPr>
                <w:rFonts w:hint="eastAsia" w:ascii="宋体" w:hAnsi="宋体" w:cs="宋体"/>
                <w:kern w:val="0"/>
                <w:szCs w:val="21"/>
              </w:rPr>
              <w:t>1.1</w:t>
            </w:r>
          </w:p>
        </w:tc>
        <w:tc>
          <w:tcPr>
            <w:tcW w:w="7279" w:type="dxa"/>
            <w:vAlign w:val="center"/>
          </w:tcPr>
          <w:p w14:paraId="6112E9B8">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cs="宋体"/>
                <w:kern w:val="0"/>
                <w:szCs w:val="21"/>
              </w:rPr>
            </w:pPr>
            <w:r>
              <w:rPr>
                <w:rFonts w:hint="eastAsia" w:ascii="宋体" w:hAnsi="宋体" w:cs="宋体"/>
                <w:kern w:val="0"/>
                <w:szCs w:val="21"/>
              </w:rPr>
              <w:t>预约登记模块升级：电子申请登记，根据时间和紧急情况生成待检查列表；预约登记状态与电子叫号模块对接，根据检查列别按顺序检查。</w:t>
            </w:r>
          </w:p>
        </w:tc>
      </w:tr>
      <w:tr w14:paraId="20466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6" w:hRule="atLeast"/>
          <w:jc w:val="center"/>
        </w:trPr>
        <w:tc>
          <w:tcPr>
            <w:tcW w:w="1790" w:type="dxa"/>
            <w:vMerge w:val="continue"/>
            <w:vAlign w:val="center"/>
          </w:tcPr>
          <w:p w14:paraId="00965767">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cs="宋体"/>
                <w:kern w:val="0"/>
                <w:szCs w:val="21"/>
              </w:rPr>
            </w:pPr>
          </w:p>
        </w:tc>
        <w:tc>
          <w:tcPr>
            <w:tcW w:w="790" w:type="dxa"/>
            <w:vAlign w:val="center"/>
          </w:tcPr>
          <w:p w14:paraId="22A3B282">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cs="宋体"/>
                <w:kern w:val="0"/>
                <w:szCs w:val="21"/>
              </w:rPr>
            </w:pPr>
            <w:r>
              <w:rPr>
                <w:rFonts w:hint="eastAsia" w:ascii="宋体" w:hAnsi="宋体" w:cs="宋体"/>
                <w:kern w:val="0"/>
                <w:szCs w:val="21"/>
              </w:rPr>
              <w:t>1.2</w:t>
            </w:r>
          </w:p>
        </w:tc>
        <w:tc>
          <w:tcPr>
            <w:tcW w:w="7279" w:type="dxa"/>
            <w:vAlign w:val="center"/>
          </w:tcPr>
          <w:p w14:paraId="3BE37684">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cs="宋体"/>
                <w:kern w:val="0"/>
                <w:szCs w:val="21"/>
                <w:lang w:eastAsia="zh-Hans"/>
              </w:rPr>
            </w:pPr>
            <w:r>
              <w:rPr>
                <w:rFonts w:hint="eastAsia" w:ascii="宋体" w:hAnsi="宋体" w:cs="宋体"/>
                <w:kern w:val="0"/>
                <w:szCs w:val="21"/>
                <w:lang w:eastAsia="zh-CN"/>
              </w:rPr>
              <w:t>常规心电、</w:t>
            </w:r>
            <w:r>
              <w:rPr>
                <w:rFonts w:hint="eastAsia" w:ascii="宋体" w:hAnsi="宋体" w:cs="宋体"/>
                <w:kern w:val="0"/>
                <w:szCs w:val="21"/>
              </w:rPr>
              <w:t>动态心电、动态血压排队叫号模块：提供电子列表、人性化大屏显示及语音呼叫功能；及时更新预约登记列表，按照不同检查类型和顺序呼叫检查；根据医院管理需求叫号方式可灵活设置。</w:t>
            </w:r>
          </w:p>
        </w:tc>
      </w:tr>
      <w:tr w14:paraId="613D9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7" w:hRule="atLeast"/>
          <w:jc w:val="center"/>
        </w:trPr>
        <w:tc>
          <w:tcPr>
            <w:tcW w:w="1790" w:type="dxa"/>
            <w:vMerge w:val="continue"/>
            <w:vAlign w:val="center"/>
          </w:tcPr>
          <w:p w14:paraId="4800EA31">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cs="宋体"/>
                <w:kern w:val="0"/>
                <w:szCs w:val="21"/>
              </w:rPr>
            </w:pPr>
          </w:p>
        </w:tc>
        <w:tc>
          <w:tcPr>
            <w:tcW w:w="790" w:type="dxa"/>
            <w:vAlign w:val="center"/>
          </w:tcPr>
          <w:p w14:paraId="66252793">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cs="宋体"/>
                <w:kern w:val="0"/>
                <w:szCs w:val="21"/>
              </w:rPr>
            </w:pPr>
            <w:r>
              <w:rPr>
                <w:rFonts w:hint="eastAsia" w:ascii="宋体" w:hAnsi="宋体" w:cs="宋体"/>
                <w:kern w:val="0"/>
                <w:szCs w:val="21"/>
              </w:rPr>
              <w:t>1.3</w:t>
            </w:r>
          </w:p>
        </w:tc>
        <w:tc>
          <w:tcPr>
            <w:tcW w:w="7279" w:type="dxa"/>
            <w:vAlign w:val="center"/>
          </w:tcPr>
          <w:p w14:paraId="3A6C2112">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cs="宋体"/>
                <w:kern w:val="0"/>
                <w:szCs w:val="21"/>
              </w:rPr>
            </w:pPr>
            <w:r>
              <w:rPr>
                <w:rFonts w:hint="eastAsia" w:ascii="宋体" w:hAnsi="宋体" w:cs="宋体"/>
                <w:kern w:val="0"/>
                <w:szCs w:val="21"/>
              </w:rPr>
              <w:t>分析模块：第三方动态</w:t>
            </w:r>
            <w:r>
              <w:rPr>
                <w:rFonts w:hint="eastAsia" w:ascii="宋体" w:hAnsi="宋体" w:cs="宋体"/>
                <w:kern w:val="0"/>
                <w:szCs w:val="21"/>
                <w:lang w:eastAsia="zh-CN"/>
              </w:rPr>
              <w:t>心电和</w:t>
            </w:r>
            <w:r>
              <w:rPr>
                <w:rFonts w:hint="eastAsia" w:ascii="宋体" w:hAnsi="宋体" w:cs="宋体"/>
                <w:kern w:val="0"/>
                <w:szCs w:val="21"/>
              </w:rPr>
              <w:t>血压原始数据读取、诊断分析模块。</w:t>
            </w:r>
          </w:p>
        </w:tc>
      </w:tr>
      <w:tr w14:paraId="7B917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6" w:hRule="atLeast"/>
          <w:jc w:val="center"/>
        </w:trPr>
        <w:tc>
          <w:tcPr>
            <w:tcW w:w="1790" w:type="dxa"/>
            <w:vMerge w:val="continue"/>
            <w:vAlign w:val="center"/>
          </w:tcPr>
          <w:p w14:paraId="126CED29">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cs="宋体"/>
                <w:kern w:val="0"/>
                <w:szCs w:val="21"/>
              </w:rPr>
            </w:pPr>
          </w:p>
        </w:tc>
        <w:tc>
          <w:tcPr>
            <w:tcW w:w="790" w:type="dxa"/>
            <w:vAlign w:val="center"/>
          </w:tcPr>
          <w:p w14:paraId="77D3012D">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cs="宋体"/>
                <w:kern w:val="0"/>
                <w:szCs w:val="21"/>
              </w:rPr>
            </w:pPr>
            <w:r>
              <w:rPr>
                <w:rFonts w:hint="eastAsia" w:ascii="宋体" w:hAnsi="宋体" w:cs="宋体"/>
                <w:kern w:val="0"/>
                <w:szCs w:val="21"/>
              </w:rPr>
              <w:t>1</w:t>
            </w:r>
            <w:r>
              <w:rPr>
                <w:rFonts w:ascii="宋体" w:hAnsi="宋体" w:cs="宋体"/>
                <w:kern w:val="0"/>
                <w:szCs w:val="21"/>
              </w:rPr>
              <w:t>.4</w:t>
            </w:r>
          </w:p>
        </w:tc>
        <w:tc>
          <w:tcPr>
            <w:tcW w:w="7279" w:type="dxa"/>
            <w:vAlign w:val="center"/>
          </w:tcPr>
          <w:p w14:paraId="74E11FE5">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cs="宋体"/>
                <w:kern w:val="0"/>
                <w:szCs w:val="21"/>
              </w:rPr>
            </w:pPr>
            <w:r>
              <w:rPr>
                <w:rFonts w:hint="eastAsia" w:ascii="宋体" w:hAnsi="宋体" w:cs="宋体"/>
                <w:kern w:val="0"/>
                <w:szCs w:val="21"/>
              </w:rPr>
              <w:t>审核模块</w:t>
            </w:r>
            <w:r>
              <w:rPr>
                <w:rFonts w:hint="eastAsia" w:ascii="宋体" w:hAnsi="宋体" w:cs="宋体"/>
                <w:kern w:val="0"/>
                <w:szCs w:val="21"/>
                <w:lang w:eastAsia="zh-CN"/>
              </w:rPr>
              <w:t>功能</w:t>
            </w:r>
            <w:r>
              <w:rPr>
                <w:rFonts w:hint="eastAsia" w:ascii="宋体" w:hAnsi="宋体" w:cs="宋体"/>
                <w:kern w:val="0"/>
                <w:szCs w:val="21"/>
              </w:rPr>
              <w:t>：基于报告审核机制而设计的用于主任审核下级医生报告，查看分析原始数据、查看报告、状态审核功能，签发审核上传报告、归档管理和统计等功能。</w:t>
            </w:r>
          </w:p>
        </w:tc>
      </w:tr>
      <w:tr w14:paraId="4832B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6" w:hRule="atLeast"/>
          <w:jc w:val="center"/>
        </w:trPr>
        <w:tc>
          <w:tcPr>
            <w:tcW w:w="1790" w:type="dxa"/>
            <w:vMerge w:val="continue"/>
            <w:vAlign w:val="center"/>
          </w:tcPr>
          <w:p w14:paraId="17142530">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cs="宋体"/>
                <w:kern w:val="0"/>
                <w:szCs w:val="21"/>
              </w:rPr>
            </w:pPr>
          </w:p>
        </w:tc>
        <w:tc>
          <w:tcPr>
            <w:tcW w:w="790" w:type="dxa"/>
            <w:vAlign w:val="center"/>
          </w:tcPr>
          <w:p w14:paraId="7AE362F3">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cs="宋体"/>
                <w:kern w:val="0"/>
                <w:szCs w:val="21"/>
              </w:rPr>
            </w:pPr>
            <w:r>
              <w:rPr>
                <w:rFonts w:hint="eastAsia" w:ascii="宋体" w:hAnsi="宋体" w:cs="宋体"/>
                <w:kern w:val="0"/>
                <w:szCs w:val="21"/>
              </w:rPr>
              <w:t>1</w:t>
            </w:r>
            <w:r>
              <w:rPr>
                <w:rFonts w:ascii="宋体" w:hAnsi="宋体" w:cs="宋体"/>
                <w:kern w:val="0"/>
                <w:szCs w:val="21"/>
              </w:rPr>
              <w:t>.5</w:t>
            </w:r>
          </w:p>
        </w:tc>
        <w:tc>
          <w:tcPr>
            <w:tcW w:w="7279" w:type="dxa"/>
            <w:vAlign w:val="center"/>
          </w:tcPr>
          <w:p w14:paraId="0057ED2E">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cs="宋体"/>
                <w:kern w:val="0"/>
                <w:szCs w:val="21"/>
                <w:lang w:eastAsia="zh-Hans"/>
              </w:rPr>
            </w:pPr>
            <w:r>
              <w:rPr>
                <w:rFonts w:hint="eastAsia" w:ascii="宋体" w:hAnsi="宋体"/>
              </w:rPr>
              <w:t>Web报告浏览系统</w:t>
            </w:r>
            <w:r>
              <w:rPr>
                <w:rFonts w:hint="eastAsia" w:ascii="宋体" w:hAnsi="宋体"/>
                <w:lang w:eastAsia="zh-CN"/>
              </w:rPr>
              <w:t>功能</w:t>
            </w:r>
            <w:r>
              <w:rPr>
                <w:rFonts w:hint="eastAsia" w:ascii="宋体" w:hAnsi="宋体"/>
              </w:rPr>
              <w:t>：基于BS架构的浏览系统，采用</w:t>
            </w:r>
            <w:r>
              <w:rPr>
                <w:rFonts w:hint="eastAsia" w:ascii="宋体" w:hAnsi="宋体"/>
                <w:lang w:eastAsia="zh-Hans"/>
              </w:rPr>
              <w:t>账号验证</w:t>
            </w:r>
            <w:r>
              <w:rPr>
                <w:rFonts w:hint="eastAsia" w:ascii="宋体" w:hAnsi="宋体"/>
              </w:rPr>
              <w:t>网页浏览器方式查询、调阅、预览、打印权限下的患者检查报告，实现全院级的报告共享</w:t>
            </w:r>
            <w:r>
              <w:rPr>
                <w:rFonts w:hint="eastAsia" w:ascii="宋体" w:hAnsi="宋体"/>
                <w:b/>
                <w:bCs/>
                <w:lang w:eastAsia="zh-Hans"/>
              </w:rPr>
              <w:t>。</w:t>
            </w:r>
          </w:p>
        </w:tc>
      </w:tr>
      <w:tr w14:paraId="59509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4" w:hRule="atLeast"/>
          <w:jc w:val="center"/>
        </w:trPr>
        <w:tc>
          <w:tcPr>
            <w:tcW w:w="1790" w:type="dxa"/>
            <w:vMerge w:val="continue"/>
            <w:vAlign w:val="center"/>
          </w:tcPr>
          <w:p w14:paraId="5D793C74">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cs="宋体"/>
                <w:kern w:val="0"/>
                <w:szCs w:val="21"/>
              </w:rPr>
            </w:pPr>
          </w:p>
        </w:tc>
        <w:tc>
          <w:tcPr>
            <w:tcW w:w="790" w:type="dxa"/>
            <w:vAlign w:val="center"/>
          </w:tcPr>
          <w:p w14:paraId="0F110955">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cs="宋体"/>
                <w:kern w:val="0"/>
                <w:szCs w:val="21"/>
              </w:rPr>
            </w:pPr>
            <w:r>
              <w:rPr>
                <w:rFonts w:hint="eastAsia" w:ascii="宋体" w:hAnsi="宋体" w:cs="宋体"/>
                <w:kern w:val="0"/>
                <w:szCs w:val="21"/>
              </w:rPr>
              <w:t>1</w:t>
            </w:r>
            <w:r>
              <w:rPr>
                <w:rFonts w:ascii="宋体" w:hAnsi="宋体" w:cs="宋体"/>
                <w:kern w:val="0"/>
                <w:szCs w:val="21"/>
              </w:rPr>
              <w:t>.6</w:t>
            </w:r>
          </w:p>
        </w:tc>
        <w:tc>
          <w:tcPr>
            <w:tcW w:w="7279" w:type="dxa"/>
            <w:vAlign w:val="center"/>
          </w:tcPr>
          <w:p w14:paraId="1B9FB788">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rPr>
            </w:pPr>
            <w:r>
              <w:rPr>
                <w:rFonts w:hint="eastAsia" w:ascii="宋体" w:hAnsi="宋体"/>
                <w:lang w:eastAsia="zh-CN"/>
              </w:rPr>
              <w:t>提供</w:t>
            </w:r>
            <w:r>
              <w:rPr>
                <w:rFonts w:hint="eastAsia" w:ascii="宋体" w:hAnsi="宋体"/>
                <w:lang w:eastAsia="zh-Hans"/>
              </w:rPr>
              <w:t>消息</w:t>
            </w:r>
            <w:r>
              <w:rPr>
                <w:rFonts w:hint="eastAsia" w:ascii="宋体" w:hAnsi="宋体"/>
              </w:rPr>
              <w:t>共享报告接口：患者信息通过HIS接口，推送到第三方软件界面或获取报告匹配患者，各品牌的心电图机、心电采集设备、动态心电图、运动平板、动态血压以及其他原本无法信息化接入医院系统的各类电生理设备，比如：TCD频谱、肺功能、骨密度报告</w:t>
            </w:r>
          </w:p>
        </w:tc>
      </w:tr>
      <w:tr w14:paraId="16611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7" w:hRule="atLeast"/>
          <w:jc w:val="center"/>
        </w:trPr>
        <w:tc>
          <w:tcPr>
            <w:tcW w:w="1790" w:type="dxa"/>
            <w:vMerge w:val="continue"/>
            <w:vAlign w:val="center"/>
          </w:tcPr>
          <w:p w14:paraId="7A4FEECD">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cs="宋体"/>
                <w:kern w:val="0"/>
                <w:szCs w:val="21"/>
              </w:rPr>
            </w:pPr>
          </w:p>
        </w:tc>
        <w:tc>
          <w:tcPr>
            <w:tcW w:w="790" w:type="dxa"/>
            <w:vAlign w:val="center"/>
          </w:tcPr>
          <w:p w14:paraId="67892695">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cs="宋体"/>
                <w:kern w:val="0"/>
                <w:szCs w:val="21"/>
              </w:rPr>
            </w:pPr>
            <w:r>
              <w:rPr>
                <w:rFonts w:hint="eastAsia" w:ascii="宋体" w:hAnsi="宋体" w:cs="宋体"/>
                <w:kern w:val="0"/>
                <w:szCs w:val="21"/>
              </w:rPr>
              <w:t>1.7</w:t>
            </w:r>
          </w:p>
        </w:tc>
        <w:tc>
          <w:tcPr>
            <w:tcW w:w="7279" w:type="dxa"/>
            <w:vAlign w:val="center"/>
          </w:tcPr>
          <w:p w14:paraId="139A0291">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color w:val="FF0000"/>
              </w:rPr>
            </w:pPr>
            <w:r>
              <w:rPr>
                <w:rFonts w:hint="eastAsia" w:ascii="宋体" w:hAnsi="宋体"/>
                <w:lang w:eastAsia="zh-Hans"/>
              </w:rPr>
              <w:t>增加绩效大数据展示功能，可实现报告医生、机构、来源科室等条件展示大数据统计，直观查看数据汇总。</w:t>
            </w:r>
          </w:p>
        </w:tc>
      </w:tr>
      <w:tr w14:paraId="3CD06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jc w:val="center"/>
        </w:trPr>
        <w:tc>
          <w:tcPr>
            <w:tcW w:w="1790" w:type="dxa"/>
            <w:vMerge w:val="continue"/>
            <w:vAlign w:val="center"/>
          </w:tcPr>
          <w:p w14:paraId="3848375B">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cs="宋体"/>
                <w:kern w:val="0"/>
                <w:szCs w:val="21"/>
              </w:rPr>
            </w:pPr>
          </w:p>
        </w:tc>
        <w:tc>
          <w:tcPr>
            <w:tcW w:w="790" w:type="dxa"/>
            <w:vAlign w:val="center"/>
          </w:tcPr>
          <w:p w14:paraId="458071E7">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cs="宋体"/>
                <w:kern w:val="0"/>
                <w:szCs w:val="21"/>
              </w:rPr>
            </w:pPr>
            <w:r>
              <w:rPr>
                <w:rFonts w:hint="eastAsia" w:ascii="宋体" w:hAnsi="宋体" w:cs="宋体"/>
                <w:kern w:val="0"/>
                <w:szCs w:val="21"/>
              </w:rPr>
              <w:t>1.8</w:t>
            </w:r>
          </w:p>
        </w:tc>
        <w:tc>
          <w:tcPr>
            <w:tcW w:w="7279" w:type="dxa"/>
            <w:vAlign w:val="center"/>
          </w:tcPr>
          <w:p w14:paraId="6B9E8E92">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rPr>
            </w:pPr>
            <w:r>
              <w:rPr>
                <w:rFonts w:hint="eastAsia" w:ascii="宋体" w:hAnsi="宋体"/>
                <w:lang w:eastAsia="zh-CN"/>
              </w:rPr>
              <w:t>质控功能：</w:t>
            </w:r>
            <w:r>
              <w:rPr>
                <w:rFonts w:hint="eastAsia" w:ascii="宋体" w:hAnsi="宋体"/>
                <w:lang w:eastAsia="zh-Hans"/>
              </w:rPr>
              <w:t>质控管理，质控按比率抽样评分，满足电生理质控管理。</w:t>
            </w:r>
          </w:p>
        </w:tc>
      </w:tr>
      <w:tr w14:paraId="7E5AA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jc w:val="center"/>
        </w:trPr>
        <w:tc>
          <w:tcPr>
            <w:tcW w:w="1790" w:type="dxa"/>
            <w:vMerge w:val="continue"/>
            <w:vAlign w:val="center"/>
          </w:tcPr>
          <w:p w14:paraId="69FB910B">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cs="宋体"/>
                <w:kern w:val="0"/>
                <w:szCs w:val="21"/>
              </w:rPr>
            </w:pPr>
          </w:p>
        </w:tc>
        <w:tc>
          <w:tcPr>
            <w:tcW w:w="790" w:type="dxa"/>
            <w:vAlign w:val="center"/>
          </w:tcPr>
          <w:p w14:paraId="72F852AC">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cs="宋体"/>
                <w:kern w:val="0"/>
                <w:szCs w:val="21"/>
              </w:rPr>
            </w:pPr>
            <w:r>
              <w:rPr>
                <w:rFonts w:hint="eastAsia" w:ascii="宋体" w:hAnsi="宋体" w:cs="宋体"/>
                <w:kern w:val="0"/>
                <w:szCs w:val="21"/>
              </w:rPr>
              <w:t>1.9</w:t>
            </w:r>
          </w:p>
        </w:tc>
        <w:tc>
          <w:tcPr>
            <w:tcW w:w="7279" w:type="dxa"/>
            <w:vAlign w:val="center"/>
          </w:tcPr>
          <w:p w14:paraId="3B887E1B">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rPr>
            </w:pPr>
            <w:r>
              <w:rPr>
                <w:rFonts w:hint="eastAsia" w:ascii="宋体" w:hAnsi="宋体"/>
                <w:lang w:eastAsia="zh-Hans"/>
              </w:rPr>
              <w:t>收藏病例功能</w:t>
            </w:r>
            <w:r>
              <w:rPr>
                <w:rFonts w:hint="eastAsia" w:ascii="宋体" w:hAnsi="宋体"/>
                <w:lang w:val="en-US" w:eastAsia="zh-CN"/>
              </w:rPr>
              <w:t>:</w:t>
            </w:r>
            <w:r>
              <w:rPr>
                <w:rFonts w:hint="eastAsia" w:ascii="宋体" w:hAnsi="宋体"/>
                <w:lang w:eastAsia="zh-Hans"/>
              </w:rPr>
              <w:t>私有医生病例及公共医生病历权限管理，方便学术。</w:t>
            </w:r>
          </w:p>
        </w:tc>
      </w:tr>
      <w:tr w14:paraId="029F6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jc w:val="center"/>
        </w:trPr>
        <w:tc>
          <w:tcPr>
            <w:tcW w:w="1790" w:type="dxa"/>
            <w:vMerge w:val="continue"/>
            <w:vAlign w:val="center"/>
          </w:tcPr>
          <w:p w14:paraId="659F827A">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cs="宋体"/>
                <w:kern w:val="0"/>
                <w:szCs w:val="21"/>
              </w:rPr>
            </w:pPr>
          </w:p>
        </w:tc>
        <w:tc>
          <w:tcPr>
            <w:tcW w:w="790" w:type="dxa"/>
            <w:vAlign w:val="center"/>
          </w:tcPr>
          <w:p w14:paraId="5BF6DF9B">
            <w:pPr>
              <w:keepNext w:val="0"/>
              <w:keepLines w:val="0"/>
              <w:pageBreakBefore w:val="0"/>
              <w:widowControl/>
              <w:kinsoku/>
              <w:wordWrap/>
              <w:overflowPunct/>
              <w:topLinePunct w:val="0"/>
              <w:autoSpaceDE/>
              <w:autoSpaceDN/>
              <w:bidi w:val="0"/>
              <w:adjustRightInd w:val="0"/>
              <w:snapToGrid w:val="0"/>
              <w:spacing w:line="360" w:lineRule="auto"/>
              <w:jc w:val="left"/>
              <w:rPr>
                <w:rFonts w:hint="default" w:ascii="宋体" w:hAnsi="宋体" w:eastAsia="宋体" w:cs="宋体"/>
                <w:kern w:val="0"/>
                <w:szCs w:val="21"/>
                <w:lang w:val="en-US" w:eastAsia="zh-CN"/>
              </w:rPr>
            </w:pPr>
            <w:r>
              <w:rPr>
                <w:rFonts w:hint="eastAsia" w:ascii="宋体" w:hAnsi="宋体" w:cs="宋体"/>
                <w:kern w:val="0"/>
                <w:szCs w:val="21"/>
                <w:lang w:val="en-US" w:eastAsia="zh-CN"/>
              </w:rPr>
              <w:t>1.10</w:t>
            </w:r>
          </w:p>
        </w:tc>
        <w:tc>
          <w:tcPr>
            <w:tcW w:w="7279" w:type="dxa"/>
            <w:vAlign w:val="center"/>
          </w:tcPr>
          <w:p w14:paraId="5D28EB3B">
            <w:pPr>
              <w:keepNext w:val="0"/>
              <w:keepLines w:val="0"/>
              <w:pageBreakBefore w:val="0"/>
              <w:widowControl/>
              <w:kinsoku/>
              <w:wordWrap/>
              <w:overflowPunct/>
              <w:topLinePunct w:val="0"/>
              <w:autoSpaceDE/>
              <w:autoSpaceDN/>
              <w:bidi w:val="0"/>
              <w:adjustRightInd w:val="0"/>
              <w:snapToGrid w:val="0"/>
              <w:spacing w:line="360" w:lineRule="auto"/>
              <w:jc w:val="left"/>
              <w:rPr>
                <w:rFonts w:hint="default" w:ascii="宋体" w:hAnsi="宋体" w:eastAsia="宋体"/>
                <w:lang w:val="en-US" w:eastAsia="zh-CN"/>
              </w:rPr>
            </w:pPr>
            <w:r>
              <w:rPr>
                <w:rFonts w:hint="eastAsia" w:ascii="宋体" w:hAnsi="宋体"/>
                <w:lang w:eastAsia="zh-CN"/>
              </w:rPr>
              <w:t>解析模块：患者采集数据解析测量值保存至数据库；</w:t>
            </w:r>
          </w:p>
        </w:tc>
      </w:tr>
      <w:tr w14:paraId="3F1CB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7" w:hRule="atLeast"/>
          <w:jc w:val="center"/>
        </w:trPr>
        <w:tc>
          <w:tcPr>
            <w:tcW w:w="1790" w:type="dxa"/>
            <w:vMerge w:val="continue"/>
            <w:vAlign w:val="center"/>
          </w:tcPr>
          <w:p w14:paraId="06FA3FB3">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cs="宋体"/>
                <w:kern w:val="0"/>
                <w:szCs w:val="21"/>
              </w:rPr>
            </w:pPr>
          </w:p>
        </w:tc>
        <w:tc>
          <w:tcPr>
            <w:tcW w:w="790" w:type="dxa"/>
            <w:vAlign w:val="center"/>
          </w:tcPr>
          <w:p w14:paraId="37AC15A0">
            <w:pPr>
              <w:keepNext w:val="0"/>
              <w:keepLines w:val="0"/>
              <w:pageBreakBefore w:val="0"/>
              <w:widowControl/>
              <w:kinsoku/>
              <w:wordWrap/>
              <w:overflowPunct/>
              <w:topLinePunct w:val="0"/>
              <w:autoSpaceDE/>
              <w:autoSpaceDN/>
              <w:bidi w:val="0"/>
              <w:adjustRightInd w:val="0"/>
              <w:snapToGrid w:val="0"/>
              <w:spacing w:line="360" w:lineRule="auto"/>
              <w:jc w:val="left"/>
              <w:rPr>
                <w:rFonts w:hint="default" w:ascii="宋体" w:hAnsi="宋体" w:cs="宋体"/>
                <w:kern w:val="0"/>
                <w:szCs w:val="21"/>
                <w:lang w:val="en-US" w:eastAsia="zh-CN"/>
              </w:rPr>
            </w:pPr>
            <w:r>
              <w:rPr>
                <w:rFonts w:hint="eastAsia" w:ascii="宋体" w:hAnsi="宋体" w:cs="宋体"/>
                <w:kern w:val="0"/>
                <w:szCs w:val="21"/>
                <w:lang w:val="en-US" w:eastAsia="zh-CN"/>
              </w:rPr>
              <w:t>1.11</w:t>
            </w:r>
          </w:p>
        </w:tc>
        <w:tc>
          <w:tcPr>
            <w:tcW w:w="7279" w:type="dxa"/>
            <w:vAlign w:val="center"/>
          </w:tcPr>
          <w:p w14:paraId="50106EDD">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lang w:eastAsia="zh-CN"/>
              </w:rPr>
            </w:pPr>
            <w:r>
              <w:rPr>
                <w:rFonts w:hint="eastAsia" w:ascii="宋体" w:hAnsi="宋体"/>
                <w:lang w:eastAsia="zh-CN"/>
              </w:rPr>
              <w:t>患者模块：对接门诊，住院，体检，急诊患者模块，</w:t>
            </w:r>
            <w:r>
              <w:rPr>
                <w:rFonts w:hint="eastAsia" w:ascii="宋体" w:hAnsi="宋体" w:cs="宋体"/>
                <w:b/>
                <w:bCs/>
                <w:color w:val="FF0000"/>
                <w:kern w:val="0"/>
                <w:szCs w:val="21"/>
                <w:lang w:val="en-US" w:eastAsia="zh-CN"/>
              </w:rPr>
              <w:t>门诊、住院、急诊、体检可以分开展示</w:t>
            </w:r>
            <w:r>
              <w:rPr>
                <w:rFonts w:hint="eastAsia" w:ascii="宋体" w:hAnsi="宋体"/>
                <w:lang w:eastAsia="zh-CN"/>
              </w:rPr>
              <w:t>；</w:t>
            </w:r>
          </w:p>
        </w:tc>
      </w:tr>
      <w:tr w14:paraId="08247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jc w:val="center"/>
        </w:trPr>
        <w:tc>
          <w:tcPr>
            <w:tcW w:w="1790" w:type="dxa"/>
            <w:vMerge w:val="continue"/>
            <w:vAlign w:val="center"/>
          </w:tcPr>
          <w:p w14:paraId="7BC452EC">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cs="宋体"/>
                <w:kern w:val="0"/>
                <w:szCs w:val="21"/>
              </w:rPr>
            </w:pPr>
          </w:p>
        </w:tc>
        <w:tc>
          <w:tcPr>
            <w:tcW w:w="790" w:type="dxa"/>
            <w:vAlign w:val="center"/>
          </w:tcPr>
          <w:p w14:paraId="0E9F4C11">
            <w:pPr>
              <w:keepNext w:val="0"/>
              <w:keepLines w:val="0"/>
              <w:pageBreakBefore w:val="0"/>
              <w:widowControl/>
              <w:kinsoku/>
              <w:wordWrap/>
              <w:overflowPunct/>
              <w:topLinePunct w:val="0"/>
              <w:autoSpaceDE/>
              <w:autoSpaceDN/>
              <w:bidi w:val="0"/>
              <w:adjustRightInd w:val="0"/>
              <w:snapToGrid w:val="0"/>
              <w:spacing w:line="360" w:lineRule="auto"/>
              <w:jc w:val="left"/>
              <w:rPr>
                <w:rFonts w:hint="default" w:ascii="宋体" w:hAnsi="宋体" w:cs="宋体"/>
                <w:kern w:val="0"/>
                <w:szCs w:val="21"/>
                <w:lang w:val="en-US" w:eastAsia="zh-CN"/>
              </w:rPr>
            </w:pPr>
            <w:r>
              <w:rPr>
                <w:rFonts w:hint="eastAsia" w:ascii="宋体" w:hAnsi="宋体" w:cs="宋体"/>
                <w:kern w:val="0"/>
                <w:szCs w:val="21"/>
                <w:lang w:val="en-US" w:eastAsia="zh-CN"/>
              </w:rPr>
              <w:t>1.12</w:t>
            </w:r>
          </w:p>
        </w:tc>
        <w:tc>
          <w:tcPr>
            <w:tcW w:w="7279" w:type="dxa"/>
            <w:vAlign w:val="center"/>
          </w:tcPr>
          <w:p w14:paraId="2C03162E">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lang w:eastAsia="zh-CN"/>
              </w:rPr>
            </w:pPr>
            <w:r>
              <w:rPr>
                <w:rFonts w:hint="eastAsia" w:ascii="宋体" w:hAnsi="宋体"/>
                <w:lang w:eastAsia="zh-CN"/>
              </w:rPr>
              <w:t>一体化设计：集成动态心电、动态血压、常规心电；</w:t>
            </w:r>
          </w:p>
        </w:tc>
      </w:tr>
      <w:tr w14:paraId="07495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jc w:val="center"/>
        </w:trPr>
        <w:tc>
          <w:tcPr>
            <w:tcW w:w="1790" w:type="dxa"/>
            <w:vMerge w:val="continue"/>
            <w:vAlign w:val="center"/>
          </w:tcPr>
          <w:p w14:paraId="2B6B0C92">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cs="宋体"/>
                <w:kern w:val="0"/>
                <w:szCs w:val="21"/>
              </w:rPr>
            </w:pPr>
          </w:p>
        </w:tc>
        <w:tc>
          <w:tcPr>
            <w:tcW w:w="790" w:type="dxa"/>
            <w:vAlign w:val="center"/>
          </w:tcPr>
          <w:p w14:paraId="66AF2C8A">
            <w:pPr>
              <w:keepNext w:val="0"/>
              <w:keepLines w:val="0"/>
              <w:pageBreakBefore w:val="0"/>
              <w:widowControl/>
              <w:kinsoku/>
              <w:wordWrap/>
              <w:overflowPunct/>
              <w:topLinePunct w:val="0"/>
              <w:autoSpaceDE/>
              <w:autoSpaceDN/>
              <w:bidi w:val="0"/>
              <w:adjustRightInd w:val="0"/>
              <w:snapToGrid w:val="0"/>
              <w:spacing w:line="360" w:lineRule="auto"/>
              <w:jc w:val="left"/>
              <w:rPr>
                <w:rFonts w:hint="default" w:ascii="宋体" w:hAnsi="宋体" w:cs="宋体"/>
                <w:kern w:val="0"/>
                <w:szCs w:val="21"/>
                <w:lang w:val="en-US" w:eastAsia="zh-CN"/>
              </w:rPr>
            </w:pPr>
            <w:r>
              <w:rPr>
                <w:rFonts w:hint="eastAsia" w:ascii="宋体" w:hAnsi="宋体" w:cs="宋体"/>
                <w:kern w:val="0"/>
                <w:szCs w:val="21"/>
                <w:lang w:val="en-US" w:eastAsia="zh-CN"/>
              </w:rPr>
              <w:t>1.13</w:t>
            </w:r>
          </w:p>
        </w:tc>
        <w:tc>
          <w:tcPr>
            <w:tcW w:w="7279" w:type="dxa"/>
            <w:vAlign w:val="center"/>
          </w:tcPr>
          <w:p w14:paraId="6C23A8C1">
            <w:pPr>
              <w:keepNext w:val="0"/>
              <w:keepLines w:val="0"/>
              <w:pageBreakBefore w:val="0"/>
              <w:widowControl/>
              <w:kinsoku/>
              <w:wordWrap/>
              <w:overflowPunct/>
              <w:topLinePunct w:val="0"/>
              <w:autoSpaceDE/>
              <w:autoSpaceDN/>
              <w:bidi w:val="0"/>
              <w:adjustRightInd w:val="0"/>
              <w:snapToGrid w:val="0"/>
              <w:spacing w:line="360" w:lineRule="auto"/>
              <w:jc w:val="left"/>
              <w:rPr>
                <w:rFonts w:hint="default" w:ascii="宋体" w:hAnsi="宋体"/>
                <w:color w:val="auto"/>
                <w:lang w:val="en-US" w:eastAsia="zh-CN"/>
              </w:rPr>
            </w:pPr>
            <w:r>
              <w:rPr>
                <w:rFonts w:hint="eastAsia" w:ascii="宋体" w:hAnsi="宋体"/>
                <w:b w:val="0"/>
                <w:bCs w:val="0"/>
                <w:color w:val="auto"/>
                <w:lang w:val="en-US" w:eastAsia="zh-CN"/>
              </w:rPr>
              <w:t>病历分级管理功能：不同年资医师对应不同病历管理权限</w:t>
            </w:r>
          </w:p>
        </w:tc>
      </w:tr>
      <w:tr w14:paraId="2F783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7" w:hRule="atLeast"/>
          <w:jc w:val="center"/>
        </w:trPr>
        <w:tc>
          <w:tcPr>
            <w:tcW w:w="1790" w:type="dxa"/>
            <w:vMerge w:val="continue"/>
            <w:vAlign w:val="center"/>
          </w:tcPr>
          <w:p w14:paraId="08EB382F">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cs="宋体"/>
                <w:kern w:val="0"/>
                <w:szCs w:val="21"/>
              </w:rPr>
            </w:pPr>
          </w:p>
        </w:tc>
        <w:tc>
          <w:tcPr>
            <w:tcW w:w="790" w:type="dxa"/>
            <w:vAlign w:val="center"/>
          </w:tcPr>
          <w:p w14:paraId="351D606E">
            <w:pPr>
              <w:keepNext w:val="0"/>
              <w:keepLines w:val="0"/>
              <w:pageBreakBefore w:val="0"/>
              <w:widowControl/>
              <w:kinsoku/>
              <w:wordWrap/>
              <w:overflowPunct/>
              <w:topLinePunct w:val="0"/>
              <w:autoSpaceDE/>
              <w:autoSpaceDN/>
              <w:bidi w:val="0"/>
              <w:adjustRightInd w:val="0"/>
              <w:snapToGrid w:val="0"/>
              <w:spacing w:line="360" w:lineRule="auto"/>
              <w:jc w:val="left"/>
              <w:rPr>
                <w:rFonts w:hint="default" w:ascii="宋体" w:hAnsi="宋体" w:cs="宋体"/>
                <w:kern w:val="0"/>
                <w:szCs w:val="21"/>
                <w:lang w:val="en-US" w:eastAsia="zh-CN"/>
              </w:rPr>
            </w:pPr>
            <w:r>
              <w:rPr>
                <w:rFonts w:hint="eastAsia" w:ascii="宋体" w:hAnsi="宋体" w:cs="宋体"/>
                <w:kern w:val="0"/>
                <w:szCs w:val="21"/>
                <w:lang w:val="en-US" w:eastAsia="zh-CN"/>
              </w:rPr>
              <w:t>1.14</w:t>
            </w:r>
          </w:p>
        </w:tc>
        <w:tc>
          <w:tcPr>
            <w:tcW w:w="7279" w:type="dxa"/>
            <w:vAlign w:val="center"/>
          </w:tcPr>
          <w:p w14:paraId="67A48176">
            <w:pPr>
              <w:keepNext w:val="0"/>
              <w:keepLines w:val="0"/>
              <w:pageBreakBefore w:val="0"/>
              <w:widowControl/>
              <w:tabs>
                <w:tab w:val="left" w:pos="602"/>
              </w:tabs>
              <w:kinsoku/>
              <w:wordWrap/>
              <w:overflowPunct/>
              <w:topLinePunct w:val="0"/>
              <w:autoSpaceDE/>
              <w:autoSpaceDN/>
              <w:bidi w:val="0"/>
              <w:adjustRightInd w:val="0"/>
              <w:snapToGrid w:val="0"/>
              <w:spacing w:line="360" w:lineRule="auto"/>
              <w:jc w:val="left"/>
              <w:rPr>
                <w:rFonts w:hint="default" w:ascii="宋体" w:hAnsi="宋体"/>
                <w:color w:val="auto"/>
                <w:lang w:val="en-US" w:eastAsia="zh-CN"/>
              </w:rPr>
            </w:pPr>
            <w:r>
              <w:rPr>
                <w:rFonts w:hint="eastAsia" w:ascii="宋体" w:hAnsi="宋体"/>
                <w:b w:val="0"/>
                <w:bCs w:val="0"/>
                <w:color w:val="auto"/>
                <w:lang w:val="en-US" w:eastAsia="zh-CN"/>
              </w:rPr>
              <w:t>VIP患者功能：部分VIP患者检查报告设置为不可查看/信息隐藏，只有检查医生或者具有对应权限的医师才可以查看。</w:t>
            </w:r>
          </w:p>
        </w:tc>
      </w:tr>
      <w:tr w14:paraId="4BD55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5" w:hRule="atLeast"/>
          <w:jc w:val="center"/>
        </w:trPr>
        <w:tc>
          <w:tcPr>
            <w:tcW w:w="1790" w:type="dxa"/>
            <w:vMerge w:val="restart"/>
            <w:vAlign w:val="center"/>
          </w:tcPr>
          <w:p w14:paraId="02FD1F28">
            <w:pPr>
              <w:keepNext w:val="0"/>
              <w:keepLines w:val="0"/>
              <w:pageBreakBefore w:val="0"/>
              <w:kinsoku/>
              <w:wordWrap/>
              <w:overflowPunct/>
              <w:topLinePunct w:val="0"/>
              <w:autoSpaceDE/>
              <w:autoSpaceDN/>
              <w:bidi w:val="0"/>
              <w:adjustRightInd w:val="0"/>
              <w:snapToGrid w:val="0"/>
              <w:spacing w:line="360" w:lineRule="auto"/>
              <w:jc w:val="left"/>
            </w:pPr>
            <w:r>
              <w:rPr>
                <w:rFonts w:hint="eastAsia"/>
              </w:rPr>
              <w:t>2. 科室设备报告无纸化功能</w:t>
            </w:r>
          </w:p>
        </w:tc>
        <w:tc>
          <w:tcPr>
            <w:tcW w:w="790" w:type="dxa"/>
            <w:vAlign w:val="center"/>
          </w:tcPr>
          <w:p w14:paraId="43A0F442">
            <w:pPr>
              <w:keepNext w:val="0"/>
              <w:keepLines w:val="0"/>
              <w:pageBreakBefore w:val="0"/>
              <w:kinsoku/>
              <w:wordWrap/>
              <w:overflowPunct/>
              <w:topLinePunct w:val="0"/>
              <w:autoSpaceDE/>
              <w:autoSpaceDN/>
              <w:bidi w:val="0"/>
              <w:adjustRightInd w:val="0"/>
              <w:snapToGrid w:val="0"/>
              <w:spacing w:line="360" w:lineRule="auto"/>
              <w:jc w:val="left"/>
            </w:pPr>
            <w:r>
              <w:rPr>
                <w:rFonts w:hint="eastAsia"/>
              </w:rPr>
              <w:t>2.1</w:t>
            </w:r>
          </w:p>
        </w:tc>
        <w:tc>
          <w:tcPr>
            <w:tcW w:w="7279" w:type="dxa"/>
            <w:vAlign w:val="center"/>
          </w:tcPr>
          <w:p w14:paraId="10C760B2">
            <w:pPr>
              <w:keepNext w:val="0"/>
              <w:keepLines w:val="0"/>
              <w:pageBreakBefore w:val="0"/>
              <w:kinsoku/>
              <w:wordWrap/>
              <w:overflowPunct/>
              <w:topLinePunct w:val="0"/>
              <w:autoSpaceDE/>
              <w:autoSpaceDN/>
              <w:bidi w:val="0"/>
              <w:adjustRightInd w:val="0"/>
              <w:snapToGrid w:val="0"/>
              <w:spacing w:line="360" w:lineRule="auto"/>
              <w:jc w:val="left"/>
            </w:pPr>
            <w:r>
              <w:rPr>
                <w:rFonts w:hint="eastAsia"/>
              </w:rPr>
              <w:t>与集成平台对接：实现门诊患者信息自动获取，住院患者信息自动推送到患者列表，医嘱执行与取消，让各系统可获取到报告。</w:t>
            </w:r>
          </w:p>
        </w:tc>
      </w:tr>
      <w:tr w14:paraId="4838A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790" w:type="dxa"/>
            <w:vMerge w:val="continue"/>
            <w:vAlign w:val="center"/>
          </w:tcPr>
          <w:p w14:paraId="1AEA6E65">
            <w:pPr>
              <w:keepNext w:val="0"/>
              <w:keepLines w:val="0"/>
              <w:pageBreakBefore w:val="0"/>
              <w:kinsoku/>
              <w:wordWrap/>
              <w:overflowPunct/>
              <w:topLinePunct w:val="0"/>
              <w:autoSpaceDE/>
              <w:autoSpaceDN/>
              <w:bidi w:val="0"/>
              <w:adjustRightInd w:val="0"/>
              <w:snapToGrid w:val="0"/>
              <w:spacing w:line="360" w:lineRule="auto"/>
              <w:jc w:val="left"/>
              <w:rPr>
                <w:rFonts w:hint="eastAsia"/>
              </w:rPr>
            </w:pPr>
          </w:p>
        </w:tc>
        <w:tc>
          <w:tcPr>
            <w:tcW w:w="790" w:type="dxa"/>
            <w:vAlign w:val="center"/>
          </w:tcPr>
          <w:p w14:paraId="06654828">
            <w:pPr>
              <w:keepNext w:val="0"/>
              <w:keepLines w:val="0"/>
              <w:pageBreakBefore w:val="0"/>
              <w:kinsoku/>
              <w:wordWrap/>
              <w:overflowPunct/>
              <w:topLinePunct w:val="0"/>
              <w:autoSpaceDE/>
              <w:autoSpaceDN/>
              <w:bidi w:val="0"/>
              <w:adjustRightInd w:val="0"/>
              <w:snapToGrid w:val="0"/>
              <w:spacing w:line="360" w:lineRule="auto"/>
              <w:jc w:val="left"/>
              <w:rPr>
                <w:rFonts w:hint="default" w:eastAsia="宋体"/>
                <w:lang w:val="en-US" w:eastAsia="zh-CN"/>
              </w:rPr>
            </w:pPr>
            <w:r>
              <w:rPr>
                <w:rFonts w:hint="eastAsia"/>
                <w:lang w:val="en-US" w:eastAsia="zh-CN"/>
              </w:rPr>
              <w:t>2.2</w:t>
            </w:r>
          </w:p>
        </w:tc>
        <w:tc>
          <w:tcPr>
            <w:tcW w:w="7279" w:type="dxa"/>
            <w:vAlign w:val="center"/>
          </w:tcPr>
          <w:p w14:paraId="1C28AA0E">
            <w:pPr>
              <w:keepNext w:val="0"/>
              <w:keepLines w:val="0"/>
              <w:pageBreakBefore w:val="0"/>
              <w:kinsoku/>
              <w:wordWrap/>
              <w:overflowPunct/>
              <w:topLinePunct w:val="0"/>
              <w:autoSpaceDE/>
              <w:autoSpaceDN/>
              <w:bidi w:val="0"/>
              <w:adjustRightInd w:val="0"/>
              <w:snapToGrid w:val="0"/>
              <w:spacing w:line="360" w:lineRule="auto"/>
              <w:jc w:val="left"/>
              <w:rPr>
                <w:rFonts w:hint="eastAsia" w:eastAsia="宋体"/>
                <w:lang w:eastAsia="zh-CN"/>
              </w:rPr>
            </w:pPr>
            <w:r>
              <w:rPr>
                <w:rFonts w:hint="eastAsia"/>
                <w:lang w:eastAsia="zh-CN"/>
              </w:rPr>
              <w:t>异常值接口，设置异常值，报告指标异常显示，提醒医生。</w:t>
            </w:r>
          </w:p>
        </w:tc>
      </w:tr>
      <w:tr w14:paraId="36A2B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790" w:type="dxa"/>
            <w:vMerge w:val="continue"/>
            <w:vAlign w:val="center"/>
          </w:tcPr>
          <w:p w14:paraId="21CC81D0">
            <w:pPr>
              <w:keepNext w:val="0"/>
              <w:keepLines w:val="0"/>
              <w:pageBreakBefore w:val="0"/>
              <w:kinsoku/>
              <w:wordWrap/>
              <w:overflowPunct/>
              <w:topLinePunct w:val="0"/>
              <w:autoSpaceDE/>
              <w:autoSpaceDN/>
              <w:bidi w:val="0"/>
              <w:adjustRightInd w:val="0"/>
              <w:snapToGrid w:val="0"/>
              <w:spacing w:line="360" w:lineRule="auto"/>
              <w:jc w:val="left"/>
              <w:rPr>
                <w:rFonts w:hint="eastAsia"/>
              </w:rPr>
            </w:pPr>
          </w:p>
        </w:tc>
        <w:tc>
          <w:tcPr>
            <w:tcW w:w="790" w:type="dxa"/>
            <w:vAlign w:val="center"/>
          </w:tcPr>
          <w:p w14:paraId="6E10DED2">
            <w:pPr>
              <w:keepNext w:val="0"/>
              <w:keepLines w:val="0"/>
              <w:pageBreakBefore w:val="0"/>
              <w:kinsoku/>
              <w:wordWrap/>
              <w:overflowPunct/>
              <w:topLinePunct w:val="0"/>
              <w:autoSpaceDE/>
              <w:autoSpaceDN/>
              <w:bidi w:val="0"/>
              <w:adjustRightInd w:val="0"/>
              <w:snapToGrid w:val="0"/>
              <w:spacing w:line="360" w:lineRule="auto"/>
              <w:jc w:val="left"/>
              <w:rPr>
                <w:rFonts w:hint="default"/>
                <w:lang w:val="en-US" w:eastAsia="zh-CN"/>
              </w:rPr>
            </w:pPr>
            <w:r>
              <w:rPr>
                <w:rFonts w:hint="eastAsia"/>
                <w:lang w:val="en-US" w:eastAsia="zh-CN"/>
              </w:rPr>
              <w:t>2.3</w:t>
            </w:r>
          </w:p>
        </w:tc>
        <w:tc>
          <w:tcPr>
            <w:tcW w:w="7279" w:type="dxa"/>
            <w:vAlign w:val="center"/>
          </w:tcPr>
          <w:p w14:paraId="2ECA0050">
            <w:pPr>
              <w:keepNext w:val="0"/>
              <w:keepLines w:val="0"/>
              <w:pageBreakBefore w:val="0"/>
              <w:kinsoku/>
              <w:wordWrap/>
              <w:overflowPunct/>
              <w:topLinePunct w:val="0"/>
              <w:autoSpaceDE/>
              <w:autoSpaceDN/>
              <w:bidi w:val="0"/>
              <w:adjustRightInd w:val="0"/>
              <w:snapToGrid w:val="0"/>
              <w:spacing w:line="360" w:lineRule="auto"/>
              <w:jc w:val="left"/>
              <w:rPr>
                <w:rFonts w:hint="eastAsia"/>
                <w:lang w:eastAsia="zh-CN"/>
              </w:rPr>
            </w:pPr>
            <w:r>
              <w:rPr>
                <w:rFonts w:hint="eastAsia"/>
                <w:lang w:eastAsia="zh-CN"/>
              </w:rPr>
              <w:t>报告模板：提供结构化报告模板，提供模板维护和修改功能。</w:t>
            </w:r>
          </w:p>
        </w:tc>
      </w:tr>
      <w:tr w14:paraId="48C55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3" w:hRule="atLeast"/>
          <w:jc w:val="center"/>
        </w:trPr>
        <w:tc>
          <w:tcPr>
            <w:tcW w:w="1790" w:type="dxa"/>
            <w:vMerge w:val="continue"/>
            <w:vAlign w:val="center"/>
          </w:tcPr>
          <w:p w14:paraId="6452DE24">
            <w:pPr>
              <w:keepNext w:val="0"/>
              <w:keepLines w:val="0"/>
              <w:pageBreakBefore w:val="0"/>
              <w:kinsoku/>
              <w:wordWrap/>
              <w:overflowPunct/>
              <w:topLinePunct w:val="0"/>
              <w:autoSpaceDE/>
              <w:autoSpaceDN/>
              <w:bidi w:val="0"/>
              <w:adjustRightInd w:val="0"/>
              <w:snapToGrid w:val="0"/>
              <w:spacing w:line="360" w:lineRule="auto"/>
              <w:jc w:val="left"/>
            </w:pPr>
          </w:p>
        </w:tc>
        <w:tc>
          <w:tcPr>
            <w:tcW w:w="790" w:type="dxa"/>
            <w:vAlign w:val="center"/>
          </w:tcPr>
          <w:p w14:paraId="572DD10A">
            <w:pPr>
              <w:keepNext w:val="0"/>
              <w:keepLines w:val="0"/>
              <w:pageBreakBefore w:val="0"/>
              <w:kinsoku/>
              <w:wordWrap/>
              <w:overflowPunct/>
              <w:topLinePunct w:val="0"/>
              <w:autoSpaceDE/>
              <w:autoSpaceDN/>
              <w:bidi w:val="0"/>
              <w:adjustRightInd w:val="0"/>
              <w:snapToGrid w:val="0"/>
              <w:spacing w:line="360" w:lineRule="auto"/>
              <w:jc w:val="left"/>
            </w:pPr>
            <w:r>
              <w:rPr>
                <w:rFonts w:hint="eastAsia"/>
              </w:rPr>
              <w:t>2.</w:t>
            </w:r>
            <w:r>
              <w:rPr>
                <w:rFonts w:hint="eastAsia"/>
                <w:lang w:val="en-US" w:eastAsia="zh-CN"/>
              </w:rPr>
              <w:t>4</w:t>
            </w:r>
          </w:p>
        </w:tc>
        <w:tc>
          <w:tcPr>
            <w:tcW w:w="7279" w:type="dxa"/>
            <w:vAlign w:val="center"/>
          </w:tcPr>
          <w:p w14:paraId="13B95A2E">
            <w:pPr>
              <w:keepNext w:val="0"/>
              <w:keepLines w:val="0"/>
              <w:pageBreakBefore w:val="0"/>
              <w:kinsoku/>
              <w:wordWrap/>
              <w:overflowPunct/>
              <w:topLinePunct w:val="0"/>
              <w:autoSpaceDE/>
              <w:autoSpaceDN/>
              <w:bidi w:val="0"/>
              <w:adjustRightInd w:val="0"/>
              <w:snapToGrid w:val="0"/>
              <w:spacing w:line="360" w:lineRule="auto"/>
              <w:jc w:val="left"/>
            </w:pPr>
            <w:r>
              <w:rPr>
                <w:rFonts w:hint="eastAsia"/>
              </w:rPr>
              <w:t>危机值闭环接口，申报危机值，临床医生及时处理并下达确认，关闭危机值。</w:t>
            </w:r>
          </w:p>
        </w:tc>
      </w:tr>
      <w:tr w14:paraId="5F7FD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9" w:hRule="atLeast"/>
          <w:jc w:val="center"/>
        </w:trPr>
        <w:tc>
          <w:tcPr>
            <w:tcW w:w="1790" w:type="dxa"/>
            <w:vMerge w:val="restart"/>
            <w:vAlign w:val="center"/>
          </w:tcPr>
          <w:p w14:paraId="56F2001F">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cs="宋体"/>
                <w:kern w:val="0"/>
                <w:szCs w:val="21"/>
              </w:rPr>
            </w:pPr>
            <w:r>
              <w:rPr>
                <w:rFonts w:hint="eastAsia" w:ascii="宋体" w:hAnsi="宋体" w:cs="宋体"/>
                <w:kern w:val="0"/>
                <w:szCs w:val="21"/>
              </w:rPr>
              <w:t>3. 与设备对接功能</w:t>
            </w:r>
          </w:p>
        </w:tc>
        <w:tc>
          <w:tcPr>
            <w:tcW w:w="790" w:type="dxa"/>
            <w:vAlign w:val="center"/>
          </w:tcPr>
          <w:p w14:paraId="1CFB894B">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kern w:val="0"/>
                <w:szCs w:val="21"/>
                <w:lang w:val="en-US" w:eastAsia="zh-CN"/>
              </w:rPr>
            </w:pPr>
            <w:r>
              <w:rPr>
                <w:rFonts w:hint="eastAsia" w:ascii="宋体" w:hAnsi="宋体" w:cs="宋体"/>
                <w:kern w:val="0"/>
                <w:szCs w:val="21"/>
                <w:lang w:val="en-US" w:eastAsia="zh-CN"/>
              </w:rPr>
              <w:t>3</w:t>
            </w:r>
            <w:r>
              <w:rPr>
                <w:rFonts w:hint="eastAsia" w:ascii="宋体" w:hAnsi="宋体" w:cs="宋体"/>
                <w:kern w:val="0"/>
                <w:szCs w:val="21"/>
              </w:rPr>
              <w:t>.</w:t>
            </w:r>
            <w:r>
              <w:rPr>
                <w:rFonts w:hint="eastAsia" w:ascii="宋体" w:hAnsi="宋体" w:cs="宋体"/>
                <w:kern w:val="0"/>
                <w:szCs w:val="21"/>
                <w:lang w:val="en-US" w:eastAsia="zh-CN"/>
              </w:rPr>
              <w:t>1</w:t>
            </w:r>
          </w:p>
        </w:tc>
        <w:tc>
          <w:tcPr>
            <w:tcW w:w="7279" w:type="dxa"/>
            <w:vAlign w:val="center"/>
          </w:tcPr>
          <w:p w14:paraId="580232BA">
            <w:pPr>
              <w:pStyle w:val="58"/>
              <w:keepNext w:val="0"/>
              <w:keepLines w:val="0"/>
              <w:pageBreakBefore w:val="0"/>
              <w:kinsoku/>
              <w:wordWrap/>
              <w:overflowPunct/>
              <w:topLinePunct w:val="0"/>
              <w:autoSpaceDE/>
              <w:autoSpaceDN/>
              <w:bidi w:val="0"/>
              <w:adjustRightInd w:val="0"/>
              <w:snapToGrid w:val="0"/>
              <w:spacing w:line="360" w:lineRule="auto"/>
              <w:ind w:firstLine="0" w:firstLineChars="0"/>
              <w:jc w:val="left"/>
              <w:rPr>
                <w:rFonts w:hint="eastAsia" w:ascii="宋体" w:hAnsi="宋体" w:cs="宋体"/>
                <w:szCs w:val="21"/>
              </w:rPr>
            </w:pPr>
            <w:r>
              <w:rPr>
                <w:rFonts w:ascii="宋体" w:hAnsi="宋体" w:cs="宋体"/>
                <w:kern w:val="0"/>
                <w:szCs w:val="21"/>
              </w:rPr>
              <w:t>3.1.</w:t>
            </w:r>
            <w:r>
              <w:rPr>
                <w:rFonts w:hint="eastAsia" w:ascii="宋体" w:hAnsi="宋体" w:cs="宋体"/>
                <w:kern w:val="0"/>
                <w:szCs w:val="21"/>
              </w:rPr>
              <w:t>1实现</w:t>
            </w:r>
            <w:r>
              <w:rPr>
                <w:rFonts w:hint="eastAsia" w:ascii="宋体" w:hAnsi="宋体" w:cs="宋体"/>
                <w:kern w:val="0"/>
                <w:szCs w:val="21"/>
                <w:lang w:eastAsia="zh-CN"/>
              </w:rPr>
              <w:t>院内现有的心电血压设备接入</w:t>
            </w:r>
            <w:r>
              <w:rPr>
                <w:rFonts w:hint="eastAsia" w:ascii="宋体" w:hAnsi="宋体" w:cs="宋体"/>
                <w:szCs w:val="21"/>
              </w:rPr>
              <w:t>。</w:t>
            </w:r>
          </w:p>
          <w:p w14:paraId="1D5BA2C3">
            <w:pPr>
              <w:pStyle w:val="58"/>
              <w:keepNext w:val="0"/>
              <w:keepLines w:val="0"/>
              <w:pageBreakBefore w:val="0"/>
              <w:kinsoku/>
              <w:wordWrap/>
              <w:overflowPunct/>
              <w:topLinePunct w:val="0"/>
              <w:autoSpaceDE/>
              <w:autoSpaceDN/>
              <w:bidi w:val="0"/>
              <w:adjustRightInd w:val="0"/>
              <w:snapToGrid w:val="0"/>
              <w:spacing w:line="360" w:lineRule="auto"/>
              <w:ind w:firstLine="0" w:firstLineChars="0"/>
              <w:jc w:val="left"/>
              <w:rPr>
                <w:rFonts w:hint="eastAsia" w:ascii="宋体" w:hAnsi="宋体" w:eastAsia="宋体" w:cs="宋体"/>
                <w:szCs w:val="21"/>
                <w:lang w:eastAsia="zh-CN"/>
              </w:rPr>
            </w:pPr>
            <w:r>
              <w:rPr>
                <w:rFonts w:hint="eastAsia" w:ascii="宋体" w:hAnsi="宋体" w:cs="宋体"/>
                <w:szCs w:val="21"/>
                <w:lang w:val="en-US" w:eastAsia="zh-CN"/>
              </w:rPr>
              <w:t>3.1.4</w:t>
            </w:r>
            <w:r>
              <w:rPr>
                <w:rFonts w:hint="eastAsia" w:ascii="宋体" w:hAnsi="宋体" w:cs="宋体"/>
                <w:szCs w:val="21"/>
              </w:rPr>
              <w:t xml:space="preserve"> </w:t>
            </w:r>
            <w:r>
              <w:rPr>
                <w:rFonts w:hint="eastAsia" w:ascii="宋体" w:hAnsi="宋体" w:cs="宋体"/>
                <w:szCs w:val="21"/>
                <w:lang w:eastAsia="zh-CN"/>
              </w:rPr>
              <w:t>实现接入院内目前所有常规心电图设备的接入</w:t>
            </w:r>
          </w:p>
        </w:tc>
      </w:tr>
      <w:tr w14:paraId="134E8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9" w:hRule="atLeast"/>
          <w:jc w:val="center"/>
        </w:trPr>
        <w:tc>
          <w:tcPr>
            <w:tcW w:w="1790" w:type="dxa"/>
            <w:vMerge w:val="continue"/>
            <w:vAlign w:val="center"/>
          </w:tcPr>
          <w:p w14:paraId="4B7491AA">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cs="宋体"/>
                <w:kern w:val="0"/>
                <w:szCs w:val="21"/>
              </w:rPr>
            </w:pPr>
          </w:p>
        </w:tc>
        <w:tc>
          <w:tcPr>
            <w:tcW w:w="790" w:type="dxa"/>
            <w:vAlign w:val="center"/>
          </w:tcPr>
          <w:p w14:paraId="520507F0">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kern w:val="0"/>
                <w:szCs w:val="21"/>
                <w:lang w:val="en-US" w:eastAsia="zh-CN"/>
              </w:rPr>
            </w:pPr>
            <w:r>
              <w:rPr>
                <w:rFonts w:hint="eastAsia" w:ascii="宋体" w:hAnsi="宋体" w:cs="宋体"/>
                <w:kern w:val="0"/>
                <w:szCs w:val="21"/>
                <w:lang w:val="en-US" w:eastAsia="zh-CN"/>
              </w:rPr>
              <w:t>3</w:t>
            </w:r>
            <w:r>
              <w:rPr>
                <w:rFonts w:hint="eastAsia" w:ascii="宋体" w:hAnsi="宋体" w:cs="宋体"/>
                <w:kern w:val="0"/>
                <w:szCs w:val="21"/>
              </w:rPr>
              <w:t>.</w:t>
            </w:r>
            <w:r>
              <w:rPr>
                <w:rFonts w:hint="eastAsia" w:ascii="宋体" w:hAnsi="宋体" w:cs="宋体"/>
                <w:kern w:val="0"/>
                <w:szCs w:val="21"/>
                <w:lang w:val="en-US" w:eastAsia="zh-CN"/>
              </w:rPr>
              <w:t>2</w:t>
            </w:r>
          </w:p>
        </w:tc>
        <w:tc>
          <w:tcPr>
            <w:tcW w:w="7279" w:type="dxa"/>
            <w:vAlign w:val="center"/>
          </w:tcPr>
          <w:p w14:paraId="260E7295">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cs="宋体"/>
                <w:kern w:val="0"/>
                <w:szCs w:val="21"/>
              </w:rPr>
            </w:pPr>
            <w:r>
              <w:rPr>
                <w:rFonts w:hint="eastAsia" w:ascii="宋体" w:hAnsi="宋体" w:cs="宋体"/>
                <w:kern w:val="0"/>
                <w:szCs w:val="21"/>
              </w:rPr>
              <w:t>接入体检系统动态心电、动态血压数据</w:t>
            </w:r>
            <w:r>
              <w:rPr>
                <w:rFonts w:hint="eastAsia" w:ascii="宋体" w:hAnsi="宋体" w:cs="宋体"/>
                <w:kern w:val="0"/>
                <w:szCs w:val="21"/>
                <w:lang w:eastAsia="zh-CN"/>
              </w:rPr>
              <w:t>、常规心电，</w:t>
            </w:r>
            <w:r>
              <w:rPr>
                <w:rFonts w:hint="eastAsia" w:ascii="宋体" w:hAnsi="宋体" w:cs="宋体"/>
                <w:kern w:val="0"/>
                <w:szCs w:val="21"/>
              </w:rPr>
              <w:t>分析中心分析，并下达报告，与体检接口PDF报告转换jpg报告归档体检系统</w:t>
            </w:r>
          </w:p>
        </w:tc>
      </w:tr>
      <w:tr w14:paraId="56227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9" w:hRule="atLeast"/>
          <w:jc w:val="center"/>
        </w:trPr>
        <w:tc>
          <w:tcPr>
            <w:tcW w:w="1790" w:type="dxa"/>
            <w:vMerge w:val="continue"/>
            <w:vAlign w:val="center"/>
          </w:tcPr>
          <w:p w14:paraId="578EFC02">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cs="宋体"/>
                <w:kern w:val="0"/>
                <w:szCs w:val="21"/>
              </w:rPr>
            </w:pPr>
          </w:p>
        </w:tc>
        <w:tc>
          <w:tcPr>
            <w:tcW w:w="790" w:type="dxa"/>
            <w:vAlign w:val="center"/>
          </w:tcPr>
          <w:p w14:paraId="38C0C6CF">
            <w:pPr>
              <w:keepNext w:val="0"/>
              <w:keepLines w:val="0"/>
              <w:pageBreakBefore w:val="0"/>
              <w:widowControl/>
              <w:kinsoku/>
              <w:wordWrap/>
              <w:overflowPunct/>
              <w:topLinePunct w:val="0"/>
              <w:autoSpaceDE/>
              <w:autoSpaceDN/>
              <w:bidi w:val="0"/>
              <w:adjustRightInd w:val="0"/>
              <w:snapToGrid w:val="0"/>
              <w:spacing w:line="360" w:lineRule="auto"/>
              <w:jc w:val="left"/>
              <w:rPr>
                <w:rFonts w:hint="default" w:ascii="宋体" w:hAnsi="宋体" w:cs="宋体"/>
                <w:kern w:val="0"/>
                <w:szCs w:val="21"/>
                <w:lang w:val="en-US" w:eastAsia="zh-CN"/>
              </w:rPr>
            </w:pPr>
            <w:r>
              <w:rPr>
                <w:rFonts w:hint="eastAsia" w:ascii="宋体" w:hAnsi="宋体" w:cs="宋体"/>
                <w:kern w:val="0"/>
                <w:szCs w:val="21"/>
                <w:lang w:val="en-US" w:eastAsia="zh-CN"/>
              </w:rPr>
              <w:t>3.3</w:t>
            </w:r>
          </w:p>
        </w:tc>
        <w:tc>
          <w:tcPr>
            <w:tcW w:w="7279" w:type="dxa"/>
            <w:vAlign w:val="center"/>
          </w:tcPr>
          <w:p w14:paraId="4548393F">
            <w:pPr>
              <w:keepNext w:val="0"/>
              <w:keepLines w:val="0"/>
              <w:pageBreakBefore w:val="0"/>
              <w:widowControl/>
              <w:kinsoku/>
              <w:wordWrap/>
              <w:overflowPunct/>
              <w:topLinePunct w:val="0"/>
              <w:autoSpaceDE/>
              <w:autoSpaceDN/>
              <w:bidi w:val="0"/>
              <w:adjustRightInd w:val="0"/>
              <w:snapToGrid w:val="0"/>
              <w:spacing w:line="360" w:lineRule="auto"/>
              <w:jc w:val="left"/>
              <w:rPr>
                <w:rFonts w:hint="default" w:ascii="宋体" w:hAnsi="宋体" w:eastAsia="宋体" w:cs="宋体"/>
                <w:kern w:val="0"/>
                <w:szCs w:val="21"/>
                <w:lang w:val="en-US" w:eastAsia="zh-CN"/>
              </w:rPr>
            </w:pPr>
            <w:r>
              <w:rPr>
                <w:rFonts w:hint="eastAsia" w:ascii="宋体" w:hAnsi="宋体" w:cs="宋体"/>
                <w:b w:val="0"/>
                <w:bCs w:val="0"/>
                <w:color w:val="auto"/>
                <w:kern w:val="0"/>
                <w:szCs w:val="21"/>
                <w:lang w:val="en-US" w:eastAsia="zh-CN"/>
              </w:rPr>
              <w:t>各临床科室网络接口精确配置命名检查科室，不得出现无检查科室的床边心电图</w:t>
            </w:r>
          </w:p>
        </w:tc>
      </w:tr>
      <w:tr w14:paraId="7E7BF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9" w:hRule="atLeast"/>
          <w:jc w:val="center"/>
        </w:trPr>
        <w:tc>
          <w:tcPr>
            <w:tcW w:w="0" w:type="auto"/>
            <w:gridSpan w:val="3"/>
            <w:vAlign w:val="center"/>
          </w:tcPr>
          <w:p w14:paraId="45CDAD3E">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cs="宋体"/>
                <w:kern w:val="0"/>
                <w:szCs w:val="21"/>
              </w:rPr>
            </w:pPr>
            <w:r>
              <w:rPr>
                <w:rFonts w:hint="eastAsia" w:ascii="宋体" w:hAnsi="宋体" w:cs="宋体"/>
                <w:kern w:val="0"/>
                <w:szCs w:val="21"/>
              </w:rPr>
              <w:t>其他技术需求</w:t>
            </w:r>
          </w:p>
        </w:tc>
      </w:tr>
      <w:tr w14:paraId="13805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8" w:hRule="atLeast"/>
          <w:jc w:val="center"/>
        </w:trPr>
        <w:tc>
          <w:tcPr>
            <w:tcW w:w="1790" w:type="dxa"/>
            <w:vMerge w:val="restart"/>
            <w:vAlign w:val="center"/>
          </w:tcPr>
          <w:p w14:paraId="74BF5572">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cs="宋体"/>
                <w:kern w:val="0"/>
                <w:szCs w:val="21"/>
              </w:rPr>
            </w:pPr>
            <w:r>
              <w:rPr>
                <w:rFonts w:hint="eastAsia" w:ascii="宋体" w:hAnsi="宋体" w:cs="宋体"/>
                <w:kern w:val="0"/>
                <w:szCs w:val="21"/>
              </w:rPr>
              <w:t>4</w:t>
            </w:r>
            <w:r>
              <w:rPr>
                <w:rFonts w:ascii="宋体" w:hAnsi="宋体" w:cs="宋体"/>
                <w:kern w:val="0"/>
                <w:szCs w:val="21"/>
              </w:rPr>
              <w:t>.</w:t>
            </w:r>
            <w:r>
              <w:rPr>
                <w:rFonts w:hint="eastAsia" w:ascii="宋体" w:hAnsi="宋体" w:cs="宋体"/>
                <w:kern w:val="0"/>
                <w:szCs w:val="21"/>
              </w:rPr>
              <w:t>对接需求</w:t>
            </w:r>
          </w:p>
        </w:tc>
        <w:tc>
          <w:tcPr>
            <w:tcW w:w="790" w:type="dxa"/>
            <w:vAlign w:val="center"/>
          </w:tcPr>
          <w:p w14:paraId="6B3DFB42">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cs="宋体"/>
                <w:kern w:val="0"/>
                <w:szCs w:val="21"/>
              </w:rPr>
            </w:pPr>
            <w:r>
              <w:rPr>
                <w:rFonts w:hint="eastAsia" w:ascii="宋体" w:hAnsi="宋体" w:cs="宋体"/>
                <w:kern w:val="0"/>
                <w:szCs w:val="21"/>
              </w:rPr>
              <w:t>4</w:t>
            </w:r>
            <w:r>
              <w:rPr>
                <w:rFonts w:ascii="宋体" w:hAnsi="宋体" w:cs="宋体"/>
                <w:kern w:val="0"/>
                <w:szCs w:val="21"/>
              </w:rPr>
              <w:t>.1</w:t>
            </w:r>
          </w:p>
        </w:tc>
        <w:tc>
          <w:tcPr>
            <w:tcW w:w="7279" w:type="dxa"/>
            <w:vAlign w:val="center"/>
          </w:tcPr>
          <w:p w14:paraId="43DD1521">
            <w:pPr>
              <w:pStyle w:val="58"/>
              <w:keepNext w:val="0"/>
              <w:keepLines w:val="0"/>
              <w:pageBreakBefore w:val="0"/>
              <w:kinsoku/>
              <w:wordWrap/>
              <w:overflowPunct/>
              <w:topLinePunct w:val="0"/>
              <w:autoSpaceDE/>
              <w:autoSpaceDN/>
              <w:bidi w:val="0"/>
              <w:adjustRightInd w:val="0"/>
              <w:snapToGrid w:val="0"/>
              <w:spacing w:line="360" w:lineRule="auto"/>
              <w:ind w:firstLine="0" w:firstLineChars="0"/>
              <w:jc w:val="left"/>
              <w:rPr>
                <w:rFonts w:hint="eastAsia" w:ascii="宋体" w:hAnsi="宋体" w:eastAsia="宋体" w:cs="宋体"/>
                <w:kern w:val="0"/>
                <w:sz w:val="21"/>
                <w:szCs w:val="21"/>
                <w:lang w:val="en-US" w:eastAsia="zh-Hans" w:bidi="ar-SA"/>
              </w:rPr>
            </w:pPr>
            <w:r>
              <w:rPr>
                <w:rFonts w:hint="eastAsia" w:ascii="宋体" w:hAnsi="宋体" w:eastAsia="宋体" w:cs="宋体"/>
                <w:kern w:val="0"/>
                <w:sz w:val="21"/>
                <w:szCs w:val="21"/>
                <w:lang w:val="en-US" w:eastAsia="zh-Hans" w:bidi="ar-SA"/>
              </w:rPr>
              <w:t>提供</w:t>
            </w:r>
            <w:r>
              <w:rPr>
                <w:rFonts w:hint="eastAsia" w:ascii="宋体" w:hAnsi="宋体" w:eastAsia="宋体" w:cs="宋体"/>
                <w:kern w:val="0"/>
                <w:sz w:val="21"/>
                <w:szCs w:val="21"/>
                <w:lang w:val="en-US" w:eastAsia="zh-CN" w:bidi="ar-SA"/>
              </w:rPr>
              <w:t>心电血压信息系统</w:t>
            </w:r>
            <w:r>
              <w:rPr>
                <w:rFonts w:hint="eastAsia" w:ascii="宋体" w:hAnsi="宋体" w:eastAsia="宋体" w:cs="宋体"/>
                <w:kern w:val="0"/>
                <w:sz w:val="21"/>
                <w:szCs w:val="21"/>
                <w:lang w:val="en-US" w:eastAsia="zh-Hans" w:bidi="ar-SA"/>
              </w:rPr>
              <w:t>的数据库表结构和超级管理员账号密码</w:t>
            </w:r>
          </w:p>
        </w:tc>
      </w:tr>
      <w:tr w14:paraId="23642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7" w:hRule="atLeast"/>
          <w:jc w:val="center"/>
        </w:trPr>
        <w:tc>
          <w:tcPr>
            <w:tcW w:w="1790" w:type="dxa"/>
            <w:vMerge w:val="continue"/>
            <w:vAlign w:val="center"/>
          </w:tcPr>
          <w:p w14:paraId="3E0D3305">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cs="宋体"/>
                <w:kern w:val="0"/>
                <w:szCs w:val="21"/>
              </w:rPr>
            </w:pPr>
          </w:p>
        </w:tc>
        <w:tc>
          <w:tcPr>
            <w:tcW w:w="790" w:type="dxa"/>
            <w:vAlign w:val="center"/>
          </w:tcPr>
          <w:p w14:paraId="1B6B1AAA">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cs="宋体"/>
                <w:kern w:val="0"/>
                <w:szCs w:val="21"/>
              </w:rPr>
            </w:pPr>
            <w:r>
              <w:rPr>
                <w:rFonts w:hint="eastAsia" w:ascii="宋体" w:hAnsi="宋体" w:cs="宋体"/>
                <w:kern w:val="0"/>
                <w:szCs w:val="21"/>
              </w:rPr>
              <w:t>4</w:t>
            </w:r>
            <w:r>
              <w:rPr>
                <w:rFonts w:ascii="宋体" w:hAnsi="宋体" w:cs="宋体"/>
                <w:kern w:val="0"/>
                <w:szCs w:val="21"/>
              </w:rPr>
              <w:t>.2</w:t>
            </w:r>
          </w:p>
        </w:tc>
        <w:tc>
          <w:tcPr>
            <w:tcW w:w="7279" w:type="dxa"/>
            <w:vAlign w:val="center"/>
          </w:tcPr>
          <w:p w14:paraId="76EAA90C">
            <w:pPr>
              <w:pStyle w:val="58"/>
              <w:keepNext w:val="0"/>
              <w:keepLines w:val="0"/>
              <w:pageBreakBefore w:val="0"/>
              <w:kinsoku/>
              <w:wordWrap/>
              <w:overflowPunct/>
              <w:topLinePunct w:val="0"/>
              <w:autoSpaceDE/>
              <w:autoSpaceDN/>
              <w:bidi w:val="0"/>
              <w:adjustRightInd w:val="0"/>
              <w:snapToGrid w:val="0"/>
              <w:spacing w:line="360" w:lineRule="auto"/>
              <w:ind w:firstLine="0" w:firstLineChars="0"/>
              <w:jc w:val="left"/>
              <w:rPr>
                <w:rFonts w:hint="eastAsia" w:ascii="宋体" w:hAnsi="宋体" w:eastAsia="宋体" w:cs="宋体"/>
                <w:kern w:val="0"/>
                <w:sz w:val="21"/>
                <w:szCs w:val="21"/>
                <w:lang w:val="en-US" w:eastAsia="zh-Hans" w:bidi="ar-SA"/>
              </w:rPr>
            </w:pPr>
            <w:r>
              <w:rPr>
                <w:rFonts w:hint="eastAsia" w:ascii="宋体" w:hAnsi="宋体" w:eastAsia="宋体" w:cs="宋体"/>
                <w:kern w:val="0"/>
                <w:sz w:val="21"/>
                <w:szCs w:val="21"/>
                <w:lang w:val="en-US" w:eastAsia="zh-Hans" w:bidi="ar-SA"/>
              </w:rPr>
              <w:t>新增接口，按甲方要求实现PDF格式的</w:t>
            </w:r>
            <w:r>
              <w:rPr>
                <w:rFonts w:hint="eastAsia" w:ascii="宋体" w:hAnsi="宋体" w:eastAsia="宋体" w:cs="宋体"/>
                <w:kern w:val="0"/>
                <w:sz w:val="21"/>
                <w:szCs w:val="21"/>
                <w:lang w:val="en-US" w:eastAsia="zh-CN" w:bidi="ar-SA"/>
              </w:rPr>
              <w:t>“心电血压信息系统”里的</w:t>
            </w:r>
            <w:r>
              <w:rPr>
                <w:rFonts w:hint="eastAsia" w:ascii="宋体" w:hAnsi="宋体" w:eastAsia="宋体" w:cs="宋体"/>
                <w:kern w:val="0"/>
                <w:sz w:val="21"/>
                <w:szCs w:val="21"/>
                <w:lang w:val="en-US" w:eastAsia="zh-Hans" w:bidi="ar-SA"/>
              </w:rPr>
              <w:t>移动端</w:t>
            </w:r>
            <w:r>
              <w:rPr>
                <w:rFonts w:hint="eastAsia" w:ascii="宋体" w:hAnsi="宋体" w:eastAsia="宋体" w:cs="宋体"/>
                <w:kern w:val="0"/>
                <w:sz w:val="21"/>
                <w:szCs w:val="21"/>
                <w:lang w:val="en-US" w:eastAsia="zh-CN" w:bidi="ar-SA"/>
              </w:rPr>
              <w:t>报告</w:t>
            </w:r>
            <w:r>
              <w:rPr>
                <w:rFonts w:hint="eastAsia" w:ascii="宋体" w:hAnsi="宋体" w:eastAsia="宋体" w:cs="宋体"/>
                <w:kern w:val="0"/>
                <w:sz w:val="21"/>
                <w:szCs w:val="21"/>
                <w:lang w:val="en-US" w:eastAsia="zh-Hans" w:bidi="ar-SA"/>
              </w:rPr>
              <w:t>，并将调阅接口以文档的形式输出给甲方</w:t>
            </w:r>
          </w:p>
        </w:tc>
      </w:tr>
    </w:tbl>
    <w:p w14:paraId="1B4A4EED">
      <w:pPr>
        <w:pStyle w:val="58"/>
        <w:ind w:firstLine="0" w:firstLineChars="0"/>
      </w:pPr>
    </w:p>
    <w:p w14:paraId="513A060A">
      <w:pPr>
        <w:rPr>
          <w:rFonts w:hint="default"/>
          <w:b/>
          <w:bCs/>
          <w:lang w:val="en-US" w:eastAsia="zh-CN"/>
        </w:rPr>
      </w:pPr>
    </w:p>
    <w:p w14:paraId="1930F58B">
      <w:pPr>
        <w:pStyle w:val="3"/>
        <w:bidi w:val="0"/>
        <w:rPr>
          <w:rFonts w:hint="eastAsia" w:ascii="宋体" w:hAnsi="宋体" w:cs="宋体"/>
          <w:b/>
          <w:bCs/>
          <w:color w:val="auto"/>
          <w:kern w:val="0"/>
          <w:sz w:val="28"/>
          <w:szCs w:val="28"/>
          <w:highlight w:val="none"/>
        </w:rPr>
      </w:pPr>
      <w:bookmarkStart w:id="232" w:name="_Toc2594"/>
      <w:bookmarkStart w:id="233" w:name="_Toc5673"/>
      <w:bookmarkStart w:id="234" w:name="_Toc4296"/>
      <w:bookmarkStart w:id="235" w:name="_Toc20079"/>
      <w:bookmarkStart w:id="236" w:name="_Toc30498"/>
      <w:r>
        <w:rPr>
          <w:rFonts w:hint="eastAsia"/>
          <w:lang w:val="en-US" w:eastAsia="zh-CN"/>
        </w:rPr>
        <w:t>手术室行为管理系统</w:t>
      </w:r>
      <w:bookmarkEnd w:id="232"/>
      <w:bookmarkEnd w:id="233"/>
      <w:bookmarkEnd w:id="234"/>
      <w:bookmarkEnd w:id="235"/>
      <w:bookmarkEnd w:id="236"/>
    </w:p>
    <w:tbl>
      <w:tblPr>
        <w:tblStyle w:val="46"/>
        <w:tblW w:w="9639"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0"/>
        <w:gridCol w:w="706"/>
        <w:gridCol w:w="7203"/>
      </w:tblGrid>
      <w:tr w14:paraId="60B7A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1730" w:type="dxa"/>
            <w:noWrap w:val="0"/>
            <w:vAlign w:val="center"/>
          </w:tcPr>
          <w:p w14:paraId="064E8559">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需求名称</w:t>
            </w:r>
          </w:p>
        </w:tc>
        <w:tc>
          <w:tcPr>
            <w:tcW w:w="706" w:type="dxa"/>
            <w:noWrap w:val="0"/>
            <w:vAlign w:val="center"/>
          </w:tcPr>
          <w:p w14:paraId="08A9735D">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序号</w:t>
            </w:r>
          </w:p>
        </w:tc>
        <w:tc>
          <w:tcPr>
            <w:tcW w:w="7203" w:type="dxa"/>
            <w:noWrap w:val="0"/>
            <w:vAlign w:val="center"/>
          </w:tcPr>
          <w:p w14:paraId="78DB176A">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需求描述</w:t>
            </w:r>
          </w:p>
        </w:tc>
      </w:tr>
      <w:tr w14:paraId="1F7CC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9639" w:type="dxa"/>
            <w:gridSpan w:val="3"/>
            <w:noWrap w:val="0"/>
            <w:vAlign w:val="center"/>
          </w:tcPr>
          <w:p w14:paraId="32AFBC70">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lang w:val="en-US" w:eastAsia="zh-CN"/>
              </w:rPr>
              <w:t>1.</w:t>
            </w:r>
            <w:r>
              <w:rPr>
                <w:rFonts w:hint="eastAsia" w:ascii="宋体" w:hAnsi="宋体" w:eastAsia="宋体" w:cs="宋体"/>
                <w:b/>
                <w:bCs/>
                <w:color w:val="auto"/>
                <w:kern w:val="0"/>
                <w:sz w:val="21"/>
                <w:szCs w:val="21"/>
                <w:highlight w:val="none"/>
              </w:rPr>
              <w:t>手术鞋及芯片需求：</w:t>
            </w:r>
          </w:p>
        </w:tc>
      </w:tr>
      <w:tr w14:paraId="24DE0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730" w:type="dxa"/>
            <w:noWrap w:val="0"/>
            <w:vAlign w:val="center"/>
          </w:tcPr>
          <w:p w14:paraId="0F373A02">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b/>
                <w:bCs/>
                <w:color w:val="auto"/>
                <w:kern w:val="0"/>
                <w:sz w:val="21"/>
                <w:szCs w:val="21"/>
                <w:highlight w:val="none"/>
              </w:rPr>
            </w:pPr>
            <w:r>
              <w:rPr>
                <w:rFonts w:hint="eastAsia" w:ascii="宋体" w:hAnsi="宋体" w:eastAsia="宋体" w:cs="宋体"/>
                <w:color w:val="auto"/>
                <w:kern w:val="0"/>
                <w:sz w:val="21"/>
                <w:szCs w:val="21"/>
                <w:highlight w:val="none"/>
              </w:rPr>
              <w:t>1.手术鞋及标签</w:t>
            </w:r>
          </w:p>
        </w:tc>
        <w:tc>
          <w:tcPr>
            <w:tcW w:w="706" w:type="dxa"/>
            <w:noWrap w:val="0"/>
            <w:vAlign w:val="center"/>
          </w:tcPr>
          <w:p w14:paraId="00B952BE">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w:t>
            </w:r>
          </w:p>
        </w:tc>
        <w:tc>
          <w:tcPr>
            <w:tcW w:w="7203" w:type="dxa"/>
            <w:noWrap w:val="0"/>
            <w:vAlign w:val="center"/>
          </w:tcPr>
          <w:p w14:paraId="05485757">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20间手术室需要手术鞋</w:t>
            </w:r>
            <w:r>
              <w:rPr>
                <w:rFonts w:hint="eastAsia" w:ascii="宋体" w:hAnsi="宋体" w:eastAsia="宋体" w:cs="宋体"/>
                <w:color w:val="auto"/>
                <w:kern w:val="0"/>
                <w:sz w:val="21"/>
                <w:szCs w:val="21"/>
                <w:highlight w:val="none"/>
                <w:lang w:val="en-US" w:eastAsia="zh-CN"/>
              </w:rPr>
              <w:t>500</w:t>
            </w:r>
            <w:r>
              <w:rPr>
                <w:rFonts w:hint="eastAsia" w:ascii="宋体" w:hAnsi="宋体" w:eastAsia="宋体" w:cs="宋体"/>
                <w:color w:val="auto"/>
                <w:kern w:val="0"/>
                <w:sz w:val="21"/>
                <w:szCs w:val="21"/>
                <w:highlight w:val="none"/>
              </w:rPr>
              <w:t>双，标签数量：</w:t>
            </w:r>
            <w:r>
              <w:rPr>
                <w:rFonts w:hint="eastAsia" w:ascii="宋体" w:hAnsi="宋体" w:eastAsia="宋体" w:cs="宋体"/>
                <w:color w:val="auto"/>
                <w:kern w:val="0"/>
                <w:sz w:val="21"/>
                <w:szCs w:val="21"/>
                <w:highlight w:val="none"/>
                <w:lang w:val="en-US" w:eastAsia="zh-CN"/>
              </w:rPr>
              <w:t>25</w:t>
            </w:r>
            <w:r>
              <w:rPr>
                <w:rFonts w:hint="eastAsia" w:ascii="宋体" w:hAnsi="宋体" w:eastAsia="宋体" w:cs="宋体"/>
                <w:color w:val="auto"/>
                <w:kern w:val="0"/>
                <w:sz w:val="21"/>
                <w:szCs w:val="21"/>
                <w:highlight w:val="none"/>
              </w:rPr>
              <w:t>00</w:t>
            </w:r>
          </w:p>
        </w:tc>
      </w:tr>
      <w:tr w14:paraId="7A455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9639" w:type="dxa"/>
            <w:gridSpan w:val="3"/>
            <w:noWrap w:val="0"/>
            <w:vAlign w:val="center"/>
          </w:tcPr>
          <w:p w14:paraId="634F5C91">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lang w:val="en-US" w:eastAsia="zh-CN"/>
              </w:rPr>
              <w:t>2.</w:t>
            </w:r>
            <w:r>
              <w:rPr>
                <w:rFonts w:hint="eastAsia" w:ascii="宋体" w:hAnsi="宋体" w:eastAsia="宋体" w:cs="宋体"/>
                <w:b/>
                <w:bCs/>
                <w:color w:val="auto"/>
                <w:kern w:val="0"/>
                <w:sz w:val="21"/>
                <w:szCs w:val="21"/>
                <w:highlight w:val="none"/>
              </w:rPr>
              <w:t>医疗行为管理功能需求：</w:t>
            </w:r>
          </w:p>
        </w:tc>
      </w:tr>
      <w:tr w14:paraId="1A362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1730" w:type="dxa"/>
            <w:vMerge w:val="restart"/>
            <w:noWrap w:val="0"/>
            <w:vAlign w:val="center"/>
          </w:tcPr>
          <w:p w14:paraId="7FBCBF13">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 违规行为智能识别</w:t>
            </w:r>
          </w:p>
        </w:tc>
        <w:tc>
          <w:tcPr>
            <w:tcW w:w="706" w:type="dxa"/>
            <w:noWrap w:val="0"/>
            <w:vAlign w:val="center"/>
          </w:tcPr>
          <w:p w14:paraId="3CEFD027">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w:t>
            </w:r>
          </w:p>
        </w:tc>
        <w:tc>
          <w:tcPr>
            <w:tcW w:w="7203" w:type="dxa"/>
            <w:noWrap w:val="0"/>
            <w:vAlign w:val="center"/>
          </w:tcPr>
          <w:p w14:paraId="0F16FC54">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基于视频图像分析与行为识别算法，实时监测手术室人员行为，识别目标违规行为：玩手机行为：识别手持移动设备、低头注视屏幕等动作；打瞌睡行为：识别闭眼、头部低垂、长时间静止等状态；躲避监控行为：识别人员刻意进入监控盲区、遮挡摄像头、背对摄像头长时间停留等动作；</w:t>
            </w:r>
          </w:p>
        </w:tc>
      </w:tr>
      <w:tr w14:paraId="40230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1730" w:type="dxa"/>
            <w:vMerge w:val="continue"/>
            <w:noWrap w:val="0"/>
            <w:vAlign w:val="center"/>
          </w:tcPr>
          <w:p w14:paraId="3E029F5F">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p>
        </w:tc>
        <w:tc>
          <w:tcPr>
            <w:tcW w:w="706" w:type="dxa"/>
            <w:noWrap w:val="0"/>
            <w:vAlign w:val="center"/>
          </w:tcPr>
          <w:p w14:paraId="0CDEDE77">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w:t>
            </w:r>
          </w:p>
        </w:tc>
        <w:tc>
          <w:tcPr>
            <w:tcW w:w="7203" w:type="dxa"/>
            <w:noWrap w:val="0"/>
            <w:vAlign w:val="center"/>
          </w:tcPr>
          <w:p w14:paraId="1FE3D07C">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可自定义添加/删减违规行为类型，适配医院个性化管理需求。</w:t>
            </w:r>
          </w:p>
        </w:tc>
      </w:tr>
      <w:tr w14:paraId="27AC4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9" w:hRule="atLeast"/>
        </w:trPr>
        <w:tc>
          <w:tcPr>
            <w:tcW w:w="1730" w:type="dxa"/>
            <w:noWrap w:val="0"/>
            <w:vAlign w:val="center"/>
          </w:tcPr>
          <w:p w14:paraId="7067A375">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 多级报警提醒机制</w:t>
            </w:r>
          </w:p>
        </w:tc>
        <w:tc>
          <w:tcPr>
            <w:tcW w:w="706" w:type="dxa"/>
            <w:noWrap w:val="0"/>
            <w:vAlign w:val="center"/>
          </w:tcPr>
          <w:p w14:paraId="156DC7C7">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2.1</w:t>
            </w:r>
          </w:p>
        </w:tc>
        <w:tc>
          <w:tcPr>
            <w:tcW w:w="7203" w:type="dxa"/>
            <w:noWrap w:val="0"/>
            <w:vAlign w:val="center"/>
          </w:tcPr>
          <w:p w14:paraId="6E5ED634">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本地报警：触发违规行为后，手术室现场声光报警（红灯闪烁 + 蜂鸣提示），同时启动语音提醒，语音内容可自定义；远程报警：实时同步报警信息至管理平台，包含违规人员（需关联身份识别系统）、违规行为、发生时间、现场视频截图； 报警等级可配置（一般 / 重要 / 紧急），不同等级对应不同提醒频次与处理流程。</w:t>
            </w:r>
          </w:p>
        </w:tc>
      </w:tr>
      <w:tr w14:paraId="530F9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730" w:type="dxa"/>
            <w:vMerge w:val="restart"/>
            <w:noWrap w:val="0"/>
            <w:vAlign w:val="center"/>
          </w:tcPr>
          <w:p w14:paraId="36319293">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3.报警联动与干预</w:t>
            </w:r>
          </w:p>
        </w:tc>
        <w:tc>
          <w:tcPr>
            <w:tcW w:w="706" w:type="dxa"/>
            <w:noWrap w:val="0"/>
            <w:vAlign w:val="center"/>
          </w:tcPr>
          <w:p w14:paraId="290CC8B6">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3.1</w:t>
            </w:r>
          </w:p>
        </w:tc>
        <w:tc>
          <w:tcPr>
            <w:tcW w:w="7203" w:type="dxa"/>
            <w:noWrap w:val="0"/>
            <w:vAlign w:val="center"/>
          </w:tcPr>
          <w:p w14:paraId="485F82A3">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支持报警信息与手术室监控视频实时联动，管理端可一键调取违规行为发生时段的完整视频，查看行为全过程。</w:t>
            </w:r>
          </w:p>
        </w:tc>
      </w:tr>
      <w:tr w14:paraId="09DE5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730" w:type="dxa"/>
            <w:vMerge w:val="continue"/>
            <w:noWrap w:val="0"/>
            <w:vAlign w:val="center"/>
          </w:tcPr>
          <w:p w14:paraId="0CC58879">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p>
        </w:tc>
        <w:tc>
          <w:tcPr>
            <w:tcW w:w="706" w:type="dxa"/>
            <w:noWrap w:val="0"/>
            <w:vAlign w:val="center"/>
          </w:tcPr>
          <w:p w14:paraId="4EAA3EEE">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3.2</w:t>
            </w:r>
          </w:p>
        </w:tc>
        <w:tc>
          <w:tcPr>
            <w:tcW w:w="7203" w:type="dxa"/>
            <w:noWrap w:val="0"/>
            <w:vAlign w:val="center"/>
          </w:tcPr>
          <w:p w14:paraId="493A6BC3">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可设置报警延时处理功能（如10秒内纠正行为则自动取消报警），避免误报警干扰。</w:t>
            </w:r>
          </w:p>
        </w:tc>
      </w:tr>
      <w:tr w14:paraId="26CA2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730" w:type="dxa"/>
            <w:vMerge w:val="continue"/>
            <w:noWrap w:val="0"/>
            <w:vAlign w:val="center"/>
          </w:tcPr>
          <w:p w14:paraId="6317B124">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p>
        </w:tc>
        <w:tc>
          <w:tcPr>
            <w:tcW w:w="706" w:type="dxa"/>
            <w:noWrap w:val="0"/>
            <w:vAlign w:val="center"/>
          </w:tcPr>
          <w:p w14:paraId="7E266CA1">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3.3</w:t>
            </w:r>
          </w:p>
        </w:tc>
        <w:tc>
          <w:tcPr>
            <w:tcW w:w="7203" w:type="dxa"/>
            <w:noWrap w:val="0"/>
            <w:vAlign w:val="center"/>
          </w:tcPr>
          <w:p w14:paraId="50B4053A">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支持远程语音对讲功能，管理端人员可通过系统向手术室发出实时语音指令，强化干预效果。</w:t>
            </w:r>
          </w:p>
        </w:tc>
      </w:tr>
      <w:tr w14:paraId="0FAEE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1730" w:type="dxa"/>
            <w:vMerge w:val="restart"/>
            <w:noWrap w:val="0"/>
            <w:vAlign w:val="center"/>
          </w:tcPr>
          <w:p w14:paraId="6A2D7327">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4.违规行为数据记录与追溯</w:t>
            </w:r>
          </w:p>
        </w:tc>
        <w:tc>
          <w:tcPr>
            <w:tcW w:w="706" w:type="dxa"/>
            <w:noWrap w:val="0"/>
            <w:vAlign w:val="center"/>
          </w:tcPr>
          <w:p w14:paraId="5C6A324C">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4.1</w:t>
            </w:r>
          </w:p>
        </w:tc>
        <w:tc>
          <w:tcPr>
            <w:tcW w:w="7203" w:type="dxa"/>
            <w:noWrap w:val="0"/>
            <w:vAlign w:val="center"/>
          </w:tcPr>
          <w:p w14:paraId="3E301323">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自动记录每起违规事件详情，包括：违规人员身份（关联人员身份识别系统）、违规行为类型、发生时间/地点、报警处理状态、语音提醒内容、行为纠正情况等。</w:t>
            </w:r>
          </w:p>
        </w:tc>
      </w:tr>
      <w:tr w14:paraId="3B85A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730" w:type="dxa"/>
            <w:vMerge w:val="continue"/>
            <w:noWrap w:val="0"/>
            <w:vAlign w:val="center"/>
          </w:tcPr>
          <w:p w14:paraId="575E0992">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p>
        </w:tc>
        <w:tc>
          <w:tcPr>
            <w:tcW w:w="706" w:type="dxa"/>
            <w:noWrap w:val="0"/>
            <w:vAlign w:val="center"/>
          </w:tcPr>
          <w:p w14:paraId="42E733B6">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4.2</w:t>
            </w:r>
          </w:p>
        </w:tc>
        <w:tc>
          <w:tcPr>
            <w:tcW w:w="7203" w:type="dxa"/>
            <w:noWrap w:val="0"/>
            <w:vAlign w:val="center"/>
          </w:tcPr>
          <w:p w14:paraId="1A19CF53">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同步留存违规行为发生时段的视频片段（前后各 10 秒，支持自定义时长），视频分辨率≥1080P，存储时长≥90 天。</w:t>
            </w:r>
          </w:p>
        </w:tc>
      </w:tr>
      <w:tr w14:paraId="2FF07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730" w:type="dxa"/>
            <w:vMerge w:val="continue"/>
            <w:noWrap w:val="0"/>
            <w:vAlign w:val="center"/>
          </w:tcPr>
          <w:p w14:paraId="1DAB9FEB">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p>
        </w:tc>
        <w:tc>
          <w:tcPr>
            <w:tcW w:w="706" w:type="dxa"/>
            <w:noWrap w:val="0"/>
            <w:vAlign w:val="center"/>
          </w:tcPr>
          <w:p w14:paraId="01AF17AC">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4.3</w:t>
            </w:r>
          </w:p>
        </w:tc>
        <w:tc>
          <w:tcPr>
            <w:tcW w:w="7203" w:type="dxa"/>
            <w:noWrap w:val="0"/>
            <w:vAlign w:val="center"/>
          </w:tcPr>
          <w:p w14:paraId="670745D8">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生成违规行为统计数据，支持按人员、科室、违规类型、时间段筛选查询，支持数据导出。</w:t>
            </w:r>
          </w:p>
        </w:tc>
      </w:tr>
      <w:tr w14:paraId="4605A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730" w:type="dxa"/>
            <w:vMerge w:val="restart"/>
            <w:noWrap w:val="0"/>
            <w:vAlign w:val="center"/>
          </w:tcPr>
          <w:p w14:paraId="62B39299">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5.系统配置与管理</w:t>
            </w:r>
          </w:p>
          <w:p w14:paraId="2FE1B717">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p>
        </w:tc>
        <w:tc>
          <w:tcPr>
            <w:tcW w:w="706" w:type="dxa"/>
            <w:noWrap w:val="0"/>
            <w:vAlign w:val="center"/>
          </w:tcPr>
          <w:p w14:paraId="1712C7CA">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5.1</w:t>
            </w:r>
          </w:p>
        </w:tc>
        <w:tc>
          <w:tcPr>
            <w:tcW w:w="7203" w:type="dxa"/>
            <w:noWrap w:val="0"/>
            <w:vAlign w:val="center"/>
          </w:tcPr>
          <w:p w14:paraId="64B519F9">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支持自定义违规行为判定阈值（如玩手机持续时间≥3 秒触发报警、静止状态≥5 分钟判定为可疑打瞌睡）。</w:t>
            </w:r>
          </w:p>
        </w:tc>
      </w:tr>
      <w:tr w14:paraId="2B45D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730" w:type="dxa"/>
            <w:vMerge w:val="continue"/>
            <w:noWrap w:val="0"/>
            <w:vAlign w:val="center"/>
          </w:tcPr>
          <w:p w14:paraId="527F7507">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p>
        </w:tc>
        <w:tc>
          <w:tcPr>
            <w:tcW w:w="706" w:type="dxa"/>
            <w:noWrap w:val="0"/>
            <w:vAlign w:val="center"/>
          </w:tcPr>
          <w:p w14:paraId="3F1A8B82">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5.2</w:t>
            </w:r>
          </w:p>
        </w:tc>
        <w:tc>
          <w:tcPr>
            <w:tcW w:w="7203" w:type="dxa"/>
            <w:noWrap w:val="0"/>
            <w:vAlign w:val="center"/>
          </w:tcPr>
          <w:p w14:paraId="2584052A">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可设置监控区域范围，精准划分手术室监控覆盖区域与盲区，明确盲区报警触发条件。</w:t>
            </w:r>
          </w:p>
        </w:tc>
      </w:tr>
      <w:tr w14:paraId="0174C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1730" w:type="dxa"/>
            <w:vMerge w:val="continue"/>
            <w:noWrap w:val="0"/>
            <w:vAlign w:val="center"/>
          </w:tcPr>
          <w:p w14:paraId="30323AE3">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p>
        </w:tc>
        <w:tc>
          <w:tcPr>
            <w:tcW w:w="706" w:type="dxa"/>
            <w:noWrap w:val="0"/>
            <w:vAlign w:val="center"/>
          </w:tcPr>
          <w:p w14:paraId="4C12B964">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5.3</w:t>
            </w:r>
          </w:p>
        </w:tc>
        <w:tc>
          <w:tcPr>
            <w:tcW w:w="7203" w:type="dxa"/>
            <w:noWrap w:val="0"/>
            <w:vAlign w:val="center"/>
          </w:tcPr>
          <w:p w14:paraId="115A040A">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支持多账号权限管理，不同角色对应不同操作权限；具备系统自检功能，摄像头故障、网络中断等情况自动报警，确保设备正常运行。</w:t>
            </w:r>
          </w:p>
        </w:tc>
      </w:tr>
      <w:tr w14:paraId="2DE05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1730" w:type="dxa"/>
            <w:vMerge w:val="restart"/>
            <w:noWrap w:val="0"/>
            <w:vAlign w:val="center"/>
          </w:tcPr>
          <w:p w14:paraId="448DE7F7">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6.数据统计与分析</w:t>
            </w:r>
          </w:p>
        </w:tc>
        <w:tc>
          <w:tcPr>
            <w:tcW w:w="706" w:type="dxa"/>
            <w:noWrap w:val="0"/>
            <w:vAlign w:val="center"/>
          </w:tcPr>
          <w:p w14:paraId="015E55B6">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6.1</w:t>
            </w:r>
          </w:p>
        </w:tc>
        <w:tc>
          <w:tcPr>
            <w:tcW w:w="7203" w:type="dxa"/>
            <w:noWrap w:val="0"/>
            <w:vAlign w:val="center"/>
          </w:tcPr>
          <w:p w14:paraId="64406259">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自动统计违规行为数据，生成日报/周报/月报，包含违规行为类型分布、高发时段、高发科室/人员排名等；</w:t>
            </w:r>
          </w:p>
        </w:tc>
      </w:tr>
      <w:tr w14:paraId="39350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1730" w:type="dxa"/>
            <w:vMerge w:val="continue"/>
            <w:noWrap w:val="0"/>
            <w:vAlign w:val="center"/>
          </w:tcPr>
          <w:p w14:paraId="7C4C8E69">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p>
        </w:tc>
        <w:tc>
          <w:tcPr>
            <w:tcW w:w="706" w:type="dxa"/>
            <w:noWrap w:val="0"/>
            <w:vAlign w:val="center"/>
          </w:tcPr>
          <w:p w14:paraId="6C6A65AD">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6.2</w:t>
            </w:r>
          </w:p>
        </w:tc>
        <w:tc>
          <w:tcPr>
            <w:tcW w:w="7203" w:type="dxa"/>
            <w:noWrap w:val="0"/>
            <w:vAlign w:val="center"/>
          </w:tcPr>
          <w:p w14:paraId="0DA09E36">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支持违规行为趋势分析，通过图表直观展示管理效果（如违规率下降曲线）；</w:t>
            </w:r>
          </w:p>
        </w:tc>
      </w:tr>
      <w:tr w14:paraId="47230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1730" w:type="dxa"/>
            <w:vMerge w:val="continue"/>
            <w:noWrap w:val="0"/>
            <w:vAlign w:val="center"/>
          </w:tcPr>
          <w:p w14:paraId="72815715">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p>
        </w:tc>
        <w:tc>
          <w:tcPr>
            <w:tcW w:w="706" w:type="dxa"/>
            <w:noWrap w:val="0"/>
            <w:vAlign w:val="center"/>
          </w:tcPr>
          <w:p w14:paraId="12BD4D27">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6.3</w:t>
            </w:r>
          </w:p>
        </w:tc>
        <w:tc>
          <w:tcPr>
            <w:tcW w:w="7203" w:type="dxa"/>
            <w:noWrap w:val="0"/>
            <w:vAlign w:val="center"/>
          </w:tcPr>
          <w:p w14:paraId="734790A2">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数据可与医院感控管理平台、绩效考核系统对接，为人员考核提供客观依据。</w:t>
            </w:r>
          </w:p>
        </w:tc>
      </w:tr>
      <w:tr w14:paraId="798BF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9639" w:type="dxa"/>
            <w:gridSpan w:val="3"/>
            <w:noWrap w:val="0"/>
            <w:vAlign w:val="center"/>
          </w:tcPr>
          <w:p w14:paraId="6316BE52">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lang w:val="en-US" w:eastAsia="zh-CN"/>
              </w:rPr>
              <w:t>3.</w:t>
            </w:r>
            <w:r>
              <w:rPr>
                <w:rFonts w:hint="eastAsia" w:ascii="宋体" w:hAnsi="宋体" w:eastAsia="宋体" w:cs="宋体"/>
                <w:b/>
                <w:bCs/>
                <w:color w:val="auto"/>
                <w:kern w:val="0"/>
                <w:sz w:val="21"/>
                <w:szCs w:val="21"/>
                <w:highlight w:val="none"/>
              </w:rPr>
              <w:t>器械包管理功能需求：</w:t>
            </w:r>
          </w:p>
        </w:tc>
      </w:tr>
      <w:tr w14:paraId="11E7A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730" w:type="dxa"/>
            <w:noWrap w:val="0"/>
            <w:vAlign w:val="center"/>
          </w:tcPr>
          <w:p w14:paraId="6A4A7FE8">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1.准入管理</w:t>
            </w:r>
          </w:p>
        </w:tc>
        <w:tc>
          <w:tcPr>
            <w:tcW w:w="706" w:type="dxa"/>
            <w:noWrap w:val="0"/>
            <w:vAlign w:val="center"/>
          </w:tcPr>
          <w:p w14:paraId="73FB11D6">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w:t>
            </w:r>
          </w:p>
        </w:tc>
        <w:tc>
          <w:tcPr>
            <w:tcW w:w="7203" w:type="dxa"/>
            <w:noWrap w:val="0"/>
            <w:vAlign w:val="center"/>
          </w:tcPr>
          <w:p w14:paraId="5BC6F26C">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在库房门禁处通过人脸识别/IC卡进入库，支持身份权限分级管理，陌生人员操作触发报警并记录。</w:t>
            </w:r>
          </w:p>
        </w:tc>
      </w:tr>
      <w:tr w14:paraId="16391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730" w:type="dxa"/>
            <w:vMerge w:val="restart"/>
            <w:noWrap w:val="0"/>
            <w:vAlign w:val="center"/>
          </w:tcPr>
          <w:p w14:paraId="1628D138">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 器械包与操作人员绑定管理</w:t>
            </w:r>
          </w:p>
        </w:tc>
        <w:tc>
          <w:tcPr>
            <w:tcW w:w="706" w:type="dxa"/>
            <w:noWrap w:val="0"/>
            <w:vAlign w:val="center"/>
          </w:tcPr>
          <w:p w14:paraId="42975FB7">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2.1</w:t>
            </w:r>
          </w:p>
        </w:tc>
        <w:tc>
          <w:tcPr>
            <w:tcW w:w="7203" w:type="dxa"/>
            <w:noWrap w:val="0"/>
            <w:vAlign w:val="center"/>
          </w:tcPr>
          <w:p w14:paraId="6789882A">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门禁人脸处获得人员id信息，通过货架视觉摄像头识别器械包唯一编码（二维码），人员轨迹跟踪实现人与器械包绑定关系。</w:t>
            </w:r>
          </w:p>
        </w:tc>
      </w:tr>
      <w:tr w14:paraId="0F8EE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730" w:type="dxa"/>
            <w:vMerge w:val="continue"/>
            <w:noWrap w:val="0"/>
            <w:vAlign w:val="center"/>
          </w:tcPr>
          <w:p w14:paraId="220F6CFF">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p>
        </w:tc>
        <w:tc>
          <w:tcPr>
            <w:tcW w:w="706" w:type="dxa"/>
            <w:noWrap w:val="0"/>
            <w:vAlign w:val="center"/>
          </w:tcPr>
          <w:p w14:paraId="52376BE1">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2.2</w:t>
            </w:r>
          </w:p>
        </w:tc>
        <w:tc>
          <w:tcPr>
            <w:tcW w:w="7203" w:type="dxa"/>
            <w:noWrap w:val="0"/>
            <w:vAlign w:val="center"/>
          </w:tcPr>
          <w:p w14:paraId="277FFE77">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系统自动关联绑定信息，记录领用/归还操作人员、操作时间。</w:t>
            </w:r>
          </w:p>
        </w:tc>
      </w:tr>
      <w:tr w14:paraId="5705E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1730" w:type="dxa"/>
            <w:vMerge w:val="continue"/>
            <w:noWrap w:val="0"/>
            <w:vAlign w:val="center"/>
          </w:tcPr>
          <w:p w14:paraId="4F3B8A93">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p>
        </w:tc>
        <w:tc>
          <w:tcPr>
            <w:tcW w:w="706" w:type="dxa"/>
            <w:noWrap w:val="0"/>
            <w:vAlign w:val="center"/>
          </w:tcPr>
          <w:p w14:paraId="72457917">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2.3</w:t>
            </w:r>
          </w:p>
        </w:tc>
        <w:tc>
          <w:tcPr>
            <w:tcW w:w="7203" w:type="dxa"/>
            <w:noWrap w:val="0"/>
            <w:vAlign w:val="center"/>
          </w:tcPr>
          <w:p w14:paraId="06B41A3E">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支持绑定关系查询，留存操作日志可追溯。</w:t>
            </w:r>
          </w:p>
        </w:tc>
      </w:tr>
      <w:tr w14:paraId="66A80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730" w:type="dxa"/>
            <w:vMerge w:val="restart"/>
            <w:noWrap w:val="0"/>
            <w:vAlign w:val="center"/>
          </w:tcPr>
          <w:p w14:paraId="1DB6116C">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 进销存管理</w:t>
            </w:r>
          </w:p>
        </w:tc>
        <w:tc>
          <w:tcPr>
            <w:tcW w:w="706" w:type="dxa"/>
            <w:noWrap w:val="0"/>
            <w:vAlign w:val="center"/>
          </w:tcPr>
          <w:p w14:paraId="3FA9EB25">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3.1</w:t>
            </w:r>
          </w:p>
        </w:tc>
        <w:tc>
          <w:tcPr>
            <w:tcW w:w="7203" w:type="dxa"/>
            <w:noWrap w:val="0"/>
            <w:vAlign w:val="center"/>
          </w:tcPr>
          <w:p w14:paraId="78AC9E2C">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视觉识别器械包入出库、盘点，自动同步至库房系统更新库存状态。</w:t>
            </w:r>
          </w:p>
        </w:tc>
      </w:tr>
      <w:tr w14:paraId="1D2D1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1730" w:type="dxa"/>
            <w:vMerge w:val="continue"/>
            <w:noWrap w:val="0"/>
            <w:vAlign w:val="center"/>
          </w:tcPr>
          <w:p w14:paraId="229A828F">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p>
        </w:tc>
        <w:tc>
          <w:tcPr>
            <w:tcW w:w="706" w:type="dxa"/>
            <w:noWrap w:val="0"/>
            <w:vAlign w:val="center"/>
          </w:tcPr>
          <w:p w14:paraId="0A681F10">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3.2</w:t>
            </w:r>
          </w:p>
        </w:tc>
        <w:tc>
          <w:tcPr>
            <w:tcW w:w="7203" w:type="dxa"/>
            <w:noWrap w:val="0"/>
            <w:vAlign w:val="center"/>
          </w:tcPr>
          <w:p w14:paraId="4B10AA78">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记录单个器械包基础信息、出入库数量、库存余量。</w:t>
            </w:r>
          </w:p>
        </w:tc>
      </w:tr>
      <w:tr w14:paraId="3948E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1730" w:type="dxa"/>
            <w:vMerge w:val="continue"/>
            <w:noWrap w:val="0"/>
            <w:vAlign w:val="center"/>
          </w:tcPr>
          <w:p w14:paraId="6A9F2147">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p>
        </w:tc>
        <w:tc>
          <w:tcPr>
            <w:tcW w:w="706" w:type="dxa"/>
            <w:noWrap w:val="0"/>
            <w:vAlign w:val="center"/>
          </w:tcPr>
          <w:p w14:paraId="62601550">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3.3</w:t>
            </w:r>
          </w:p>
        </w:tc>
        <w:tc>
          <w:tcPr>
            <w:tcW w:w="7203" w:type="dxa"/>
            <w:noWrap w:val="0"/>
            <w:vAlign w:val="center"/>
          </w:tcPr>
          <w:p w14:paraId="52E9831A">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支持按器械包类型、规格等维度分类统计进销存数据。</w:t>
            </w:r>
          </w:p>
        </w:tc>
      </w:tr>
      <w:tr w14:paraId="3D368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1730" w:type="dxa"/>
            <w:noWrap w:val="0"/>
            <w:vAlign w:val="center"/>
          </w:tcPr>
          <w:p w14:paraId="44AF93D0">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4.效期管理</w:t>
            </w:r>
          </w:p>
        </w:tc>
        <w:tc>
          <w:tcPr>
            <w:tcW w:w="706" w:type="dxa"/>
            <w:noWrap w:val="0"/>
            <w:vAlign w:val="center"/>
          </w:tcPr>
          <w:p w14:paraId="0204919D">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p>
        </w:tc>
        <w:tc>
          <w:tcPr>
            <w:tcW w:w="7203" w:type="dxa"/>
            <w:noWrap w:val="0"/>
            <w:vAlign w:val="center"/>
          </w:tcPr>
          <w:p w14:paraId="3BB468DB">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视觉识别出库时自动校验效期，过期器械包触发预警并禁止出库；支持效期倒计时提醒（如到期前 30 天），生成过期器械包处理清单。</w:t>
            </w:r>
          </w:p>
        </w:tc>
      </w:tr>
      <w:tr w14:paraId="23B5C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730" w:type="dxa"/>
            <w:vMerge w:val="restart"/>
            <w:noWrap w:val="0"/>
            <w:vAlign w:val="center"/>
          </w:tcPr>
          <w:p w14:paraId="6508971D">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5.库存管理</w:t>
            </w:r>
          </w:p>
        </w:tc>
        <w:tc>
          <w:tcPr>
            <w:tcW w:w="706" w:type="dxa"/>
            <w:noWrap w:val="0"/>
            <w:vAlign w:val="center"/>
          </w:tcPr>
          <w:p w14:paraId="75C02379">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5.1</w:t>
            </w:r>
          </w:p>
        </w:tc>
        <w:tc>
          <w:tcPr>
            <w:tcW w:w="7203" w:type="dxa"/>
            <w:noWrap w:val="0"/>
            <w:vAlign w:val="center"/>
          </w:tcPr>
          <w:p w14:paraId="79184D3C">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货架视觉摄像头实时监控各货位器械包数量，定期更新库存数据。</w:t>
            </w:r>
          </w:p>
        </w:tc>
      </w:tr>
      <w:tr w14:paraId="2905A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730" w:type="dxa"/>
            <w:vMerge w:val="continue"/>
            <w:noWrap w:val="0"/>
            <w:vAlign w:val="center"/>
          </w:tcPr>
          <w:p w14:paraId="707FA290">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p>
        </w:tc>
        <w:tc>
          <w:tcPr>
            <w:tcW w:w="706" w:type="dxa"/>
            <w:noWrap w:val="0"/>
            <w:vAlign w:val="center"/>
          </w:tcPr>
          <w:p w14:paraId="62AB7951">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5.2</w:t>
            </w:r>
          </w:p>
        </w:tc>
        <w:tc>
          <w:tcPr>
            <w:tcW w:w="7203" w:type="dxa"/>
            <w:noWrap w:val="0"/>
            <w:vAlign w:val="center"/>
          </w:tcPr>
          <w:p w14:paraId="3CAEBFAC">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支持设置器械包安全库存阈值，低于阈值自动标记为待补货状态，系统自动触发补货预警；</w:t>
            </w:r>
          </w:p>
        </w:tc>
      </w:tr>
      <w:tr w14:paraId="641C5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730" w:type="dxa"/>
            <w:vMerge w:val="continue"/>
            <w:noWrap w:val="0"/>
            <w:vAlign w:val="center"/>
          </w:tcPr>
          <w:p w14:paraId="1E420AA8">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p>
        </w:tc>
        <w:tc>
          <w:tcPr>
            <w:tcW w:w="706" w:type="dxa"/>
            <w:noWrap w:val="0"/>
            <w:vAlign w:val="center"/>
          </w:tcPr>
          <w:p w14:paraId="34B8B61D">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5.3</w:t>
            </w:r>
          </w:p>
        </w:tc>
        <w:tc>
          <w:tcPr>
            <w:tcW w:w="7203" w:type="dxa"/>
            <w:noWrap w:val="0"/>
            <w:vAlign w:val="center"/>
          </w:tcPr>
          <w:p w14:paraId="0C71EB1A">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记录器械包库存位置、库存状态（在库、上架、领用、核销、退库），支持器械包定位查询。</w:t>
            </w:r>
          </w:p>
        </w:tc>
      </w:tr>
      <w:tr w14:paraId="7C080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730" w:type="dxa"/>
            <w:vMerge w:val="restart"/>
            <w:noWrap w:val="0"/>
            <w:vAlign w:val="center"/>
          </w:tcPr>
          <w:p w14:paraId="6CDFCF90">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6.一键盘点</w:t>
            </w:r>
          </w:p>
        </w:tc>
        <w:tc>
          <w:tcPr>
            <w:tcW w:w="706" w:type="dxa"/>
            <w:noWrap w:val="0"/>
            <w:vAlign w:val="center"/>
          </w:tcPr>
          <w:p w14:paraId="705B3E71">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6.1</w:t>
            </w:r>
          </w:p>
        </w:tc>
        <w:tc>
          <w:tcPr>
            <w:tcW w:w="7203" w:type="dxa"/>
            <w:noWrap w:val="0"/>
            <w:vAlign w:val="center"/>
          </w:tcPr>
          <w:p w14:paraId="54F0BFEC">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支持一键启动全货架器械包盘点功能，视觉摄像头快速扫描各货位，自动统计实际库存；</w:t>
            </w:r>
          </w:p>
        </w:tc>
      </w:tr>
      <w:tr w14:paraId="24A0D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1730" w:type="dxa"/>
            <w:vMerge w:val="continue"/>
            <w:noWrap w:val="0"/>
            <w:vAlign w:val="center"/>
          </w:tcPr>
          <w:p w14:paraId="5283FBAE">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p>
        </w:tc>
        <w:tc>
          <w:tcPr>
            <w:tcW w:w="706" w:type="dxa"/>
            <w:noWrap w:val="0"/>
            <w:vAlign w:val="center"/>
          </w:tcPr>
          <w:p w14:paraId="698EB720">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6.2</w:t>
            </w:r>
          </w:p>
        </w:tc>
        <w:tc>
          <w:tcPr>
            <w:tcW w:w="7203" w:type="dxa"/>
            <w:noWrap w:val="0"/>
            <w:vAlign w:val="center"/>
          </w:tcPr>
          <w:p w14:paraId="389B3340">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系统对比实际库存与账面库存，生成盘点差异表（盘盈 / 盘亏）；</w:t>
            </w:r>
          </w:p>
        </w:tc>
      </w:tr>
      <w:tr w14:paraId="24675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730" w:type="dxa"/>
            <w:vMerge w:val="continue"/>
            <w:noWrap w:val="0"/>
            <w:vAlign w:val="center"/>
          </w:tcPr>
          <w:p w14:paraId="3007D2C2">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p>
        </w:tc>
        <w:tc>
          <w:tcPr>
            <w:tcW w:w="706" w:type="dxa"/>
            <w:noWrap w:val="0"/>
            <w:vAlign w:val="center"/>
          </w:tcPr>
          <w:p w14:paraId="0B98B5B8">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6.3</w:t>
            </w:r>
          </w:p>
        </w:tc>
        <w:tc>
          <w:tcPr>
            <w:tcW w:w="7203" w:type="dxa"/>
            <w:noWrap w:val="0"/>
            <w:vAlign w:val="center"/>
          </w:tcPr>
          <w:p w14:paraId="3597453B">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支持差异确认与库存调整，盘点结果自动留存归档。</w:t>
            </w:r>
          </w:p>
        </w:tc>
      </w:tr>
      <w:tr w14:paraId="0944D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730" w:type="dxa"/>
            <w:noWrap w:val="0"/>
            <w:vAlign w:val="center"/>
          </w:tcPr>
          <w:p w14:paraId="5AA2265A">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7.核销管理</w:t>
            </w:r>
          </w:p>
        </w:tc>
        <w:tc>
          <w:tcPr>
            <w:tcW w:w="706" w:type="dxa"/>
            <w:noWrap w:val="0"/>
            <w:vAlign w:val="center"/>
          </w:tcPr>
          <w:p w14:paraId="256E7194">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7.1</w:t>
            </w:r>
          </w:p>
        </w:tc>
        <w:tc>
          <w:tcPr>
            <w:tcW w:w="7203" w:type="dxa"/>
            <w:noWrap w:val="0"/>
            <w:vAlign w:val="center"/>
          </w:tcPr>
          <w:p w14:paraId="549FADDC">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通过手术间终端或移动设备录入使用的器械包信息，系统关联手术单号，完成器械包核销，支持核销记录查询与追溯。</w:t>
            </w:r>
          </w:p>
        </w:tc>
      </w:tr>
      <w:tr w14:paraId="70092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1730" w:type="dxa"/>
            <w:vMerge w:val="restart"/>
            <w:noWrap w:val="0"/>
            <w:vAlign w:val="center"/>
          </w:tcPr>
          <w:p w14:paraId="0A20371D">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8.数据统计</w:t>
            </w:r>
          </w:p>
        </w:tc>
        <w:tc>
          <w:tcPr>
            <w:tcW w:w="706" w:type="dxa"/>
            <w:noWrap w:val="0"/>
            <w:vAlign w:val="center"/>
          </w:tcPr>
          <w:p w14:paraId="7A416280">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8.1</w:t>
            </w:r>
          </w:p>
        </w:tc>
        <w:tc>
          <w:tcPr>
            <w:tcW w:w="7203" w:type="dxa"/>
            <w:noWrap w:val="0"/>
            <w:vAlign w:val="center"/>
          </w:tcPr>
          <w:p w14:paraId="03DD396E">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系统自动汇总器械包进销存全流程数据，生成日报、周报、月报及年度统计报表；</w:t>
            </w:r>
          </w:p>
        </w:tc>
      </w:tr>
      <w:tr w14:paraId="7CE4C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1730" w:type="dxa"/>
            <w:vMerge w:val="continue"/>
            <w:noWrap w:val="0"/>
            <w:vAlign w:val="center"/>
          </w:tcPr>
          <w:p w14:paraId="4976CBE8">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p>
        </w:tc>
        <w:tc>
          <w:tcPr>
            <w:tcW w:w="706" w:type="dxa"/>
            <w:noWrap w:val="0"/>
            <w:vAlign w:val="center"/>
          </w:tcPr>
          <w:p w14:paraId="3FB0BE66">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8.2</w:t>
            </w:r>
          </w:p>
        </w:tc>
        <w:tc>
          <w:tcPr>
            <w:tcW w:w="7203" w:type="dxa"/>
            <w:noWrap w:val="0"/>
            <w:vAlign w:val="center"/>
          </w:tcPr>
          <w:p w14:paraId="4926C3A1">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支持按时间周期、器械包类型、领用部门等多维度筛选统计；</w:t>
            </w:r>
          </w:p>
        </w:tc>
      </w:tr>
      <w:tr w14:paraId="0602B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1730" w:type="dxa"/>
            <w:vMerge w:val="continue"/>
            <w:noWrap w:val="0"/>
            <w:vAlign w:val="center"/>
          </w:tcPr>
          <w:p w14:paraId="29C8B2C1">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p>
        </w:tc>
        <w:tc>
          <w:tcPr>
            <w:tcW w:w="706" w:type="dxa"/>
            <w:noWrap w:val="0"/>
            <w:vAlign w:val="center"/>
          </w:tcPr>
          <w:p w14:paraId="60603E24">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8.3</w:t>
            </w:r>
          </w:p>
        </w:tc>
        <w:tc>
          <w:tcPr>
            <w:tcW w:w="7203" w:type="dxa"/>
            <w:noWrap w:val="0"/>
            <w:vAlign w:val="center"/>
          </w:tcPr>
          <w:p w14:paraId="05DA13AD">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统计数据支持导出、打印，支持历史数据回溯查询。</w:t>
            </w:r>
          </w:p>
        </w:tc>
      </w:tr>
      <w:tr w14:paraId="0DD93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9639" w:type="dxa"/>
            <w:gridSpan w:val="3"/>
            <w:noWrap w:val="0"/>
            <w:vAlign w:val="center"/>
          </w:tcPr>
          <w:p w14:paraId="3D1C3579">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lang w:val="en-US" w:eastAsia="zh-CN"/>
              </w:rPr>
              <w:t>4.</w:t>
            </w:r>
            <w:r>
              <w:rPr>
                <w:rFonts w:hint="eastAsia" w:ascii="宋体" w:hAnsi="宋体" w:eastAsia="宋体" w:cs="宋体"/>
                <w:b/>
                <w:bCs/>
                <w:color w:val="auto"/>
                <w:kern w:val="0"/>
                <w:sz w:val="21"/>
                <w:szCs w:val="21"/>
                <w:highlight w:val="none"/>
              </w:rPr>
              <w:t>手卫生管理功能需求：</w:t>
            </w:r>
          </w:p>
        </w:tc>
      </w:tr>
      <w:tr w14:paraId="35709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1730" w:type="dxa"/>
            <w:noWrap w:val="0"/>
            <w:vAlign w:val="center"/>
          </w:tcPr>
          <w:p w14:paraId="077EBDB3">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b/>
                <w:bCs/>
                <w:color w:val="auto"/>
                <w:kern w:val="0"/>
                <w:sz w:val="21"/>
                <w:szCs w:val="21"/>
                <w:highlight w:val="none"/>
              </w:rPr>
            </w:pPr>
            <w:r>
              <w:rPr>
                <w:rFonts w:hint="eastAsia" w:ascii="宋体" w:hAnsi="宋体" w:eastAsia="宋体" w:cs="宋体"/>
                <w:color w:val="auto"/>
                <w:kern w:val="0"/>
                <w:sz w:val="21"/>
                <w:szCs w:val="21"/>
                <w:highlight w:val="none"/>
              </w:rPr>
              <w:t>1.自动识别人员身份信息</w:t>
            </w:r>
          </w:p>
        </w:tc>
        <w:tc>
          <w:tcPr>
            <w:tcW w:w="706" w:type="dxa"/>
            <w:noWrap w:val="0"/>
            <w:vAlign w:val="center"/>
          </w:tcPr>
          <w:p w14:paraId="0F763F21">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w:t>
            </w:r>
          </w:p>
        </w:tc>
        <w:tc>
          <w:tcPr>
            <w:tcW w:w="7203" w:type="dxa"/>
            <w:noWrap w:val="0"/>
            <w:vAlign w:val="center"/>
          </w:tcPr>
          <w:p w14:paraId="0317BB1F">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洗手区域部署视觉识别设备，通过人脸识别进行身份核验，自动匹配医护人员身份档案，快速完成身份绑定。</w:t>
            </w:r>
          </w:p>
        </w:tc>
      </w:tr>
      <w:tr w14:paraId="5BC08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1730" w:type="dxa"/>
            <w:vMerge w:val="restart"/>
            <w:noWrap w:val="0"/>
            <w:vAlign w:val="center"/>
          </w:tcPr>
          <w:p w14:paraId="4DE9F52C">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 监控洗手步骤</w:t>
            </w:r>
          </w:p>
        </w:tc>
        <w:tc>
          <w:tcPr>
            <w:tcW w:w="706" w:type="dxa"/>
            <w:noWrap w:val="0"/>
            <w:vAlign w:val="center"/>
          </w:tcPr>
          <w:p w14:paraId="21CB6B03">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2.1</w:t>
            </w:r>
          </w:p>
        </w:tc>
        <w:tc>
          <w:tcPr>
            <w:tcW w:w="7203" w:type="dxa"/>
            <w:noWrap w:val="0"/>
            <w:vAlign w:val="center"/>
          </w:tcPr>
          <w:p w14:paraId="22424F5C">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基于计算机视觉与动作识别算法，实时捕捉医护人员洗手全流程动作。</w:t>
            </w:r>
          </w:p>
        </w:tc>
      </w:tr>
      <w:tr w14:paraId="7AC03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1730" w:type="dxa"/>
            <w:vMerge w:val="continue"/>
            <w:noWrap w:val="0"/>
            <w:vAlign w:val="center"/>
          </w:tcPr>
          <w:p w14:paraId="57F1FFE7">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p>
        </w:tc>
        <w:tc>
          <w:tcPr>
            <w:tcW w:w="706" w:type="dxa"/>
            <w:noWrap w:val="0"/>
            <w:vAlign w:val="center"/>
          </w:tcPr>
          <w:p w14:paraId="68ADF98E">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2.2</w:t>
            </w:r>
          </w:p>
        </w:tc>
        <w:tc>
          <w:tcPr>
            <w:tcW w:w="7203" w:type="dxa"/>
            <w:noWrap w:val="0"/>
            <w:vAlign w:val="center"/>
          </w:tcPr>
          <w:p w14:paraId="4D2A0AD8">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精准识别洗手关键步骤（如掌心、手背、指缝、指背、拇指、手腕等），支持自定义配置洗手步骤标准（适配医院感控规范）。</w:t>
            </w:r>
          </w:p>
        </w:tc>
      </w:tr>
      <w:tr w14:paraId="304F8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1730" w:type="dxa"/>
            <w:vMerge w:val="continue"/>
            <w:noWrap w:val="0"/>
            <w:vAlign w:val="center"/>
          </w:tcPr>
          <w:p w14:paraId="3A99E18D">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p>
        </w:tc>
        <w:tc>
          <w:tcPr>
            <w:tcW w:w="706" w:type="dxa"/>
            <w:noWrap w:val="0"/>
            <w:vAlign w:val="center"/>
          </w:tcPr>
          <w:p w14:paraId="0B404604">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2.3</w:t>
            </w:r>
          </w:p>
        </w:tc>
        <w:tc>
          <w:tcPr>
            <w:tcW w:w="7203" w:type="dxa"/>
            <w:noWrap w:val="0"/>
            <w:vAlign w:val="center"/>
          </w:tcPr>
          <w:p w14:paraId="01765930">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自动标记遗漏步骤或不规范动作，生成步骤分析报告。</w:t>
            </w:r>
          </w:p>
        </w:tc>
      </w:tr>
      <w:tr w14:paraId="13B2C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1730" w:type="dxa"/>
            <w:vMerge w:val="restart"/>
            <w:noWrap w:val="0"/>
            <w:vAlign w:val="center"/>
          </w:tcPr>
          <w:p w14:paraId="369F87FE">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3.监测洗手时长</w:t>
            </w:r>
          </w:p>
        </w:tc>
        <w:tc>
          <w:tcPr>
            <w:tcW w:w="706" w:type="dxa"/>
            <w:noWrap w:val="0"/>
            <w:vAlign w:val="center"/>
          </w:tcPr>
          <w:p w14:paraId="11DE0704">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3.1</w:t>
            </w:r>
          </w:p>
        </w:tc>
        <w:tc>
          <w:tcPr>
            <w:tcW w:w="7203" w:type="dxa"/>
            <w:noWrap w:val="0"/>
            <w:vAlign w:val="center"/>
          </w:tcPr>
          <w:p w14:paraId="3FEFA098">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从医护人员开始洗手动作起自动计时，精准统计实际洗手时长。</w:t>
            </w:r>
          </w:p>
        </w:tc>
      </w:tr>
      <w:tr w14:paraId="1373A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1730" w:type="dxa"/>
            <w:vMerge w:val="continue"/>
            <w:noWrap w:val="0"/>
            <w:vAlign w:val="center"/>
          </w:tcPr>
          <w:p w14:paraId="46C95175">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p>
        </w:tc>
        <w:tc>
          <w:tcPr>
            <w:tcW w:w="706" w:type="dxa"/>
            <w:noWrap w:val="0"/>
            <w:vAlign w:val="center"/>
          </w:tcPr>
          <w:p w14:paraId="4319998A">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3.2</w:t>
            </w:r>
          </w:p>
        </w:tc>
        <w:tc>
          <w:tcPr>
            <w:tcW w:w="7203" w:type="dxa"/>
            <w:noWrap w:val="0"/>
            <w:vAlign w:val="center"/>
          </w:tcPr>
          <w:p w14:paraId="25C25C98">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支持设置最低规范时长阈值，支持设置每个洗手步骤的规范时常阈值，未达到阈值自动判定为不规范。</w:t>
            </w:r>
          </w:p>
        </w:tc>
      </w:tr>
      <w:tr w14:paraId="4F4AF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1730" w:type="dxa"/>
            <w:vMerge w:val="continue"/>
            <w:noWrap w:val="0"/>
            <w:vAlign w:val="center"/>
          </w:tcPr>
          <w:p w14:paraId="0486242F">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p>
        </w:tc>
        <w:tc>
          <w:tcPr>
            <w:tcW w:w="706" w:type="dxa"/>
            <w:noWrap w:val="0"/>
            <w:vAlign w:val="center"/>
          </w:tcPr>
          <w:p w14:paraId="193B504F">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3.3</w:t>
            </w:r>
          </w:p>
        </w:tc>
        <w:tc>
          <w:tcPr>
            <w:tcW w:w="7203" w:type="dxa"/>
            <w:noWrap w:val="0"/>
            <w:vAlign w:val="center"/>
          </w:tcPr>
          <w:p w14:paraId="5589B738">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记录实际时长与规范时长的差异，为洗手打分提供数据支撑。</w:t>
            </w:r>
          </w:p>
        </w:tc>
      </w:tr>
      <w:tr w14:paraId="09F0D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1730" w:type="dxa"/>
            <w:vMerge w:val="restart"/>
            <w:noWrap w:val="0"/>
            <w:vAlign w:val="center"/>
          </w:tcPr>
          <w:p w14:paraId="117A5285">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4.规范洗手流程并自动打分</w:t>
            </w:r>
          </w:p>
        </w:tc>
        <w:tc>
          <w:tcPr>
            <w:tcW w:w="706" w:type="dxa"/>
            <w:noWrap w:val="0"/>
            <w:vAlign w:val="center"/>
          </w:tcPr>
          <w:p w14:paraId="7E1B4141">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4.1</w:t>
            </w:r>
          </w:p>
        </w:tc>
        <w:tc>
          <w:tcPr>
            <w:tcW w:w="7203" w:type="dxa"/>
            <w:noWrap w:val="0"/>
            <w:vAlign w:val="center"/>
          </w:tcPr>
          <w:p w14:paraId="6E7318D1">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预设洗手流程规范模板（如七步洗手法），系统按步骤完成度、动作标准度、流程连贯性进行综合评分。</w:t>
            </w:r>
          </w:p>
        </w:tc>
      </w:tr>
      <w:tr w14:paraId="63FD5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1730" w:type="dxa"/>
            <w:vMerge w:val="continue"/>
            <w:noWrap w:val="0"/>
            <w:vAlign w:val="center"/>
          </w:tcPr>
          <w:p w14:paraId="4E24DE35">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p>
        </w:tc>
        <w:tc>
          <w:tcPr>
            <w:tcW w:w="706" w:type="dxa"/>
            <w:noWrap w:val="0"/>
            <w:vAlign w:val="center"/>
          </w:tcPr>
          <w:p w14:paraId="3A928FDA">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4.2</w:t>
            </w:r>
          </w:p>
        </w:tc>
        <w:tc>
          <w:tcPr>
            <w:tcW w:w="7203" w:type="dxa"/>
            <w:noWrap w:val="0"/>
            <w:vAlign w:val="center"/>
          </w:tcPr>
          <w:p w14:paraId="6C54F77B">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打分规则可自定义（如每遗漏 1 个步骤扣 15 分，动作不标准每项扣 10 分），满分 100 分，80 分及以上判定为规范；</w:t>
            </w:r>
          </w:p>
        </w:tc>
      </w:tr>
      <w:tr w14:paraId="5B21E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1730" w:type="dxa"/>
            <w:vMerge w:val="continue"/>
            <w:noWrap w:val="0"/>
            <w:vAlign w:val="center"/>
          </w:tcPr>
          <w:p w14:paraId="1A57D447">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p>
        </w:tc>
        <w:tc>
          <w:tcPr>
            <w:tcW w:w="706" w:type="dxa"/>
            <w:noWrap w:val="0"/>
            <w:vAlign w:val="center"/>
          </w:tcPr>
          <w:p w14:paraId="4A06F452">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4.3</w:t>
            </w:r>
          </w:p>
        </w:tc>
        <w:tc>
          <w:tcPr>
            <w:tcW w:w="7203" w:type="dxa"/>
            <w:noWrap w:val="0"/>
            <w:vAlign w:val="center"/>
          </w:tcPr>
          <w:p w14:paraId="2FE3F7C3">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实时显示打分结果，支持医护人员现场查看自身洗手规范情况。</w:t>
            </w:r>
          </w:p>
        </w:tc>
      </w:tr>
      <w:tr w14:paraId="264AE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1730" w:type="dxa"/>
            <w:noWrap w:val="0"/>
            <w:vAlign w:val="center"/>
          </w:tcPr>
          <w:p w14:paraId="31C0743F">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5.不规范行为记录与上报</w:t>
            </w:r>
          </w:p>
        </w:tc>
        <w:tc>
          <w:tcPr>
            <w:tcW w:w="706" w:type="dxa"/>
            <w:noWrap w:val="0"/>
            <w:vAlign w:val="center"/>
          </w:tcPr>
          <w:p w14:paraId="09FFB117">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5.1</w:t>
            </w:r>
          </w:p>
        </w:tc>
        <w:tc>
          <w:tcPr>
            <w:tcW w:w="7203" w:type="dxa"/>
            <w:noWrap w:val="0"/>
            <w:vAlign w:val="center"/>
          </w:tcPr>
          <w:p w14:paraId="59AC9DCD">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自动记录不规范洗手行为详情，包括人员身份、洗手时间、不规范项（步骤遗漏 / 动作不标准 / 时长不足）、打分结果等。</w:t>
            </w:r>
          </w:p>
        </w:tc>
      </w:tr>
      <w:tr w14:paraId="23BAE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1730" w:type="dxa"/>
            <w:vMerge w:val="restart"/>
            <w:noWrap w:val="0"/>
            <w:vAlign w:val="center"/>
          </w:tcPr>
          <w:p w14:paraId="1BA88F18">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6.数据上传与管理平台记录</w:t>
            </w:r>
          </w:p>
        </w:tc>
        <w:tc>
          <w:tcPr>
            <w:tcW w:w="706" w:type="dxa"/>
            <w:noWrap w:val="0"/>
            <w:vAlign w:val="center"/>
          </w:tcPr>
          <w:p w14:paraId="545A5E8A">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6.1</w:t>
            </w:r>
          </w:p>
        </w:tc>
        <w:tc>
          <w:tcPr>
            <w:tcW w:w="7203" w:type="dxa"/>
            <w:noWrap w:val="0"/>
            <w:vAlign w:val="center"/>
          </w:tcPr>
          <w:p w14:paraId="15C3516E">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洗手全流程数据（身份信息、步骤记录、时长数据、打分结果、规范状态等）实时上传至医院感控管理平台；系统消息推送至管理端。</w:t>
            </w:r>
          </w:p>
        </w:tc>
      </w:tr>
      <w:tr w14:paraId="7114C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1730" w:type="dxa"/>
            <w:vMerge w:val="continue"/>
            <w:noWrap w:val="0"/>
            <w:vAlign w:val="center"/>
          </w:tcPr>
          <w:p w14:paraId="7E7784FE">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p>
        </w:tc>
        <w:tc>
          <w:tcPr>
            <w:tcW w:w="706" w:type="dxa"/>
            <w:noWrap w:val="0"/>
            <w:vAlign w:val="center"/>
          </w:tcPr>
          <w:p w14:paraId="3A0395FB">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6.2</w:t>
            </w:r>
          </w:p>
        </w:tc>
        <w:tc>
          <w:tcPr>
            <w:tcW w:w="7203" w:type="dxa"/>
            <w:noWrap w:val="0"/>
            <w:vAlign w:val="center"/>
          </w:tcPr>
          <w:p w14:paraId="115A06AA">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生成不规范行为统计数据，支持按人员、科室、时间段筛选查询。支持数据永久留存，历史记录可追溯查询；</w:t>
            </w:r>
          </w:p>
        </w:tc>
      </w:tr>
      <w:tr w14:paraId="7BF1C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1730" w:type="dxa"/>
            <w:vMerge w:val="continue"/>
            <w:noWrap w:val="0"/>
            <w:vAlign w:val="center"/>
          </w:tcPr>
          <w:p w14:paraId="71D3AA6C">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p>
        </w:tc>
        <w:tc>
          <w:tcPr>
            <w:tcW w:w="706" w:type="dxa"/>
            <w:noWrap w:val="0"/>
            <w:vAlign w:val="center"/>
          </w:tcPr>
          <w:p w14:paraId="70710692">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6.3</w:t>
            </w:r>
          </w:p>
        </w:tc>
        <w:tc>
          <w:tcPr>
            <w:tcW w:w="7203" w:type="dxa"/>
            <w:noWrap w:val="0"/>
            <w:vAlign w:val="center"/>
          </w:tcPr>
          <w:p w14:paraId="6620600E">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系统自动分类统计规范率、不规范原因分布等数据，为感控决策提供依据。</w:t>
            </w:r>
          </w:p>
        </w:tc>
      </w:tr>
      <w:tr w14:paraId="3B18F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1730" w:type="dxa"/>
            <w:noWrap w:val="0"/>
            <w:vAlign w:val="center"/>
          </w:tcPr>
          <w:p w14:paraId="42CFEAC0">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7.感控风险辅助管控</w:t>
            </w:r>
          </w:p>
        </w:tc>
        <w:tc>
          <w:tcPr>
            <w:tcW w:w="706" w:type="dxa"/>
            <w:noWrap w:val="0"/>
            <w:vAlign w:val="center"/>
          </w:tcPr>
          <w:p w14:paraId="334934D9">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7.1</w:t>
            </w:r>
          </w:p>
        </w:tc>
        <w:tc>
          <w:tcPr>
            <w:tcW w:w="7203" w:type="dxa"/>
            <w:noWrap w:val="0"/>
            <w:vAlign w:val="center"/>
          </w:tcPr>
          <w:p w14:paraId="73D9A91F">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基于洗手规范数据，自动生成科室 / 个人手卫生规范率排名，识别高风险环节；</w:t>
            </w:r>
          </w:p>
        </w:tc>
      </w:tr>
      <w:tr w14:paraId="4CB5F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9639" w:type="dxa"/>
            <w:gridSpan w:val="3"/>
            <w:noWrap w:val="0"/>
            <w:vAlign w:val="center"/>
          </w:tcPr>
          <w:p w14:paraId="2A5955FD">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lang w:val="en-US" w:eastAsia="zh-CN"/>
              </w:rPr>
              <w:t>5.</w:t>
            </w:r>
            <w:r>
              <w:rPr>
                <w:rFonts w:hint="eastAsia" w:ascii="宋体" w:hAnsi="宋体" w:eastAsia="宋体" w:cs="宋体"/>
                <w:b/>
                <w:bCs/>
                <w:color w:val="auto"/>
                <w:kern w:val="0"/>
                <w:sz w:val="21"/>
                <w:szCs w:val="21"/>
                <w:highlight w:val="none"/>
              </w:rPr>
              <w:t>病理标本柜功能需求：</w:t>
            </w:r>
          </w:p>
        </w:tc>
      </w:tr>
      <w:tr w14:paraId="73B31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30" w:type="dxa"/>
            <w:noWrap w:val="0"/>
            <w:vAlign w:val="center"/>
          </w:tcPr>
          <w:p w14:paraId="6E7CABDC">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1.操作显示屏</w:t>
            </w:r>
          </w:p>
        </w:tc>
        <w:tc>
          <w:tcPr>
            <w:tcW w:w="706" w:type="dxa"/>
            <w:noWrap w:val="0"/>
            <w:vAlign w:val="center"/>
          </w:tcPr>
          <w:p w14:paraId="6AC043C4">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w:t>
            </w:r>
          </w:p>
        </w:tc>
        <w:tc>
          <w:tcPr>
            <w:tcW w:w="7203" w:type="dxa"/>
            <w:noWrap w:val="0"/>
            <w:vAlign w:val="center"/>
          </w:tcPr>
          <w:p w14:paraId="5BF02257">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10.1寸触摸显示竖屏</w:t>
            </w:r>
          </w:p>
        </w:tc>
      </w:tr>
      <w:tr w14:paraId="62464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1730" w:type="dxa"/>
            <w:vMerge w:val="restart"/>
            <w:noWrap w:val="0"/>
            <w:vAlign w:val="center"/>
          </w:tcPr>
          <w:p w14:paraId="15929167">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2.识别方式</w:t>
            </w:r>
          </w:p>
        </w:tc>
        <w:tc>
          <w:tcPr>
            <w:tcW w:w="706" w:type="dxa"/>
            <w:noWrap w:val="0"/>
            <w:vAlign w:val="center"/>
          </w:tcPr>
          <w:p w14:paraId="06AE922C">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2.1</w:t>
            </w:r>
          </w:p>
        </w:tc>
        <w:tc>
          <w:tcPr>
            <w:tcW w:w="7203" w:type="dxa"/>
            <w:noWrap w:val="0"/>
            <w:vAlign w:val="center"/>
          </w:tcPr>
          <w:p w14:paraId="25401866">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可见光式人脸识别（支持戴口罩识别）</w:t>
            </w:r>
          </w:p>
        </w:tc>
      </w:tr>
      <w:tr w14:paraId="3B60F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730" w:type="dxa"/>
            <w:vMerge w:val="continue"/>
            <w:noWrap w:val="0"/>
            <w:vAlign w:val="center"/>
          </w:tcPr>
          <w:p w14:paraId="54A5C4C3">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p>
        </w:tc>
        <w:tc>
          <w:tcPr>
            <w:tcW w:w="706" w:type="dxa"/>
            <w:noWrap w:val="0"/>
            <w:vAlign w:val="center"/>
          </w:tcPr>
          <w:p w14:paraId="1F5E4066">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2.2</w:t>
            </w:r>
          </w:p>
        </w:tc>
        <w:tc>
          <w:tcPr>
            <w:tcW w:w="7203" w:type="dxa"/>
            <w:noWrap w:val="0"/>
            <w:vAlign w:val="center"/>
          </w:tcPr>
          <w:p w14:paraId="11B85D89">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支持IC等多种类型卡片识别</w:t>
            </w:r>
          </w:p>
        </w:tc>
      </w:tr>
      <w:tr w14:paraId="429A7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730" w:type="dxa"/>
            <w:vMerge w:val="restart"/>
            <w:noWrap w:val="0"/>
            <w:vAlign w:val="center"/>
          </w:tcPr>
          <w:p w14:paraId="15D89041">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3.硬件模块</w:t>
            </w:r>
          </w:p>
        </w:tc>
        <w:tc>
          <w:tcPr>
            <w:tcW w:w="706" w:type="dxa"/>
            <w:noWrap w:val="0"/>
            <w:vAlign w:val="center"/>
          </w:tcPr>
          <w:p w14:paraId="3B0326CC">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3.1</w:t>
            </w:r>
          </w:p>
        </w:tc>
        <w:tc>
          <w:tcPr>
            <w:tcW w:w="7203" w:type="dxa"/>
            <w:noWrap w:val="0"/>
            <w:vAlign w:val="center"/>
          </w:tcPr>
          <w:p w14:paraId="2DD83BB8">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扫描模块：支持二维码扫描</w:t>
            </w:r>
          </w:p>
        </w:tc>
      </w:tr>
      <w:tr w14:paraId="0A2A5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1730" w:type="dxa"/>
            <w:vMerge w:val="continue"/>
            <w:noWrap w:val="0"/>
            <w:vAlign w:val="center"/>
          </w:tcPr>
          <w:p w14:paraId="1ED3FC94">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p>
        </w:tc>
        <w:tc>
          <w:tcPr>
            <w:tcW w:w="706" w:type="dxa"/>
            <w:noWrap w:val="0"/>
            <w:vAlign w:val="center"/>
          </w:tcPr>
          <w:p w14:paraId="3016A322">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3.2</w:t>
            </w:r>
          </w:p>
        </w:tc>
        <w:tc>
          <w:tcPr>
            <w:tcW w:w="7203" w:type="dxa"/>
            <w:noWrap w:val="0"/>
            <w:vAlign w:val="center"/>
          </w:tcPr>
          <w:p w14:paraId="4187FFFB">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音响模块：扬声器，集成于显示屏内部</w:t>
            </w:r>
          </w:p>
        </w:tc>
      </w:tr>
      <w:tr w14:paraId="56213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730" w:type="dxa"/>
            <w:noWrap w:val="0"/>
            <w:vAlign w:val="center"/>
          </w:tcPr>
          <w:p w14:paraId="5DE19B50">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4.联网方式</w:t>
            </w:r>
          </w:p>
        </w:tc>
        <w:tc>
          <w:tcPr>
            <w:tcW w:w="706" w:type="dxa"/>
            <w:noWrap w:val="0"/>
            <w:vAlign w:val="center"/>
          </w:tcPr>
          <w:p w14:paraId="6C82D826">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4.1</w:t>
            </w:r>
          </w:p>
        </w:tc>
        <w:tc>
          <w:tcPr>
            <w:tcW w:w="7203" w:type="dxa"/>
            <w:noWrap w:val="0"/>
            <w:vAlign w:val="center"/>
          </w:tcPr>
          <w:p w14:paraId="5D9E0395">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有线网络、WiFi</w:t>
            </w:r>
          </w:p>
        </w:tc>
      </w:tr>
      <w:tr w14:paraId="61F06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730" w:type="dxa"/>
            <w:vMerge w:val="restart"/>
            <w:noWrap w:val="0"/>
            <w:vAlign w:val="center"/>
          </w:tcPr>
          <w:p w14:paraId="3AB40B8C">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5.外观尺寸</w:t>
            </w:r>
          </w:p>
        </w:tc>
        <w:tc>
          <w:tcPr>
            <w:tcW w:w="706" w:type="dxa"/>
            <w:noWrap w:val="0"/>
            <w:vAlign w:val="center"/>
          </w:tcPr>
          <w:p w14:paraId="03D7013B">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5.1</w:t>
            </w:r>
          </w:p>
        </w:tc>
        <w:tc>
          <w:tcPr>
            <w:tcW w:w="7203" w:type="dxa"/>
            <w:noWrap w:val="0"/>
            <w:vAlign w:val="center"/>
          </w:tcPr>
          <w:p w14:paraId="6E27D814">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整体尺寸：</w:t>
            </w:r>
            <w:r>
              <w:rPr>
                <w:rFonts w:hint="eastAsia" w:ascii="宋体" w:hAnsi="宋体" w:eastAsia="宋体" w:cs="宋体"/>
                <w:color w:val="auto"/>
                <w:kern w:val="0"/>
                <w:sz w:val="21"/>
                <w:szCs w:val="21"/>
                <w:highlight w:val="none"/>
                <w:lang w:val="en-US" w:eastAsia="zh-CN"/>
              </w:rPr>
              <w:t>2个</w:t>
            </w:r>
            <w:r>
              <w:rPr>
                <w:rFonts w:hint="eastAsia" w:ascii="宋体" w:hAnsi="宋体" w:eastAsia="宋体" w:cs="宋体"/>
                <w:color w:val="auto"/>
                <w:kern w:val="0"/>
                <w:sz w:val="21"/>
                <w:szCs w:val="21"/>
                <w:highlight w:val="none"/>
              </w:rPr>
              <w:t>主柜：宽*深*高980*591*2173mm</w:t>
            </w:r>
          </w:p>
          <w:p w14:paraId="18ADBCB3">
            <w:pPr>
              <w:keepNext w:val="0"/>
              <w:keepLines w:val="0"/>
              <w:pageBreakBefore w:val="0"/>
              <w:widowControl/>
              <w:kinsoku/>
              <w:wordWrap/>
              <w:overflowPunct/>
              <w:topLinePunct w:val="0"/>
              <w:autoSpaceDE/>
              <w:autoSpaceDN/>
              <w:bidi w:val="0"/>
              <w:adjustRightInd w:val="0"/>
              <w:snapToGrid w:val="0"/>
              <w:spacing w:line="360" w:lineRule="auto"/>
              <w:ind w:firstLine="1050" w:firstLineChars="50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2个</w:t>
            </w:r>
            <w:r>
              <w:rPr>
                <w:rFonts w:hint="eastAsia" w:ascii="宋体" w:hAnsi="宋体" w:eastAsia="宋体" w:cs="宋体"/>
                <w:color w:val="auto"/>
                <w:kern w:val="0"/>
                <w:sz w:val="21"/>
                <w:szCs w:val="21"/>
                <w:highlight w:val="none"/>
              </w:rPr>
              <w:t>副柜：宽*深*高980*591*2173mm</w:t>
            </w:r>
          </w:p>
        </w:tc>
      </w:tr>
      <w:tr w14:paraId="38441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1730" w:type="dxa"/>
            <w:vMerge w:val="continue"/>
            <w:noWrap w:val="0"/>
            <w:vAlign w:val="center"/>
          </w:tcPr>
          <w:p w14:paraId="22078432">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p>
        </w:tc>
        <w:tc>
          <w:tcPr>
            <w:tcW w:w="706" w:type="dxa"/>
            <w:noWrap w:val="0"/>
            <w:vAlign w:val="center"/>
          </w:tcPr>
          <w:p w14:paraId="19BB8000">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5.2</w:t>
            </w:r>
          </w:p>
        </w:tc>
        <w:tc>
          <w:tcPr>
            <w:tcW w:w="7203" w:type="dxa"/>
            <w:noWrap w:val="0"/>
            <w:vAlign w:val="center"/>
          </w:tcPr>
          <w:p w14:paraId="1DBA8535">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单格口尺寸：宽*深*高334.5*501*150.2mm</w:t>
            </w:r>
          </w:p>
        </w:tc>
      </w:tr>
      <w:tr w14:paraId="30E8E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1730" w:type="dxa"/>
            <w:vMerge w:val="restart"/>
            <w:noWrap w:val="0"/>
            <w:vAlign w:val="center"/>
          </w:tcPr>
          <w:p w14:paraId="5D68DB65">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6.主板性能</w:t>
            </w:r>
          </w:p>
        </w:tc>
        <w:tc>
          <w:tcPr>
            <w:tcW w:w="706" w:type="dxa"/>
            <w:noWrap w:val="0"/>
            <w:vAlign w:val="center"/>
          </w:tcPr>
          <w:p w14:paraId="2910FBB4">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6.1</w:t>
            </w:r>
          </w:p>
        </w:tc>
        <w:tc>
          <w:tcPr>
            <w:tcW w:w="7203" w:type="dxa"/>
            <w:noWrap w:val="0"/>
            <w:vAlign w:val="center"/>
          </w:tcPr>
          <w:p w14:paraId="2CBA92A3">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主板性能：4核32G，ARM架构</w:t>
            </w:r>
          </w:p>
        </w:tc>
      </w:tr>
      <w:tr w14:paraId="5FE49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1730" w:type="dxa"/>
            <w:vMerge w:val="continue"/>
            <w:noWrap w:val="0"/>
            <w:vAlign w:val="center"/>
          </w:tcPr>
          <w:p w14:paraId="0FE24FF3">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p>
        </w:tc>
        <w:tc>
          <w:tcPr>
            <w:tcW w:w="706" w:type="dxa"/>
            <w:noWrap w:val="0"/>
            <w:vAlign w:val="center"/>
          </w:tcPr>
          <w:p w14:paraId="6957B694">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6.2</w:t>
            </w:r>
          </w:p>
        </w:tc>
        <w:tc>
          <w:tcPr>
            <w:tcW w:w="7203" w:type="dxa"/>
            <w:noWrap w:val="0"/>
            <w:vAlign w:val="center"/>
          </w:tcPr>
          <w:p w14:paraId="7A3F685E">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操作系统：Android 11</w:t>
            </w:r>
          </w:p>
        </w:tc>
      </w:tr>
      <w:tr w14:paraId="7C082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730" w:type="dxa"/>
            <w:vMerge w:val="restart"/>
            <w:noWrap w:val="0"/>
            <w:vAlign w:val="center"/>
          </w:tcPr>
          <w:p w14:paraId="3EFC0335">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7.冷藏消毒</w:t>
            </w:r>
          </w:p>
        </w:tc>
        <w:tc>
          <w:tcPr>
            <w:tcW w:w="706" w:type="dxa"/>
            <w:noWrap w:val="0"/>
            <w:vAlign w:val="center"/>
          </w:tcPr>
          <w:p w14:paraId="40BAB157">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7.1</w:t>
            </w:r>
          </w:p>
        </w:tc>
        <w:tc>
          <w:tcPr>
            <w:tcW w:w="7203" w:type="dxa"/>
            <w:noWrap w:val="0"/>
            <w:vAlign w:val="center"/>
          </w:tcPr>
          <w:p w14:paraId="707D3FCE">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恒温冷藏：2~8℃恒温冷藏</w:t>
            </w:r>
          </w:p>
        </w:tc>
      </w:tr>
      <w:tr w14:paraId="3BD9D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730" w:type="dxa"/>
            <w:vMerge w:val="continue"/>
            <w:noWrap w:val="0"/>
            <w:vAlign w:val="center"/>
          </w:tcPr>
          <w:p w14:paraId="2CD21F5C">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p>
        </w:tc>
        <w:tc>
          <w:tcPr>
            <w:tcW w:w="706" w:type="dxa"/>
            <w:noWrap w:val="0"/>
            <w:vAlign w:val="center"/>
          </w:tcPr>
          <w:p w14:paraId="6C42F868">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7.2</w:t>
            </w:r>
          </w:p>
        </w:tc>
        <w:tc>
          <w:tcPr>
            <w:tcW w:w="7203" w:type="dxa"/>
            <w:noWrap w:val="0"/>
            <w:vAlign w:val="center"/>
          </w:tcPr>
          <w:p w14:paraId="62750349">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紫外消毒：配置UVC紫外消毒灯</w:t>
            </w:r>
          </w:p>
        </w:tc>
      </w:tr>
      <w:tr w14:paraId="2E47F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730" w:type="dxa"/>
            <w:noWrap w:val="0"/>
            <w:vAlign w:val="center"/>
          </w:tcPr>
          <w:p w14:paraId="20563C87">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 温湿度监测</w:t>
            </w:r>
          </w:p>
        </w:tc>
        <w:tc>
          <w:tcPr>
            <w:tcW w:w="706" w:type="dxa"/>
            <w:noWrap w:val="0"/>
            <w:vAlign w:val="center"/>
          </w:tcPr>
          <w:p w14:paraId="5B8FE5C6">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8.1</w:t>
            </w:r>
          </w:p>
        </w:tc>
        <w:tc>
          <w:tcPr>
            <w:tcW w:w="7203" w:type="dxa"/>
            <w:noWrap w:val="0"/>
            <w:vAlign w:val="center"/>
          </w:tcPr>
          <w:p w14:paraId="491BB48A">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智能检测柜内温湿度数据，达到阈值及时预警提示</w:t>
            </w:r>
          </w:p>
        </w:tc>
      </w:tr>
      <w:tr w14:paraId="33F59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9639" w:type="dxa"/>
            <w:gridSpan w:val="3"/>
            <w:noWrap w:val="0"/>
            <w:vAlign w:val="center"/>
          </w:tcPr>
          <w:p w14:paraId="0CD0734A">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b/>
                <w:bCs/>
                <w:color w:val="auto"/>
                <w:kern w:val="0"/>
                <w:sz w:val="21"/>
                <w:szCs w:val="21"/>
                <w:highlight w:val="none"/>
                <w:lang w:val="en-US" w:eastAsia="zh-CN"/>
              </w:rPr>
              <w:t>6.</w:t>
            </w:r>
            <w:r>
              <w:rPr>
                <w:rFonts w:hint="eastAsia" w:ascii="宋体" w:hAnsi="宋体" w:eastAsia="宋体" w:cs="宋体"/>
                <w:b/>
                <w:bCs/>
                <w:color w:val="auto"/>
                <w:kern w:val="0"/>
                <w:sz w:val="21"/>
                <w:szCs w:val="21"/>
                <w:highlight w:val="none"/>
              </w:rPr>
              <w:t>软件参数：</w:t>
            </w:r>
          </w:p>
        </w:tc>
      </w:tr>
      <w:tr w14:paraId="667E3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1730" w:type="dxa"/>
            <w:noWrap w:val="0"/>
            <w:vAlign w:val="center"/>
          </w:tcPr>
          <w:p w14:paraId="35161BE0">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1.用户认证</w:t>
            </w:r>
          </w:p>
        </w:tc>
        <w:tc>
          <w:tcPr>
            <w:tcW w:w="706" w:type="dxa"/>
            <w:noWrap w:val="0"/>
            <w:vAlign w:val="center"/>
          </w:tcPr>
          <w:p w14:paraId="59F3D615">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1.1</w:t>
            </w:r>
          </w:p>
        </w:tc>
        <w:tc>
          <w:tcPr>
            <w:tcW w:w="7203" w:type="dxa"/>
            <w:noWrap w:val="0"/>
            <w:vAlign w:val="center"/>
          </w:tcPr>
          <w:p w14:paraId="25339D49">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系统支持人脸、IC卡等方式来识别认证，严格控制人员的使用权限，有效的减少了因权限问题而带来的误操作等问题，规范人员管理，方便后续标本追溯。</w:t>
            </w:r>
          </w:p>
        </w:tc>
      </w:tr>
      <w:tr w14:paraId="72328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730" w:type="dxa"/>
            <w:vMerge w:val="restart"/>
            <w:noWrap w:val="0"/>
            <w:vAlign w:val="center"/>
          </w:tcPr>
          <w:p w14:paraId="3B38781F">
            <w:pPr>
              <w:keepNext w:val="0"/>
              <w:keepLines w:val="0"/>
              <w:pageBreakBefore w:val="0"/>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2.操作标本</w:t>
            </w:r>
          </w:p>
        </w:tc>
        <w:tc>
          <w:tcPr>
            <w:tcW w:w="706" w:type="dxa"/>
            <w:noWrap w:val="0"/>
            <w:vAlign w:val="center"/>
          </w:tcPr>
          <w:p w14:paraId="0F0DE0E0">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2.1</w:t>
            </w:r>
          </w:p>
        </w:tc>
        <w:tc>
          <w:tcPr>
            <w:tcW w:w="7203" w:type="dxa"/>
            <w:noWrap w:val="0"/>
            <w:vAlign w:val="center"/>
          </w:tcPr>
          <w:p w14:paraId="0B5CD40A">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存入标本：系统支持扫码存入标本，人员核对病理信息正确后放入病理柜。标本进入待核对状态。</w:t>
            </w:r>
          </w:p>
        </w:tc>
      </w:tr>
      <w:tr w14:paraId="18E45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1730" w:type="dxa"/>
            <w:vMerge w:val="continue"/>
            <w:noWrap w:val="0"/>
            <w:vAlign w:val="center"/>
          </w:tcPr>
          <w:p w14:paraId="5E59BD33">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p>
        </w:tc>
        <w:tc>
          <w:tcPr>
            <w:tcW w:w="706" w:type="dxa"/>
            <w:noWrap w:val="0"/>
            <w:vAlign w:val="center"/>
          </w:tcPr>
          <w:p w14:paraId="1A37236F">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2.2</w:t>
            </w:r>
          </w:p>
        </w:tc>
        <w:tc>
          <w:tcPr>
            <w:tcW w:w="7203" w:type="dxa"/>
            <w:noWrap w:val="0"/>
            <w:vAlign w:val="center"/>
          </w:tcPr>
          <w:p w14:paraId="38E6F92E">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核对标本：人员认证成功后，显示需要核对的病理标本列表，核对标本申请信息与实际标本信息，若准确无误，则核对完成，若核对有误，则标本进入核对有误状态。</w:t>
            </w:r>
          </w:p>
        </w:tc>
      </w:tr>
      <w:tr w14:paraId="6E7C9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730" w:type="dxa"/>
            <w:vMerge w:val="continue"/>
            <w:noWrap w:val="0"/>
            <w:vAlign w:val="center"/>
          </w:tcPr>
          <w:p w14:paraId="2A7D6F1D">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p>
        </w:tc>
        <w:tc>
          <w:tcPr>
            <w:tcW w:w="706" w:type="dxa"/>
            <w:noWrap w:val="0"/>
            <w:vAlign w:val="center"/>
          </w:tcPr>
          <w:p w14:paraId="72FD2070">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2.3</w:t>
            </w:r>
          </w:p>
        </w:tc>
        <w:tc>
          <w:tcPr>
            <w:tcW w:w="7203" w:type="dxa"/>
            <w:noWrap w:val="0"/>
            <w:vAlign w:val="center"/>
          </w:tcPr>
          <w:p w14:paraId="7D42E2A2">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取出标本：人员认证后显示已核对的待取出标本列表，相应人员可打开全部柜门，取出标本，这时标本进入送检状态。</w:t>
            </w:r>
          </w:p>
        </w:tc>
      </w:tr>
      <w:tr w14:paraId="421AD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730" w:type="dxa"/>
            <w:vMerge w:val="continue"/>
            <w:noWrap w:val="0"/>
            <w:vAlign w:val="center"/>
          </w:tcPr>
          <w:p w14:paraId="291F6835">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p>
        </w:tc>
        <w:tc>
          <w:tcPr>
            <w:tcW w:w="706" w:type="dxa"/>
            <w:noWrap w:val="0"/>
            <w:vAlign w:val="center"/>
          </w:tcPr>
          <w:p w14:paraId="735B2541">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2.4</w:t>
            </w:r>
          </w:p>
        </w:tc>
        <w:tc>
          <w:tcPr>
            <w:tcW w:w="7203" w:type="dxa"/>
            <w:noWrap w:val="0"/>
            <w:vAlign w:val="center"/>
          </w:tcPr>
          <w:p w14:paraId="7350F9EB">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撤销标本：标本核对有误后提醒标本存入人员重新核对标本，存入人员可根据信息撤销当前标本，待核对准确后重新存入。</w:t>
            </w:r>
          </w:p>
        </w:tc>
      </w:tr>
      <w:tr w14:paraId="58655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730" w:type="dxa"/>
            <w:vMerge w:val="continue"/>
            <w:noWrap w:val="0"/>
            <w:vAlign w:val="center"/>
          </w:tcPr>
          <w:p w14:paraId="4DCD2C09">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p>
        </w:tc>
        <w:tc>
          <w:tcPr>
            <w:tcW w:w="706" w:type="dxa"/>
            <w:noWrap w:val="0"/>
            <w:vAlign w:val="center"/>
          </w:tcPr>
          <w:p w14:paraId="3E543E10">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2.5</w:t>
            </w:r>
          </w:p>
        </w:tc>
        <w:tc>
          <w:tcPr>
            <w:tcW w:w="7203" w:type="dxa"/>
            <w:noWrap w:val="0"/>
            <w:vAlign w:val="center"/>
          </w:tcPr>
          <w:p w14:paraId="7E37D056">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送检申请：支持根据病理申请规范手动对标本进行送检申请，并在申请提交后自动进行病理标本标签打印。</w:t>
            </w:r>
          </w:p>
        </w:tc>
      </w:tr>
      <w:tr w14:paraId="57B1E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730" w:type="dxa"/>
            <w:vMerge w:val="restart"/>
            <w:noWrap w:val="0"/>
            <w:vAlign w:val="center"/>
          </w:tcPr>
          <w:p w14:paraId="50A87DCE">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3.流程管理</w:t>
            </w:r>
          </w:p>
        </w:tc>
        <w:tc>
          <w:tcPr>
            <w:tcW w:w="706" w:type="dxa"/>
            <w:noWrap w:val="0"/>
            <w:vAlign w:val="center"/>
          </w:tcPr>
          <w:p w14:paraId="052C6F59">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3.1</w:t>
            </w:r>
          </w:p>
        </w:tc>
        <w:tc>
          <w:tcPr>
            <w:tcW w:w="7203" w:type="dxa"/>
            <w:noWrap w:val="0"/>
            <w:vAlign w:val="center"/>
          </w:tcPr>
          <w:p w14:paraId="2BAE48D1">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任务发布：支持自动发布护工标本运送任务并对送检的标本进行核查。</w:t>
            </w:r>
          </w:p>
        </w:tc>
      </w:tr>
      <w:tr w14:paraId="3A20C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730" w:type="dxa"/>
            <w:vMerge w:val="continue"/>
            <w:noWrap w:val="0"/>
            <w:vAlign w:val="center"/>
          </w:tcPr>
          <w:p w14:paraId="6792EA25">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p>
        </w:tc>
        <w:tc>
          <w:tcPr>
            <w:tcW w:w="706" w:type="dxa"/>
            <w:noWrap w:val="0"/>
            <w:vAlign w:val="center"/>
          </w:tcPr>
          <w:p w14:paraId="742B473F">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3.2</w:t>
            </w:r>
          </w:p>
        </w:tc>
        <w:tc>
          <w:tcPr>
            <w:tcW w:w="7203" w:type="dxa"/>
            <w:noWrap w:val="0"/>
            <w:vAlign w:val="center"/>
          </w:tcPr>
          <w:p w14:paraId="2CE8F62B">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查收提醒：支持病理科手术间报告查收提醒。</w:t>
            </w:r>
          </w:p>
        </w:tc>
      </w:tr>
      <w:tr w14:paraId="57C01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730" w:type="dxa"/>
            <w:vMerge w:val="continue"/>
            <w:noWrap w:val="0"/>
            <w:vAlign w:val="center"/>
          </w:tcPr>
          <w:p w14:paraId="65024DB5">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p>
        </w:tc>
        <w:tc>
          <w:tcPr>
            <w:tcW w:w="706" w:type="dxa"/>
            <w:noWrap w:val="0"/>
            <w:vAlign w:val="center"/>
          </w:tcPr>
          <w:p w14:paraId="7FD6814D">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3.3</w:t>
            </w:r>
          </w:p>
        </w:tc>
        <w:tc>
          <w:tcPr>
            <w:tcW w:w="7203" w:type="dxa"/>
            <w:noWrap w:val="0"/>
            <w:vAlign w:val="center"/>
          </w:tcPr>
          <w:p w14:paraId="182E77D8">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全流程管理：病理申请、标本登记、标本核查、标本运送、标本接收、病理报告查询等关键节点全流程追溯。</w:t>
            </w:r>
          </w:p>
        </w:tc>
      </w:tr>
      <w:tr w14:paraId="392E9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730" w:type="dxa"/>
            <w:noWrap w:val="0"/>
            <w:vAlign w:val="center"/>
          </w:tcPr>
          <w:p w14:paraId="34540AB7">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4.统计查看</w:t>
            </w:r>
          </w:p>
        </w:tc>
        <w:tc>
          <w:tcPr>
            <w:tcW w:w="706" w:type="dxa"/>
            <w:noWrap w:val="0"/>
            <w:vAlign w:val="center"/>
          </w:tcPr>
          <w:p w14:paraId="5EC63682">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4.1</w:t>
            </w:r>
          </w:p>
        </w:tc>
        <w:tc>
          <w:tcPr>
            <w:tcW w:w="7203" w:type="dxa"/>
            <w:noWrap w:val="0"/>
            <w:vAlign w:val="center"/>
          </w:tcPr>
          <w:p w14:paraId="24FEC9F8">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 xml:space="preserve">支持统计标本信息，包括标本内容、标本状态、存放时间、核对时间和派送时间，供查询和追溯病理标本信息。 </w:t>
            </w:r>
          </w:p>
        </w:tc>
      </w:tr>
      <w:tr w14:paraId="32F80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730" w:type="dxa"/>
            <w:vMerge w:val="restart"/>
            <w:noWrap w:val="0"/>
            <w:vAlign w:val="center"/>
          </w:tcPr>
          <w:p w14:paraId="51AC9E35">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5.远程开柜</w:t>
            </w:r>
          </w:p>
        </w:tc>
        <w:tc>
          <w:tcPr>
            <w:tcW w:w="706" w:type="dxa"/>
            <w:noWrap w:val="0"/>
            <w:vAlign w:val="center"/>
          </w:tcPr>
          <w:p w14:paraId="57509612">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5.1</w:t>
            </w:r>
          </w:p>
        </w:tc>
        <w:tc>
          <w:tcPr>
            <w:tcW w:w="7203" w:type="dxa"/>
            <w:noWrap w:val="0"/>
            <w:vAlign w:val="center"/>
          </w:tcPr>
          <w:p w14:paraId="37FE3D2A">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病理标本柜支持管理员远程开柜功能。</w:t>
            </w:r>
          </w:p>
        </w:tc>
      </w:tr>
      <w:tr w14:paraId="7E13F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730" w:type="dxa"/>
            <w:vMerge w:val="continue"/>
            <w:noWrap w:val="0"/>
            <w:vAlign w:val="center"/>
          </w:tcPr>
          <w:p w14:paraId="5DB5660A">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p>
        </w:tc>
        <w:tc>
          <w:tcPr>
            <w:tcW w:w="706" w:type="dxa"/>
            <w:noWrap w:val="0"/>
            <w:vAlign w:val="center"/>
          </w:tcPr>
          <w:p w14:paraId="456E1130">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5.2</w:t>
            </w:r>
          </w:p>
        </w:tc>
        <w:tc>
          <w:tcPr>
            <w:tcW w:w="7203" w:type="dxa"/>
            <w:noWrap w:val="0"/>
            <w:vAlign w:val="center"/>
          </w:tcPr>
          <w:p w14:paraId="575123DA">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系统支持一键开门功能。</w:t>
            </w:r>
          </w:p>
        </w:tc>
      </w:tr>
      <w:tr w14:paraId="763DA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730" w:type="dxa"/>
            <w:vMerge w:val="restart"/>
            <w:noWrap w:val="0"/>
            <w:vAlign w:val="center"/>
          </w:tcPr>
          <w:p w14:paraId="17DF0624">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6.冷藏消毒</w:t>
            </w:r>
          </w:p>
        </w:tc>
        <w:tc>
          <w:tcPr>
            <w:tcW w:w="706" w:type="dxa"/>
            <w:noWrap w:val="0"/>
            <w:vAlign w:val="center"/>
          </w:tcPr>
          <w:p w14:paraId="7BAF1FA7">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6.1</w:t>
            </w:r>
          </w:p>
        </w:tc>
        <w:tc>
          <w:tcPr>
            <w:tcW w:w="7203" w:type="dxa"/>
            <w:noWrap w:val="0"/>
            <w:vAlign w:val="center"/>
          </w:tcPr>
          <w:p w14:paraId="21C91F12">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冷藏温度范围：2℃~8℃（符合医疗标本冷藏标准）。超出设定温度范围可发出超温报警。温度可自行调节，调节范围2至8℃。</w:t>
            </w:r>
          </w:p>
        </w:tc>
      </w:tr>
      <w:tr w14:paraId="22456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730" w:type="dxa"/>
            <w:vMerge w:val="continue"/>
            <w:noWrap w:val="0"/>
            <w:vAlign w:val="center"/>
          </w:tcPr>
          <w:p w14:paraId="08C898AA">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p>
        </w:tc>
        <w:tc>
          <w:tcPr>
            <w:tcW w:w="706" w:type="dxa"/>
            <w:noWrap w:val="0"/>
            <w:vAlign w:val="center"/>
          </w:tcPr>
          <w:p w14:paraId="37559264">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6.2</w:t>
            </w:r>
          </w:p>
        </w:tc>
        <w:tc>
          <w:tcPr>
            <w:tcW w:w="7203" w:type="dxa"/>
            <w:noWrap w:val="0"/>
            <w:vAlign w:val="center"/>
          </w:tcPr>
          <w:p w14:paraId="4003B6F2">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每个格口配置UVC紫外消毒灯，支持消毒灭菌功能。</w:t>
            </w:r>
          </w:p>
        </w:tc>
      </w:tr>
      <w:tr w14:paraId="25DD2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9639" w:type="dxa"/>
            <w:gridSpan w:val="3"/>
            <w:noWrap w:val="0"/>
            <w:vAlign w:val="center"/>
          </w:tcPr>
          <w:p w14:paraId="668C15FB">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7.</w:t>
            </w:r>
            <w:r>
              <w:rPr>
                <w:rFonts w:hint="eastAsia" w:ascii="宋体" w:hAnsi="宋体" w:eastAsia="宋体" w:cs="宋体"/>
                <w:color w:val="auto"/>
                <w:kern w:val="0"/>
                <w:sz w:val="21"/>
                <w:szCs w:val="21"/>
                <w:highlight w:val="none"/>
              </w:rPr>
              <w:t>其他技术需求</w:t>
            </w:r>
          </w:p>
        </w:tc>
      </w:tr>
      <w:tr w14:paraId="77A5D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1730" w:type="dxa"/>
            <w:noWrap w:val="0"/>
            <w:vAlign w:val="center"/>
          </w:tcPr>
          <w:p w14:paraId="3ED4FBE1">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.对接需求</w:t>
            </w:r>
          </w:p>
        </w:tc>
        <w:tc>
          <w:tcPr>
            <w:tcW w:w="706" w:type="dxa"/>
            <w:noWrap w:val="0"/>
            <w:vAlign w:val="center"/>
          </w:tcPr>
          <w:p w14:paraId="285538EF">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.1</w:t>
            </w:r>
          </w:p>
        </w:tc>
        <w:tc>
          <w:tcPr>
            <w:tcW w:w="7203" w:type="dxa"/>
            <w:noWrap w:val="0"/>
            <w:vAlign w:val="center"/>
          </w:tcPr>
          <w:p w14:paraId="6AFC2303">
            <w:pPr>
              <w:keepNext w:val="0"/>
              <w:keepLines w:val="0"/>
              <w:pageBreakBefore w:val="0"/>
              <w:widowControl/>
              <w:kinsoku/>
              <w:wordWrap/>
              <w:overflowPunct/>
              <w:topLinePunct w:val="0"/>
              <w:autoSpaceDE/>
              <w:autoSpaceDN/>
              <w:bidi w:val="0"/>
              <w:adjustRightInd w:val="0"/>
              <w:snapToGri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支持与现有HIS系统、手麻系统、消毒供应室系统、OA办公系统等信息系统实现对接。</w:t>
            </w:r>
          </w:p>
          <w:p w14:paraId="6EC4238E">
            <w:pPr>
              <w:pStyle w:val="58"/>
              <w:keepNext w:val="0"/>
              <w:keepLines w:val="0"/>
              <w:pageBreakBefore w:val="0"/>
              <w:kinsoku/>
              <w:wordWrap/>
              <w:overflowPunct/>
              <w:topLinePunct w:val="0"/>
              <w:autoSpaceDE/>
              <w:autoSpaceDN/>
              <w:bidi w:val="0"/>
              <w:adjustRightInd w:val="0"/>
              <w:snapToGrid w:val="0"/>
              <w:spacing w:line="360" w:lineRule="auto"/>
              <w:ind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符合网络安全等级保护2.0标准要求。</w:t>
            </w:r>
          </w:p>
        </w:tc>
      </w:tr>
    </w:tbl>
    <w:p w14:paraId="42C8B91B">
      <w:pPr>
        <w:pStyle w:val="58"/>
        <w:ind w:firstLine="0" w:firstLineChars="0"/>
        <w:rPr>
          <w:rFonts w:hint="eastAsia" w:ascii="宋体" w:hAnsi="宋体" w:cs="宋体"/>
          <w:b/>
          <w:bCs/>
          <w:color w:val="auto"/>
          <w:sz w:val="28"/>
          <w:szCs w:val="28"/>
          <w:highlight w:val="none"/>
        </w:rPr>
      </w:pPr>
    </w:p>
    <w:p w14:paraId="2D0709C1">
      <w:pPr>
        <w:pStyle w:val="3"/>
        <w:bidi w:val="0"/>
        <w:rPr>
          <w:rFonts w:hint="eastAsia"/>
          <w:lang w:val="en-US" w:eastAsia="zh-CN"/>
        </w:rPr>
      </w:pPr>
      <w:bookmarkStart w:id="237" w:name="_Toc14152"/>
      <w:r>
        <w:rPr>
          <w:rFonts w:hint="eastAsia"/>
          <w:lang w:val="en-US" w:eastAsia="zh-CN"/>
        </w:rPr>
        <w:t>CA系统</w:t>
      </w:r>
      <w:bookmarkEnd w:id="237"/>
    </w:p>
    <w:p w14:paraId="246D3FD0">
      <w:pPr>
        <w:spacing w:line="44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本项目服务由以下两部分组成：</w:t>
      </w:r>
    </w:p>
    <w:p w14:paraId="51A470F7">
      <w:pPr>
        <w:numPr>
          <w:ilvl w:val="0"/>
          <w:numId w:val="115"/>
        </w:numPr>
        <w:bidi w:val="0"/>
        <w:rPr>
          <w:rFonts w:hint="eastAsia"/>
          <w:b/>
          <w:bCs/>
          <w:sz w:val="21"/>
          <w:szCs w:val="21"/>
          <w:lang w:eastAsia="zh-CN"/>
        </w:rPr>
      </w:pPr>
      <w:r>
        <w:rPr>
          <w:rFonts w:hint="eastAsia"/>
          <w:b/>
          <w:bCs/>
          <w:sz w:val="21"/>
          <w:szCs w:val="21"/>
          <w:lang w:eastAsia="zh-CN"/>
        </w:rPr>
        <w:t>个人数字证书续期服务</w:t>
      </w:r>
    </w:p>
    <w:p w14:paraId="126F4A9C">
      <w:pPr>
        <w:keepNext w:val="0"/>
        <w:keepLines w:val="0"/>
        <w:pageBreakBefore w:val="0"/>
        <w:widowControl w:val="0"/>
        <w:numPr>
          <w:ilvl w:val="0"/>
          <w:numId w:val="116"/>
        </w:numPr>
        <w:kinsoku/>
        <w:wordWrap/>
        <w:overflowPunct/>
        <w:topLinePunct w:val="0"/>
        <w:autoSpaceDE/>
        <w:autoSpaceDN/>
        <w:bidi w:val="0"/>
        <w:adjustRightInd/>
        <w:snapToGrid/>
        <w:spacing w:line="440" w:lineRule="exact"/>
        <w:ind w:left="0" w:leftChars="0" w:firstLine="403" w:firstLineChars="0"/>
        <w:textAlignment w:val="auto"/>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服务内容：</w:t>
      </w:r>
      <w:r>
        <w:rPr>
          <w:rFonts w:hint="eastAsia" w:ascii="宋体" w:hAnsi="宋体" w:eastAsia="宋体" w:cs="宋体"/>
          <w:i w:val="0"/>
          <w:iCs w:val="0"/>
          <w:color w:val="000000"/>
          <w:kern w:val="0"/>
          <w:sz w:val="21"/>
          <w:szCs w:val="21"/>
          <w:u w:val="none"/>
          <w:lang w:val="en-US" w:eastAsia="zh-CN" w:bidi="ar"/>
        </w:rPr>
        <w:t>提供涵盖数字证书全生命周期的管理服务，包括证书的申请、发放、补办、更新、续期、注销及全流程业务咨询与支持。</w:t>
      </w:r>
    </w:p>
    <w:p w14:paraId="49824589">
      <w:pPr>
        <w:keepNext w:val="0"/>
        <w:keepLines w:val="0"/>
        <w:pageBreakBefore w:val="0"/>
        <w:widowControl w:val="0"/>
        <w:numPr>
          <w:ilvl w:val="0"/>
          <w:numId w:val="116"/>
        </w:numPr>
        <w:kinsoku/>
        <w:wordWrap/>
        <w:overflowPunct/>
        <w:topLinePunct w:val="0"/>
        <w:autoSpaceDE/>
        <w:autoSpaceDN/>
        <w:bidi w:val="0"/>
        <w:adjustRightInd/>
        <w:snapToGrid/>
        <w:spacing w:line="440" w:lineRule="exact"/>
        <w:ind w:left="0" w:leftChars="0" w:firstLine="403" w:firstLineChars="0"/>
        <w:textAlignment w:val="auto"/>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采购数量及依据：</w:t>
      </w:r>
      <w:r>
        <w:rPr>
          <w:rFonts w:hint="eastAsia" w:ascii="宋体" w:hAnsi="宋体" w:eastAsia="宋体" w:cs="宋体"/>
          <w:i w:val="0"/>
          <w:iCs w:val="0"/>
          <w:color w:val="000000"/>
          <w:kern w:val="0"/>
          <w:sz w:val="21"/>
          <w:szCs w:val="21"/>
          <w:u w:val="none"/>
          <w:lang w:val="en-US" w:eastAsia="zh-CN" w:bidi="ar"/>
        </w:rPr>
        <w:t>本次采购基于当前在岗人员数量及未来三年（至2028年底）的证书到期情况进行规划，旨在一次性完成采购，分年度授权使用。具体数量测算如下：</w:t>
      </w:r>
    </w:p>
    <w:tbl>
      <w:tblPr>
        <w:tblStyle w:val="46"/>
        <w:tblW w:w="9284" w:type="dxa"/>
        <w:tblInd w:w="20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05"/>
        <w:gridCol w:w="1604"/>
        <w:gridCol w:w="1260"/>
        <w:gridCol w:w="2115"/>
        <w:gridCol w:w="2017"/>
        <w:gridCol w:w="1583"/>
      </w:tblGrid>
      <w:tr w14:paraId="79689F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88C60">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lang w:eastAsia="zh-CN"/>
              </w:rPr>
            </w:pPr>
            <w:r>
              <w:rPr>
                <w:rFonts w:hint="eastAsia" w:ascii="宋体" w:hAnsi="宋体" w:eastAsia="宋体" w:cs="宋体"/>
                <w:b/>
                <w:bCs/>
                <w:i w:val="0"/>
                <w:iCs w:val="0"/>
                <w:color w:val="000000"/>
                <w:sz w:val="21"/>
                <w:szCs w:val="21"/>
                <w:u w:val="none"/>
                <w:lang w:eastAsia="zh-CN"/>
              </w:rPr>
              <w:t>序号</w:t>
            </w:r>
          </w:p>
        </w:tc>
        <w:tc>
          <w:tcPr>
            <w:tcW w:w="1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0223F">
            <w:pPr>
              <w:keepNext w:val="0"/>
              <w:keepLines w:val="0"/>
              <w:widowControl/>
              <w:suppressLineNumbers w:val="0"/>
              <w:jc w:val="center"/>
              <w:textAlignment w:val="center"/>
              <w:rPr>
                <w:rFonts w:hint="default" w:ascii="宋体" w:hAnsi="宋体" w:eastAsia="宋体" w:cs="宋体"/>
                <w:b/>
                <w:bCs/>
                <w:i w:val="0"/>
                <w:iCs w:val="0"/>
                <w:color w:val="000000"/>
                <w:sz w:val="21"/>
                <w:szCs w:val="21"/>
                <w:u w:val="none"/>
                <w:lang w:val="en-US" w:eastAsia="zh-CN"/>
              </w:rPr>
            </w:pPr>
            <w:r>
              <w:rPr>
                <w:rFonts w:hint="eastAsia" w:ascii="宋体" w:hAnsi="宋体" w:eastAsia="宋体" w:cs="宋体"/>
                <w:b/>
                <w:bCs/>
                <w:i w:val="0"/>
                <w:iCs w:val="0"/>
                <w:color w:val="000000"/>
                <w:sz w:val="21"/>
                <w:szCs w:val="21"/>
                <w:u w:val="none"/>
                <w:lang w:eastAsia="zh-CN"/>
              </w:rPr>
              <w:t>证书到期年份</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9B991">
            <w:pPr>
              <w:keepNext w:val="0"/>
              <w:keepLines w:val="0"/>
              <w:widowControl/>
              <w:suppressLineNumbers w:val="0"/>
              <w:jc w:val="center"/>
              <w:textAlignment w:val="center"/>
              <w:rPr>
                <w:rFonts w:hint="default" w:ascii="宋体" w:hAnsi="宋体" w:eastAsia="宋体" w:cs="宋体"/>
                <w:b/>
                <w:bCs/>
                <w:i w:val="0"/>
                <w:iCs w:val="0"/>
                <w:color w:val="000000"/>
                <w:sz w:val="21"/>
                <w:szCs w:val="21"/>
                <w:u w:val="none"/>
                <w:lang w:val="en-US" w:eastAsia="zh-CN"/>
              </w:rPr>
            </w:pPr>
            <w:r>
              <w:rPr>
                <w:rFonts w:hint="eastAsia" w:ascii="宋体" w:hAnsi="宋体" w:eastAsia="宋体" w:cs="宋体"/>
                <w:b/>
                <w:bCs/>
                <w:i w:val="0"/>
                <w:iCs w:val="0"/>
                <w:color w:val="000000"/>
                <w:sz w:val="21"/>
                <w:szCs w:val="21"/>
                <w:u w:val="none"/>
                <w:lang w:val="en-US" w:eastAsia="zh-CN"/>
              </w:rPr>
              <w:t xml:space="preserve">涉及人数 </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F2A51">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lang w:eastAsia="zh-CN"/>
              </w:rPr>
            </w:pPr>
            <w:r>
              <w:rPr>
                <w:rFonts w:hint="eastAsia" w:ascii="宋体" w:hAnsi="宋体" w:eastAsia="宋体" w:cs="宋体"/>
                <w:b/>
                <w:bCs/>
                <w:i w:val="0"/>
                <w:iCs w:val="0"/>
                <w:color w:val="000000"/>
                <w:sz w:val="21"/>
                <w:szCs w:val="21"/>
                <w:u w:val="none"/>
                <w:lang w:eastAsia="zh-CN"/>
              </w:rPr>
              <w:t>需购买年限</w:t>
            </w:r>
          </w:p>
        </w:tc>
        <w:tc>
          <w:tcPr>
            <w:tcW w:w="2017" w:type="dxa"/>
            <w:tcBorders>
              <w:top w:val="single" w:color="000000" w:sz="4" w:space="0"/>
              <w:left w:val="single" w:color="000000" w:sz="4" w:space="0"/>
              <w:bottom w:val="single" w:color="000000" w:sz="4" w:space="0"/>
              <w:right w:val="single" w:color="auto" w:sz="4" w:space="0"/>
            </w:tcBorders>
            <w:shd w:val="clear" w:color="auto" w:fill="auto"/>
            <w:vAlign w:val="center"/>
          </w:tcPr>
          <w:p w14:paraId="33F18A06">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lang w:val="en-US" w:eastAsia="zh-CN"/>
              </w:rPr>
            </w:pPr>
            <w:r>
              <w:rPr>
                <w:rFonts w:hint="eastAsia" w:ascii="宋体" w:hAnsi="宋体" w:eastAsia="宋体" w:cs="宋体"/>
                <w:b/>
                <w:bCs/>
                <w:i w:val="0"/>
                <w:iCs w:val="0"/>
                <w:color w:val="000000"/>
                <w:sz w:val="21"/>
                <w:szCs w:val="21"/>
                <w:u w:val="none"/>
                <w:lang w:val="en-US" w:eastAsia="zh-CN"/>
              </w:rPr>
              <w:t>购买数量</w:t>
            </w:r>
          </w:p>
          <w:p w14:paraId="5003C7F7">
            <w:pPr>
              <w:keepNext w:val="0"/>
              <w:keepLines w:val="0"/>
              <w:widowControl/>
              <w:suppressLineNumbers w:val="0"/>
              <w:jc w:val="center"/>
              <w:textAlignment w:val="center"/>
              <w:rPr>
                <w:rFonts w:hint="default" w:ascii="宋体" w:hAnsi="宋体" w:eastAsia="宋体" w:cs="宋体"/>
                <w:b/>
                <w:bCs/>
                <w:i w:val="0"/>
                <w:iCs w:val="0"/>
                <w:color w:val="000000"/>
                <w:sz w:val="21"/>
                <w:szCs w:val="21"/>
                <w:u w:val="none"/>
                <w:lang w:val="en-US" w:eastAsia="zh-CN"/>
              </w:rPr>
            </w:pPr>
            <w:r>
              <w:rPr>
                <w:rFonts w:hint="eastAsia" w:ascii="宋体" w:hAnsi="宋体" w:eastAsia="宋体" w:cs="宋体"/>
                <w:b/>
                <w:bCs/>
                <w:i w:val="0"/>
                <w:iCs w:val="0"/>
                <w:color w:val="000000"/>
                <w:sz w:val="21"/>
                <w:szCs w:val="21"/>
                <w:u w:val="none"/>
                <w:lang w:val="en-US" w:eastAsia="zh-CN"/>
              </w:rPr>
              <w:t>（单位：张/年）</w:t>
            </w:r>
          </w:p>
        </w:tc>
        <w:tc>
          <w:tcPr>
            <w:tcW w:w="1583" w:type="dxa"/>
            <w:tcBorders>
              <w:top w:val="single" w:color="auto" w:sz="4" w:space="0"/>
              <w:left w:val="single" w:color="auto" w:sz="4" w:space="0"/>
              <w:bottom w:val="single" w:color="auto" w:sz="4" w:space="0"/>
              <w:right w:val="single" w:color="auto" w:sz="4" w:space="0"/>
            </w:tcBorders>
            <w:shd w:val="clear" w:color="auto" w:fill="auto"/>
            <w:vAlign w:val="center"/>
          </w:tcPr>
          <w:p w14:paraId="12887C63">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lang w:val="en-US" w:eastAsia="zh-CN"/>
              </w:rPr>
            </w:pPr>
            <w:r>
              <w:rPr>
                <w:rFonts w:hint="eastAsia" w:ascii="宋体" w:hAnsi="宋体" w:eastAsia="宋体" w:cs="宋体"/>
                <w:b/>
                <w:bCs/>
                <w:i w:val="0"/>
                <w:iCs w:val="0"/>
                <w:color w:val="000000"/>
                <w:sz w:val="21"/>
                <w:szCs w:val="21"/>
                <w:u w:val="none"/>
                <w:lang w:eastAsia="zh-CN"/>
              </w:rPr>
              <w:t>备注</w:t>
            </w:r>
          </w:p>
        </w:tc>
      </w:tr>
      <w:tr w14:paraId="6CA65C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54"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E670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798D8">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2026年到期</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E3E7A">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376人</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6BCC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3年(自重新授权日计)</w:t>
            </w:r>
          </w:p>
        </w:tc>
        <w:tc>
          <w:tcPr>
            <w:tcW w:w="2017" w:type="dxa"/>
            <w:tcBorders>
              <w:top w:val="single" w:color="000000" w:sz="4" w:space="0"/>
              <w:left w:val="single" w:color="000000" w:sz="4" w:space="0"/>
              <w:bottom w:val="single" w:color="000000" w:sz="4" w:space="0"/>
              <w:right w:val="single" w:color="auto" w:sz="4" w:space="0"/>
            </w:tcBorders>
            <w:shd w:val="clear" w:color="auto" w:fill="auto"/>
            <w:vAlign w:val="center"/>
          </w:tcPr>
          <w:p w14:paraId="462C5D5D">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1128</w:t>
            </w:r>
          </w:p>
        </w:tc>
        <w:tc>
          <w:tcPr>
            <w:tcW w:w="1583" w:type="dxa"/>
            <w:tcBorders>
              <w:top w:val="single" w:color="auto" w:sz="4" w:space="0"/>
              <w:left w:val="single" w:color="auto" w:sz="4" w:space="0"/>
              <w:bottom w:val="single" w:color="auto" w:sz="4" w:space="0"/>
              <w:right w:val="single" w:color="auto" w:sz="4" w:space="0"/>
            </w:tcBorders>
            <w:shd w:val="clear" w:color="auto" w:fill="auto"/>
            <w:vAlign w:val="center"/>
          </w:tcPr>
          <w:p w14:paraId="7634C41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按续期后3年有效期计算</w:t>
            </w:r>
          </w:p>
        </w:tc>
      </w:tr>
      <w:tr w14:paraId="691CBC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01C27">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1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0B814">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2027年到期</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A0419">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562人</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086A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2年(自重新授权日计)</w:t>
            </w:r>
          </w:p>
        </w:tc>
        <w:tc>
          <w:tcPr>
            <w:tcW w:w="2017" w:type="dxa"/>
            <w:tcBorders>
              <w:top w:val="single" w:color="000000" w:sz="4" w:space="0"/>
              <w:left w:val="single" w:color="000000" w:sz="4" w:space="0"/>
              <w:bottom w:val="single" w:color="000000" w:sz="4" w:space="0"/>
              <w:right w:val="single" w:color="auto" w:sz="4" w:space="0"/>
            </w:tcBorders>
            <w:shd w:val="clear" w:color="auto" w:fill="auto"/>
            <w:vAlign w:val="center"/>
          </w:tcPr>
          <w:p w14:paraId="4C135A73">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1124</w:t>
            </w:r>
          </w:p>
        </w:tc>
        <w:tc>
          <w:tcPr>
            <w:tcW w:w="1583" w:type="dxa"/>
            <w:tcBorders>
              <w:top w:val="single" w:color="auto" w:sz="4" w:space="0"/>
              <w:left w:val="single" w:color="auto" w:sz="4" w:space="0"/>
              <w:bottom w:val="single" w:color="auto" w:sz="4" w:space="0"/>
              <w:right w:val="single" w:color="auto" w:sz="4" w:space="0"/>
            </w:tcBorders>
            <w:shd w:val="clear" w:color="auto" w:fill="auto"/>
            <w:vAlign w:val="center"/>
          </w:tcPr>
          <w:p w14:paraId="3974D9F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按续期后2年有效期计算</w:t>
            </w:r>
          </w:p>
        </w:tc>
      </w:tr>
      <w:tr w14:paraId="3540EC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5"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43494">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p>
        </w:tc>
        <w:tc>
          <w:tcPr>
            <w:tcW w:w="1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0B61C">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2028年到期</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3E8C3">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441人</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1135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1年(自重新授权日计)</w:t>
            </w:r>
          </w:p>
        </w:tc>
        <w:tc>
          <w:tcPr>
            <w:tcW w:w="2017" w:type="dxa"/>
            <w:tcBorders>
              <w:top w:val="single" w:color="000000" w:sz="4" w:space="0"/>
              <w:left w:val="single" w:color="000000" w:sz="4" w:space="0"/>
              <w:bottom w:val="single" w:color="000000" w:sz="4" w:space="0"/>
              <w:right w:val="single" w:color="auto" w:sz="4" w:space="0"/>
            </w:tcBorders>
            <w:shd w:val="clear" w:color="auto" w:fill="auto"/>
            <w:vAlign w:val="center"/>
          </w:tcPr>
          <w:p w14:paraId="5F206295">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441</w:t>
            </w:r>
          </w:p>
        </w:tc>
        <w:tc>
          <w:tcPr>
            <w:tcW w:w="1583" w:type="dxa"/>
            <w:tcBorders>
              <w:top w:val="single" w:color="auto" w:sz="4" w:space="0"/>
              <w:left w:val="single" w:color="auto" w:sz="4" w:space="0"/>
              <w:bottom w:val="single" w:color="auto" w:sz="4" w:space="0"/>
              <w:right w:val="single" w:color="auto" w:sz="4" w:space="0"/>
            </w:tcBorders>
            <w:shd w:val="clear" w:color="auto" w:fill="auto"/>
            <w:vAlign w:val="center"/>
          </w:tcPr>
          <w:p w14:paraId="572826C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按续期后1年有效期计算</w:t>
            </w:r>
          </w:p>
        </w:tc>
      </w:tr>
      <w:tr w14:paraId="41BF7C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6"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416C5">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w:t>
            </w:r>
          </w:p>
        </w:tc>
        <w:tc>
          <w:tcPr>
            <w:tcW w:w="1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C69AF">
            <w:pPr>
              <w:keepNext w:val="0"/>
              <w:keepLines w:val="0"/>
              <w:widowControl/>
              <w:suppressLineNumbers w:val="0"/>
              <w:jc w:val="center"/>
              <w:textAlignment w:val="center"/>
              <w:rPr>
                <w:rFonts w:hint="eastAsia"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val="en-US" w:eastAsia="zh-CN"/>
              </w:rPr>
              <w:t>备用证书</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08196">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100人份</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A98B7">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按3年计算</w:t>
            </w:r>
          </w:p>
        </w:tc>
        <w:tc>
          <w:tcPr>
            <w:tcW w:w="2017" w:type="dxa"/>
            <w:tcBorders>
              <w:top w:val="single" w:color="000000" w:sz="4" w:space="0"/>
              <w:left w:val="single" w:color="000000" w:sz="4" w:space="0"/>
              <w:bottom w:val="single" w:color="000000" w:sz="4" w:space="0"/>
              <w:right w:val="single" w:color="auto" w:sz="4" w:space="0"/>
            </w:tcBorders>
            <w:shd w:val="clear" w:color="auto" w:fill="auto"/>
            <w:vAlign w:val="center"/>
          </w:tcPr>
          <w:p w14:paraId="7DB61CB0">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300</w:t>
            </w:r>
          </w:p>
        </w:tc>
        <w:tc>
          <w:tcPr>
            <w:tcW w:w="1583" w:type="dxa"/>
            <w:tcBorders>
              <w:top w:val="single" w:color="auto" w:sz="4" w:space="0"/>
              <w:left w:val="single" w:color="auto" w:sz="4" w:space="0"/>
              <w:bottom w:val="single" w:color="auto" w:sz="4" w:space="0"/>
              <w:right w:val="single" w:color="auto" w:sz="4" w:space="0"/>
            </w:tcBorders>
            <w:shd w:val="clear" w:color="auto" w:fill="auto"/>
            <w:vAlign w:val="center"/>
          </w:tcPr>
          <w:p w14:paraId="7C0B599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ascii="Segoe UI" w:hAnsi="Segoe UI" w:eastAsia="Segoe UI" w:cs="Segoe UI"/>
                <w:i w:val="0"/>
                <w:iCs w:val="0"/>
                <w:caps w:val="0"/>
                <w:color w:val="0F1115"/>
                <w:spacing w:val="0"/>
                <w:sz w:val="21"/>
                <w:szCs w:val="21"/>
                <w:shd w:val="clear" w:fill="FFFFFF"/>
              </w:rPr>
              <w:t>用于新职工入职或老员工新申请</w:t>
            </w:r>
          </w:p>
        </w:tc>
      </w:tr>
      <w:tr w14:paraId="14DE72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7"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3A72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总计</w:t>
            </w:r>
          </w:p>
        </w:tc>
        <w:tc>
          <w:tcPr>
            <w:tcW w:w="16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DC745">
            <w:pPr>
              <w:keepNext w:val="0"/>
              <w:keepLines w:val="0"/>
              <w:widowControl/>
              <w:suppressLineNumbers w:val="0"/>
              <w:jc w:val="left"/>
              <w:textAlignment w:val="center"/>
              <w:rPr>
                <w:rFonts w:hint="eastAsia" w:ascii="宋体" w:hAnsi="宋体" w:eastAsia="宋体" w:cs="宋体"/>
                <w:i w:val="0"/>
                <w:iCs w:val="0"/>
                <w:color w:val="000000"/>
                <w:sz w:val="21"/>
                <w:szCs w:val="21"/>
                <w:u w:val="none"/>
                <w:lang w:val="en-US" w:eastAsia="zh-CN"/>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A37B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A338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2017" w:type="dxa"/>
            <w:tcBorders>
              <w:top w:val="single" w:color="000000" w:sz="4" w:space="0"/>
              <w:left w:val="single" w:color="000000" w:sz="4" w:space="0"/>
              <w:bottom w:val="single" w:color="000000" w:sz="4" w:space="0"/>
              <w:right w:val="single" w:color="auto" w:sz="4" w:space="0"/>
            </w:tcBorders>
            <w:shd w:val="clear" w:color="auto" w:fill="auto"/>
            <w:vAlign w:val="center"/>
          </w:tcPr>
          <w:p w14:paraId="76DDF043">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2993</w:t>
            </w:r>
          </w:p>
        </w:tc>
        <w:tc>
          <w:tcPr>
            <w:tcW w:w="1583" w:type="dxa"/>
            <w:tcBorders>
              <w:top w:val="single" w:color="auto" w:sz="4" w:space="0"/>
              <w:left w:val="single" w:color="auto" w:sz="4" w:space="0"/>
              <w:bottom w:val="single" w:color="auto" w:sz="4" w:space="0"/>
              <w:right w:val="single" w:color="auto" w:sz="4" w:space="0"/>
            </w:tcBorders>
            <w:shd w:val="clear" w:color="auto" w:fill="auto"/>
            <w:vAlign w:val="center"/>
          </w:tcPr>
          <w:p w14:paraId="2F2FF9F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张/年</w:t>
            </w:r>
          </w:p>
        </w:tc>
      </w:tr>
    </w:tbl>
    <w:p w14:paraId="798B2E5C">
      <w:pPr>
        <w:keepNext w:val="0"/>
        <w:keepLines w:val="0"/>
        <w:pageBreakBefore w:val="0"/>
        <w:widowControl w:val="0"/>
        <w:numPr>
          <w:ilvl w:val="0"/>
          <w:numId w:val="0"/>
        </w:numPr>
        <w:kinsoku/>
        <w:wordWrap/>
        <w:overflowPunct/>
        <w:topLinePunct w:val="0"/>
        <w:autoSpaceDE/>
        <w:autoSpaceDN/>
        <w:bidi w:val="0"/>
        <w:adjustRightInd/>
        <w:snapToGrid/>
        <w:ind w:left="400" w:leftChars="0"/>
        <w:textAlignment w:val="auto"/>
        <w:rPr>
          <w:rFonts w:hint="default" w:ascii="宋体" w:hAnsi="宋体" w:eastAsia="宋体" w:cs="宋体"/>
          <w:b/>
          <w:bCs/>
          <w:i w:val="0"/>
          <w:iCs w:val="0"/>
          <w:color w:val="000000"/>
          <w:kern w:val="0"/>
          <w:sz w:val="21"/>
          <w:szCs w:val="21"/>
          <w:u w:val="none"/>
          <w:lang w:val="en-US" w:eastAsia="zh-CN" w:bidi="ar"/>
        </w:rPr>
      </w:pPr>
    </w:p>
    <w:p w14:paraId="6E72B6DB">
      <w:pPr>
        <w:keepNext w:val="0"/>
        <w:keepLines w:val="0"/>
        <w:pageBreakBefore w:val="0"/>
        <w:widowControl w:val="0"/>
        <w:numPr>
          <w:ilvl w:val="0"/>
          <w:numId w:val="116"/>
        </w:numPr>
        <w:kinsoku/>
        <w:wordWrap/>
        <w:overflowPunct/>
        <w:topLinePunct w:val="0"/>
        <w:autoSpaceDE/>
        <w:autoSpaceDN/>
        <w:bidi w:val="0"/>
        <w:adjustRightInd/>
        <w:snapToGrid/>
        <w:spacing w:line="440" w:lineRule="exact"/>
        <w:ind w:left="0" w:leftChars="0" w:firstLine="400" w:firstLineChars="0"/>
        <w:textAlignment w:val="auto"/>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服务规则：</w:t>
      </w:r>
    </w:p>
    <w:p w14:paraId="6055AD27">
      <w:pPr>
        <w:keepNext w:val="0"/>
        <w:keepLines w:val="0"/>
        <w:pageBreakBefore w:val="0"/>
        <w:widowControl w:val="0"/>
        <w:numPr>
          <w:ilvl w:val="0"/>
          <w:numId w:val="117"/>
        </w:numPr>
        <w:kinsoku/>
        <w:wordWrap/>
        <w:overflowPunct/>
        <w:topLinePunct w:val="0"/>
        <w:autoSpaceDE/>
        <w:autoSpaceDN/>
        <w:bidi w:val="0"/>
        <w:adjustRightInd w:val="0"/>
        <w:snapToGrid w:val="0"/>
        <w:spacing w:line="440" w:lineRule="exact"/>
        <w:ind w:left="0" w:leftChars="0" w:firstLine="420" w:firstLineChars="0"/>
        <w:textAlignment w:val="auto"/>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备用证书机制：备用证书主要于新入职员工或老员工新增证书申请，也可根据甲方实际情况进行调整使用。</w:t>
      </w:r>
    </w:p>
    <w:p w14:paraId="3734441C">
      <w:pPr>
        <w:keepNext w:val="0"/>
        <w:keepLines w:val="0"/>
        <w:pageBreakBefore w:val="0"/>
        <w:widowControl w:val="0"/>
        <w:numPr>
          <w:ilvl w:val="0"/>
          <w:numId w:val="117"/>
        </w:numPr>
        <w:kinsoku/>
        <w:wordWrap/>
        <w:overflowPunct/>
        <w:topLinePunct w:val="0"/>
        <w:autoSpaceDE/>
        <w:autoSpaceDN/>
        <w:bidi w:val="0"/>
        <w:adjustRightInd w:val="0"/>
        <w:snapToGrid w:val="0"/>
        <w:spacing w:line="440" w:lineRule="exact"/>
        <w:ind w:left="0" w:leftChars="0" w:firstLine="420" w:firstLineChars="0"/>
        <w:textAlignment w:val="auto"/>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消耗计量规则：</w:t>
      </w:r>
    </w:p>
    <w:p w14:paraId="6ACA9A8B">
      <w:pPr>
        <w:keepNext w:val="0"/>
        <w:keepLines w:val="0"/>
        <w:pageBreakBefore w:val="0"/>
        <w:widowControl w:val="0"/>
        <w:numPr>
          <w:ilvl w:val="0"/>
          <w:numId w:val="118"/>
        </w:numPr>
        <w:kinsoku/>
        <w:wordWrap/>
        <w:overflowPunct/>
        <w:topLinePunct w:val="0"/>
        <w:autoSpaceDE/>
        <w:autoSpaceDN/>
        <w:bidi w:val="0"/>
        <w:adjustRightInd w:val="0"/>
        <w:snapToGrid w:val="0"/>
        <w:spacing w:line="440" w:lineRule="exact"/>
        <w:ind w:left="420" w:leftChars="0" w:firstLine="220" w:firstLineChars="0"/>
        <w:textAlignment w:val="auto"/>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证书服务量以“张/年”为基本消耗单位。</w:t>
      </w:r>
    </w:p>
    <w:p w14:paraId="44E0E5EE">
      <w:pPr>
        <w:keepNext w:val="0"/>
        <w:keepLines w:val="0"/>
        <w:pageBreakBefore w:val="0"/>
        <w:widowControl w:val="0"/>
        <w:numPr>
          <w:ilvl w:val="0"/>
          <w:numId w:val="118"/>
        </w:numPr>
        <w:kinsoku/>
        <w:wordWrap/>
        <w:overflowPunct/>
        <w:topLinePunct w:val="0"/>
        <w:autoSpaceDE/>
        <w:autoSpaceDN/>
        <w:bidi w:val="0"/>
        <w:adjustRightInd w:val="0"/>
        <w:snapToGrid w:val="0"/>
        <w:spacing w:line="440" w:lineRule="exact"/>
        <w:ind w:left="420" w:leftChars="0" w:firstLine="220" w:firstLineChars="0"/>
        <w:textAlignment w:val="auto"/>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单张证书自成功授权之日起，即视为已启动并占用1个“张/年”的服务量。</w:t>
      </w:r>
    </w:p>
    <w:p w14:paraId="060BDB92">
      <w:pPr>
        <w:keepNext w:val="0"/>
        <w:keepLines w:val="0"/>
        <w:pageBreakBefore w:val="0"/>
        <w:widowControl w:val="0"/>
        <w:numPr>
          <w:ilvl w:val="0"/>
          <w:numId w:val="118"/>
        </w:numPr>
        <w:kinsoku/>
        <w:wordWrap/>
        <w:overflowPunct/>
        <w:topLinePunct w:val="0"/>
        <w:autoSpaceDE/>
        <w:autoSpaceDN/>
        <w:bidi w:val="0"/>
        <w:adjustRightInd w:val="0"/>
        <w:snapToGrid w:val="0"/>
        <w:spacing w:line="440" w:lineRule="exact"/>
        <w:ind w:left="420" w:leftChars="0" w:firstLine="220" w:firstLineChars="0"/>
        <w:textAlignment w:val="auto"/>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若用户在证书有效期内因离职、调岗等原因需提前终止授权，服务量的结算将按该证书实际生效的整年进行计算（不足整年按整年计），剩余部分可返还至甲方备用池或用于其他用户授权。</w:t>
      </w:r>
    </w:p>
    <w:p w14:paraId="4DEEEEDB">
      <w:pPr>
        <w:keepNext w:val="0"/>
        <w:keepLines w:val="0"/>
        <w:pageBreakBefore w:val="0"/>
        <w:widowControl w:val="0"/>
        <w:numPr>
          <w:ilvl w:val="0"/>
          <w:numId w:val="117"/>
        </w:numPr>
        <w:kinsoku/>
        <w:wordWrap/>
        <w:overflowPunct/>
        <w:topLinePunct w:val="0"/>
        <w:autoSpaceDE/>
        <w:autoSpaceDN/>
        <w:bidi w:val="0"/>
        <w:adjustRightInd w:val="0"/>
        <w:snapToGrid w:val="0"/>
        <w:spacing w:line="440" w:lineRule="exact"/>
        <w:ind w:left="0" w:leftChars="0" w:firstLine="420" w:firstLineChars="0"/>
        <w:textAlignment w:val="auto"/>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有效期计算：证书的有效期自其成功授权（对于续期证书）或正式签发（对于新申请证书）之日起重新计算，具体年限以本合同约定为准。</w:t>
      </w:r>
    </w:p>
    <w:p w14:paraId="62C5D283">
      <w:pPr>
        <w:keepNext w:val="0"/>
        <w:keepLines w:val="0"/>
        <w:pageBreakBefore w:val="0"/>
        <w:widowControl w:val="0"/>
        <w:numPr>
          <w:ilvl w:val="0"/>
          <w:numId w:val="117"/>
        </w:numPr>
        <w:kinsoku/>
        <w:wordWrap/>
        <w:overflowPunct/>
        <w:topLinePunct w:val="0"/>
        <w:autoSpaceDE/>
        <w:autoSpaceDN/>
        <w:bidi w:val="0"/>
        <w:adjustRightInd w:val="0"/>
        <w:snapToGrid w:val="0"/>
        <w:spacing w:line="440" w:lineRule="exact"/>
        <w:ind w:left="0" w:leftChars="0" w:firstLine="420" w:firstLineChars="0"/>
        <w:textAlignment w:val="auto"/>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授权管控流程：乙方在授权前，必须与甲方指定联系人确认用户在职状态及岗位需求。未经甲方确认的授权，不计入本合同约定的有效消耗量，且乙方应承担由此产生的一切责任。</w:t>
      </w:r>
    </w:p>
    <w:p w14:paraId="708C69D8">
      <w:pPr>
        <w:keepNext w:val="0"/>
        <w:keepLines w:val="0"/>
        <w:pageBreakBefore w:val="0"/>
        <w:widowControl w:val="0"/>
        <w:numPr>
          <w:ilvl w:val="0"/>
          <w:numId w:val="117"/>
        </w:numPr>
        <w:kinsoku/>
        <w:wordWrap/>
        <w:overflowPunct/>
        <w:topLinePunct w:val="0"/>
        <w:autoSpaceDE/>
        <w:autoSpaceDN/>
        <w:bidi w:val="0"/>
        <w:adjustRightInd w:val="0"/>
        <w:snapToGrid w:val="0"/>
        <w:spacing w:line="440" w:lineRule="exact"/>
        <w:ind w:left="0" w:leftChars="0" w:firstLine="420" w:firstLineChars="0"/>
        <w:textAlignment w:val="auto"/>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到期预警服务：乙方须建立主动预警机制，于每月第5个工作日前，向甲方提供一份所有有效期剩余不足30天的证书持有人明细清单，以便甲方提前审核并决策是否续期。</w:t>
      </w:r>
    </w:p>
    <w:p w14:paraId="38C3F89F">
      <w:pPr>
        <w:numPr>
          <w:ilvl w:val="0"/>
          <w:numId w:val="115"/>
        </w:numPr>
        <w:bidi w:val="0"/>
        <w:rPr>
          <w:rFonts w:hint="eastAsia"/>
          <w:b/>
          <w:bCs/>
          <w:sz w:val="21"/>
          <w:szCs w:val="21"/>
          <w:lang w:eastAsia="zh-CN"/>
        </w:rPr>
      </w:pPr>
      <w:r>
        <w:rPr>
          <w:rFonts w:hint="eastAsia"/>
          <w:b/>
          <w:bCs/>
          <w:sz w:val="21"/>
          <w:szCs w:val="21"/>
          <w:lang w:eastAsia="zh-CN"/>
        </w:rPr>
        <w:t>系统日常运维服务</w:t>
      </w:r>
    </w:p>
    <w:p w14:paraId="5B9D0496">
      <w:pPr>
        <w:numPr>
          <w:ilvl w:val="0"/>
          <w:numId w:val="119"/>
        </w:numPr>
        <w:bidi w:val="0"/>
        <w:rPr>
          <w:rFonts w:hint="eastAsia"/>
          <w:b/>
          <w:bCs/>
          <w:sz w:val="21"/>
          <w:szCs w:val="21"/>
        </w:rPr>
      </w:pPr>
      <w:r>
        <w:rPr>
          <w:rFonts w:hint="eastAsia"/>
          <w:b/>
          <w:bCs/>
          <w:sz w:val="21"/>
          <w:szCs w:val="21"/>
        </w:rPr>
        <w:t>服务</w:t>
      </w:r>
      <w:r>
        <w:rPr>
          <w:rFonts w:hint="eastAsia"/>
          <w:b/>
          <w:bCs/>
          <w:sz w:val="21"/>
          <w:szCs w:val="21"/>
          <w:lang w:eastAsia="zh-CN"/>
        </w:rPr>
        <w:t>内容和范围</w:t>
      </w:r>
    </w:p>
    <w:p w14:paraId="217D842A">
      <w:pPr>
        <w:pStyle w:val="40"/>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240" w:beforeAutospacing="0" w:after="240" w:afterAutospacing="0" w:line="440" w:lineRule="exact"/>
        <w:ind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对医院现有的移动CA系统（含数字签名服务器等相关硬件）提供全面的日常运维、技术支持与安全保障服务。</w:t>
      </w:r>
    </w:p>
    <w:p w14:paraId="3A85498A">
      <w:pPr>
        <w:numPr>
          <w:ilvl w:val="0"/>
          <w:numId w:val="119"/>
        </w:numPr>
        <w:bidi w:val="0"/>
        <w:rPr>
          <w:rFonts w:hint="eastAsia"/>
          <w:b/>
          <w:bCs/>
          <w:sz w:val="21"/>
          <w:szCs w:val="21"/>
          <w:lang w:eastAsia="zh-CN"/>
        </w:rPr>
      </w:pPr>
      <w:r>
        <w:rPr>
          <w:rFonts w:hint="eastAsia"/>
          <w:b/>
          <w:bCs/>
          <w:sz w:val="21"/>
          <w:szCs w:val="21"/>
          <w:lang w:eastAsia="zh-CN"/>
        </w:rPr>
        <w:t>运维</w:t>
      </w:r>
      <w:r>
        <w:rPr>
          <w:rFonts w:hint="eastAsia"/>
          <w:b/>
          <w:bCs/>
          <w:sz w:val="21"/>
          <w:szCs w:val="21"/>
        </w:rPr>
        <w:t>服务</w:t>
      </w:r>
      <w:r>
        <w:rPr>
          <w:rFonts w:hint="eastAsia"/>
          <w:b/>
          <w:bCs/>
          <w:sz w:val="21"/>
          <w:szCs w:val="21"/>
          <w:lang w:eastAsia="zh-CN"/>
        </w:rPr>
        <w:t>方式</w:t>
      </w:r>
    </w:p>
    <w:p w14:paraId="3BE188DC">
      <w:pPr>
        <w:pStyle w:val="40"/>
        <w:keepNext w:val="0"/>
        <w:keepLines w:val="0"/>
        <w:pageBreakBefore w:val="0"/>
        <w:widowControl/>
        <w:numPr>
          <w:ilvl w:val="0"/>
          <w:numId w:val="0"/>
        </w:numPr>
        <w:suppressLineNumbers w:val="0"/>
        <w:shd w:val="clear" w:fill="FFFFFF"/>
        <w:kinsoku/>
        <w:wordWrap/>
        <w:overflowPunct/>
        <w:topLinePunct w:val="0"/>
        <w:autoSpaceDE/>
        <w:autoSpaceDN/>
        <w:bidi w:val="0"/>
        <w:adjustRightInd/>
        <w:snapToGrid/>
        <w:spacing w:before="240" w:beforeAutospacing="0" w:after="240" w:afterAutospacing="0" w:line="440" w:lineRule="exact"/>
        <w:ind w:right="0" w:rightChars="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乙方提供的服务</w:t>
      </w:r>
      <w:r>
        <w:rPr>
          <w:rFonts w:hint="eastAsia" w:ascii="宋体" w:hAnsi="宋体" w:eastAsia="宋体" w:cs="宋体"/>
          <w:sz w:val="21"/>
          <w:szCs w:val="21"/>
          <w:lang w:eastAsia="zh-CN"/>
        </w:rPr>
        <w:t>方式</w:t>
      </w:r>
      <w:r>
        <w:rPr>
          <w:rFonts w:hint="eastAsia" w:ascii="宋体" w:hAnsi="宋体" w:eastAsia="宋体" w:cs="宋体"/>
          <w:sz w:val="21"/>
          <w:szCs w:val="21"/>
        </w:rPr>
        <w:t>包括：</w:t>
      </w:r>
    </w:p>
    <w:p w14:paraId="4991F17B">
      <w:pPr>
        <w:keepNext w:val="0"/>
        <w:keepLines w:val="0"/>
        <w:pageBreakBefore w:val="0"/>
        <w:widowControl w:val="0"/>
        <w:numPr>
          <w:ilvl w:val="0"/>
          <w:numId w:val="120"/>
        </w:numPr>
        <w:kinsoku/>
        <w:wordWrap/>
        <w:overflowPunct/>
        <w:topLinePunct w:val="0"/>
        <w:autoSpaceDE/>
        <w:autoSpaceDN/>
        <w:bidi w:val="0"/>
        <w:adjustRightInd/>
        <w:snapToGrid/>
        <w:spacing w:line="440" w:lineRule="exact"/>
        <w:ind w:left="425" w:leftChars="0" w:hanging="5" w:firstLineChars="0"/>
        <w:textAlignment w:val="auto"/>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在线服务：通过即时通信工具（如QQ、微信、邮件等）接收甲方问题反馈，并提供查询与解决服务；</w:t>
      </w:r>
    </w:p>
    <w:p w14:paraId="099DEC8E">
      <w:pPr>
        <w:keepNext w:val="0"/>
        <w:keepLines w:val="0"/>
        <w:pageBreakBefore w:val="0"/>
        <w:widowControl w:val="0"/>
        <w:numPr>
          <w:ilvl w:val="0"/>
          <w:numId w:val="120"/>
        </w:numPr>
        <w:kinsoku/>
        <w:wordWrap/>
        <w:overflowPunct/>
        <w:topLinePunct w:val="0"/>
        <w:autoSpaceDE/>
        <w:autoSpaceDN/>
        <w:bidi w:val="0"/>
        <w:adjustRightInd/>
        <w:snapToGrid/>
        <w:spacing w:line="440" w:lineRule="exact"/>
        <w:ind w:left="425" w:leftChars="0" w:hanging="5" w:firstLineChars="0"/>
        <w:textAlignment w:val="auto"/>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电话服务：通过电话为甲方提供问题解答服务；</w:t>
      </w:r>
    </w:p>
    <w:p w14:paraId="1596D9C3">
      <w:pPr>
        <w:keepNext w:val="0"/>
        <w:keepLines w:val="0"/>
        <w:pageBreakBefore w:val="0"/>
        <w:widowControl w:val="0"/>
        <w:numPr>
          <w:ilvl w:val="0"/>
          <w:numId w:val="120"/>
        </w:numPr>
        <w:kinsoku/>
        <w:wordWrap/>
        <w:overflowPunct/>
        <w:topLinePunct w:val="0"/>
        <w:autoSpaceDE/>
        <w:autoSpaceDN/>
        <w:bidi w:val="0"/>
        <w:adjustRightInd/>
        <w:snapToGrid/>
        <w:spacing w:line="440" w:lineRule="exact"/>
        <w:ind w:left="425" w:leftChars="0" w:hanging="5" w:firstLineChars="0"/>
        <w:textAlignment w:val="auto"/>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远程服务：通过远程连接对甲方系统进行调试与故障排除；</w:t>
      </w:r>
    </w:p>
    <w:p w14:paraId="0A7A0A50">
      <w:pPr>
        <w:keepNext w:val="0"/>
        <w:keepLines w:val="0"/>
        <w:pageBreakBefore w:val="0"/>
        <w:widowControl w:val="0"/>
        <w:numPr>
          <w:ilvl w:val="0"/>
          <w:numId w:val="120"/>
        </w:numPr>
        <w:kinsoku/>
        <w:wordWrap/>
        <w:overflowPunct/>
        <w:topLinePunct w:val="0"/>
        <w:autoSpaceDE/>
        <w:autoSpaceDN/>
        <w:bidi w:val="0"/>
        <w:adjustRightInd/>
        <w:snapToGrid/>
        <w:spacing w:line="440" w:lineRule="exact"/>
        <w:ind w:left="425" w:leftChars="0" w:hanging="5" w:firstLineChars="0"/>
        <w:textAlignment w:val="auto"/>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现场服务：派遣技术人员至甲方指定地点解决问题，并提供系统保障服务。</w:t>
      </w:r>
    </w:p>
    <w:p w14:paraId="2E0A5F0F">
      <w:pPr>
        <w:numPr>
          <w:ilvl w:val="0"/>
          <w:numId w:val="119"/>
        </w:numPr>
        <w:bidi w:val="0"/>
        <w:rPr>
          <w:rFonts w:hint="eastAsia"/>
          <w:b/>
          <w:bCs/>
          <w:sz w:val="21"/>
          <w:szCs w:val="21"/>
        </w:rPr>
      </w:pPr>
      <w:r>
        <w:rPr>
          <w:rFonts w:hint="eastAsia"/>
          <w:b/>
          <w:bCs/>
          <w:sz w:val="21"/>
          <w:szCs w:val="21"/>
        </w:rPr>
        <w:t>服务项目</w:t>
      </w:r>
      <w:r>
        <w:rPr>
          <w:rFonts w:hint="eastAsia"/>
          <w:b/>
          <w:bCs/>
          <w:sz w:val="21"/>
          <w:szCs w:val="21"/>
          <w:lang w:eastAsia="zh-CN"/>
        </w:rPr>
        <w:t>清单</w:t>
      </w:r>
    </w:p>
    <w:tbl>
      <w:tblPr>
        <w:tblStyle w:val="46"/>
        <w:tblpPr w:leftFromText="180" w:rightFromText="180" w:vertAnchor="text" w:horzAnchor="page" w:tblpX="1616" w:tblpY="452"/>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1"/>
        <w:gridCol w:w="3379"/>
        <w:gridCol w:w="1742"/>
        <w:gridCol w:w="1217"/>
        <w:gridCol w:w="1164"/>
        <w:gridCol w:w="791"/>
      </w:tblGrid>
      <w:tr w14:paraId="299CE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pct"/>
            <w:vMerge w:val="restart"/>
            <w:tcBorders>
              <w:top w:val="single" w:color="auto" w:sz="4" w:space="0"/>
              <w:left w:val="single" w:color="auto" w:sz="4" w:space="0"/>
              <w:bottom w:val="single" w:color="auto" w:sz="4" w:space="0"/>
              <w:right w:val="single" w:color="auto" w:sz="4" w:space="0"/>
            </w:tcBorders>
            <w:vAlign w:val="center"/>
          </w:tcPr>
          <w:p w14:paraId="62D9F1AD">
            <w:pPr>
              <w:spacing w:line="440" w:lineRule="exact"/>
              <w:jc w:val="center"/>
              <w:rPr>
                <w:rFonts w:hint="eastAsia" w:ascii="宋体" w:hAnsi="宋体" w:eastAsia="宋体" w:cs="宋体"/>
                <w:b/>
                <w:bCs/>
                <w:sz w:val="21"/>
                <w:szCs w:val="21"/>
              </w:rPr>
            </w:pPr>
            <w:r>
              <w:rPr>
                <w:rFonts w:hint="eastAsia" w:ascii="宋体" w:hAnsi="宋体" w:eastAsia="宋体" w:cs="宋体"/>
                <w:b/>
                <w:bCs/>
                <w:sz w:val="21"/>
                <w:szCs w:val="21"/>
              </w:rPr>
              <w:t>服务项目</w:t>
            </w:r>
          </w:p>
        </w:tc>
        <w:tc>
          <w:tcPr>
            <w:tcW w:w="1730" w:type="pct"/>
            <w:vMerge w:val="restart"/>
            <w:tcBorders>
              <w:top w:val="single" w:color="auto" w:sz="4" w:space="0"/>
              <w:left w:val="single" w:color="auto" w:sz="4" w:space="0"/>
              <w:bottom w:val="single" w:color="auto" w:sz="4" w:space="0"/>
              <w:right w:val="single" w:color="auto" w:sz="4" w:space="0"/>
            </w:tcBorders>
            <w:vAlign w:val="center"/>
          </w:tcPr>
          <w:p w14:paraId="34788D84">
            <w:pPr>
              <w:spacing w:line="440" w:lineRule="exact"/>
              <w:jc w:val="center"/>
              <w:rPr>
                <w:rFonts w:hint="eastAsia" w:ascii="宋体" w:hAnsi="宋体" w:eastAsia="宋体" w:cs="宋体"/>
                <w:b/>
                <w:bCs/>
                <w:sz w:val="21"/>
                <w:szCs w:val="21"/>
              </w:rPr>
            </w:pPr>
            <w:r>
              <w:rPr>
                <w:rFonts w:hint="eastAsia" w:ascii="宋体" w:hAnsi="宋体" w:eastAsia="宋体" w:cs="宋体"/>
                <w:b/>
                <w:bCs/>
                <w:sz w:val="21"/>
                <w:szCs w:val="21"/>
              </w:rPr>
              <w:t>服务内容</w:t>
            </w:r>
          </w:p>
        </w:tc>
        <w:tc>
          <w:tcPr>
            <w:tcW w:w="2516" w:type="pct"/>
            <w:gridSpan w:val="4"/>
            <w:tcBorders>
              <w:top w:val="single" w:color="auto" w:sz="4" w:space="0"/>
              <w:left w:val="single" w:color="auto" w:sz="4" w:space="0"/>
              <w:bottom w:val="single" w:color="auto" w:sz="4" w:space="0"/>
              <w:right w:val="single" w:color="auto" w:sz="4" w:space="0"/>
            </w:tcBorders>
            <w:vAlign w:val="center"/>
          </w:tcPr>
          <w:p w14:paraId="24E9E46E">
            <w:pPr>
              <w:spacing w:line="440" w:lineRule="exact"/>
              <w:jc w:val="center"/>
              <w:rPr>
                <w:rFonts w:hint="eastAsia" w:ascii="宋体" w:hAnsi="宋体" w:eastAsia="宋体" w:cs="宋体"/>
                <w:b/>
                <w:bCs/>
                <w:sz w:val="21"/>
                <w:szCs w:val="21"/>
              </w:rPr>
            </w:pPr>
            <w:r>
              <w:rPr>
                <w:rFonts w:hint="eastAsia" w:ascii="宋体" w:hAnsi="宋体" w:eastAsia="宋体" w:cs="宋体"/>
                <w:b/>
                <w:bCs/>
                <w:sz w:val="21"/>
                <w:szCs w:val="21"/>
              </w:rPr>
              <w:t>服务方式</w:t>
            </w:r>
          </w:p>
        </w:tc>
      </w:tr>
      <w:tr w14:paraId="2E5DA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pct"/>
            <w:vMerge w:val="continue"/>
            <w:tcBorders>
              <w:top w:val="single" w:color="auto" w:sz="4" w:space="0"/>
              <w:left w:val="single" w:color="auto" w:sz="4" w:space="0"/>
              <w:bottom w:val="single" w:color="auto" w:sz="4" w:space="0"/>
              <w:right w:val="single" w:color="auto" w:sz="4" w:space="0"/>
            </w:tcBorders>
            <w:vAlign w:val="center"/>
          </w:tcPr>
          <w:p w14:paraId="3FCD6463">
            <w:pPr>
              <w:spacing w:line="440" w:lineRule="exact"/>
              <w:rPr>
                <w:rFonts w:hint="eastAsia" w:ascii="宋体" w:hAnsi="宋体" w:eastAsia="宋体" w:cs="宋体"/>
                <w:b/>
                <w:bCs/>
                <w:sz w:val="21"/>
                <w:szCs w:val="21"/>
              </w:rPr>
            </w:pPr>
          </w:p>
        </w:tc>
        <w:tc>
          <w:tcPr>
            <w:tcW w:w="1730" w:type="pct"/>
            <w:vMerge w:val="continue"/>
            <w:tcBorders>
              <w:top w:val="single" w:color="auto" w:sz="4" w:space="0"/>
              <w:left w:val="single" w:color="auto" w:sz="4" w:space="0"/>
              <w:bottom w:val="single" w:color="auto" w:sz="4" w:space="0"/>
              <w:right w:val="single" w:color="auto" w:sz="4" w:space="0"/>
            </w:tcBorders>
            <w:vAlign w:val="center"/>
          </w:tcPr>
          <w:p w14:paraId="6D1C8A26">
            <w:pPr>
              <w:spacing w:line="440" w:lineRule="exact"/>
              <w:rPr>
                <w:rFonts w:hint="eastAsia" w:ascii="宋体" w:hAnsi="宋体" w:eastAsia="宋体" w:cs="宋体"/>
                <w:b/>
                <w:bCs/>
                <w:sz w:val="21"/>
                <w:szCs w:val="21"/>
              </w:rPr>
            </w:pPr>
          </w:p>
        </w:tc>
        <w:tc>
          <w:tcPr>
            <w:tcW w:w="892" w:type="pct"/>
            <w:tcBorders>
              <w:top w:val="single" w:color="auto" w:sz="4" w:space="0"/>
              <w:left w:val="single" w:color="auto" w:sz="4" w:space="0"/>
              <w:bottom w:val="single" w:color="auto" w:sz="4" w:space="0"/>
              <w:right w:val="single" w:color="auto" w:sz="4" w:space="0"/>
            </w:tcBorders>
            <w:vAlign w:val="center"/>
          </w:tcPr>
          <w:p w14:paraId="58262CFF">
            <w:pPr>
              <w:spacing w:line="440" w:lineRule="exact"/>
              <w:rPr>
                <w:rFonts w:hint="eastAsia" w:ascii="宋体" w:hAnsi="宋体" w:eastAsia="宋体" w:cs="宋体"/>
                <w:b/>
                <w:bCs/>
                <w:sz w:val="21"/>
                <w:szCs w:val="21"/>
              </w:rPr>
            </w:pPr>
            <w:r>
              <w:rPr>
                <w:rFonts w:hint="eastAsia" w:ascii="宋体" w:hAnsi="宋体" w:eastAsia="宋体" w:cs="宋体"/>
                <w:b/>
                <w:bCs/>
                <w:sz w:val="21"/>
                <w:szCs w:val="21"/>
              </w:rPr>
              <w:t>电话/在线服务</w:t>
            </w:r>
          </w:p>
        </w:tc>
        <w:tc>
          <w:tcPr>
            <w:tcW w:w="623" w:type="pct"/>
            <w:tcBorders>
              <w:top w:val="single" w:color="auto" w:sz="4" w:space="0"/>
              <w:left w:val="single" w:color="auto" w:sz="4" w:space="0"/>
              <w:bottom w:val="single" w:color="auto" w:sz="4" w:space="0"/>
              <w:right w:val="single" w:color="auto" w:sz="4" w:space="0"/>
            </w:tcBorders>
            <w:vAlign w:val="center"/>
          </w:tcPr>
          <w:p w14:paraId="508EB344">
            <w:pPr>
              <w:spacing w:line="440" w:lineRule="exact"/>
              <w:rPr>
                <w:rFonts w:hint="eastAsia" w:ascii="宋体" w:hAnsi="宋体" w:eastAsia="宋体" w:cs="宋体"/>
                <w:b/>
                <w:bCs/>
                <w:sz w:val="21"/>
                <w:szCs w:val="21"/>
              </w:rPr>
            </w:pPr>
            <w:r>
              <w:rPr>
                <w:rFonts w:hint="eastAsia" w:ascii="宋体" w:hAnsi="宋体" w:eastAsia="宋体" w:cs="宋体"/>
                <w:b/>
                <w:bCs/>
                <w:sz w:val="21"/>
                <w:szCs w:val="21"/>
              </w:rPr>
              <w:t>远程服务</w:t>
            </w:r>
          </w:p>
        </w:tc>
        <w:tc>
          <w:tcPr>
            <w:tcW w:w="596" w:type="pct"/>
            <w:tcBorders>
              <w:top w:val="single" w:color="auto" w:sz="4" w:space="0"/>
              <w:left w:val="single" w:color="auto" w:sz="4" w:space="0"/>
              <w:bottom w:val="single" w:color="auto" w:sz="4" w:space="0"/>
              <w:right w:val="single" w:color="auto" w:sz="4" w:space="0"/>
            </w:tcBorders>
            <w:vAlign w:val="center"/>
          </w:tcPr>
          <w:p w14:paraId="72CB3A18">
            <w:pPr>
              <w:spacing w:line="440" w:lineRule="exact"/>
              <w:rPr>
                <w:rFonts w:hint="eastAsia" w:ascii="宋体" w:hAnsi="宋体" w:eastAsia="宋体" w:cs="宋体"/>
                <w:b/>
                <w:bCs/>
                <w:sz w:val="21"/>
                <w:szCs w:val="21"/>
              </w:rPr>
            </w:pPr>
            <w:r>
              <w:rPr>
                <w:rFonts w:hint="eastAsia" w:ascii="宋体" w:hAnsi="宋体" w:eastAsia="宋体" w:cs="宋体"/>
                <w:b/>
                <w:bCs/>
                <w:sz w:val="21"/>
                <w:szCs w:val="21"/>
              </w:rPr>
              <w:t>现场服务</w:t>
            </w:r>
          </w:p>
        </w:tc>
        <w:tc>
          <w:tcPr>
            <w:tcW w:w="404" w:type="pct"/>
            <w:tcBorders>
              <w:top w:val="single" w:color="auto" w:sz="4" w:space="0"/>
              <w:left w:val="single" w:color="auto" w:sz="4" w:space="0"/>
              <w:bottom w:val="single" w:color="auto" w:sz="4" w:space="0"/>
              <w:right w:val="single" w:color="auto" w:sz="4" w:space="0"/>
            </w:tcBorders>
            <w:vAlign w:val="center"/>
          </w:tcPr>
          <w:p w14:paraId="7AE6C89A">
            <w:pPr>
              <w:spacing w:line="440" w:lineRule="exact"/>
              <w:rPr>
                <w:rFonts w:hint="eastAsia" w:ascii="宋体" w:hAnsi="宋体" w:eastAsia="宋体" w:cs="宋体"/>
                <w:b/>
                <w:bCs/>
                <w:sz w:val="21"/>
                <w:szCs w:val="21"/>
              </w:rPr>
            </w:pPr>
            <w:r>
              <w:rPr>
                <w:rFonts w:hint="eastAsia" w:ascii="宋体" w:hAnsi="宋体" w:eastAsia="宋体" w:cs="宋体"/>
                <w:b/>
                <w:bCs/>
                <w:sz w:val="21"/>
                <w:szCs w:val="21"/>
              </w:rPr>
              <w:t>备注</w:t>
            </w:r>
          </w:p>
        </w:tc>
      </w:tr>
      <w:tr w14:paraId="03561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pct"/>
            <w:vMerge w:val="restart"/>
            <w:tcBorders>
              <w:top w:val="single" w:color="auto" w:sz="4" w:space="0"/>
              <w:left w:val="single" w:color="auto" w:sz="4" w:space="0"/>
              <w:right w:val="single" w:color="auto" w:sz="4" w:space="0"/>
            </w:tcBorders>
            <w:vAlign w:val="center"/>
          </w:tcPr>
          <w:p w14:paraId="0E92B862">
            <w:pPr>
              <w:spacing w:line="440" w:lineRule="exac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移动CA系统（含数字签名服务器等相关硬件）</w:t>
            </w:r>
          </w:p>
        </w:tc>
        <w:tc>
          <w:tcPr>
            <w:tcW w:w="1730" w:type="pct"/>
            <w:tcBorders>
              <w:top w:val="single" w:color="auto" w:sz="4" w:space="0"/>
              <w:left w:val="single" w:color="auto" w:sz="4" w:space="0"/>
              <w:bottom w:val="single" w:color="auto" w:sz="4" w:space="0"/>
              <w:right w:val="single" w:color="auto" w:sz="4" w:space="0"/>
            </w:tcBorders>
            <w:vAlign w:val="center"/>
          </w:tcPr>
          <w:p w14:paraId="6D73CBA3">
            <w:pPr>
              <w:spacing w:line="440" w:lineRule="exact"/>
              <w:rPr>
                <w:rFonts w:hint="eastAsia" w:ascii="宋体" w:hAnsi="宋体" w:eastAsia="宋体" w:cs="宋体"/>
                <w:sz w:val="21"/>
                <w:szCs w:val="21"/>
                <w:lang w:val="en-US" w:eastAsia="zh-CN"/>
              </w:rPr>
            </w:pPr>
            <w:r>
              <w:rPr>
                <w:rFonts w:hint="eastAsia" w:ascii="宋体" w:hAnsi="宋体" w:eastAsia="宋体" w:cs="宋体"/>
                <w:i w:val="0"/>
                <w:iCs w:val="0"/>
                <w:caps w:val="0"/>
                <w:color w:val="0F1115"/>
                <w:spacing w:val="0"/>
                <w:sz w:val="21"/>
                <w:szCs w:val="21"/>
                <w:shd w:val="clear" w:fill="FFFFFF"/>
              </w:rPr>
              <w:t>提供数字证书从申请到注销的全流程管理咨询与服务</w:t>
            </w:r>
          </w:p>
        </w:tc>
        <w:tc>
          <w:tcPr>
            <w:tcW w:w="892" w:type="pct"/>
            <w:tcBorders>
              <w:top w:val="single" w:color="auto" w:sz="4" w:space="0"/>
              <w:left w:val="single" w:color="auto" w:sz="4" w:space="0"/>
              <w:right w:val="single" w:color="auto" w:sz="4" w:space="0"/>
            </w:tcBorders>
            <w:vAlign w:val="center"/>
          </w:tcPr>
          <w:p w14:paraId="213092C0">
            <w:pPr>
              <w:spacing w:line="44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rPr>
              <w:t>√</w:t>
            </w:r>
          </w:p>
        </w:tc>
        <w:tc>
          <w:tcPr>
            <w:tcW w:w="623" w:type="pct"/>
            <w:tcBorders>
              <w:top w:val="single" w:color="auto" w:sz="4" w:space="0"/>
              <w:left w:val="single" w:color="auto" w:sz="4" w:space="0"/>
              <w:bottom w:val="single" w:color="auto" w:sz="4" w:space="0"/>
              <w:right w:val="single" w:color="auto" w:sz="4" w:space="0"/>
            </w:tcBorders>
            <w:vAlign w:val="center"/>
          </w:tcPr>
          <w:p w14:paraId="3E37956E">
            <w:pPr>
              <w:spacing w:line="440" w:lineRule="exact"/>
              <w:jc w:val="center"/>
              <w:rPr>
                <w:rFonts w:hint="eastAsia" w:ascii="宋体" w:hAnsi="宋体" w:eastAsia="宋体" w:cs="宋体"/>
                <w:sz w:val="21"/>
                <w:szCs w:val="21"/>
              </w:rPr>
            </w:pPr>
            <w:r>
              <w:rPr>
                <w:rFonts w:hint="eastAsia" w:ascii="宋体" w:hAnsi="宋体" w:eastAsia="宋体" w:cs="宋体"/>
                <w:sz w:val="21"/>
                <w:szCs w:val="21"/>
              </w:rPr>
              <w:t>√</w:t>
            </w:r>
          </w:p>
        </w:tc>
        <w:tc>
          <w:tcPr>
            <w:tcW w:w="596" w:type="pct"/>
            <w:tcBorders>
              <w:top w:val="single" w:color="auto" w:sz="4" w:space="0"/>
              <w:left w:val="single" w:color="auto" w:sz="4" w:space="0"/>
              <w:bottom w:val="single" w:color="auto" w:sz="4" w:space="0"/>
              <w:right w:val="single" w:color="auto" w:sz="4" w:space="0"/>
            </w:tcBorders>
            <w:vAlign w:val="center"/>
          </w:tcPr>
          <w:p w14:paraId="7690A8C5">
            <w:pPr>
              <w:spacing w:line="440" w:lineRule="exact"/>
              <w:jc w:val="center"/>
              <w:rPr>
                <w:rFonts w:hint="eastAsia" w:ascii="宋体" w:hAnsi="宋体" w:eastAsia="宋体" w:cs="宋体"/>
                <w:sz w:val="21"/>
                <w:szCs w:val="21"/>
              </w:rPr>
            </w:pPr>
            <w:r>
              <w:rPr>
                <w:rFonts w:hint="eastAsia" w:ascii="宋体" w:hAnsi="宋体" w:eastAsia="宋体" w:cs="宋体"/>
                <w:sz w:val="21"/>
                <w:szCs w:val="21"/>
              </w:rPr>
              <w:t>√</w:t>
            </w:r>
          </w:p>
        </w:tc>
        <w:tc>
          <w:tcPr>
            <w:tcW w:w="404" w:type="pct"/>
            <w:tcBorders>
              <w:top w:val="single" w:color="auto" w:sz="4" w:space="0"/>
              <w:left w:val="single" w:color="auto" w:sz="4" w:space="0"/>
              <w:bottom w:val="single" w:color="auto" w:sz="4" w:space="0"/>
              <w:right w:val="single" w:color="auto" w:sz="4" w:space="0"/>
            </w:tcBorders>
            <w:vAlign w:val="center"/>
          </w:tcPr>
          <w:p w14:paraId="3522C07C">
            <w:pPr>
              <w:spacing w:line="440" w:lineRule="exact"/>
              <w:jc w:val="center"/>
              <w:rPr>
                <w:rFonts w:hint="eastAsia" w:ascii="宋体" w:hAnsi="宋体" w:eastAsia="宋体" w:cs="宋体"/>
                <w:sz w:val="21"/>
                <w:szCs w:val="21"/>
              </w:rPr>
            </w:pPr>
            <w:r>
              <w:rPr>
                <w:rFonts w:hint="eastAsia" w:ascii="宋体" w:hAnsi="宋体" w:eastAsia="宋体" w:cs="宋体"/>
                <w:sz w:val="21"/>
                <w:szCs w:val="21"/>
              </w:rPr>
              <w:t>-</w:t>
            </w:r>
          </w:p>
        </w:tc>
      </w:tr>
      <w:tr w14:paraId="44A73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pct"/>
            <w:vMerge w:val="continue"/>
            <w:tcBorders>
              <w:left w:val="single" w:color="auto" w:sz="4" w:space="0"/>
              <w:right w:val="single" w:color="auto" w:sz="4" w:space="0"/>
            </w:tcBorders>
            <w:vAlign w:val="center"/>
          </w:tcPr>
          <w:p w14:paraId="564C7FE8">
            <w:pPr>
              <w:spacing w:line="440" w:lineRule="exact"/>
              <w:rPr>
                <w:rFonts w:hint="eastAsia" w:ascii="宋体" w:hAnsi="宋体" w:eastAsia="宋体" w:cs="宋体"/>
                <w:sz w:val="21"/>
                <w:szCs w:val="21"/>
              </w:rPr>
            </w:pPr>
          </w:p>
        </w:tc>
        <w:tc>
          <w:tcPr>
            <w:tcW w:w="1730" w:type="pct"/>
            <w:tcBorders>
              <w:top w:val="single" w:color="auto" w:sz="4" w:space="0"/>
              <w:left w:val="single" w:color="auto" w:sz="4" w:space="0"/>
              <w:bottom w:val="single" w:color="auto" w:sz="4" w:space="0"/>
              <w:right w:val="single" w:color="auto" w:sz="4" w:space="0"/>
            </w:tcBorders>
            <w:vAlign w:val="center"/>
          </w:tcPr>
          <w:p w14:paraId="1624C39B">
            <w:pPr>
              <w:spacing w:line="440" w:lineRule="exact"/>
              <w:rPr>
                <w:rFonts w:hint="eastAsia" w:ascii="宋体" w:hAnsi="宋体" w:eastAsia="宋体" w:cs="宋体"/>
                <w:sz w:val="21"/>
                <w:szCs w:val="21"/>
                <w:lang w:val="en-US" w:eastAsia="zh-CN"/>
              </w:rPr>
            </w:pPr>
            <w:r>
              <w:rPr>
                <w:rFonts w:hint="eastAsia" w:ascii="宋体" w:hAnsi="宋体" w:eastAsia="宋体" w:cs="宋体"/>
                <w:i w:val="0"/>
                <w:iCs w:val="0"/>
                <w:caps w:val="0"/>
                <w:color w:val="0F1115"/>
                <w:spacing w:val="0"/>
                <w:sz w:val="21"/>
                <w:szCs w:val="21"/>
                <w:shd w:val="clear" w:fill="FFFFFF"/>
              </w:rPr>
              <w:t>故障发生时提供7×24小时响应，6小时内到场保障业务恢复</w:t>
            </w:r>
          </w:p>
        </w:tc>
        <w:tc>
          <w:tcPr>
            <w:tcW w:w="892" w:type="pct"/>
            <w:tcBorders>
              <w:left w:val="single" w:color="auto" w:sz="4" w:space="0"/>
              <w:right w:val="single" w:color="auto" w:sz="4" w:space="0"/>
            </w:tcBorders>
            <w:vAlign w:val="center"/>
          </w:tcPr>
          <w:p w14:paraId="024A70C7">
            <w:pPr>
              <w:spacing w:line="440" w:lineRule="exact"/>
              <w:jc w:val="center"/>
              <w:rPr>
                <w:rFonts w:hint="eastAsia" w:ascii="宋体" w:hAnsi="宋体" w:eastAsia="宋体" w:cs="宋体"/>
                <w:sz w:val="21"/>
                <w:szCs w:val="21"/>
              </w:rPr>
            </w:pPr>
            <w:r>
              <w:rPr>
                <w:rFonts w:hint="eastAsia" w:ascii="宋体" w:hAnsi="宋体" w:eastAsia="宋体" w:cs="宋体"/>
                <w:sz w:val="21"/>
                <w:szCs w:val="21"/>
              </w:rPr>
              <w:t>√</w:t>
            </w:r>
          </w:p>
        </w:tc>
        <w:tc>
          <w:tcPr>
            <w:tcW w:w="623" w:type="pct"/>
            <w:tcBorders>
              <w:top w:val="single" w:color="auto" w:sz="4" w:space="0"/>
              <w:left w:val="single" w:color="auto" w:sz="4" w:space="0"/>
              <w:bottom w:val="single" w:color="auto" w:sz="4" w:space="0"/>
              <w:right w:val="single" w:color="auto" w:sz="4" w:space="0"/>
            </w:tcBorders>
            <w:shd w:val="clear" w:color="auto" w:fill="auto"/>
            <w:vAlign w:val="center"/>
          </w:tcPr>
          <w:p w14:paraId="3BF6961C">
            <w:pPr>
              <w:spacing w:line="44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w:t>
            </w:r>
          </w:p>
        </w:tc>
        <w:tc>
          <w:tcPr>
            <w:tcW w:w="596" w:type="pct"/>
            <w:tcBorders>
              <w:top w:val="single" w:color="auto" w:sz="4" w:space="0"/>
              <w:left w:val="single" w:color="auto" w:sz="4" w:space="0"/>
              <w:bottom w:val="single" w:color="auto" w:sz="4" w:space="0"/>
              <w:right w:val="single" w:color="auto" w:sz="4" w:space="0"/>
            </w:tcBorders>
            <w:shd w:val="clear" w:color="auto" w:fill="auto"/>
            <w:vAlign w:val="center"/>
          </w:tcPr>
          <w:p w14:paraId="3CAD410C">
            <w:pPr>
              <w:spacing w:line="44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w:t>
            </w:r>
          </w:p>
        </w:tc>
        <w:tc>
          <w:tcPr>
            <w:tcW w:w="404" w:type="pct"/>
            <w:tcBorders>
              <w:top w:val="single" w:color="auto" w:sz="4" w:space="0"/>
              <w:left w:val="single" w:color="auto" w:sz="4" w:space="0"/>
              <w:bottom w:val="single" w:color="auto" w:sz="4" w:space="0"/>
              <w:right w:val="single" w:color="auto" w:sz="4" w:space="0"/>
            </w:tcBorders>
            <w:vAlign w:val="center"/>
          </w:tcPr>
          <w:p w14:paraId="64955CC7">
            <w:pPr>
              <w:spacing w:line="440" w:lineRule="exact"/>
              <w:jc w:val="center"/>
              <w:rPr>
                <w:rFonts w:hint="eastAsia" w:ascii="宋体" w:hAnsi="宋体" w:eastAsia="宋体" w:cs="宋体"/>
                <w:sz w:val="21"/>
                <w:szCs w:val="21"/>
              </w:rPr>
            </w:pPr>
            <w:r>
              <w:rPr>
                <w:rFonts w:hint="eastAsia" w:ascii="宋体" w:hAnsi="宋体" w:eastAsia="宋体" w:cs="宋体"/>
                <w:sz w:val="21"/>
                <w:szCs w:val="21"/>
              </w:rPr>
              <w:t>-</w:t>
            </w:r>
          </w:p>
        </w:tc>
      </w:tr>
      <w:tr w14:paraId="29F39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pct"/>
            <w:vMerge w:val="continue"/>
            <w:tcBorders>
              <w:left w:val="single" w:color="auto" w:sz="4" w:space="0"/>
              <w:right w:val="single" w:color="auto" w:sz="4" w:space="0"/>
            </w:tcBorders>
            <w:vAlign w:val="center"/>
          </w:tcPr>
          <w:p w14:paraId="497CDD13">
            <w:pPr>
              <w:spacing w:line="440" w:lineRule="exact"/>
              <w:rPr>
                <w:rFonts w:hint="eastAsia" w:ascii="宋体" w:hAnsi="宋体" w:eastAsia="宋体" w:cs="宋体"/>
                <w:sz w:val="21"/>
                <w:szCs w:val="21"/>
              </w:rPr>
            </w:pPr>
          </w:p>
        </w:tc>
        <w:tc>
          <w:tcPr>
            <w:tcW w:w="1730" w:type="pct"/>
            <w:tcBorders>
              <w:top w:val="single" w:color="auto" w:sz="4" w:space="0"/>
              <w:left w:val="single" w:color="auto" w:sz="4" w:space="0"/>
              <w:bottom w:val="single" w:color="auto" w:sz="4" w:space="0"/>
              <w:right w:val="single" w:color="auto" w:sz="4" w:space="0"/>
            </w:tcBorders>
            <w:vAlign w:val="center"/>
          </w:tcPr>
          <w:p w14:paraId="509F44E4">
            <w:pPr>
              <w:spacing w:line="440" w:lineRule="exact"/>
              <w:rPr>
                <w:rFonts w:hint="eastAsia" w:ascii="宋体" w:hAnsi="宋体" w:eastAsia="宋体" w:cs="宋体"/>
                <w:sz w:val="21"/>
                <w:szCs w:val="21"/>
                <w:lang w:val="en-US" w:eastAsia="zh-CN"/>
              </w:rPr>
            </w:pPr>
            <w:r>
              <w:rPr>
                <w:rFonts w:hint="eastAsia" w:ascii="宋体" w:hAnsi="宋体" w:eastAsia="宋体" w:cs="宋体"/>
                <w:i w:val="0"/>
                <w:iCs w:val="0"/>
                <w:caps w:val="0"/>
                <w:color w:val="0F1115"/>
                <w:spacing w:val="0"/>
                <w:sz w:val="21"/>
                <w:szCs w:val="21"/>
                <w:shd w:val="clear" w:fill="FFFFFF"/>
              </w:rPr>
              <w:t>保障全院系统正常运行，提供科室推广与24小时远程支持</w:t>
            </w:r>
          </w:p>
        </w:tc>
        <w:tc>
          <w:tcPr>
            <w:tcW w:w="892" w:type="pct"/>
            <w:tcBorders>
              <w:left w:val="single" w:color="auto" w:sz="4" w:space="0"/>
              <w:right w:val="single" w:color="auto" w:sz="4" w:space="0"/>
            </w:tcBorders>
            <w:vAlign w:val="center"/>
          </w:tcPr>
          <w:p w14:paraId="35E2D316">
            <w:pPr>
              <w:spacing w:line="440" w:lineRule="exact"/>
              <w:jc w:val="center"/>
              <w:rPr>
                <w:rFonts w:hint="eastAsia" w:ascii="宋体" w:hAnsi="宋体" w:eastAsia="宋体" w:cs="宋体"/>
                <w:sz w:val="21"/>
                <w:szCs w:val="21"/>
              </w:rPr>
            </w:pPr>
            <w:r>
              <w:rPr>
                <w:rFonts w:hint="eastAsia" w:ascii="宋体" w:hAnsi="宋体" w:eastAsia="宋体" w:cs="宋体"/>
                <w:sz w:val="21"/>
                <w:szCs w:val="21"/>
              </w:rPr>
              <w:t>√</w:t>
            </w:r>
          </w:p>
        </w:tc>
        <w:tc>
          <w:tcPr>
            <w:tcW w:w="623" w:type="pct"/>
            <w:tcBorders>
              <w:top w:val="single" w:color="auto" w:sz="4" w:space="0"/>
              <w:left w:val="single" w:color="auto" w:sz="4" w:space="0"/>
              <w:bottom w:val="single" w:color="auto" w:sz="4" w:space="0"/>
              <w:right w:val="single" w:color="auto" w:sz="4" w:space="0"/>
            </w:tcBorders>
            <w:shd w:val="clear" w:color="auto" w:fill="auto"/>
            <w:vAlign w:val="center"/>
          </w:tcPr>
          <w:p w14:paraId="7C140BEF">
            <w:pPr>
              <w:spacing w:line="44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w:t>
            </w:r>
          </w:p>
        </w:tc>
        <w:tc>
          <w:tcPr>
            <w:tcW w:w="596" w:type="pct"/>
            <w:tcBorders>
              <w:top w:val="single" w:color="auto" w:sz="4" w:space="0"/>
              <w:left w:val="single" w:color="auto" w:sz="4" w:space="0"/>
              <w:bottom w:val="single" w:color="auto" w:sz="4" w:space="0"/>
              <w:right w:val="single" w:color="auto" w:sz="4" w:space="0"/>
            </w:tcBorders>
            <w:shd w:val="clear" w:color="auto" w:fill="auto"/>
            <w:vAlign w:val="center"/>
          </w:tcPr>
          <w:p w14:paraId="566B40B0">
            <w:pPr>
              <w:spacing w:line="44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w:t>
            </w:r>
          </w:p>
        </w:tc>
        <w:tc>
          <w:tcPr>
            <w:tcW w:w="404" w:type="pct"/>
            <w:tcBorders>
              <w:top w:val="single" w:color="auto" w:sz="4" w:space="0"/>
              <w:left w:val="single" w:color="auto" w:sz="4" w:space="0"/>
              <w:bottom w:val="single" w:color="auto" w:sz="4" w:space="0"/>
              <w:right w:val="single" w:color="auto" w:sz="4" w:space="0"/>
            </w:tcBorders>
            <w:vAlign w:val="center"/>
          </w:tcPr>
          <w:p w14:paraId="1F7030ED">
            <w:pPr>
              <w:spacing w:line="440" w:lineRule="exact"/>
              <w:jc w:val="center"/>
              <w:rPr>
                <w:rFonts w:hint="eastAsia" w:ascii="宋体" w:hAnsi="宋体" w:eastAsia="宋体" w:cs="宋体"/>
                <w:sz w:val="21"/>
                <w:szCs w:val="21"/>
              </w:rPr>
            </w:pPr>
            <w:r>
              <w:rPr>
                <w:rFonts w:hint="eastAsia" w:ascii="宋体" w:hAnsi="宋体" w:eastAsia="宋体" w:cs="宋体"/>
                <w:sz w:val="21"/>
                <w:szCs w:val="21"/>
              </w:rPr>
              <w:t>-</w:t>
            </w:r>
          </w:p>
        </w:tc>
      </w:tr>
      <w:tr w14:paraId="6B031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pct"/>
            <w:vMerge w:val="continue"/>
            <w:tcBorders>
              <w:left w:val="single" w:color="auto" w:sz="4" w:space="0"/>
              <w:right w:val="single" w:color="auto" w:sz="4" w:space="0"/>
            </w:tcBorders>
            <w:vAlign w:val="center"/>
          </w:tcPr>
          <w:p w14:paraId="0676FF08">
            <w:pPr>
              <w:spacing w:line="440" w:lineRule="exact"/>
              <w:rPr>
                <w:rFonts w:hint="eastAsia" w:ascii="宋体" w:hAnsi="宋体" w:eastAsia="宋体" w:cs="宋体"/>
                <w:sz w:val="21"/>
                <w:szCs w:val="21"/>
              </w:rPr>
            </w:pPr>
          </w:p>
        </w:tc>
        <w:tc>
          <w:tcPr>
            <w:tcW w:w="1730" w:type="pct"/>
            <w:tcBorders>
              <w:top w:val="single" w:color="auto" w:sz="4" w:space="0"/>
              <w:left w:val="single" w:color="auto" w:sz="4" w:space="0"/>
              <w:bottom w:val="single" w:color="auto" w:sz="4" w:space="0"/>
              <w:right w:val="single" w:color="auto" w:sz="4" w:space="0"/>
            </w:tcBorders>
            <w:vAlign w:val="center"/>
          </w:tcPr>
          <w:p w14:paraId="6996C9FE">
            <w:pPr>
              <w:spacing w:line="440" w:lineRule="exact"/>
              <w:rPr>
                <w:rFonts w:hint="eastAsia" w:ascii="宋体" w:hAnsi="宋体" w:eastAsia="宋体" w:cs="宋体"/>
                <w:sz w:val="21"/>
                <w:szCs w:val="21"/>
                <w:lang w:val="en-US" w:eastAsia="zh-CN"/>
              </w:rPr>
            </w:pPr>
            <w:r>
              <w:rPr>
                <w:rFonts w:hint="eastAsia" w:ascii="宋体" w:hAnsi="宋体" w:eastAsia="宋体" w:cs="宋体"/>
                <w:i w:val="0"/>
                <w:iCs w:val="0"/>
                <w:caps w:val="0"/>
                <w:color w:val="0F1115"/>
                <w:spacing w:val="0"/>
                <w:sz w:val="21"/>
                <w:szCs w:val="21"/>
                <w:shd w:val="clear" w:fill="FFFFFF"/>
              </w:rPr>
              <w:t>按要求提供签名签章处理并现场制作数字证书</w:t>
            </w:r>
          </w:p>
        </w:tc>
        <w:tc>
          <w:tcPr>
            <w:tcW w:w="892" w:type="pct"/>
            <w:tcBorders>
              <w:left w:val="single" w:color="auto" w:sz="4" w:space="0"/>
              <w:right w:val="single" w:color="auto" w:sz="4" w:space="0"/>
            </w:tcBorders>
            <w:vAlign w:val="center"/>
          </w:tcPr>
          <w:p w14:paraId="62F3F0DB">
            <w:pPr>
              <w:spacing w:line="440" w:lineRule="exact"/>
              <w:jc w:val="center"/>
              <w:rPr>
                <w:rFonts w:hint="eastAsia" w:ascii="宋体" w:hAnsi="宋体" w:eastAsia="宋体" w:cs="宋体"/>
                <w:sz w:val="21"/>
                <w:szCs w:val="21"/>
              </w:rPr>
            </w:pPr>
            <w:r>
              <w:rPr>
                <w:rFonts w:hint="eastAsia" w:ascii="宋体" w:hAnsi="宋体" w:eastAsia="宋体" w:cs="宋体"/>
                <w:sz w:val="21"/>
                <w:szCs w:val="21"/>
              </w:rPr>
              <w:t>√</w:t>
            </w:r>
          </w:p>
        </w:tc>
        <w:tc>
          <w:tcPr>
            <w:tcW w:w="623" w:type="pct"/>
            <w:tcBorders>
              <w:top w:val="single" w:color="auto" w:sz="4" w:space="0"/>
              <w:left w:val="single" w:color="auto" w:sz="4" w:space="0"/>
              <w:bottom w:val="single" w:color="auto" w:sz="4" w:space="0"/>
              <w:right w:val="single" w:color="auto" w:sz="4" w:space="0"/>
            </w:tcBorders>
            <w:shd w:val="clear" w:color="auto" w:fill="auto"/>
            <w:vAlign w:val="center"/>
          </w:tcPr>
          <w:p w14:paraId="0B4D5E27">
            <w:pPr>
              <w:spacing w:line="44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w:t>
            </w:r>
          </w:p>
        </w:tc>
        <w:tc>
          <w:tcPr>
            <w:tcW w:w="596" w:type="pct"/>
            <w:tcBorders>
              <w:top w:val="single" w:color="auto" w:sz="4" w:space="0"/>
              <w:left w:val="single" w:color="auto" w:sz="4" w:space="0"/>
              <w:bottom w:val="single" w:color="auto" w:sz="4" w:space="0"/>
              <w:right w:val="single" w:color="auto" w:sz="4" w:space="0"/>
            </w:tcBorders>
            <w:shd w:val="clear" w:color="auto" w:fill="auto"/>
            <w:vAlign w:val="center"/>
          </w:tcPr>
          <w:p w14:paraId="17DF1197">
            <w:pPr>
              <w:spacing w:line="44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w:t>
            </w:r>
          </w:p>
        </w:tc>
        <w:tc>
          <w:tcPr>
            <w:tcW w:w="404" w:type="pct"/>
            <w:tcBorders>
              <w:top w:val="single" w:color="auto" w:sz="4" w:space="0"/>
              <w:left w:val="single" w:color="auto" w:sz="4" w:space="0"/>
              <w:bottom w:val="single" w:color="auto" w:sz="4" w:space="0"/>
              <w:right w:val="single" w:color="auto" w:sz="4" w:space="0"/>
            </w:tcBorders>
            <w:vAlign w:val="center"/>
          </w:tcPr>
          <w:p w14:paraId="5C2086DD">
            <w:pPr>
              <w:spacing w:line="440" w:lineRule="exact"/>
              <w:jc w:val="center"/>
              <w:rPr>
                <w:rFonts w:hint="eastAsia" w:ascii="宋体" w:hAnsi="宋体" w:eastAsia="宋体" w:cs="宋体"/>
                <w:sz w:val="21"/>
                <w:szCs w:val="21"/>
              </w:rPr>
            </w:pPr>
            <w:r>
              <w:rPr>
                <w:rFonts w:hint="eastAsia" w:ascii="宋体" w:hAnsi="宋体" w:eastAsia="宋体" w:cs="宋体"/>
                <w:sz w:val="21"/>
                <w:szCs w:val="21"/>
              </w:rPr>
              <w:t>-</w:t>
            </w:r>
          </w:p>
        </w:tc>
      </w:tr>
      <w:tr w14:paraId="47466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753" w:type="pct"/>
            <w:vMerge w:val="continue"/>
            <w:tcBorders>
              <w:left w:val="single" w:color="auto" w:sz="4" w:space="0"/>
              <w:right w:val="single" w:color="auto" w:sz="4" w:space="0"/>
            </w:tcBorders>
            <w:vAlign w:val="center"/>
          </w:tcPr>
          <w:p w14:paraId="0F6CD1E5">
            <w:pPr>
              <w:spacing w:line="440" w:lineRule="exact"/>
              <w:rPr>
                <w:rFonts w:hint="eastAsia" w:ascii="宋体" w:hAnsi="宋体" w:eastAsia="宋体" w:cs="宋体"/>
                <w:sz w:val="21"/>
                <w:szCs w:val="21"/>
              </w:rPr>
            </w:pPr>
          </w:p>
        </w:tc>
        <w:tc>
          <w:tcPr>
            <w:tcW w:w="1730" w:type="pct"/>
            <w:tcBorders>
              <w:top w:val="single" w:color="auto" w:sz="4" w:space="0"/>
              <w:left w:val="single" w:color="auto" w:sz="4" w:space="0"/>
              <w:bottom w:val="single" w:color="auto" w:sz="4" w:space="0"/>
              <w:right w:val="single" w:color="auto" w:sz="4" w:space="0"/>
            </w:tcBorders>
            <w:vAlign w:val="center"/>
          </w:tcPr>
          <w:p w14:paraId="0762621B">
            <w:pPr>
              <w:spacing w:line="440" w:lineRule="exact"/>
              <w:rPr>
                <w:rFonts w:hint="eastAsia" w:ascii="宋体" w:hAnsi="宋体" w:eastAsia="宋体" w:cs="宋体"/>
                <w:sz w:val="21"/>
                <w:szCs w:val="21"/>
              </w:rPr>
            </w:pPr>
            <w:r>
              <w:rPr>
                <w:rFonts w:hint="eastAsia" w:ascii="宋体" w:hAnsi="宋体" w:eastAsia="宋体" w:cs="宋体"/>
                <w:i w:val="0"/>
                <w:iCs w:val="0"/>
                <w:caps w:val="0"/>
                <w:color w:val="0F1115"/>
                <w:spacing w:val="0"/>
                <w:sz w:val="21"/>
                <w:szCs w:val="21"/>
                <w:shd w:val="clear" w:fill="FFFFFF"/>
              </w:rPr>
              <w:t>建立移动终端认证与签名流程，实现云签署标准化与安全管理</w:t>
            </w:r>
          </w:p>
        </w:tc>
        <w:tc>
          <w:tcPr>
            <w:tcW w:w="892" w:type="pct"/>
            <w:tcBorders>
              <w:left w:val="single" w:color="auto" w:sz="4" w:space="0"/>
              <w:right w:val="single" w:color="auto" w:sz="4" w:space="0"/>
            </w:tcBorders>
            <w:vAlign w:val="center"/>
          </w:tcPr>
          <w:p w14:paraId="2656FCBF">
            <w:pPr>
              <w:spacing w:line="440" w:lineRule="exact"/>
              <w:jc w:val="center"/>
              <w:rPr>
                <w:rFonts w:hint="eastAsia" w:ascii="宋体" w:hAnsi="宋体" w:eastAsia="宋体" w:cs="宋体"/>
                <w:sz w:val="21"/>
                <w:szCs w:val="21"/>
              </w:rPr>
            </w:pPr>
            <w:r>
              <w:rPr>
                <w:rFonts w:hint="eastAsia" w:ascii="宋体" w:hAnsi="宋体" w:eastAsia="宋体" w:cs="宋体"/>
                <w:sz w:val="21"/>
                <w:szCs w:val="21"/>
              </w:rPr>
              <w:t>√</w:t>
            </w:r>
          </w:p>
        </w:tc>
        <w:tc>
          <w:tcPr>
            <w:tcW w:w="623" w:type="pct"/>
            <w:tcBorders>
              <w:top w:val="single" w:color="auto" w:sz="4" w:space="0"/>
              <w:left w:val="single" w:color="auto" w:sz="4" w:space="0"/>
              <w:bottom w:val="single" w:color="auto" w:sz="4" w:space="0"/>
              <w:right w:val="single" w:color="auto" w:sz="4" w:space="0"/>
            </w:tcBorders>
            <w:shd w:val="clear" w:color="auto" w:fill="auto"/>
            <w:vAlign w:val="center"/>
          </w:tcPr>
          <w:p w14:paraId="2E4260E7">
            <w:pPr>
              <w:spacing w:line="44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w:t>
            </w:r>
          </w:p>
        </w:tc>
        <w:tc>
          <w:tcPr>
            <w:tcW w:w="596" w:type="pct"/>
            <w:tcBorders>
              <w:top w:val="single" w:color="auto" w:sz="4" w:space="0"/>
              <w:left w:val="single" w:color="auto" w:sz="4" w:space="0"/>
              <w:bottom w:val="single" w:color="auto" w:sz="4" w:space="0"/>
              <w:right w:val="single" w:color="auto" w:sz="4" w:space="0"/>
            </w:tcBorders>
            <w:shd w:val="clear" w:color="auto" w:fill="auto"/>
            <w:vAlign w:val="center"/>
          </w:tcPr>
          <w:p w14:paraId="72C6E74F">
            <w:pPr>
              <w:spacing w:line="44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w:t>
            </w:r>
          </w:p>
        </w:tc>
        <w:tc>
          <w:tcPr>
            <w:tcW w:w="404" w:type="pct"/>
            <w:tcBorders>
              <w:top w:val="single" w:color="auto" w:sz="4" w:space="0"/>
              <w:left w:val="single" w:color="auto" w:sz="4" w:space="0"/>
              <w:bottom w:val="single" w:color="auto" w:sz="4" w:space="0"/>
              <w:right w:val="single" w:color="auto" w:sz="4" w:space="0"/>
            </w:tcBorders>
            <w:vAlign w:val="center"/>
          </w:tcPr>
          <w:p w14:paraId="113FAD4E">
            <w:pPr>
              <w:spacing w:line="440" w:lineRule="exact"/>
              <w:jc w:val="center"/>
              <w:rPr>
                <w:rFonts w:hint="eastAsia" w:ascii="宋体" w:hAnsi="宋体" w:eastAsia="宋体" w:cs="宋体"/>
                <w:sz w:val="21"/>
                <w:szCs w:val="21"/>
              </w:rPr>
            </w:pPr>
            <w:r>
              <w:rPr>
                <w:rFonts w:hint="eastAsia" w:ascii="宋体" w:hAnsi="宋体" w:eastAsia="宋体" w:cs="宋体"/>
                <w:sz w:val="21"/>
                <w:szCs w:val="21"/>
              </w:rPr>
              <w:t>-</w:t>
            </w:r>
          </w:p>
        </w:tc>
      </w:tr>
      <w:tr w14:paraId="09F4B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3" w:type="pct"/>
            <w:vMerge w:val="continue"/>
            <w:tcBorders>
              <w:left w:val="single" w:color="auto" w:sz="4" w:space="0"/>
              <w:right w:val="single" w:color="auto" w:sz="4" w:space="0"/>
            </w:tcBorders>
            <w:vAlign w:val="center"/>
          </w:tcPr>
          <w:p w14:paraId="66E3BC1F">
            <w:pPr>
              <w:spacing w:line="440" w:lineRule="exact"/>
              <w:rPr>
                <w:rFonts w:hint="eastAsia" w:ascii="宋体" w:hAnsi="宋体" w:eastAsia="宋体" w:cs="宋体"/>
                <w:sz w:val="21"/>
                <w:szCs w:val="21"/>
              </w:rPr>
            </w:pPr>
          </w:p>
        </w:tc>
        <w:tc>
          <w:tcPr>
            <w:tcW w:w="1730" w:type="pct"/>
            <w:tcBorders>
              <w:top w:val="single" w:color="auto" w:sz="4" w:space="0"/>
              <w:left w:val="single" w:color="auto" w:sz="4" w:space="0"/>
              <w:bottom w:val="single" w:color="auto" w:sz="4" w:space="0"/>
              <w:right w:val="single" w:color="auto" w:sz="4" w:space="0"/>
            </w:tcBorders>
            <w:vAlign w:val="center"/>
          </w:tcPr>
          <w:p w14:paraId="45A7D661">
            <w:pPr>
              <w:spacing w:line="440" w:lineRule="exact"/>
              <w:jc w:val="left"/>
              <w:rPr>
                <w:rFonts w:hint="eastAsia" w:ascii="宋体" w:hAnsi="宋体" w:eastAsia="宋体" w:cs="宋体"/>
                <w:sz w:val="21"/>
                <w:szCs w:val="21"/>
              </w:rPr>
            </w:pPr>
            <w:r>
              <w:rPr>
                <w:rFonts w:hint="eastAsia" w:ascii="宋体" w:hAnsi="宋体" w:eastAsia="宋体" w:cs="宋体"/>
                <w:sz w:val="21"/>
                <w:szCs w:val="21"/>
              </w:rPr>
              <w:t>提供系统升级、定期巡检及专业技术支持服务</w:t>
            </w:r>
          </w:p>
        </w:tc>
        <w:tc>
          <w:tcPr>
            <w:tcW w:w="892" w:type="pct"/>
            <w:tcBorders>
              <w:left w:val="single" w:color="auto" w:sz="4" w:space="0"/>
              <w:right w:val="single" w:color="auto" w:sz="4" w:space="0"/>
            </w:tcBorders>
            <w:vAlign w:val="center"/>
          </w:tcPr>
          <w:p w14:paraId="6BD72B73">
            <w:pPr>
              <w:spacing w:line="440" w:lineRule="exact"/>
              <w:jc w:val="center"/>
              <w:rPr>
                <w:rFonts w:hint="eastAsia" w:ascii="宋体" w:hAnsi="宋体" w:eastAsia="宋体" w:cs="宋体"/>
                <w:sz w:val="21"/>
                <w:szCs w:val="21"/>
              </w:rPr>
            </w:pPr>
            <w:r>
              <w:rPr>
                <w:rFonts w:hint="eastAsia" w:ascii="宋体" w:hAnsi="宋体" w:eastAsia="宋体" w:cs="宋体"/>
                <w:sz w:val="21"/>
                <w:szCs w:val="21"/>
              </w:rPr>
              <w:t>√</w:t>
            </w:r>
          </w:p>
        </w:tc>
        <w:tc>
          <w:tcPr>
            <w:tcW w:w="623" w:type="pct"/>
            <w:tcBorders>
              <w:top w:val="single" w:color="auto" w:sz="4" w:space="0"/>
              <w:left w:val="single" w:color="auto" w:sz="4" w:space="0"/>
              <w:bottom w:val="single" w:color="auto" w:sz="4" w:space="0"/>
              <w:right w:val="single" w:color="auto" w:sz="4" w:space="0"/>
            </w:tcBorders>
            <w:shd w:val="clear" w:color="auto" w:fill="auto"/>
            <w:vAlign w:val="center"/>
          </w:tcPr>
          <w:p w14:paraId="00F5D73C">
            <w:pPr>
              <w:spacing w:line="44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rPr>
              <w:t>√</w:t>
            </w:r>
          </w:p>
        </w:tc>
        <w:tc>
          <w:tcPr>
            <w:tcW w:w="596" w:type="pct"/>
            <w:tcBorders>
              <w:top w:val="single" w:color="auto" w:sz="4" w:space="0"/>
              <w:left w:val="single" w:color="auto" w:sz="4" w:space="0"/>
              <w:bottom w:val="single" w:color="auto" w:sz="4" w:space="0"/>
              <w:right w:val="single" w:color="auto" w:sz="4" w:space="0"/>
            </w:tcBorders>
            <w:shd w:val="clear" w:color="auto" w:fill="auto"/>
            <w:vAlign w:val="center"/>
          </w:tcPr>
          <w:p w14:paraId="639691CB">
            <w:pPr>
              <w:spacing w:line="44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w:t>
            </w:r>
          </w:p>
        </w:tc>
        <w:tc>
          <w:tcPr>
            <w:tcW w:w="404" w:type="pct"/>
            <w:tcBorders>
              <w:top w:val="single" w:color="auto" w:sz="4" w:space="0"/>
              <w:left w:val="single" w:color="auto" w:sz="4" w:space="0"/>
              <w:bottom w:val="single" w:color="auto" w:sz="4" w:space="0"/>
              <w:right w:val="single" w:color="auto" w:sz="4" w:space="0"/>
            </w:tcBorders>
            <w:vAlign w:val="center"/>
          </w:tcPr>
          <w:p w14:paraId="0BBB8567">
            <w:pPr>
              <w:spacing w:line="440" w:lineRule="exact"/>
              <w:jc w:val="center"/>
              <w:rPr>
                <w:rFonts w:hint="eastAsia" w:ascii="宋体" w:hAnsi="宋体" w:eastAsia="宋体" w:cs="宋体"/>
                <w:sz w:val="21"/>
                <w:szCs w:val="21"/>
              </w:rPr>
            </w:pPr>
            <w:r>
              <w:rPr>
                <w:rFonts w:hint="eastAsia" w:ascii="宋体" w:hAnsi="宋体" w:eastAsia="宋体" w:cs="宋体"/>
                <w:sz w:val="21"/>
                <w:szCs w:val="21"/>
              </w:rPr>
              <w:t>-</w:t>
            </w:r>
          </w:p>
        </w:tc>
      </w:tr>
      <w:tr w14:paraId="6D761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3" w:type="pct"/>
            <w:tcBorders>
              <w:left w:val="single" w:color="auto" w:sz="4" w:space="0"/>
              <w:bottom w:val="single" w:color="auto" w:sz="4" w:space="0"/>
              <w:right w:val="single" w:color="auto" w:sz="4" w:space="0"/>
            </w:tcBorders>
            <w:vAlign w:val="center"/>
          </w:tcPr>
          <w:p w14:paraId="5422BC4E">
            <w:pPr>
              <w:spacing w:line="440" w:lineRule="exact"/>
              <w:rPr>
                <w:rFonts w:hint="eastAsia" w:ascii="宋体" w:hAnsi="宋体" w:eastAsia="宋体" w:cs="宋体"/>
                <w:i w:val="0"/>
                <w:iCs w:val="0"/>
                <w:caps w:val="0"/>
                <w:color w:val="0F1115"/>
                <w:spacing w:val="0"/>
                <w:kern w:val="2"/>
                <w:sz w:val="21"/>
                <w:szCs w:val="21"/>
                <w:shd w:val="clear" w:fill="FFFFFF"/>
                <w:lang w:val="en-US" w:eastAsia="zh-CN" w:bidi="ar-SA"/>
              </w:rPr>
            </w:pPr>
            <w:r>
              <w:rPr>
                <w:rFonts w:hint="eastAsia" w:ascii="宋体" w:hAnsi="宋体" w:eastAsia="宋体" w:cs="宋体"/>
                <w:i w:val="0"/>
                <w:iCs w:val="0"/>
                <w:caps w:val="0"/>
                <w:color w:val="0F1115"/>
                <w:spacing w:val="0"/>
                <w:kern w:val="2"/>
                <w:sz w:val="21"/>
                <w:szCs w:val="21"/>
                <w:shd w:val="clear" w:fill="FFFFFF"/>
                <w:lang w:val="en-US" w:eastAsia="zh-CN" w:bidi="ar-SA"/>
              </w:rPr>
              <w:t>备注</w:t>
            </w:r>
          </w:p>
        </w:tc>
        <w:tc>
          <w:tcPr>
            <w:tcW w:w="4246" w:type="pct"/>
            <w:gridSpan w:val="5"/>
            <w:tcBorders>
              <w:top w:val="single" w:color="auto" w:sz="4" w:space="0"/>
              <w:left w:val="single" w:color="auto" w:sz="4" w:space="0"/>
              <w:bottom w:val="single" w:color="auto" w:sz="4" w:space="0"/>
              <w:right w:val="single" w:color="auto" w:sz="4" w:space="0"/>
            </w:tcBorders>
            <w:vAlign w:val="center"/>
          </w:tcPr>
          <w:p w14:paraId="1378D11E">
            <w:pPr>
              <w:spacing w:line="440" w:lineRule="exact"/>
              <w:jc w:val="center"/>
              <w:rPr>
                <w:rFonts w:hint="eastAsia" w:ascii="宋体" w:hAnsi="宋体" w:eastAsia="宋体" w:cs="宋体"/>
                <w:i w:val="0"/>
                <w:iCs w:val="0"/>
                <w:caps w:val="0"/>
                <w:color w:val="0F1115"/>
                <w:spacing w:val="0"/>
                <w:kern w:val="2"/>
                <w:sz w:val="21"/>
                <w:szCs w:val="21"/>
                <w:shd w:val="clear" w:fill="FFFFFF"/>
                <w:lang w:val="en-US" w:eastAsia="zh-CN" w:bidi="ar-SA"/>
              </w:rPr>
            </w:pPr>
            <w:r>
              <w:rPr>
                <w:rFonts w:hint="eastAsia" w:ascii="宋体" w:hAnsi="宋体" w:eastAsia="宋体" w:cs="宋体"/>
                <w:i w:val="0"/>
                <w:iCs w:val="0"/>
                <w:caps w:val="0"/>
                <w:color w:val="0F1115"/>
                <w:spacing w:val="0"/>
                <w:kern w:val="2"/>
                <w:sz w:val="21"/>
                <w:szCs w:val="21"/>
                <w:shd w:val="clear" w:fill="FFFFFF"/>
                <w:lang w:val="en-US" w:eastAsia="zh-CN" w:bidi="ar-SA"/>
              </w:rPr>
              <w:t>运维联系电话19114727050</w:t>
            </w:r>
          </w:p>
        </w:tc>
      </w:tr>
    </w:tbl>
    <w:p w14:paraId="4DDA6D79">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bCs/>
          <w:sz w:val="21"/>
          <w:szCs w:val="21"/>
          <w:lang w:val="en-US" w:eastAsia="zh-CN"/>
        </w:rPr>
      </w:pPr>
    </w:p>
    <w:p w14:paraId="64782609">
      <w:pPr>
        <w:numPr>
          <w:ilvl w:val="0"/>
          <w:numId w:val="119"/>
        </w:numPr>
        <w:bidi w:val="0"/>
        <w:rPr>
          <w:rFonts w:hint="eastAsia"/>
          <w:b/>
          <w:bCs/>
          <w:sz w:val="21"/>
          <w:szCs w:val="21"/>
          <w:lang w:val="en-US" w:eastAsia="zh-CN"/>
        </w:rPr>
      </w:pPr>
      <w:r>
        <w:rPr>
          <w:rFonts w:hint="eastAsia"/>
          <w:b/>
          <w:bCs/>
          <w:sz w:val="21"/>
          <w:szCs w:val="21"/>
          <w:lang w:val="en-US" w:eastAsia="zh-CN"/>
        </w:rPr>
        <w:t>运维服务标准</w:t>
      </w:r>
    </w:p>
    <w:p w14:paraId="0669A8CD">
      <w:pPr>
        <w:keepNext w:val="0"/>
        <w:keepLines w:val="0"/>
        <w:pageBreakBefore w:val="0"/>
        <w:widowControl w:val="0"/>
        <w:numPr>
          <w:ilvl w:val="0"/>
          <w:numId w:val="121"/>
        </w:numPr>
        <w:kinsoku/>
        <w:wordWrap/>
        <w:overflowPunct/>
        <w:topLinePunct w:val="0"/>
        <w:autoSpaceDE/>
        <w:autoSpaceDN/>
        <w:bidi w:val="0"/>
        <w:adjustRightInd/>
        <w:snapToGrid/>
        <w:spacing w:line="440" w:lineRule="exact"/>
        <w:ind w:left="425" w:leftChars="0" w:hanging="5" w:firstLineChars="0"/>
        <w:textAlignment w:val="auto"/>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项目维保服务期内，提供7×24小时故障响应服务，如远程无法解决，承诺6小时内到场处理并恢复业务；</w:t>
      </w:r>
    </w:p>
    <w:p w14:paraId="0B9453D6">
      <w:pPr>
        <w:keepNext w:val="0"/>
        <w:keepLines w:val="0"/>
        <w:pageBreakBefore w:val="0"/>
        <w:widowControl w:val="0"/>
        <w:numPr>
          <w:ilvl w:val="0"/>
          <w:numId w:val="121"/>
        </w:numPr>
        <w:kinsoku/>
        <w:wordWrap/>
        <w:overflowPunct/>
        <w:topLinePunct w:val="0"/>
        <w:autoSpaceDE/>
        <w:autoSpaceDN/>
        <w:bidi w:val="0"/>
        <w:adjustRightInd/>
        <w:snapToGrid/>
        <w:spacing w:line="440" w:lineRule="exact"/>
        <w:ind w:left="425" w:leftChars="0" w:hanging="5" w:firstLineChars="0"/>
        <w:textAlignment w:val="auto"/>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全力保障项目的正常运行，提供全院范围内各科室的推广服务，在必要时提供24小时远程技术支持；</w:t>
      </w:r>
    </w:p>
    <w:p w14:paraId="33C5230A">
      <w:pPr>
        <w:keepNext w:val="0"/>
        <w:keepLines w:val="0"/>
        <w:pageBreakBefore w:val="0"/>
        <w:widowControl w:val="0"/>
        <w:numPr>
          <w:ilvl w:val="0"/>
          <w:numId w:val="121"/>
        </w:numPr>
        <w:kinsoku/>
        <w:wordWrap/>
        <w:overflowPunct/>
        <w:topLinePunct w:val="0"/>
        <w:autoSpaceDE/>
        <w:autoSpaceDN/>
        <w:bidi w:val="0"/>
        <w:adjustRightInd/>
        <w:snapToGrid/>
        <w:spacing w:line="440" w:lineRule="exact"/>
        <w:ind w:left="425" w:leftChars="0" w:hanging="5" w:firstLineChars="0"/>
        <w:textAlignment w:val="auto"/>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提供数字证书制证服务，按照医院要求提供由技术人员经过专业处理的签名签章，并在现场进行数字证书的制作。</w:t>
      </w:r>
    </w:p>
    <w:p w14:paraId="6AC0EB55">
      <w:pPr>
        <w:keepNext w:val="0"/>
        <w:keepLines w:val="0"/>
        <w:pageBreakBefore w:val="0"/>
        <w:widowControl w:val="0"/>
        <w:numPr>
          <w:ilvl w:val="0"/>
          <w:numId w:val="121"/>
        </w:numPr>
        <w:kinsoku/>
        <w:wordWrap/>
        <w:overflowPunct/>
        <w:topLinePunct w:val="0"/>
        <w:autoSpaceDE/>
        <w:autoSpaceDN/>
        <w:bidi w:val="0"/>
        <w:adjustRightInd/>
        <w:snapToGrid/>
        <w:spacing w:line="440" w:lineRule="exact"/>
        <w:ind w:left="425" w:leftChars="0" w:hanging="5" w:firstLineChars="0"/>
        <w:textAlignment w:val="auto"/>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针对移动医疗过程中的身份认证、电子签名、信息保护等问题，建立满足移动终端身份认证及电子签名的标准流程，实现云签署标准化管理，提供信息安全服务支持。</w:t>
      </w:r>
    </w:p>
    <w:p w14:paraId="432AD576">
      <w:pPr>
        <w:numPr>
          <w:ilvl w:val="-1"/>
          <w:numId w:val="0"/>
        </w:numPr>
        <w:spacing w:line="440" w:lineRule="exact"/>
        <w:ind w:left="0" w:firstLine="420" w:firstLineChars="200"/>
        <w:rPr>
          <w:rFonts w:hint="eastAsia" w:ascii="宋体" w:hAnsi="宋体" w:eastAsia="宋体" w:cs="宋体"/>
          <w:b/>
          <w:sz w:val="21"/>
          <w:szCs w:val="21"/>
        </w:rPr>
      </w:pPr>
      <w:r>
        <w:rPr>
          <w:rFonts w:hint="eastAsia" w:ascii="宋体" w:hAnsi="宋体" w:eastAsia="宋体" w:cs="宋体"/>
          <w:b w:val="0"/>
          <w:bCs w:val="0"/>
          <w:i w:val="0"/>
          <w:iCs w:val="0"/>
          <w:color w:val="000000"/>
          <w:kern w:val="0"/>
          <w:sz w:val="21"/>
          <w:szCs w:val="21"/>
          <w:u w:val="none"/>
          <w:lang w:val="en-US" w:eastAsia="zh-CN" w:bidi="ar"/>
        </w:rPr>
        <w:t>提供包含系统升级、定期巡检、专业技术支持等服务。</w:t>
      </w:r>
    </w:p>
    <w:p w14:paraId="3AC5CC77">
      <w:pPr>
        <w:rPr>
          <w:rFonts w:hint="default"/>
          <w:lang w:val="en-US" w:eastAsia="zh-CN"/>
        </w:rPr>
      </w:pPr>
    </w:p>
    <w:p w14:paraId="576D2C95">
      <w:pPr>
        <w:pStyle w:val="3"/>
        <w:bidi w:val="0"/>
        <w:rPr>
          <w:rFonts w:hint="eastAsia"/>
        </w:rPr>
      </w:pPr>
      <w:bookmarkStart w:id="238" w:name="_Toc29267"/>
      <w:r>
        <w:rPr>
          <w:rFonts w:hint="eastAsia"/>
        </w:rPr>
        <w:t>电子票据管理及预交金系统</w:t>
      </w:r>
      <w:bookmarkEnd w:id="238"/>
    </w:p>
    <w:tbl>
      <w:tblPr>
        <w:tblStyle w:val="46"/>
        <w:tblW w:w="9878" w:type="dxa"/>
        <w:jc w:val="center"/>
        <w:tblLayout w:type="autofit"/>
        <w:tblCellMar>
          <w:top w:w="0" w:type="dxa"/>
          <w:left w:w="108" w:type="dxa"/>
          <w:bottom w:w="0" w:type="dxa"/>
          <w:right w:w="108" w:type="dxa"/>
        </w:tblCellMar>
      </w:tblPr>
      <w:tblGrid>
        <w:gridCol w:w="1074"/>
        <w:gridCol w:w="937"/>
        <w:gridCol w:w="7867"/>
      </w:tblGrid>
      <w:tr w14:paraId="18B395F9">
        <w:tblPrEx>
          <w:tblCellMar>
            <w:top w:w="0" w:type="dxa"/>
            <w:left w:w="108" w:type="dxa"/>
            <w:bottom w:w="0" w:type="dxa"/>
            <w:right w:w="108" w:type="dxa"/>
          </w:tblCellMar>
        </w:tblPrEx>
        <w:trPr>
          <w:trHeight w:val="216" w:hRule="atLeast"/>
          <w:jc w:val="center"/>
        </w:trPr>
        <w:tc>
          <w:tcPr>
            <w:tcW w:w="1074" w:type="dxa"/>
            <w:tcBorders>
              <w:top w:val="single" w:color="auto" w:sz="8" w:space="0"/>
              <w:left w:val="single" w:color="auto" w:sz="8" w:space="0"/>
              <w:bottom w:val="single" w:color="auto" w:sz="8" w:space="0"/>
              <w:right w:val="single" w:color="auto" w:sz="8" w:space="0"/>
            </w:tcBorders>
            <w:noWrap w:val="0"/>
            <w:vAlign w:val="center"/>
          </w:tcPr>
          <w:p w14:paraId="31D90325">
            <w:pPr>
              <w:keepNext w:val="0"/>
              <w:keepLines w:val="0"/>
              <w:pageBreakBefore w:val="0"/>
              <w:widowControl/>
              <w:kinsoku/>
              <w:wordWrap/>
              <w:overflowPunct/>
              <w:topLinePunct w:val="0"/>
              <w:bidi w:val="0"/>
              <w:adjustRightInd w:val="0"/>
              <w:snapToGrid w:val="0"/>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服务内容</w:t>
            </w:r>
          </w:p>
        </w:tc>
        <w:tc>
          <w:tcPr>
            <w:tcW w:w="937" w:type="dxa"/>
            <w:tcBorders>
              <w:top w:val="single" w:color="auto" w:sz="8" w:space="0"/>
              <w:left w:val="nil"/>
              <w:bottom w:val="single" w:color="auto" w:sz="8" w:space="0"/>
              <w:right w:val="single" w:color="auto" w:sz="8" w:space="0"/>
            </w:tcBorders>
            <w:noWrap w:val="0"/>
            <w:vAlign w:val="center"/>
          </w:tcPr>
          <w:p w14:paraId="0E85C345">
            <w:pPr>
              <w:keepNext w:val="0"/>
              <w:keepLines w:val="0"/>
              <w:pageBreakBefore w:val="0"/>
              <w:widowControl/>
              <w:kinsoku/>
              <w:wordWrap/>
              <w:overflowPunct/>
              <w:topLinePunct w:val="0"/>
              <w:bidi w:val="0"/>
              <w:adjustRightInd w:val="0"/>
              <w:snapToGrid w:val="0"/>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序号</w:t>
            </w:r>
          </w:p>
        </w:tc>
        <w:tc>
          <w:tcPr>
            <w:tcW w:w="7867" w:type="dxa"/>
            <w:tcBorders>
              <w:top w:val="single" w:color="auto" w:sz="8" w:space="0"/>
              <w:left w:val="nil"/>
              <w:bottom w:val="single" w:color="auto" w:sz="8" w:space="0"/>
              <w:right w:val="single" w:color="auto" w:sz="8" w:space="0"/>
            </w:tcBorders>
            <w:noWrap w:val="0"/>
            <w:vAlign w:val="center"/>
          </w:tcPr>
          <w:p w14:paraId="0999A52E">
            <w:pPr>
              <w:keepNext w:val="0"/>
              <w:keepLines w:val="0"/>
              <w:pageBreakBefore w:val="0"/>
              <w:widowControl/>
              <w:kinsoku/>
              <w:wordWrap/>
              <w:overflowPunct/>
              <w:topLinePunct w:val="0"/>
              <w:bidi w:val="0"/>
              <w:adjustRightInd w:val="0"/>
              <w:snapToGrid w:val="0"/>
              <w:spacing w:line="360" w:lineRule="auto"/>
              <w:jc w:val="center"/>
              <w:textAlignment w:val="auto"/>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内容描述</w:t>
            </w:r>
          </w:p>
        </w:tc>
      </w:tr>
      <w:tr w14:paraId="7BA51BFC">
        <w:tblPrEx>
          <w:tblCellMar>
            <w:top w:w="0" w:type="dxa"/>
            <w:left w:w="108" w:type="dxa"/>
            <w:bottom w:w="0" w:type="dxa"/>
            <w:right w:w="108" w:type="dxa"/>
          </w:tblCellMar>
        </w:tblPrEx>
        <w:trPr>
          <w:trHeight w:val="240" w:hRule="atLeast"/>
          <w:jc w:val="center"/>
        </w:trPr>
        <w:tc>
          <w:tcPr>
            <w:tcW w:w="9878" w:type="dxa"/>
            <w:gridSpan w:val="3"/>
            <w:tcBorders>
              <w:top w:val="nil"/>
              <w:left w:val="single" w:color="auto" w:sz="8" w:space="0"/>
              <w:bottom w:val="single" w:color="000000" w:sz="8" w:space="0"/>
              <w:right w:val="single" w:color="auto" w:sz="8" w:space="0"/>
            </w:tcBorders>
            <w:noWrap w:val="0"/>
            <w:vAlign w:val="center"/>
          </w:tcPr>
          <w:p w14:paraId="395CBF0D">
            <w:pPr>
              <w:keepNext w:val="0"/>
              <w:keepLines w:val="0"/>
              <w:pageBreakBefore w:val="0"/>
              <w:widowControl/>
              <w:kinsoku/>
              <w:wordWrap/>
              <w:overflowPunct/>
              <w:topLinePunct w:val="0"/>
              <w:bidi w:val="0"/>
              <w:adjustRightInd w:val="0"/>
              <w:snapToGrid w:val="0"/>
              <w:spacing w:line="360" w:lineRule="auto"/>
              <w:textAlignment w:val="auto"/>
              <w:rPr>
                <w:rFonts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服务内容：</w:t>
            </w:r>
          </w:p>
        </w:tc>
      </w:tr>
      <w:tr w14:paraId="22BA2C1A">
        <w:tblPrEx>
          <w:tblCellMar>
            <w:top w:w="0" w:type="dxa"/>
            <w:left w:w="108" w:type="dxa"/>
            <w:bottom w:w="0" w:type="dxa"/>
            <w:right w:w="108" w:type="dxa"/>
          </w:tblCellMar>
        </w:tblPrEx>
        <w:trPr>
          <w:trHeight w:val="427" w:hRule="atLeast"/>
          <w:jc w:val="center"/>
        </w:trPr>
        <w:tc>
          <w:tcPr>
            <w:tcW w:w="1074" w:type="dxa"/>
            <w:vMerge w:val="restart"/>
            <w:tcBorders>
              <w:top w:val="nil"/>
              <w:left w:val="single" w:color="auto" w:sz="8" w:space="0"/>
              <w:right w:val="single" w:color="auto" w:sz="8" w:space="0"/>
            </w:tcBorders>
            <w:noWrap w:val="0"/>
            <w:vAlign w:val="center"/>
          </w:tcPr>
          <w:p w14:paraId="2E9C3669">
            <w:pPr>
              <w:keepNext w:val="0"/>
              <w:keepLines w:val="0"/>
              <w:pageBreakBefore w:val="0"/>
              <w:kinsoku/>
              <w:wordWrap/>
              <w:overflowPunct/>
              <w:topLinePunct w:val="0"/>
              <w:bidi w:val="0"/>
              <w:adjustRightInd w:val="0"/>
              <w:snapToGrid w:val="0"/>
              <w:spacing w:line="360" w:lineRule="auto"/>
              <w:jc w:val="center"/>
              <w:textAlignment w:val="auto"/>
              <w:rPr>
                <w:rFonts w:ascii="仿宋" w:hAnsi="仿宋" w:eastAsia="仿宋"/>
                <w:color w:val="auto"/>
                <w:sz w:val="21"/>
                <w:szCs w:val="21"/>
                <w:highlight w:val="none"/>
              </w:rPr>
            </w:pPr>
            <w:r>
              <w:rPr>
                <w:rFonts w:hint="eastAsia" w:ascii="仿宋" w:hAnsi="仿宋" w:eastAsia="仿宋"/>
                <w:color w:val="auto"/>
                <w:sz w:val="21"/>
                <w:szCs w:val="21"/>
                <w:highlight w:val="none"/>
              </w:rPr>
              <w:t>技术</w:t>
            </w:r>
          </w:p>
          <w:p w14:paraId="6C25CD3B">
            <w:pPr>
              <w:keepNext w:val="0"/>
              <w:keepLines w:val="0"/>
              <w:pageBreakBefore w:val="0"/>
              <w:kinsoku/>
              <w:wordWrap/>
              <w:overflowPunct/>
              <w:topLinePunct w:val="0"/>
              <w:bidi w:val="0"/>
              <w:adjustRightInd w:val="0"/>
              <w:snapToGrid w:val="0"/>
              <w:spacing w:line="360" w:lineRule="auto"/>
              <w:jc w:val="center"/>
              <w:textAlignment w:val="auto"/>
              <w:rPr>
                <w:rFonts w:ascii="仿宋" w:hAnsi="仿宋" w:eastAsia="仿宋"/>
                <w:color w:val="auto"/>
                <w:sz w:val="21"/>
                <w:szCs w:val="21"/>
                <w:highlight w:val="none"/>
              </w:rPr>
            </w:pPr>
            <w:r>
              <w:rPr>
                <w:rFonts w:hint="eastAsia" w:ascii="仿宋" w:hAnsi="仿宋" w:eastAsia="仿宋"/>
                <w:color w:val="auto"/>
                <w:sz w:val="21"/>
                <w:szCs w:val="21"/>
                <w:highlight w:val="none"/>
              </w:rPr>
              <w:t>运维</w:t>
            </w:r>
          </w:p>
          <w:p w14:paraId="4D90E00A">
            <w:pPr>
              <w:keepNext w:val="0"/>
              <w:keepLines w:val="0"/>
              <w:pageBreakBefore w:val="0"/>
              <w:widowControl/>
              <w:kinsoku/>
              <w:wordWrap/>
              <w:overflowPunct/>
              <w:topLinePunct w:val="0"/>
              <w:bidi w:val="0"/>
              <w:adjustRightInd w:val="0"/>
              <w:snapToGrid w:val="0"/>
              <w:spacing w:line="360" w:lineRule="auto"/>
              <w:jc w:val="center"/>
              <w:textAlignment w:val="auto"/>
              <w:rPr>
                <w:rFonts w:hint="eastAsia" w:ascii="宋体" w:hAnsi="宋体" w:cs="宋体"/>
                <w:color w:val="auto"/>
                <w:kern w:val="0"/>
                <w:sz w:val="21"/>
                <w:szCs w:val="21"/>
                <w:highlight w:val="none"/>
              </w:rPr>
            </w:pPr>
            <w:r>
              <w:rPr>
                <w:rFonts w:hint="eastAsia" w:ascii="仿宋" w:hAnsi="仿宋" w:eastAsia="仿宋"/>
                <w:color w:val="auto"/>
                <w:sz w:val="21"/>
                <w:szCs w:val="21"/>
                <w:highlight w:val="none"/>
              </w:rPr>
              <w:t>服务</w:t>
            </w:r>
          </w:p>
        </w:tc>
        <w:tc>
          <w:tcPr>
            <w:tcW w:w="937" w:type="dxa"/>
            <w:tcBorders>
              <w:top w:val="nil"/>
              <w:left w:val="nil"/>
              <w:bottom w:val="single" w:color="auto" w:sz="8" w:space="0"/>
              <w:right w:val="single" w:color="auto" w:sz="8" w:space="0"/>
            </w:tcBorders>
            <w:noWrap w:val="0"/>
            <w:vAlign w:val="center"/>
          </w:tcPr>
          <w:p w14:paraId="79458EE3">
            <w:pPr>
              <w:keepNext w:val="0"/>
              <w:keepLines w:val="0"/>
              <w:pageBreakBefore w:val="0"/>
              <w:widowControl/>
              <w:kinsoku/>
              <w:wordWrap/>
              <w:overflowPunct/>
              <w:topLinePunct w:val="0"/>
              <w:bidi w:val="0"/>
              <w:adjustRightInd w:val="0"/>
              <w:snapToGrid w:val="0"/>
              <w:spacing w:line="360" w:lineRule="auto"/>
              <w:jc w:val="center"/>
              <w:textAlignment w:val="auto"/>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1.1</w:t>
            </w:r>
          </w:p>
        </w:tc>
        <w:tc>
          <w:tcPr>
            <w:tcW w:w="7867" w:type="dxa"/>
            <w:tcBorders>
              <w:top w:val="nil"/>
              <w:left w:val="nil"/>
              <w:bottom w:val="single" w:color="auto" w:sz="8" w:space="0"/>
              <w:right w:val="single" w:color="auto" w:sz="8" w:space="0"/>
            </w:tcBorders>
            <w:noWrap w:val="0"/>
            <w:vAlign w:val="center"/>
          </w:tcPr>
          <w:p w14:paraId="1E9D00F4">
            <w:pPr>
              <w:keepNext w:val="0"/>
              <w:keepLines w:val="0"/>
              <w:pageBreakBefore w:val="0"/>
              <w:widowControl/>
              <w:kinsoku/>
              <w:wordWrap/>
              <w:overflowPunct/>
              <w:topLinePunct w:val="0"/>
              <w:bidi w:val="0"/>
              <w:adjustRightInd w:val="0"/>
              <w:snapToGrid w:val="0"/>
              <w:spacing w:line="360" w:lineRule="auto"/>
              <w:textAlignment w:val="auto"/>
              <w:rPr>
                <w:rFonts w:hint="eastAsia" w:ascii="宋体" w:hAnsi="宋体" w:cs="宋体"/>
                <w:color w:val="auto"/>
                <w:kern w:val="0"/>
                <w:sz w:val="21"/>
                <w:szCs w:val="21"/>
                <w:highlight w:val="none"/>
              </w:rPr>
            </w:pPr>
            <w:r>
              <w:rPr>
                <w:rFonts w:hint="eastAsia" w:ascii="仿宋" w:hAnsi="仿宋" w:eastAsia="仿宋" w:cs="宋体"/>
                <w:color w:val="auto"/>
                <w:kern w:val="0"/>
                <w:sz w:val="21"/>
                <w:szCs w:val="21"/>
                <w:highlight w:val="none"/>
                <w:lang w:val="zh-CN"/>
              </w:rPr>
              <w:t>▲</w:t>
            </w:r>
            <w:r>
              <w:rPr>
                <w:rFonts w:ascii="仿宋" w:hAnsi="仿宋" w:eastAsia="仿宋"/>
                <w:color w:val="auto"/>
                <w:sz w:val="21"/>
                <w:szCs w:val="21"/>
                <w:highlight w:val="none"/>
              </w:rPr>
              <w:t>1.1 IT环境巡检</w:t>
            </w:r>
            <w:r>
              <w:rPr>
                <w:rFonts w:hint="eastAsia" w:ascii="仿宋" w:hAnsi="仿宋" w:eastAsia="仿宋"/>
                <w:color w:val="auto"/>
                <w:sz w:val="21"/>
                <w:szCs w:val="21"/>
                <w:highlight w:val="none"/>
              </w:rPr>
              <w:t>：安排技术人员对电子票据管理系统的操作系统、数据库、中间件和系统安全、业务增量定期进行巡检，按照规范要求做好巡检记录。</w:t>
            </w:r>
          </w:p>
        </w:tc>
      </w:tr>
      <w:tr w14:paraId="16E5742F">
        <w:tblPrEx>
          <w:tblCellMar>
            <w:top w:w="0" w:type="dxa"/>
            <w:left w:w="108" w:type="dxa"/>
            <w:bottom w:w="0" w:type="dxa"/>
            <w:right w:w="108" w:type="dxa"/>
          </w:tblCellMar>
        </w:tblPrEx>
        <w:trPr>
          <w:trHeight w:val="524" w:hRule="atLeast"/>
          <w:jc w:val="center"/>
        </w:trPr>
        <w:tc>
          <w:tcPr>
            <w:tcW w:w="1074" w:type="dxa"/>
            <w:vMerge w:val="continue"/>
            <w:tcBorders>
              <w:top w:val="nil"/>
              <w:left w:val="single" w:color="auto" w:sz="8" w:space="0"/>
              <w:right w:val="single" w:color="auto" w:sz="8" w:space="0"/>
            </w:tcBorders>
            <w:noWrap w:val="0"/>
            <w:vAlign w:val="center"/>
          </w:tcPr>
          <w:p w14:paraId="5EDBFF79">
            <w:pPr>
              <w:keepNext w:val="0"/>
              <w:keepLines w:val="0"/>
              <w:pageBreakBefore w:val="0"/>
              <w:widowControl/>
              <w:kinsoku/>
              <w:wordWrap/>
              <w:overflowPunct/>
              <w:topLinePunct w:val="0"/>
              <w:bidi w:val="0"/>
              <w:adjustRightInd w:val="0"/>
              <w:snapToGrid w:val="0"/>
              <w:spacing w:line="360" w:lineRule="auto"/>
              <w:jc w:val="center"/>
              <w:textAlignment w:val="auto"/>
              <w:rPr>
                <w:rFonts w:hint="eastAsia" w:ascii="宋体" w:hAnsi="宋体" w:cs="宋体"/>
                <w:color w:val="auto"/>
                <w:kern w:val="0"/>
                <w:sz w:val="21"/>
                <w:szCs w:val="21"/>
                <w:highlight w:val="none"/>
              </w:rPr>
            </w:pPr>
          </w:p>
        </w:tc>
        <w:tc>
          <w:tcPr>
            <w:tcW w:w="937" w:type="dxa"/>
            <w:tcBorders>
              <w:top w:val="nil"/>
              <w:left w:val="nil"/>
              <w:bottom w:val="single" w:color="auto" w:sz="8" w:space="0"/>
              <w:right w:val="single" w:color="auto" w:sz="8" w:space="0"/>
            </w:tcBorders>
            <w:noWrap w:val="0"/>
            <w:vAlign w:val="center"/>
          </w:tcPr>
          <w:p w14:paraId="66CD53CD">
            <w:pPr>
              <w:keepNext w:val="0"/>
              <w:keepLines w:val="0"/>
              <w:pageBreakBefore w:val="0"/>
              <w:widowControl/>
              <w:kinsoku/>
              <w:wordWrap/>
              <w:overflowPunct/>
              <w:topLinePunct w:val="0"/>
              <w:bidi w:val="0"/>
              <w:adjustRightInd w:val="0"/>
              <w:snapToGrid w:val="0"/>
              <w:spacing w:line="360" w:lineRule="auto"/>
              <w:jc w:val="center"/>
              <w:textAlignment w:val="auto"/>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1.2</w:t>
            </w:r>
          </w:p>
        </w:tc>
        <w:tc>
          <w:tcPr>
            <w:tcW w:w="7867" w:type="dxa"/>
            <w:tcBorders>
              <w:top w:val="nil"/>
              <w:left w:val="nil"/>
              <w:bottom w:val="single" w:color="auto" w:sz="8" w:space="0"/>
              <w:right w:val="single" w:color="auto" w:sz="8" w:space="0"/>
            </w:tcBorders>
            <w:noWrap w:val="0"/>
            <w:vAlign w:val="center"/>
          </w:tcPr>
          <w:p w14:paraId="7037E243">
            <w:pPr>
              <w:keepNext w:val="0"/>
              <w:keepLines w:val="0"/>
              <w:pageBreakBefore w:val="0"/>
              <w:widowControl/>
              <w:kinsoku/>
              <w:wordWrap/>
              <w:overflowPunct/>
              <w:topLinePunct w:val="0"/>
              <w:bidi w:val="0"/>
              <w:adjustRightInd w:val="0"/>
              <w:snapToGrid w:val="0"/>
              <w:spacing w:line="360" w:lineRule="auto"/>
              <w:textAlignment w:val="auto"/>
              <w:rPr>
                <w:rFonts w:hint="eastAsia" w:ascii="宋体" w:hAnsi="宋体" w:cs="宋体"/>
                <w:color w:val="auto"/>
                <w:sz w:val="21"/>
                <w:szCs w:val="21"/>
                <w:highlight w:val="none"/>
              </w:rPr>
            </w:pPr>
            <w:r>
              <w:rPr>
                <w:rFonts w:hint="eastAsia" w:ascii="仿宋" w:hAnsi="仿宋" w:eastAsia="仿宋" w:cs="宋体"/>
                <w:color w:val="auto"/>
                <w:kern w:val="0"/>
                <w:sz w:val="21"/>
                <w:szCs w:val="21"/>
                <w:highlight w:val="none"/>
                <w:lang w:val="zh-CN"/>
              </w:rPr>
              <w:t>▲</w:t>
            </w:r>
            <w:r>
              <w:rPr>
                <w:rFonts w:ascii="仿宋" w:hAnsi="仿宋" w:eastAsia="仿宋"/>
                <w:color w:val="auto"/>
                <w:sz w:val="21"/>
                <w:szCs w:val="21"/>
                <w:highlight w:val="none"/>
              </w:rPr>
              <w:t>1.2 IT环境巡检处理</w:t>
            </w:r>
            <w:r>
              <w:rPr>
                <w:rFonts w:hint="eastAsia" w:ascii="仿宋" w:hAnsi="仿宋" w:eastAsia="仿宋"/>
                <w:color w:val="auto"/>
                <w:sz w:val="21"/>
                <w:szCs w:val="21"/>
                <w:highlight w:val="none"/>
              </w:rPr>
              <w:t>：根据电子票据管理系统的</w:t>
            </w:r>
            <w:r>
              <w:rPr>
                <w:rFonts w:ascii="仿宋" w:hAnsi="仿宋" w:eastAsia="仿宋"/>
                <w:color w:val="auto"/>
                <w:sz w:val="21"/>
                <w:szCs w:val="21"/>
                <w:highlight w:val="none"/>
              </w:rPr>
              <w:t>IT环境巡检情况及时进行技术处理，包括IT环境性能调优、部署机构优化、系统安全加固，确保系统在健康、稳定的环境下运行。</w:t>
            </w:r>
          </w:p>
        </w:tc>
      </w:tr>
      <w:tr w14:paraId="4FBD8323">
        <w:tblPrEx>
          <w:tblCellMar>
            <w:top w:w="0" w:type="dxa"/>
            <w:left w:w="108" w:type="dxa"/>
            <w:bottom w:w="0" w:type="dxa"/>
            <w:right w:w="108" w:type="dxa"/>
          </w:tblCellMar>
        </w:tblPrEx>
        <w:trPr>
          <w:trHeight w:val="699" w:hRule="atLeast"/>
          <w:jc w:val="center"/>
        </w:trPr>
        <w:tc>
          <w:tcPr>
            <w:tcW w:w="1074" w:type="dxa"/>
            <w:vMerge w:val="continue"/>
            <w:tcBorders>
              <w:top w:val="nil"/>
              <w:left w:val="single" w:color="auto" w:sz="8" w:space="0"/>
              <w:right w:val="single" w:color="auto" w:sz="8" w:space="0"/>
            </w:tcBorders>
            <w:noWrap w:val="0"/>
            <w:vAlign w:val="center"/>
          </w:tcPr>
          <w:p w14:paraId="04AFBF2F">
            <w:pPr>
              <w:keepNext w:val="0"/>
              <w:keepLines w:val="0"/>
              <w:pageBreakBefore w:val="0"/>
              <w:widowControl/>
              <w:kinsoku/>
              <w:wordWrap/>
              <w:overflowPunct/>
              <w:topLinePunct w:val="0"/>
              <w:bidi w:val="0"/>
              <w:adjustRightInd w:val="0"/>
              <w:snapToGrid w:val="0"/>
              <w:spacing w:line="360" w:lineRule="auto"/>
              <w:jc w:val="center"/>
              <w:textAlignment w:val="auto"/>
              <w:rPr>
                <w:rFonts w:hint="eastAsia" w:ascii="宋体" w:hAnsi="宋体" w:cs="宋体"/>
                <w:color w:val="auto"/>
                <w:kern w:val="0"/>
                <w:sz w:val="21"/>
                <w:szCs w:val="21"/>
                <w:highlight w:val="none"/>
              </w:rPr>
            </w:pPr>
          </w:p>
        </w:tc>
        <w:tc>
          <w:tcPr>
            <w:tcW w:w="937" w:type="dxa"/>
            <w:tcBorders>
              <w:top w:val="nil"/>
              <w:left w:val="nil"/>
              <w:bottom w:val="single" w:color="auto" w:sz="8" w:space="0"/>
              <w:right w:val="single" w:color="auto" w:sz="8" w:space="0"/>
            </w:tcBorders>
            <w:noWrap w:val="0"/>
            <w:vAlign w:val="center"/>
          </w:tcPr>
          <w:p w14:paraId="3E2FBBC6">
            <w:pPr>
              <w:keepNext w:val="0"/>
              <w:keepLines w:val="0"/>
              <w:pageBreakBefore w:val="0"/>
              <w:widowControl/>
              <w:kinsoku/>
              <w:wordWrap/>
              <w:overflowPunct/>
              <w:topLinePunct w:val="0"/>
              <w:bidi w:val="0"/>
              <w:adjustRightInd w:val="0"/>
              <w:snapToGrid w:val="0"/>
              <w:spacing w:line="360" w:lineRule="auto"/>
              <w:jc w:val="center"/>
              <w:textAlignment w:val="auto"/>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1.3</w:t>
            </w:r>
          </w:p>
        </w:tc>
        <w:tc>
          <w:tcPr>
            <w:tcW w:w="7867" w:type="dxa"/>
            <w:tcBorders>
              <w:top w:val="nil"/>
              <w:left w:val="nil"/>
              <w:bottom w:val="single" w:color="auto" w:sz="8" w:space="0"/>
              <w:right w:val="single" w:color="auto" w:sz="8" w:space="0"/>
            </w:tcBorders>
            <w:noWrap w:val="0"/>
            <w:vAlign w:val="center"/>
          </w:tcPr>
          <w:p w14:paraId="54850074">
            <w:pPr>
              <w:keepNext w:val="0"/>
              <w:keepLines w:val="0"/>
              <w:pageBreakBefore w:val="0"/>
              <w:widowControl/>
              <w:kinsoku/>
              <w:wordWrap/>
              <w:overflowPunct/>
              <w:topLinePunct w:val="0"/>
              <w:bidi w:val="0"/>
              <w:adjustRightInd w:val="0"/>
              <w:snapToGrid w:val="0"/>
              <w:spacing w:line="360" w:lineRule="auto"/>
              <w:textAlignment w:val="auto"/>
              <w:rPr>
                <w:rFonts w:hint="eastAsia" w:ascii="宋体" w:hAnsi="宋体" w:cs="宋体"/>
                <w:color w:val="auto"/>
                <w:sz w:val="21"/>
                <w:szCs w:val="21"/>
                <w:highlight w:val="none"/>
              </w:rPr>
            </w:pPr>
            <w:r>
              <w:rPr>
                <w:rFonts w:hint="eastAsia" w:ascii="仿宋" w:hAnsi="仿宋" w:eastAsia="仿宋" w:cs="宋体"/>
                <w:color w:val="auto"/>
                <w:kern w:val="0"/>
                <w:sz w:val="21"/>
                <w:szCs w:val="21"/>
                <w:highlight w:val="none"/>
                <w:lang w:val="zh-CN"/>
              </w:rPr>
              <w:t>▲</w:t>
            </w:r>
            <w:r>
              <w:rPr>
                <w:rFonts w:ascii="仿宋" w:hAnsi="仿宋" w:eastAsia="仿宋"/>
                <w:color w:val="auto"/>
                <w:sz w:val="21"/>
                <w:szCs w:val="21"/>
                <w:highlight w:val="none"/>
              </w:rPr>
              <w:t xml:space="preserve">1.3 </w:t>
            </w:r>
            <w:r>
              <w:rPr>
                <w:rFonts w:hint="eastAsia" w:ascii="仿宋" w:hAnsi="仿宋" w:eastAsia="仿宋"/>
                <w:color w:val="auto"/>
                <w:sz w:val="21"/>
                <w:szCs w:val="21"/>
                <w:highlight w:val="none"/>
              </w:rPr>
              <w:t>软件系统巡检：安排技术人员定时提供电子票据管理系统相关服务的运行状态巡检，包括但不限于票据服务检查、外部服务通讯情况、票据基础信息变更检查、开票及制票情况、通知交付情况等，服务商应采取专业的技术手段及时检测、发现运行存在的问题，按照规范要求做好巡检记录。</w:t>
            </w:r>
          </w:p>
        </w:tc>
      </w:tr>
      <w:tr w14:paraId="510CB814">
        <w:tblPrEx>
          <w:tblCellMar>
            <w:top w:w="0" w:type="dxa"/>
            <w:left w:w="108" w:type="dxa"/>
            <w:bottom w:w="0" w:type="dxa"/>
            <w:right w:w="108" w:type="dxa"/>
          </w:tblCellMar>
        </w:tblPrEx>
        <w:trPr>
          <w:trHeight w:val="427" w:hRule="atLeast"/>
          <w:jc w:val="center"/>
        </w:trPr>
        <w:tc>
          <w:tcPr>
            <w:tcW w:w="1074" w:type="dxa"/>
            <w:vMerge w:val="continue"/>
            <w:tcBorders>
              <w:top w:val="nil"/>
              <w:left w:val="single" w:color="auto" w:sz="8" w:space="0"/>
              <w:right w:val="single" w:color="auto" w:sz="8" w:space="0"/>
            </w:tcBorders>
            <w:noWrap w:val="0"/>
            <w:vAlign w:val="center"/>
          </w:tcPr>
          <w:p w14:paraId="7077AC3F">
            <w:pPr>
              <w:keepNext w:val="0"/>
              <w:keepLines w:val="0"/>
              <w:pageBreakBefore w:val="0"/>
              <w:widowControl/>
              <w:kinsoku/>
              <w:wordWrap/>
              <w:overflowPunct/>
              <w:topLinePunct w:val="0"/>
              <w:bidi w:val="0"/>
              <w:adjustRightInd w:val="0"/>
              <w:snapToGrid w:val="0"/>
              <w:spacing w:line="360" w:lineRule="auto"/>
              <w:jc w:val="center"/>
              <w:textAlignment w:val="auto"/>
              <w:rPr>
                <w:rFonts w:hint="eastAsia" w:ascii="宋体" w:hAnsi="宋体" w:cs="宋体"/>
                <w:color w:val="auto"/>
                <w:kern w:val="0"/>
                <w:sz w:val="21"/>
                <w:szCs w:val="21"/>
                <w:highlight w:val="none"/>
              </w:rPr>
            </w:pPr>
          </w:p>
        </w:tc>
        <w:tc>
          <w:tcPr>
            <w:tcW w:w="937" w:type="dxa"/>
            <w:tcBorders>
              <w:top w:val="nil"/>
              <w:left w:val="nil"/>
              <w:bottom w:val="single" w:color="auto" w:sz="8" w:space="0"/>
              <w:right w:val="single" w:color="auto" w:sz="8" w:space="0"/>
            </w:tcBorders>
            <w:noWrap w:val="0"/>
            <w:vAlign w:val="center"/>
          </w:tcPr>
          <w:p w14:paraId="6D236120">
            <w:pPr>
              <w:keepNext w:val="0"/>
              <w:keepLines w:val="0"/>
              <w:pageBreakBefore w:val="0"/>
              <w:widowControl/>
              <w:kinsoku/>
              <w:wordWrap/>
              <w:overflowPunct/>
              <w:topLinePunct w:val="0"/>
              <w:bidi w:val="0"/>
              <w:adjustRightInd w:val="0"/>
              <w:snapToGrid w:val="0"/>
              <w:spacing w:line="360" w:lineRule="auto"/>
              <w:jc w:val="center"/>
              <w:textAlignment w:val="auto"/>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1.4</w:t>
            </w:r>
          </w:p>
        </w:tc>
        <w:tc>
          <w:tcPr>
            <w:tcW w:w="7867" w:type="dxa"/>
            <w:tcBorders>
              <w:top w:val="nil"/>
              <w:left w:val="nil"/>
              <w:bottom w:val="single" w:color="auto" w:sz="8" w:space="0"/>
              <w:right w:val="single" w:color="auto" w:sz="8" w:space="0"/>
            </w:tcBorders>
            <w:noWrap w:val="0"/>
            <w:vAlign w:val="center"/>
          </w:tcPr>
          <w:p w14:paraId="7956FE82">
            <w:pPr>
              <w:keepNext w:val="0"/>
              <w:keepLines w:val="0"/>
              <w:pageBreakBefore w:val="0"/>
              <w:widowControl/>
              <w:kinsoku/>
              <w:wordWrap/>
              <w:overflowPunct/>
              <w:topLinePunct w:val="0"/>
              <w:bidi w:val="0"/>
              <w:adjustRightInd w:val="0"/>
              <w:snapToGrid w:val="0"/>
              <w:spacing w:line="360" w:lineRule="auto"/>
              <w:textAlignment w:val="auto"/>
              <w:rPr>
                <w:rFonts w:hint="eastAsia" w:ascii="宋体" w:hAnsi="宋体" w:cs="宋体"/>
                <w:color w:val="auto"/>
                <w:sz w:val="21"/>
                <w:szCs w:val="21"/>
                <w:highlight w:val="none"/>
              </w:rPr>
            </w:pPr>
            <w:r>
              <w:rPr>
                <w:rFonts w:hint="eastAsia" w:ascii="仿宋" w:hAnsi="仿宋" w:eastAsia="仿宋" w:cs="宋体"/>
                <w:color w:val="auto"/>
                <w:kern w:val="0"/>
                <w:sz w:val="21"/>
                <w:szCs w:val="21"/>
                <w:highlight w:val="none"/>
                <w:lang w:val="zh-CN"/>
              </w:rPr>
              <w:t>▲</w:t>
            </w:r>
            <w:r>
              <w:rPr>
                <w:rFonts w:ascii="仿宋" w:hAnsi="仿宋" w:eastAsia="仿宋"/>
                <w:color w:val="auto"/>
                <w:sz w:val="21"/>
                <w:szCs w:val="21"/>
                <w:highlight w:val="none"/>
              </w:rPr>
              <w:t xml:space="preserve">1.4 </w:t>
            </w:r>
            <w:r>
              <w:rPr>
                <w:rFonts w:hint="eastAsia" w:ascii="仿宋" w:hAnsi="仿宋" w:eastAsia="仿宋"/>
                <w:color w:val="auto"/>
                <w:sz w:val="21"/>
                <w:szCs w:val="21"/>
                <w:highlight w:val="none"/>
              </w:rPr>
              <w:t>软件系统巡检处理：根据电子票据管理系统巡检情况，发现异常的问题及时进行技术处理，以保证系统相关服务、接口、开票及票据交付业务的实时性、数据准确性。</w:t>
            </w:r>
          </w:p>
        </w:tc>
      </w:tr>
      <w:tr w14:paraId="140C4D46">
        <w:tblPrEx>
          <w:tblCellMar>
            <w:top w:w="0" w:type="dxa"/>
            <w:left w:w="108" w:type="dxa"/>
            <w:bottom w:w="0" w:type="dxa"/>
            <w:right w:w="108" w:type="dxa"/>
          </w:tblCellMar>
        </w:tblPrEx>
        <w:trPr>
          <w:trHeight w:val="563" w:hRule="atLeast"/>
          <w:jc w:val="center"/>
        </w:trPr>
        <w:tc>
          <w:tcPr>
            <w:tcW w:w="1074" w:type="dxa"/>
            <w:vMerge w:val="continue"/>
            <w:tcBorders>
              <w:top w:val="nil"/>
              <w:left w:val="single" w:color="auto" w:sz="8" w:space="0"/>
              <w:right w:val="single" w:color="auto" w:sz="8" w:space="0"/>
            </w:tcBorders>
            <w:noWrap w:val="0"/>
            <w:vAlign w:val="center"/>
          </w:tcPr>
          <w:p w14:paraId="7E656880"/>
        </w:tc>
        <w:tc>
          <w:tcPr>
            <w:tcW w:w="937" w:type="dxa"/>
            <w:tcBorders>
              <w:top w:val="nil"/>
              <w:left w:val="nil"/>
              <w:bottom w:val="single" w:color="auto" w:sz="8" w:space="0"/>
              <w:right w:val="single" w:color="auto" w:sz="8" w:space="0"/>
            </w:tcBorders>
            <w:noWrap w:val="0"/>
            <w:vAlign w:val="center"/>
          </w:tcPr>
          <w:p w14:paraId="5124FBC7"/>
        </w:tc>
        <w:tc>
          <w:tcPr>
            <w:tcW w:w="7867" w:type="dxa"/>
            <w:tcBorders>
              <w:top w:val="nil"/>
              <w:left w:val="nil"/>
              <w:bottom w:val="single" w:color="auto" w:sz="8" w:space="0"/>
              <w:right w:val="single" w:color="auto" w:sz="8" w:space="0"/>
            </w:tcBorders>
            <w:noWrap w:val="0"/>
            <w:vAlign w:val="center"/>
          </w:tcPr>
          <w:p w14:paraId="3950FECC"/>
        </w:tc>
      </w:tr>
      <w:tr w14:paraId="0C05EA99">
        <w:tblPrEx>
          <w:tblCellMar>
            <w:top w:w="0" w:type="dxa"/>
            <w:left w:w="108" w:type="dxa"/>
            <w:bottom w:w="0" w:type="dxa"/>
            <w:right w:w="108" w:type="dxa"/>
          </w:tblCellMar>
        </w:tblPrEx>
        <w:trPr>
          <w:trHeight w:val="524" w:hRule="atLeast"/>
          <w:jc w:val="center"/>
        </w:trPr>
        <w:tc>
          <w:tcPr>
            <w:tcW w:w="1074" w:type="dxa"/>
            <w:vMerge w:val="continue"/>
            <w:tcBorders>
              <w:top w:val="nil"/>
              <w:left w:val="single" w:color="auto" w:sz="8" w:space="0"/>
              <w:right w:val="single" w:color="auto" w:sz="8" w:space="0"/>
            </w:tcBorders>
            <w:noWrap w:val="0"/>
            <w:vAlign w:val="center"/>
          </w:tcPr>
          <w:p w14:paraId="23906D35">
            <w:pPr>
              <w:keepNext w:val="0"/>
              <w:keepLines w:val="0"/>
              <w:pageBreakBefore w:val="0"/>
              <w:widowControl/>
              <w:kinsoku/>
              <w:wordWrap/>
              <w:overflowPunct/>
              <w:topLinePunct w:val="0"/>
              <w:bidi w:val="0"/>
              <w:adjustRightInd w:val="0"/>
              <w:snapToGrid w:val="0"/>
              <w:spacing w:line="360" w:lineRule="auto"/>
              <w:jc w:val="center"/>
              <w:textAlignment w:val="auto"/>
              <w:rPr>
                <w:rFonts w:hint="eastAsia" w:ascii="宋体" w:hAnsi="宋体" w:cs="宋体"/>
                <w:color w:val="auto"/>
                <w:kern w:val="0"/>
                <w:sz w:val="21"/>
                <w:szCs w:val="21"/>
                <w:highlight w:val="none"/>
              </w:rPr>
            </w:pPr>
          </w:p>
        </w:tc>
        <w:tc>
          <w:tcPr>
            <w:tcW w:w="937" w:type="dxa"/>
            <w:tcBorders>
              <w:top w:val="nil"/>
              <w:left w:val="nil"/>
              <w:bottom w:val="single" w:color="auto" w:sz="8" w:space="0"/>
              <w:right w:val="single" w:color="auto" w:sz="8" w:space="0"/>
            </w:tcBorders>
            <w:noWrap w:val="0"/>
            <w:vAlign w:val="center"/>
          </w:tcPr>
          <w:p w14:paraId="68B2D380">
            <w:pPr>
              <w:keepNext w:val="0"/>
              <w:keepLines w:val="0"/>
              <w:pageBreakBefore w:val="0"/>
              <w:widowControl/>
              <w:kinsoku/>
              <w:wordWrap/>
              <w:overflowPunct/>
              <w:topLinePunct w:val="0"/>
              <w:bidi w:val="0"/>
              <w:adjustRightInd w:val="0"/>
              <w:snapToGrid w:val="0"/>
              <w:spacing w:line="360" w:lineRule="auto"/>
              <w:jc w:val="center"/>
              <w:textAlignment w:val="auto"/>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rPr>
              <w:t>1.</w:t>
            </w:r>
            <w:r>
              <w:rPr>
                <w:rFonts w:hint="eastAsia" w:ascii="宋体" w:hAnsi="宋体" w:cs="宋体"/>
                <w:color w:val="auto"/>
                <w:kern w:val="0"/>
                <w:sz w:val="21"/>
                <w:szCs w:val="21"/>
                <w:highlight w:val="none"/>
                <w:lang w:val="en-US" w:eastAsia="zh-CN"/>
              </w:rPr>
              <w:t>5</w:t>
            </w:r>
          </w:p>
        </w:tc>
        <w:tc>
          <w:tcPr>
            <w:tcW w:w="7867" w:type="dxa"/>
            <w:tcBorders>
              <w:top w:val="nil"/>
              <w:left w:val="nil"/>
              <w:bottom w:val="single" w:color="auto" w:sz="8" w:space="0"/>
              <w:right w:val="single" w:color="auto" w:sz="8" w:space="0"/>
            </w:tcBorders>
            <w:noWrap w:val="0"/>
            <w:vAlign w:val="center"/>
          </w:tcPr>
          <w:p w14:paraId="521EC2C3">
            <w:pPr>
              <w:keepNext w:val="0"/>
              <w:keepLines w:val="0"/>
              <w:pageBreakBefore w:val="0"/>
              <w:widowControl/>
              <w:kinsoku/>
              <w:wordWrap/>
              <w:overflowPunct/>
              <w:topLinePunct w:val="0"/>
              <w:bidi w:val="0"/>
              <w:adjustRightInd w:val="0"/>
              <w:snapToGrid w:val="0"/>
              <w:spacing w:line="360" w:lineRule="auto"/>
              <w:textAlignment w:val="auto"/>
              <w:rPr>
                <w:rFonts w:hint="eastAsia" w:ascii="宋体" w:hAnsi="宋体" w:cs="宋体"/>
                <w:color w:val="auto"/>
                <w:sz w:val="21"/>
                <w:szCs w:val="21"/>
                <w:highlight w:val="none"/>
              </w:rPr>
            </w:pPr>
            <w:r>
              <w:rPr>
                <w:rFonts w:ascii="仿宋" w:hAnsi="仿宋" w:eastAsia="仿宋"/>
                <w:color w:val="auto"/>
                <w:sz w:val="21"/>
                <w:szCs w:val="21"/>
                <w:highlight w:val="none"/>
              </w:rPr>
              <w:t>1.</w:t>
            </w:r>
            <w:r>
              <w:rPr>
                <w:rFonts w:hint="eastAsia" w:ascii="仿宋" w:hAnsi="仿宋" w:eastAsia="仿宋"/>
                <w:color w:val="auto"/>
                <w:sz w:val="21"/>
                <w:szCs w:val="21"/>
                <w:highlight w:val="none"/>
                <w:lang w:val="en-US" w:eastAsia="zh-CN"/>
              </w:rPr>
              <w:t>5</w:t>
            </w:r>
            <w:r>
              <w:rPr>
                <w:rFonts w:ascii="仿宋" w:hAnsi="仿宋" w:eastAsia="仿宋"/>
                <w:color w:val="auto"/>
                <w:sz w:val="21"/>
                <w:szCs w:val="21"/>
                <w:highlight w:val="none"/>
              </w:rPr>
              <w:t xml:space="preserve"> </w:t>
            </w:r>
            <w:r>
              <w:rPr>
                <w:rFonts w:hint="eastAsia" w:ascii="仿宋" w:hAnsi="仿宋" w:eastAsia="仿宋"/>
                <w:color w:val="auto"/>
                <w:sz w:val="21"/>
                <w:szCs w:val="21"/>
                <w:highlight w:val="none"/>
              </w:rPr>
              <w:t>数据备份修复：服务商按照用户要求，制定数据备份方案，定期提供电子票据管理系统相关业务数据备份和数据修复服务，定期检查数据备份情况，对异常丢失的数据提供数据恢复服务。</w:t>
            </w:r>
          </w:p>
        </w:tc>
      </w:tr>
      <w:tr w14:paraId="7019F10A">
        <w:tblPrEx>
          <w:tblCellMar>
            <w:top w:w="0" w:type="dxa"/>
            <w:left w:w="108" w:type="dxa"/>
            <w:bottom w:w="0" w:type="dxa"/>
            <w:right w:w="108" w:type="dxa"/>
          </w:tblCellMar>
        </w:tblPrEx>
        <w:trPr>
          <w:trHeight w:val="427" w:hRule="atLeast"/>
          <w:jc w:val="center"/>
        </w:trPr>
        <w:tc>
          <w:tcPr>
            <w:tcW w:w="1074" w:type="dxa"/>
            <w:vMerge w:val="continue"/>
            <w:tcBorders>
              <w:top w:val="nil"/>
              <w:left w:val="single" w:color="auto" w:sz="8" w:space="0"/>
              <w:right w:val="single" w:color="auto" w:sz="8" w:space="0"/>
            </w:tcBorders>
            <w:noWrap w:val="0"/>
            <w:vAlign w:val="center"/>
          </w:tcPr>
          <w:p w14:paraId="3DF643C8">
            <w:pPr>
              <w:keepNext w:val="0"/>
              <w:keepLines w:val="0"/>
              <w:pageBreakBefore w:val="0"/>
              <w:widowControl/>
              <w:kinsoku/>
              <w:wordWrap/>
              <w:overflowPunct/>
              <w:topLinePunct w:val="0"/>
              <w:bidi w:val="0"/>
              <w:adjustRightInd w:val="0"/>
              <w:snapToGrid w:val="0"/>
              <w:spacing w:line="360" w:lineRule="auto"/>
              <w:jc w:val="center"/>
              <w:textAlignment w:val="auto"/>
              <w:rPr>
                <w:rFonts w:hint="eastAsia" w:ascii="宋体" w:hAnsi="宋体" w:cs="宋体"/>
                <w:color w:val="auto"/>
                <w:kern w:val="0"/>
                <w:sz w:val="21"/>
                <w:szCs w:val="21"/>
                <w:highlight w:val="none"/>
              </w:rPr>
            </w:pPr>
          </w:p>
        </w:tc>
        <w:tc>
          <w:tcPr>
            <w:tcW w:w="937" w:type="dxa"/>
            <w:tcBorders>
              <w:top w:val="nil"/>
              <w:left w:val="nil"/>
              <w:bottom w:val="single" w:color="auto" w:sz="8" w:space="0"/>
              <w:right w:val="single" w:color="auto" w:sz="8" w:space="0"/>
            </w:tcBorders>
            <w:noWrap w:val="0"/>
            <w:vAlign w:val="center"/>
          </w:tcPr>
          <w:p w14:paraId="2F2870AE">
            <w:pPr>
              <w:keepNext w:val="0"/>
              <w:keepLines w:val="0"/>
              <w:pageBreakBefore w:val="0"/>
              <w:widowControl/>
              <w:kinsoku/>
              <w:wordWrap/>
              <w:overflowPunct/>
              <w:topLinePunct w:val="0"/>
              <w:bidi w:val="0"/>
              <w:adjustRightInd w:val="0"/>
              <w:snapToGrid w:val="0"/>
              <w:spacing w:line="360" w:lineRule="auto"/>
              <w:jc w:val="center"/>
              <w:textAlignment w:val="auto"/>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rPr>
              <w:t>1.</w:t>
            </w:r>
            <w:r>
              <w:rPr>
                <w:rFonts w:hint="eastAsia" w:ascii="宋体" w:hAnsi="宋体" w:cs="宋体"/>
                <w:color w:val="auto"/>
                <w:kern w:val="0"/>
                <w:sz w:val="21"/>
                <w:szCs w:val="21"/>
                <w:highlight w:val="none"/>
                <w:lang w:val="en-US" w:eastAsia="zh-CN"/>
              </w:rPr>
              <w:t>6</w:t>
            </w:r>
          </w:p>
        </w:tc>
        <w:tc>
          <w:tcPr>
            <w:tcW w:w="7867" w:type="dxa"/>
            <w:tcBorders>
              <w:top w:val="nil"/>
              <w:left w:val="nil"/>
              <w:bottom w:val="single" w:color="auto" w:sz="8" w:space="0"/>
              <w:right w:val="single" w:color="auto" w:sz="8" w:space="0"/>
            </w:tcBorders>
            <w:noWrap w:val="0"/>
            <w:vAlign w:val="center"/>
          </w:tcPr>
          <w:p w14:paraId="29A04134">
            <w:pPr>
              <w:keepNext w:val="0"/>
              <w:keepLines w:val="0"/>
              <w:pageBreakBefore w:val="0"/>
              <w:widowControl/>
              <w:kinsoku/>
              <w:wordWrap/>
              <w:overflowPunct/>
              <w:topLinePunct w:val="0"/>
              <w:bidi w:val="0"/>
              <w:adjustRightInd w:val="0"/>
              <w:snapToGrid w:val="0"/>
              <w:spacing w:line="360" w:lineRule="auto"/>
              <w:textAlignment w:val="auto"/>
              <w:rPr>
                <w:rFonts w:hint="eastAsia" w:ascii="宋体" w:hAnsi="宋体" w:cs="宋体"/>
                <w:color w:val="auto"/>
                <w:sz w:val="21"/>
                <w:szCs w:val="21"/>
                <w:highlight w:val="none"/>
              </w:rPr>
            </w:pPr>
            <w:r>
              <w:rPr>
                <w:rFonts w:ascii="仿宋" w:hAnsi="仿宋" w:eastAsia="仿宋"/>
                <w:color w:val="auto"/>
                <w:sz w:val="21"/>
                <w:szCs w:val="21"/>
                <w:highlight w:val="none"/>
              </w:rPr>
              <w:t>1.</w:t>
            </w:r>
            <w:r>
              <w:rPr>
                <w:rFonts w:hint="eastAsia" w:ascii="仿宋" w:hAnsi="仿宋" w:eastAsia="仿宋"/>
                <w:color w:val="auto"/>
                <w:sz w:val="21"/>
                <w:szCs w:val="21"/>
                <w:highlight w:val="none"/>
                <w:lang w:val="en-US" w:eastAsia="zh-CN"/>
              </w:rPr>
              <w:t>6</w:t>
            </w:r>
            <w:r>
              <w:rPr>
                <w:rFonts w:ascii="仿宋" w:hAnsi="仿宋" w:eastAsia="仿宋"/>
                <w:color w:val="auto"/>
                <w:sz w:val="21"/>
                <w:szCs w:val="21"/>
                <w:highlight w:val="none"/>
              </w:rPr>
              <w:t xml:space="preserve"> </w:t>
            </w:r>
            <w:r>
              <w:rPr>
                <w:rFonts w:hint="eastAsia" w:ascii="仿宋" w:hAnsi="仿宋" w:eastAsia="仿宋"/>
                <w:color w:val="auto"/>
                <w:sz w:val="21"/>
                <w:szCs w:val="21"/>
                <w:highlight w:val="none"/>
              </w:rPr>
              <w:t>专项技术保障：由于用户针对系统攻防、安全类事件的演练，服务商应积极配合用户关于应急演练、安全重保的专项技术保障服务。</w:t>
            </w:r>
          </w:p>
        </w:tc>
      </w:tr>
      <w:tr w14:paraId="2847003C">
        <w:tblPrEx>
          <w:tblCellMar>
            <w:top w:w="0" w:type="dxa"/>
            <w:left w:w="108" w:type="dxa"/>
            <w:bottom w:w="0" w:type="dxa"/>
            <w:right w:w="108" w:type="dxa"/>
          </w:tblCellMar>
        </w:tblPrEx>
        <w:trPr>
          <w:trHeight w:val="427" w:hRule="atLeast"/>
          <w:jc w:val="center"/>
        </w:trPr>
        <w:tc>
          <w:tcPr>
            <w:tcW w:w="1074" w:type="dxa"/>
            <w:vMerge w:val="restart"/>
            <w:tcBorders>
              <w:left w:val="single" w:color="auto" w:sz="8" w:space="0"/>
              <w:right w:val="single" w:color="auto" w:sz="8" w:space="0"/>
            </w:tcBorders>
            <w:noWrap w:val="0"/>
            <w:vAlign w:val="center"/>
          </w:tcPr>
          <w:p w14:paraId="66CE3EDC">
            <w:pPr>
              <w:keepNext w:val="0"/>
              <w:keepLines w:val="0"/>
              <w:pageBreakBefore w:val="0"/>
              <w:kinsoku/>
              <w:wordWrap/>
              <w:overflowPunct/>
              <w:topLinePunct w:val="0"/>
              <w:bidi w:val="0"/>
              <w:adjustRightInd w:val="0"/>
              <w:snapToGrid w:val="0"/>
              <w:spacing w:line="360" w:lineRule="auto"/>
              <w:jc w:val="center"/>
              <w:textAlignment w:val="auto"/>
              <w:rPr>
                <w:rFonts w:ascii="仿宋" w:hAnsi="仿宋" w:eastAsia="仿宋"/>
                <w:color w:val="auto"/>
                <w:sz w:val="21"/>
                <w:szCs w:val="21"/>
                <w:highlight w:val="none"/>
              </w:rPr>
            </w:pPr>
            <w:r>
              <w:rPr>
                <w:rFonts w:hint="eastAsia" w:ascii="仿宋" w:hAnsi="仿宋" w:eastAsia="仿宋"/>
                <w:color w:val="auto"/>
                <w:sz w:val="21"/>
                <w:szCs w:val="21"/>
                <w:highlight w:val="none"/>
              </w:rPr>
              <w:t>业务</w:t>
            </w:r>
          </w:p>
          <w:p w14:paraId="4601A110">
            <w:pPr>
              <w:keepNext w:val="0"/>
              <w:keepLines w:val="0"/>
              <w:pageBreakBefore w:val="0"/>
              <w:kinsoku/>
              <w:wordWrap/>
              <w:overflowPunct/>
              <w:topLinePunct w:val="0"/>
              <w:bidi w:val="0"/>
              <w:adjustRightInd w:val="0"/>
              <w:snapToGrid w:val="0"/>
              <w:spacing w:line="360" w:lineRule="auto"/>
              <w:jc w:val="center"/>
              <w:textAlignment w:val="auto"/>
              <w:rPr>
                <w:rFonts w:ascii="仿宋" w:hAnsi="仿宋" w:eastAsia="仿宋"/>
                <w:color w:val="auto"/>
                <w:sz w:val="21"/>
                <w:szCs w:val="21"/>
                <w:highlight w:val="none"/>
              </w:rPr>
            </w:pPr>
            <w:r>
              <w:rPr>
                <w:rFonts w:hint="eastAsia" w:ascii="仿宋" w:hAnsi="仿宋" w:eastAsia="仿宋"/>
                <w:color w:val="auto"/>
                <w:sz w:val="21"/>
                <w:szCs w:val="21"/>
                <w:highlight w:val="none"/>
              </w:rPr>
              <w:t>运维</w:t>
            </w:r>
          </w:p>
          <w:p w14:paraId="60F20038">
            <w:pPr>
              <w:keepNext w:val="0"/>
              <w:keepLines w:val="0"/>
              <w:pageBreakBefore w:val="0"/>
              <w:widowControl/>
              <w:kinsoku/>
              <w:wordWrap/>
              <w:overflowPunct/>
              <w:topLinePunct w:val="0"/>
              <w:bidi w:val="0"/>
              <w:adjustRightInd w:val="0"/>
              <w:snapToGrid w:val="0"/>
              <w:spacing w:line="360" w:lineRule="auto"/>
              <w:jc w:val="center"/>
              <w:textAlignment w:val="auto"/>
              <w:rPr>
                <w:rFonts w:ascii="宋体" w:hAnsi="宋体" w:cs="宋体"/>
                <w:color w:val="auto"/>
                <w:kern w:val="0"/>
                <w:sz w:val="21"/>
                <w:szCs w:val="21"/>
                <w:highlight w:val="none"/>
              </w:rPr>
            </w:pPr>
            <w:r>
              <w:rPr>
                <w:rFonts w:hint="eastAsia" w:ascii="仿宋" w:hAnsi="仿宋" w:eastAsia="仿宋"/>
                <w:color w:val="auto"/>
                <w:sz w:val="21"/>
                <w:szCs w:val="21"/>
                <w:highlight w:val="none"/>
              </w:rPr>
              <w:t>服务</w:t>
            </w:r>
          </w:p>
        </w:tc>
        <w:tc>
          <w:tcPr>
            <w:tcW w:w="937" w:type="dxa"/>
            <w:tcBorders>
              <w:top w:val="nil"/>
              <w:left w:val="nil"/>
              <w:bottom w:val="single" w:color="auto" w:sz="8" w:space="0"/>
              <w:right w:val="single" w:color="auto" w:sz="8" w:space="0"/>
            </w:tcBorders>
            <w:noWrap w:val="0"/>
            <w:vAlign w:val="center"/>
          </w:tcPr>
          <w:p w14:paraId="30C05682">
            <w:pPr>
              <w:keepNext w:val="0"/>
              <w:keepLines w:val="0"/>
              <w:pageBreakBefore w:val="0"/>
              <w:widowControl/>
              <w:kinsoku/>
              <w:wordWrap/>
              <w:overflowPunct/>
              <w:topLinePunct w:val="0"/>
              <w:bidi w:val="0"/>
              <w:adjustRightInd w:val="0"/>
              <w:snapToGrid w:val="0"/>
              <w:spacing w:line="360" w:lineRule="auto"/>
              <w:jc w:val="center"/>
              <w:textAlignment w:val="auto"/>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2.1</w:t>
            </w:r>
          </w:p>
        </w:tc>
        <w:tc>
          <w:tcPr>
            <w:tcW w:w="7867" w:type="dxa"/>
            <w:tcBorders>
              <w:top w:val="nil"/>
              <w:left w:val="nil"/>
              <w:bottom w:val="single" w:color="auto" w:sz="8" w:space="0"/>
              <w:right w:val="single" w:color="auto" w:sz="8" w:space="0"/>
            </w:tcBorders>
            <w:noWrap w:val="0"/>
            <w:vAlign w:val="center"/>
          </w:tcPr>
          <w:p w14:paraId="365DF4A8">
            <w:pPr>
              <w:keepNext w:val="0"/>
              <w:keepLines w:val="0"/>
              <w:pageBreakBefore w:val="0"/>
              <w:kinsoku/>
              <w:wordWrap/>
              <w:overflowPunct/>
              <w:topLinePunct w:val="0"/>
              <w:bidi w:val="0"/>
              <w:adjustRightInd w:val="0"/>
              <w:snapToGrid w:val="0"/>
              <w:spacing w:line="360" w:lineRule="auto"/>
              <w:textAlignment w:val="auto"/>
              <w:rPr>
                <w:rFonts w:hint="eastAsia" w:ascii="宋体" w:hAnsi="宋体" w:cs="宋体"/>
                <w:color w:val="auto"/>
                <w:kern w:val="0"/>
                <w:sz w:val="21"/>
                <w:szCs w:val="21"/>
                <w:highlight w:val="none"/>
              </w:rPr>
            </w:pPr>
            <w:r>
              <w:rPr>
                <w:rFonts w:ascii="仿宋" w:hAnsi="仿宋" w:eastAsia="仿宋"/>
                <w:color w:val="auto"/>
                <w:sz w:val="21"/>
                <w:szCs w:val="21"/>
                <w:highlight w:val="none"/>
              </w:rPr>
              <w:t xml:space="preserve">2.1 </w:t>
            </w:r>
            <w:r>
              <w:rPr>
                <w:rFonts w:hint="eastAsia" w:ascii="仿宋" w:hAnsi="仿宋" w:eastAsia="仿宋"/>
                <w:color w:val="auto"/>
                <w:sz w:val="21"/>
                <w:szCs w:val="21"/>
                <w:highlight w:val="none"/>
              </w:rPr>
              <w:t>流程规范化管理：服务商为用户提供单位的基础信息维护、单位证书</w:t>
            </w:r>
            <w:r>
              <w:rPr>
                <w:rFonts w:ascii="仿宋" w:hAnsi="仿宋" w:eastAsia="仿宋"/>
                <w:color w:val="auto"/>
                <w:sz w:val="21"/>
                <w:szCs w:val="21"/>
                <w:highlight w:val="none"/>
              </w:rPr>
              <w:t>/印章管理、人员权限配置管理协助，实现单位的业务流程规范化管理。</w:t>
            </w:r>
          </w:p>
        </w:tc>
      </w:tr>
      <w:tr w14:paraId="7CFC0A76">
        <w:tblPrEx>
          <w:tblCellMar>
            <w:top w:w="0" w:type="dxa"/>
            <w:left w:w="108" w:type="dxa"/>
            <w:bottom w:w="0" w:type="dxa"/>
            <w:right w:w="108" w:type="dxa"/>
          </w:tblCellMar>
        </w:tblPrEx>
        <w:trPr>
          <w:trHeight w:val="563" w:hRule="atLeast"/>
          <w:jc w:val="center"/>
        </w:trPr>
        <w:tc>
          <w:tcPr>
            <w:tcW w:w="1074" w:type="dxa"/>
            <w:vMerge w:val="continue"/>
            <w:tcBorders>
              <w:left w:val="single" w:color="auto" w:sz="8" w:space="0"/>
              <w:right w:val="single" w:color="auto" w:sz="8" w:space="0"/>
            </w:tcBorders>
            <w:noWrap w:val="0"/>
            <w:vAlign w:val="center"/>
          </w:tcPr>
          <w:p w14:paraId="516B3243">
            <w:pPr>
              <w:keepNext w:val="0"/>
              <w:keepLines w:val="0"/>
              <w:pageBreakBefore w:val="0"/>
              <w:widowControl/>
              <w:kinsoku/>
              <w:wordWrap/>
              <w:overflowPunct/>
              <w:topLinePunct w:val="0"/>
              <w:bidi w:val="0"/>
              <w:adjustRightInd w:val="0"/>
              <w:snapToGrid w:val="0"/>
              <w:spacing w:line="360" w:lineRule="auto"/>
              <w:jc w:val="center"/>
              <w:textAlignment w:val="auto"/>
              <w:rPr>
                <w:rFonts w:ascii="宋体" w:hAnsi="宋体" w:cs="宋体"/>
                <w:color w:val="auto"/>
                <w:kern w:val="0"/>
                <w:sz w:val="21"/>
                <w:szCs w:val="21"/>
                <w:highlight w:val="none"/>
              </w:rPr>
            </w:pPr>
          </w:p>
        </w:tc>
        <w:tc>
          <w:tcPr>
            <w:tcW w:w="937" w:type="dxa"/>
            <w:tcBorders>
              <w:top w:val="nil"/>
              <w:left w:val="nil"/>
              <w:bottom w:val="single" w:color="auto" w:sz="8" w:space="0"/>
              <w:right w:val="single" w:color="auto" w:sz="8" w:space="0"/>
            </w:tcBorders>
            <w:noWrap w:val="0"/>
            <w:vAlign w:val="center"/>
          </w:tcPr>
          <w:p w14:paraId="6D3755CD">
            <w:pPr>
              <w:keepNext w:val="0"/>
              <w:keepLines w:val="0"/>
              <w:pageBreakBefore w:val="0"/>
              <w:widowControl/>
              <w:kinsoku/>
              <w:wordWrap/>
              <w:overflowPunct/>
              <w:topLinePunct w:val="0"/>
              <w:bidi w:val="0"/>
              <w:adjustRightInd w:val="0"/>
              <w:snapToGrid w:val="0"/>
              <w:spacing w:line="360" w:lineRule="auto"/>
              <w:jc w:val="center"/>
              <w:textAlignment w:val="auto"/>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2.2</w:t>
            </w:r>
          </w:p>
        </w:tc>
        <w:tc>
          <w:tcPr>
            <w:tcW w:w="7867" w:type="dxa"/>
            <w:tcBorders>
              <w:top w:val="nil"/>
              <w:left w:val="nil"/>
              <w:bottom w:val="single" w:color="auto" w:sz="8" w:space="0"/>
              <w:right w:val="single" w:color="auto" w:sz="8" w:space="0"/>
            </w:tcBorders>
            <w:noWrap w:val="0"/>
            <w:vAlign w:val="center"/>
          </w:tcPr>
          <w:p w14:paraId="16DC7018">
            <w:pPr>
              <w:keepNext w:val="0"/>
              <w:keepLines w:val="0"/>
              <w:pageBreakBefore w:val="0"/>
              <w:kinsoku/>
              <w:wordWrap/>
              <w:overflowPunct/>
              <w:topLinePunct w:val="0"/>
              <w:bidi w:val="0"/>
              <w:adjustRightInd w:val="0"/>
              <w:snapToGrid w:val="0"/>
              <w:spacing w:line="360" w:lineRule="auto"/>
              <w:textAlignment w:val="auto"/>
              <w:rPr>
                <w:rFonts w:ascii="仿宋" w:hAnsi="仿宋" w:eastAsia="仿宋"/>
                <w:color w:val="auto"/>
                <w:sz w:val="21"/>
                <w:szCs w:val="21"/>
                <w:highlight w:val="none"/>
              </w:rPr>
            </w:pPr>
            <w:r>
              <w:rPr>
                <w:rFonts w:ascii="仿宋" w:hAnsi="仿宋" w:eastAsia="仿宋"/>
                <w:color w:val="auto"/>
                <w:sz w:val="21"/>
                <w:szCs w:val="21"/>
                <w:highlight w:val="none"/>
              </w:rPr>
              <w:t>2.2</w:t>
            </w:r>
            <w:r>
              <w:rPr>
                <w:rFonts w:hint="eastAsia" w:ascii="仿宋" w:hAnsi="仿宋" w:eastAsia="仿宋"/>
                <w:color w:val="auto"/>
                <w:sz w:val="21"/>
                <w:szCs w:val="21"/>
                <w:highlight w:val="none"/>
              </w:rPr>
              <w:t>数据核对：服务商需按照用户的时间要求，按照业务类型、缴费渠道、凭证类型、收支类型多种未读完成开票数据核对，通过核对的结果甄别出差异数据，并提供给单位相关部门进行技术处理，以保证单位开票数据的一致性。</w:t>
            </w:r>
          </w:p>
        </w:tc>
      </w:tr>
      <w:tr w14:paraId="52D7E66B">
        <w:tblPrEx>
          <w:tblCellMar>
            <w:top w:w="0" w:type="dxa"/>
            <w:left w:w="108" w:type="dxa"/>
            <w:bottom w:w="0" w:type="dxa"/>
            <w:right w:w="108" w:type="dxa"/>
          </w:tblCellMar>
        </w:tblPrEx>
        <w:trPr>
          <w:trHeight w:val="563" w:hRule="atLeast"/>
          <w:jc w:val="center"/>
        </w:trPr>
        <w:tc>
          <w:tcPr>
            <w:tcW w:w="1074" w:type="dxa"/>
            <w:vMerge w:val="continue"/>
            <w:tcBorders>
              <w:left w:val="single" w:color="auto" w:sz="8" w:space="0"/>
              <w:right w:val="single" w:color="auto" w:sz="8" w:space="0"/>
            </w:tcBorders>
            <w:noWrap w:val="0"/>
            <w:vAlign w:val="center"/>
          </w:tcPr>
          <w:p w14:paraId="109CDE2E">
            <w:pPr>
              <w:keepNext w:val="0"/>
              <w:keepLines w:val="0"/>
              <w:pageBreakBefore w:val="0"/>
              <w:widowControl/>
              <w:kinsoku/>
              <w:wordWrap/>
              <w:overflowPunct/>
              <w:topLinePunct w:val="0"/>
              <w:bidi w:val="0"/>
              <w:adjustRightInd w:val="0"/>
              <w:snapToGrid w:val="0"/>
              <w:spacing w:line="360" w:lineRule="auto"/>
              <w:jc w:val="center"/>
              <w:textAlignment w:val="auto"/>
              <w:rPr>
                <w:rFonts w:ascii="宋体" w:hAnsi="宋体" w:cs="宋体"/>
                <w:color w:val="auto"/>
                <w:kern w:val="0"/>
                <w:sz w:val="21"/>
                <w:szCs w:val="21"/>
                <w:highlight w:val="none"/>
              </w:rPr>
            </w:pPr>
          </w:p>
        </w:tc>
        <w:tc>
          <w:tcPr>
            <w:tcW w:w="937" w:type="dxa"/>
            <w:tcBorders>
              <w:top w:val="nil"/>
              <w:left w:val="nil"/>
              <w:bottom w:val="single" w:color="auto" w:sz="8" w:space="0"/>
              <w:right w:val="single" w:color="auto" w:sz="8" w:space="0"/>
            </w:tcBorders>
            <w:noWrap w:val="0"/>
            <w:vAlign w:val="center"/>
          </w:tcPr>
          <w:p w14:paraId="42BF0B54">
            <w:pPr>
              <w:keepNext w:val="0"/>
              <w:keepLines w:val="0"/>
              <w:pageBreakBefore w:val="0"/>
              <w:widowControl/>
              <w:kinsoku/>
              <w:wordWrap/>
              <w:overflowPunct/>
              <w:topLinePunct w:val="0"/>
              <w:bidi w:val="0"/>
              <w:adjustRightInd w:val="0"/>
              <w:snapToGrid w:val="0"/>
              <w:spacing w:line="360" w:lineRule="auto"/>
              <w:jc w:val="center"/>
              <w:textAlignment w:val="auto"/>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2.3</w:t>
            </w:r>
          </w:p>
        </w:tc>
        <w:tc>
          <w:tcPr>
            <w:tcW w:w="7867" w:type="dxa"/>
            <w:tcBorders>
              <w:top w:val="nil"/>
              <w:left w:val="nil"/>
              <w:bottom w:val="single" w:color="auto" w:sz="8" w:space="0"/>
              <w:right w:val="single" w:color="auto" w:sz="8" w:space="0"/>
            </w:tcBorders>
            <w:noWrap w:val="0"/>
            <w:vAlign w:val="center"/>
          </w:tcPr>
          <w:p w14:paraId="6235817D">
            <w:pPr>
              <w:keepNext w:val="0"/>
              <w:keepLines w:val="0"/>
              <w:pageBreakBefore w:val="0"/>
              <w:kinsoku/>
              <w:wordWrap/>
              <w:overflowPunct/>
              <w:topLinePunct w:val="0"/>
              <w:bidi w:val="0"/>
              <w:adjustRightInd w:val="0"/>
              <w:snapToGrid w:val="0"/>
              <w:spacing w:line="360" w:lineRule="auto"/>
              <w:textAlignment w:val="auto"/>
              <w:rPr>
                <w:rFonts w:ascii="仿宋" w:hAnsi="仿宋" w:eastAsia="仿宋"/>
                <w:color w:val="auto"/>
                <w:sz w:val="21"/>
                <w:szCs w:val="21"/>
                <w:highlight w:val="none"/>
              </w:rPr>
            </w:pPr>
            <w:r>
              <w:rPr>
                <w:rFonts w:ascii="仿宋" w:hAnsi="仿宋" w:eastAsia="仿宋"/>
                <w:color w:val="auto"/>
                <w:sz w:val="21"/>
                <w:szCs w:val="21"/>
                <w:highlight w:val="none"/>
              </w:rPr>
              <w:t>2.3</w:t>
            </w:r>
            <w:r>
              <w:rPr>
                <w:rFonts w:hint="eastAsia" w:ascii="仿宋" w:hAnsi="仿宋" w:eastAsia="仿宋"/>
                <w:color w:val="auto"/>
                <w:sz w:val="21"/>
                <w:szCs w:val="21"/>
                <w:highlight w:val="none"/>
              </w:rPr>
              <w:t>库存管理为用户提供票据库存管理协助服务，对单位库存、开票点库存的用票情况进行实时监控。提供主动式的监控、预警服务，实时检查票据领用及时性，避免无票可用。使票据的领用、使用更合理，保障总体开票的时效性。</w:t>
            </w:r>
          </w:p>
        </w:tc>
      </w:tr>
      <w:tr w14:paraId="74B63F7F">
        <w:tblPrEx>
          <w:tblCellMar>
            <w:top w:w="0" w:type="dxa"/>
            <w:left w:w="108" w:type="dxa"/>
            <w:bottom w:w="0" w:type="dxa"/>
            <w:right w:w="108" w:type="dxa"/>
          </w:tblCellMar>
        </w:tblPrEx>
        <w:trPr>
          <w:trHeight w:val="352" w:hRule="atLeast"/>
          <w:jc w:val="center"/>
        </w:trPr>
        <w:tc>
          <w:tcPr>
            <w:tcW w:w="1074" w:type="dxa"/>
            <w:vMerge w:val="continue"/>
            <w:tcBorders>
              <w:left w:val="single" w:color="auto" w:sz="8" w:space="0"/>
              <w:right w:val="single" w:color="auto" w:sz="8" w:space="0"/>
            </w:tcBorders>
            <w:noWrap w:val="0"/>
            <w:vAlign w:val="center"/>
          </w:tcPr>
          <w:p w14:paraId="4780686F">
            <w:pPr>
              <w:keepNext w:val="0"/>
              <w:keepLines w:val="0"/>
              <w:pageBreakBefore w:val="0"/>
              <w:widowControl/>
              <w:kinsoku/>
              <w:wordWrap/>
              <w:overflowPunct/>
              <w:topLinePunct w:val="0"/>
              <w:bidi w:val="0"/>
              <w:adjustRightInd w:val="0"/>
              <w:snapToGrid w:val="0"/>
              <w:spacing w:line="360" w:lineRule="auto"/>
              <w:jc w:val="center"/>
              <w:textAlignment w:val="auto"/>
              <w:rPr>
                <w:rFonts w:ascii="宋体" w:hAnsi="宋体" w:cs="宋体"/>
                <w:color w:val="auto"/>
                <w:kern w:val="0"/>
                <w:sz w:val="21"/>
                <w:szCs w:val="21"/>
                <w:highlight w:val="none"/>
              </w:rPr>
            </w:pPr>
          </w:p>
        </w:tc>
        <w:tc>
          <w:tcPr>
            <w:tcW w:w="937" w:type="dxa"/>
            <w:tcBorders>
              <w:top w:val="nil"/>
              <w:left w:val="nil"/>
              <w:bottom w:val="single" w:color="auto" w:sz="8" w:space="0"/>
              <w:right w:val="single" w:color="auto" w:sz="8" w:space="0"/>
            </w:tcBorders>
            <w:noWrap w:val="0"/>
            <w:vAlign w:val="center"/>
          </w:tcPr>
          <w:p w14:paraId="1E6707A5">
            <w:pPr>
              <w:keepNext w:val="0"/>
              <w:keepLines w:val="0"/>
              <w:pageBreakBefore w:val="0"/>
              <w:widowControl/>
              <w:kinsoku/>
              <w:wordWrap/>
              <w:overflowPunct/>
              <w:topLinePunct w:val="0"/>
              <w:bidi w:val="0"/>
              <w:adjustRightInd w:val="0"/>
              <w:snapToGrid w:val="0"/>
              <w:spacing w:line="360" w:lineRule="auto"/>
              <w:jc w:val="center"/>
              <w:textAlignment w:val="auto"/>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2.4</w:t>
            </w:r>
          </w:p>
        </w:tc>
        <w:tc>
          <w:tcPr>
            <w:tcW w:w="7867" w:type="dxa"/>
            <w:tcBorders>
              <w:top w:val="nil"/>
              <w:left w:val="nil"/>
              <w:bottom w:val="single" w:color="auto" w:sz="8" w:space="0"/>
              <w:right w:val="single" w:color="auto" w:sz="8" w:space="0"/>
            </w:tcBorders>
            <w:noWrap w:val="0"/>
            <w:vAlign w:val="center"/>
          </w:tcPr>
          <w:p w14:paraId="616B0E6C">
            <w:pPr>
              <w:keepNext w:val="0"/>
              <w:keepLines w:val="0"/>
              <w:pageBreakBefore w:val="0"/>
              <w:kinsoku/>
              <w:wordWrap/>
              <w:overflowPunct/>
              <w:topLinePunct w:val="0"/>
              <w:bidi w:val="0"/>
              <w:adjustRightInd w:val="0"/>
              <w:snapToGrid w:val="0"/>
              <w:spacing w:line="360" w:lineRule="auto"/>
              <w:textAlignment w:val="auto"/>
              <w:rPr>
                <w:rFonts w:ascii="仿宋" w:hAnsi="仿宋" w:eastAsia="仿宋"/>
                <w:color w:val="auto"/>
                <w:sz w:val="21"/>
                <w:szCs w:val="21"/>
                <w:highlight w:val="none"/>
              </w:rPr>
            </w:pPr>
            <w:r>
              <w:rPr>
                <w:rFonts w:ascii="仿宋" w:hAnsi="仿宋" w:eastAsia="仿宋"/>
                <w:color w:val="auto"/>
                <w:sz w:val="21"/>
                <w:szCs w:val="21"/>
                <w:highlight w:val="none"/>
              </w:rPr>
              <w:t>2.4</w:t>
            </w:r>
            <w:r>
              <w:rPr>
                <w:rFonts w:hint="eastAsia" w:ascii="仿宋" w:hAnsi="仿宋" w:eastAsia="仿宋"/>
                <w:color w:val="auto"/>
                <w:sz w:val="21"/>
                <w:szCs w:val="21"/>
                <w:highlight w:val="none"/>
              </w:rPr>
              <w:t>年结服务：年终时为单位提供年结服务，按照新年度的票据规范进行票据管理协助服务，确保下一年的票据可用性。</w:t>
            </w:r>
          </w:p>
        </w:tc>
      </w:tr>
      <w:tr w14:paraId="72A67C3C">
        <w:tblPrEx>
          <w:tblCellMar>
            <w:top w:w="0" w:type="dxa"/>
            <w:left w:w="108" w:type="dxa"/>
            <w:bottom w:w="0" w:type="dxa"/>
            <w:right w:w="108" w:type="dxa"/>
          </w:tblCellMar>
        </w:tblPrEx>
        <w:trPr>
          <w:trHeight w:val="524" w:hRule="atLeast"/>
          <w:jc w:val="center"/>
        </w:trPr>
        <w:tc>
          <w:tcPr>
            <w:tcW w:w="1074" w:type="dxa"/>
            <w:vMerge w:val="continue"/>
            <w:tcBorders>
              <w:left w:val="single" w:color="auto" w:sz="8" w:space="0"/>
              <w:right w:val="single" w:color="auto" w:sz="8" w:space="0"/>
            </w:tcBorders>
            <w:noWrap w:val="0"/>
            <w:vAlign w:val="center"/>
          </w:tcPr>
          <w:p w14:paraId="31B5A426">
            <w:pPr>
              <w:keepNext w:val="0"/>
              <w:keepLines w:val="0"/>
              <w:pageBreakBefore w:val="0"/>
              <w:widowControl/>
              <w:kinsoku/>
              <w:wordWrap/>
              <w:overflowPunct/>
              <w:topLinePunct w:val="0"/>
              <w:bidi w:val="0"/>
              <w:adjustRightInd w:val="0"/>
              <w:snapToGrid w:val="0"/>
              <w:spacing w:line="360" w:lineRule="auto"/>
              <w:jc w:val="center"/>
              <w:textAlignment w:val="auto"/>
              <w:rPr>
                <w:rFonts w:ascii="宋体" w:hAnsi="宋体" w:cs="宋体"/>
                <w:color w:val="auto"/>
                <w:kern w:val="0"/>
                <w:sz w:val="21"/>
                <w:szCs w:val="21"/>
                <w:highlight w:val="none"/>
              </w:rPr>
            </w:pPr>
          </w:p>
        </w:tc>
        <w:tc>
          <w:tcPr>
            <w:tcW w:w="937" w:type="dxa"/>
            <w:tcBorders>
              <w:top w:val="nil"/>
              <w:left w:val="nil"/>
              <w:bottom w:val="single" w:color="auto" w:sz="8" w:space="0"/>
              <w:right w:val="single" w:color="auto" w:sz="8" w:space="0"/>
            </w:tcBorders>
            <w:noWrap w:val="0"/>
            <w:vAlign w:val="center"/>
          </w:tcPr>
          <w:p w14:paraId="3C2D3677">
            <w:pPr>
              <w:keepNext w:val="0"/>
              <w:keepLines w:val="0"/>
              <w:pageBreakBefore w:val="0"/>
              <w:widowControl/>
              <w:kinsoku/>
              <w:wordWrap/>
              <w:overflowPunct/>
              <w:topLinePunct w:val="0"/>
              <w:bidi w:val="0"/>
              <w:adjustRightInd w:val="0"/>
              <w:snapToGrid w:val="0"/>
              <w:spacing w:line="360" w:lineRule="auto"/>
              <w:jc w:val="center"/>
              <w:textAlignment w:val="auto"/>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2.5</w:t>
            </w:r>
          </w:p>
        </w:tc>
        <w:tc>
          <w:tcPr>
            <w:tcW w:w="7867" w:type="dxa"/>
            <w:tcBorders>
              <w:top w:val="nil"/>
              <w:left w:val="nil"/>
              <w:bottom w:val="single" w:color="auto" w:sz="8" w:space="0"/>
              <w:right w:val="single" w:color="auto" w:sz="8" w:space="0"/>
            </w:tcBorders>
            <w:noWrap w:val="0"/>
            <w:vAlign w:val="center"/>
          </w:tcPr>
          <w:p w14:paraId="46619E3A">
            <w:pPr>
              <w:keepNext w:val="0"/>
              <w:keepLines w:val="0"/>
              <w:pageBreakBefore w:val="0"/>
              <w:kinsoku/>
              <w:wordWrap/>
              <w:overflowPunct/>
              <w:topLinePunct w:val="0"/>
              <w:bidi w:val="0"/>
              <w:adjustRightInd w:val="0"/>
              <w:snapToGrid w:val="0"/>
              <w:spacing w:line="360" w:lineRule="auto"/>
              <w:textAlignment w:val="auto"/>
              <w:rPr>
                <w:rFonts w:ascii="仿宋" w:hAnsi="仿宋" w:eastAsia="仿宋"/>
                <w:color w:val="auto"/>
                <w:sz w:val="21"/>
                <w:szCs w:val="21"/>
                <w:highlight w:val="none"/>
              </w:rPr>
            </w:pPr>
            <w:r>
              <w:rPr>
                <w:rFonts w:ascii="仿宋" w:hAnsi="仿宋" w:eastAsia="仿宋"/>
                <w:color w:val="auto"/>
                <w:sz w:val="21"/>
                <w:szCs w:val="21"/>
                <w:highlight w:val="none"/>
              </w:rPr>
              <w:t>2.5</w:t>
            </w:r>
            <w:r>
              <w:rPr>
                <w:rFonts w:hint="eastAsia" w:ascii="仿宋" w:hAnsi="仿宋" w:eastAsia="仿宋"/>
                <w:color w:val="auto"/>
                <w:sz w:val="21"/>
                <w:szCs w:val="21"/>
                <w:highlight w:val="none"/>
              </w:rPr>
              <w:t>业务咨询服务商通过咨询热线、服务群等方式，为医院提供相关业务咨询服务，提供更专业的业务咨询解答，帮助提升医院人员的业务知识度，从而提高整体服务质量。</w:t>
            </w:r>
          </w:p>
        </w:tc>
      </w:tr>
      <w:tr w14:paraId="5A5749D9">
        <w:tblPrEx>
          <w:tblCellMar>
            <w:top w:w="0" w:type="dxa"/>
            <w:left w:w="108" w:type="dxa"/>
            <w:bottom w:w="0" w:type="dxa"/>
            <w:right w:w="108" w:type="dxa"/>
          </w:tblCellMar>
        </w:tblPrEx>
        <w:trPr>
          <w:trHeight w:val="352" w:hRule="atLeast"/>
          <w:jc w:val="center"/>
        </w:trPr>
        <w:tc>
          <w:tcPr>
            <w:tcW w:w="1074" w:type="dxa"/>
            <w:vMerge w:val="continue"/>
            <w:tcBorders>
              <w:left w:val="single" w:color="auto" w:sz="8" w:space="0"/>
              <w:right w:val="single" w:color="auto" w:sz="8" w:space="0"/>
            </w:tcBorders>
            <w:noWrap w:val="0"/>
            <w:vAlign w:val="center"/>
          </w:tcPr>
          <w:p w14:paraId="1038751B">
            <w:pPr>
              <w:keepNext w:val="0"/>
              <w:keepLines w:val="0"/>
              <w:pageBreakBefore w:val="0"/>
              <w:widowControl/>
              <w:kinsoku/>
              <w:wordWrap/>
              <w:overflowPunct/>
              <w:topLinePunct w:val="0"/>
              <w:bidi w:val="0"/>
              <w:adjustRightInd w:val="0"/>
              <w:snapToGrid w:val="0"/>
              <w:spacing w:line="360" w:lineRule="auto"/>
              <w:jc w:val="center"/>
              <w:textAlignment w:val="auto"/>
              <w:rPr>
                <w:rFonts w:ascii="宋体" w:hAnsi="宋体" w:cs="宋体"/>
                <w:color w:val="auto"/>
                <w:kern w:val="0"/>
                <w:sz w:val="21"/>
                <w:szCs w:val="21"/>
                <w:highlight w:val="none"/>
              </w:rPr>
            </w:pPr>
          </w:p>
        </w:tc>
        <w:tc>
          <w:tcPr>
            <w:tcW w:w="937" w:type="dxa"/>
            <w:tcBorders>
              <w:top w:val="nil"/>
              <w:left w:val="nil"/>
              <w:bottom w:val="single" w:color="auto" w:sz="8" w:space="0"/>
              <w:right w:val="single" w:color="auto" w:sz="8" w:space="0"/>
            </w:tcBorders>
            <w:noWrap w:val="0"/>
            <w:vAlign w:val="center"/>
          </w:tcPr>
          <w:p w14:paraId="54FB15D6">
            <w:pPr>
              <w:keepNext w:val="0"/>
              <w:keepLines w:val="0"/>
              <w:pageBreakBefore w:val="0"/>
              <w:widowControl/>
              <w:kinsoku/>
              <w:wordWrap/>
              <w:overflowPunct/>
              <w:topLinePunct w:val="0"/>
              <w:bidi w:val="0"/>
              <w:adjustRightInd w:val="0"/>
              <w:snapToGrid w:val="0"/>
              <w:spacing w:line="360" w:lineRule="auto"/>
              <w:jc w:val="center"/>
              <w:textAlignment w:val="auto"/>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2.6</w:t>
            </w:r>
          </w:p>
        </w:tc>
        <w:tc>
          <w:tcPr>
            <w:tcW w:w="7867" w:type="dxa"/>
            <w:tcBorders>
              <w:top w:val="nil"/>
              <w:left w:val="nil"/>
              <w:bottom w:val="single" w:color="auto" w:sz="8" w:space="0"/>
              <w:right w:val="single" w:color="auto" w:sz="8" w:space="0"/>
            </w:tcBorders>
            <w:noWrap w:val="0"/>
            <w:vAlign w:val="center"/>
          </w:tcPr>
          <w:p w14:paraId="25CEA509">
            <w:pPr>
              <w:keepNext w:val="0"/>
              <w:keepLines w:val="0"/>
              <w:pageBreakBefore w:val="0"/>
              <w:kinsoku/>
              <w:wordWrap/>
              <w:overflowPunct/>
              <w:topLinePunct w:val="0"/>
              <w:bidi w:val="0"/>
              <w:adjustRightInd w:val="0"/>
              <w:snapToGrid w:val="0"/>
              <w:spacing w:line="360" w:lineRule="auto"/>
              <w:textAlignment w:val="auto"/>
              <w:rPr>
                <w:rFonts w:ascii="仿宋" w:hAnsi="仿宋" w:eastAsia="仿宋"/>
                <w:color w:val="auto"/>
                <w:sz w:val="21"/>
                <w:szCs w:val="21"/>
                <w:highlight w:val="none"/>
              </w:rPr>
            </w:pPr>
            <w:r>
              <w:rPr>
                <w:rFonts w:ascii="仿宋" w:hAnsi="仿宋" w:eastAsia="仿宋"/>
                <w:color w:val="auto"/>
                <w:sz w:val="21"/>
                <w:szCs w:val="21"/>
                <w:highlight w:val="none"/>
              </w:rPr>
              <w:t>2.6</w:t>
            </w:r>
            <w:r>
              <w:rPr>
                <w:rFonts w:hint="eastAsia" w:ascii="仿宋" w:hAnsi="仿宋" w:eastAsia="仿宋"/>
                <w:color w:val="auto"/>
                <w:sz w:val="21"/>
                <w:szCs w:val="21"/>
                <w:highlight w:val="none"/>
              </w:rPr>
              <w:t>定期专场培训服务商根据用户的需求，安排专业人员提供专场业务、产品相关知识培训。</w:t>
            </w:r>
          </w:p>
        </w:tc>
      </w:tr>
      <w:tr w14:paraId="33B9998B">
        <w:tblPrEx>
          <w:tblCellMar>
            <w:top w:w="0" w:type="dxa"/>
            <w:left w:w="108" w:type="dxa"/>
            <w:bottom w:w="0" w:type="dxa"/>
            <w:right w:w="108" w:type="dxa"/>
          </w:tblCellMar>
        </w:tblPrEx>
        <w:trPr>
          <w:trHeight w:val="352" w:hRule="atLeast"/>
          <w:jc w:val="center"/>
        </w:trPr>
        <w:tc>
          <w:tcPr>
            <w:tcW w:w="1074" w:type="dxa"/>
            <w:vMerge w:val="continue"/>
            <w:tcBorders>
              <w:left w:val="single" w:color="auto" w:sz="8" w:space="0"/>
              <w:bottom w:val="single" w:color="000000" w:sz="8" w:space="0"/>
              <w:right w:val="single" w:color="auto" w:sz="8" w:space="0"/>
            </w:tcBorders>
            <w:noWrap w:val="0"/>
            <w:vAlign w:val="center"/>
          </w:tcPr>
          <w:p w14:paraId="7C670EBF">
            <w:pPr>
              <w:keepNext w:val="0"/>
              <w:keepLines w:val="0"/>
              <w:pageBreakBefore w:val="0"/>
              <w:widowControl/>
              <w:kinsoku/>
              <w:wordWrap/>
              <w:overflowPunct/>
              <w:topLinePunct w:val="0"/>
              <w:bidi w:val="0"/>
              <w:adjustRightInd w:val="0"/>
              <w:snapToGrid w:val="0"/>
              <w:spacing w:line="360" w:lineRule="auto"/>
              <w:jc w:val="center"/>
              <w:textAlignment w:val="auto"/>
              <w:rPr>
                <w:rFonts w:ascii="宋体" w:hAnsi="宋体" w:cs="宋体"/>
                <w:color w:val="auto"/>
                <w:kern w:val="0"/>
                <w:sz w:val="21"/>
                <w:szCs w:val="21"/>
                <w:highlight w:val="none"/>
              </w:rPr>
            </w:pPr>
          </w:p>
        </w:tc>
        <w:tc>
          <w:tcPr>
            <w:tcW w:w="937" w:type="dxa"/>
            <w:tcBorders>
              <w:top w:val="nil"/>
              <w:left w:val="nil"/>
              <w:bottom w:val="single" w:color="auto" w:sz="8" w:space="0"/>
              <w:right w:val="single" w:color="auto" w:sz="8" w:space="0"/>
            </w:tcBorders>
            <w:noWrap w:val="0"/>
            <w:vAlign w:val="center"/>
          </w:tcPr>
          <w:p w14:paraId="2698A8C9">
            <w:pPr>
              <w:keepNext w:val="0"/>
              <w:keepLines w:val="0"/>
              <w:pageBreakBefore w:val="0"/>
              <w:widowControl/>
              <w:kinsoku/>
              <w:wordWrap/>
              <w:overflowPunct/>
              <w:topLinePunct w:val="0"/>
              <w:bidi w:val="0"/>
              <w:adjustRightInd w:val="0"/>
              <w:snapToGrid w:val="0"/>
              <w:spacing w:line="360" w:lineRule="auto"/>
              <w:jc w:val="center"/>
              <w:textAlignment w:val="auto"/>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2.7</w:t>
            </w:r>
          </w:p>
        </w:tc>
        <w:tc>
          <w:tcPr>
            <w:tcW w:w="7867" w:type="dxa"/>
            <w:tcBorders>
              <w:top w:val="nil"/>
              <w:left w:val="nil"/>
              <w:bottom w:val="single" w:color="auto" w:sz="8" w:space="0"/>
              <w:right w:val="single" w:color="auto" w:sz="8" w:space="0"/>
            </w:tcBorders>
            <w:noWrap w:val="0"/>
            <w:vAlign w:val="center"/>
          </w:tcPr>
          <w:p w14:paraId="03138006">
            <w:pPr>
              <w:keepNext w:val="0"/>
              <w:keepLines w:val="0"/>
              <w:pageBreakBefore w:val="0"/>
              <w:kinsoku/>
              <w:wordWrap/>
              <w:overflowPunct/>
              <w:topLinePunct w:val="0"/>
              <w:bidi w:val="0"/>
              <w:adjustRightInd w:val="0"/>
              <w:snapToGrid w:val="0"/>
              <w:spacing w:line="360" w:lineRule="auto"/>
              <w:textAlignment w:val="auto"/>
              <w:rPr>
                <w:rFonts w:hint="eastAsia" w:ascii="宋体" w:hAnsi="宋体" w:cs="宋体"/>
                <w:color w:val="auto"/>
                <w:kern w:val="0"/>
                <w:sz w:val="21"/>
                <w:szCs w:val="21"/>
                <w:highlight w:val="none"/>
              </w:rPr>
            </w:pPr>
            <w:r>
              <w:rPr>
                <w:rFonts w:ascii="仿宋" w:hAnsi="仿宋" w:eastAsia="仿宋"/>
                <w:color w:val="auto"/>
                <w:sz w:val="21"/>
                <w:szCs w:val="21"/>
                <w:highlight w:val="none"/>
              </w:rPr>
              <w:t>2.7</w:t>
            </w:r>
            <w:r>
              <w:rPr>
                <w:rFonts w:hint="eastAsia" w:ascii="仿宋" w:hAnsi="仿宋" w:eastAsia="仿宋"/>
                <w:color w:val="auto"/>
                <w:sz w:val="21"/>
                <w:szCs w:val="21"/>
                <w:highlight w:val="none"/>
              </w:rPr>
              <w:t>专项业务保障根据用户的具体专项需求，安排专属人员现场提供专项业务保障服务。</w:t>
            </w:r>
          </w:p>
        </w:tc>
      </w:tr>
      <w:tr w14:paraId="60A509E7">
        <w:tblPrEx>
          <w:tblCellMar>
            <w:top w:w="0" w:type="dxa"/>
            <w:left w:w="108" w:type="dxa"/>
            <w:bottom w:w="0" w:type="dxa"/>
            <w:right w:w="108" w:type="dxa"/>
          </w:tblCellMar>
        </w:tblPrEx>
        <w:trPr>
          <w:trHeight w:val="352" w:hRule="atLeast"/>
          <w:jc w:val="center"/>
        </w:trPr>
        <w:tc>
          <w:tcPr>
            <w:tcW w:w="1074" w:type="dxa"/>
            <w:vMerge w:val="restart"/>
            <w:tcBorders>
              <w:left w:val="single" w:color="auto" w:sz="8" w:space="0"/>
              <w:right w:val="single" w:color="auto" w:sz="8" w:space="0"/>
            </w:tcBorders>
            <w:noWrap w:val="0"/>
            <w:vAlign w:val="center"/>
          </w:tcPr>
          <w:p w14:paraId="4E36D3A7">
            <w:pPr>
              <w:keepNext w:val="0"/>
              <w:keepLines w:val="0"/>
              <w:pageBreakBefore w:val="0"/>
              <w:kinsoku/>
              <w:wordWrap/>
              <w:overflowPunct/>
              <w:topLinePunct w:val="0"/>
              <w:autoSpaceDE w:val="0"/>
              <w:autoSpaceDN w:val="0"/>
              <w:bidi w:val="0"/>
              <w:adjustRightInd w:val="0"/>
              <w:snapToGrid w:val="0"/>
              <w:spacing w:line="360" w:lineRule="auto"/>
              <w:jc w:val="center"/>
              <w:textAlignment w:val="auto"/>
              <w:rPr>
                <w:rFonts w:ascii="仿宋" w:hAnsi="仿宋" w:eastAsia="仿宋" w:cs="宋体"/>
                <w:color w:val="auto"/>
                <w:sz w:val="21"/>
                <w:szCs w:val="21"/>
                <w:highlight w:val="none"/>
              </w:rPr>
            </w:pPr>
            <w:r>
              <w:rPr>
                <w:rFonts w:hint="eastAsia" w:ascii="仿宋" w:hAnsi="仿宋" w:eastAsia="仿宋" w:cs="宋体"/>
                <w:color w:val="auto"/>
                <w:sz w:val="21"/>
                <w:szCs w:val="21"/>
                <w:highlight w:val="none"/>
              </w:rPr>
              <w:t>服务</w:t>
            </w:r>
          </w:p>
          <w:p w14:paraId="69499ACD">
            <w:pPr>
              <w:keepNext w:val="0"/>
              <w:keepLines w:val="0"/>
              <w:pageBreakBefore w:val="0"/>
              <w:widowControl/>
              <w:kinsoku/>
              <w:wordWrap/>
              <w:overflowPunct/>
              <w:topLinePunct w:val="0"/>
              <w:bidi w:val="0"/>
              <w:adjustRightInd w:val="0"/>
              <w:snapToGrid w:val="0"/>
              <w:spacing w:line="360" w:lineRule="auto"/>
              <w:jc w:val="center"/>
              <w:textAlignment w:val="auto"/>
              <w:rPr>
                <w:rFonts w:ascii="宋体" w:hAnsi="宋体" w:cs="宋体"/>
                <w:color w:val="auto"/>
                <w:kern w:val="0"/>
                <w:sz w:val="21"/>
                <w:szCs w:val="21"/>
                <w:highlight w:val="none"/>
              </w:rPr>
            </w:pPr>
            <w:r>
              <w:rPr>
                <w:rFonts w:hint="eastAsia" w:ascii="仿宋" w:hAnsi="仿宋" w:eastAsia="仿宋" w:cs="宋体"/>
                <w:color w:val="auto"/>
                <w:sz w:val="21"/>
                <w:szCs w:val="21"/>
                <w:highlight w:val="none"/>
              </w:rPr>
              <w:t>方式</w:t>
            </w:r>
          </w:p>
        </w:tc>
        <w:tc>
          <w:tcPr>
            <w:tcW w:w="937" w:type="dxa"/>
            <w:tcBorders>
              <w:top w:val="nil"/>
              <w:left w:val="nil"/>
              <w:bottom w:val="single" w:color="auto" w:sz="8" w:space="0"/>
              <w:right w:val="single" w:color="auto" w:sz="8" w:space="0"/>
            </w:tcBorders>
            <w:noWrap w:val="0"/>
            <w:vAlign w:val="center"/>
          </w:tcPr>
          <w:p w14:paraId="3B5B6DA7">
            <w:pPr>
              <w:keepNext w:val="0"/>
              <w:keepLines w:val="0"/>
              <w:pageBreakBefore w:val="0"/>
              <w:widowControl/>
              <w:kinsoku/>
              <w:wordWrap/>
              <w:overflowPunct/>
              <w:topLinePunct w:val="0"/>
              <w:bidi w:val="0"/>
              <w:adjustRightInd w:val="0"/>
              <w:snapToGrid w:val="0"/>
              <w:spacing w:line="360" w:lineRule="auto"/>
              <w:jc w:val="center"/>
              <w:textAlignment w:val="auto"/>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3.1</w:t>
            </w:r>
          </w:p>
        </w:tc>
        <w:tc>
          <w:tcPr>
            <w:tcW w:w="7867" w:type="dxa"/>
            <w:tcBorders>
              <w:top w:val="nil"/>
              <w:left w:val="nil"/>
              <w:bottom w:val="single" w:color="auto" w:sz="8" w:space="0"/>
              <w:right w:val="single" w:color="auto" w:sz="8" w:space="0"/>
            </w:tcBorders>
            <w:noWrap w:val="0"/>
            <w:vAlign w:val="center"/>
          </w:tcPr>
          <w:p w14:paraId="27BE4FAB">
            <w:pPr>
              <w:keepNext w:val="0"/>
              <w:keepLines w:val="0"/>
              <w:pageBreakBefore w:val="0"/>
              <w:kinsoku/>
              <w:wordWrap/>
              <w:overflowPunct/>
              <w:topLinePunct w:val="0"/>
              <w:bidi w:val="0"/>
              <w:adjustRightInd w:val="0"/>
              <w:snapToGrid w:val="0"/>
              <w:spacing w:line="360" w:lineRule="auto"/>
              <w:textAlignment w:val="auto"/>
              <w:rPr>
                <w:rFonts w:hint="eastAsia" w:ascii="宋体" w:hAnsi="宋体" w:cs="宋体"/>
                <w:color w:val="auto"/>
                <w:kern w:val="0"/>
                <w:sz w:val="21"/>
                <w:szCs w:val="21"/>
                <w:highlight w:val="none"/>
              </w:rPr>
            </w:pPr>
            <w:r>
              <w:rPr>
                <w:rFonts w:ascii="仿宋" w:hAnsi="仿宋" w:eastAsia="仿宋" w:cs="宋体"/>
                <w:color w:val="auto"/>
                <w:sz w:val="21"/>
                <w:szCs w:val="21"/>
                <w:highlight w:val="none"/>
              </w:rPr>
              <w:t xml:space="preserve">3.1 </w:t>
            </w:r>
            <w:r>
              <w:rPr>
                <w:rFonts w:hint="eastAsia" w:ascii="仿宋" w:hAnsi="仿宋" w:eastAsia="仿宋" w:cs="宋体"/>
                <w:color w:val="auto"/>
                <w:sz w:val="21"/>
                <w:szCs w:val="21"/>
                <w:highlight w:val="none"/>
              </w:rPr>
              <w:t>服务方式：技术咨询、应用培训、电话服务、上门服务、远程服务、软件升级。服务商需提供服务热线。</w:t>
            </w:r>
          </w:p>
        </w:tc>
      </w:tr>
      <w:tr w14:paraId="6BBAA145">
        <w:tblPrEx>
          <w:tblCellMar>
            <w:top w:w="0" w:type="dxa"/>
            <w:left w:w="108" w:type="dxa"/>
            <w:bottom w:w="0" w:type="dxa"/>
            <w:right w:w="108" w:type="dxa"/>
          </w:tblCellMar>
        </w:tblPrEx>
        <w:trPr>
          <w:trHeight w:val="427" w:hRule="atLeast"/>
          <w:jc w:val="center"/>
        </w:trPr>
        <w:tc>
          <w:tcPr>
            <w:tcW w:w="1074" w:type="dxa"/>
            <w:vMerge w:val="continue"/>
            <w:tcBorders>
              <w:left w:val="single" w:color="auto" w:sz="8" w:space="0"/>
              <w:right w:val="single" w:color="auto" w:sz="8" w:space="0"/>
            </w:tcBorders>
            <w:noWrap w:val="0"/>
            <w:vAlign w:val="center"/>
          </w:tcPr>
          <w:p w14:paraId="48681825">
            <w:pPr>
              <w:keepNext w:val="0"/>
              <w:keepLines w:val="0"/>
              <w:pageBreakBefore w:val="0"/>
              <w:widowControl/>
              <w:kinsoku/>
              <w:wordWrap/>
              <w:overflowPunct/>
              <w:topLinePunct w:val="0"/>
              <w:bidi w:val="0"/>
              <w:adjustRightInd w:val="0"/>
              <w:snapToGrid w:val="0"/>
              <w:spacing w:line="360" w:lineRule="auto"/>
              <w:jc w:val="left"/>
              <w:textAlignment w:val="auto"/>
              <w:rPr>
                <w:rFonts w:ascii="宋体" w:hAnsi="宋体" w:cs="宋体"/>
                <w:color w:val="auto"/>
                <w:kern w:val="0"/>
                <w:sz w:val="21"/>
                <w:szCs w:val="21"/>
                <w:highlight w:val="none"/>
              </w:rPr>
            </w:pPr>
          </w:p>
        </w:tc>
        <w:tc>
          <w:tcPr>
            <w:tcW w:w="937" w:type="dxa"/>
            <w:tcBorders>
              <w:top w:val="nil"/>
              <w:left w:val="nil"/>
              <w:bottom w:val="single" w:color="auto" w:sz="8" w:space="0"/>
              <w:right w:val="single" w:color="auto" w:sz="8" w:space="0"/>
            </w:tcBorders>
            <w:noWrap w:val="0"/>
            <w:vAlign w:val="center"/>
          </w:tcPr>
          <w:p w14:paraId="699EB49D">
            <w:pPr>
              <w:keepNext w:val="0"/>
              <w:keepLines w:val="0"/>
              <w:pageBreakBefore w:val="0"/>
              <w:widowControl/>
              <w:kinsoku/>
              <w:wordWrap/>
              <w:overflowPunct/>
              <w:topLinePunct w:val="0"/>
              <w:bidi w:val="0"/>
              <w:adjustRightInd w:val="0"/>
              <w:snapToGrid w:val="0"/>
              <w:spacing w:line="360" w:lineRule="auto"/>
              <w:jc w:val="center"/>
              <w:textAlignment w:val="auto"/>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3.2</w:t>
            </w:r>
          </w:p>
        </w:tc>
        <w:tc>
          <w:tcPr>
            <w:tcW w:w="7867" w:type="dxa"/>
            <w:tcBorders>
              <w:top w:val="nil"/>
              <w:left w:val="nil"/>
              <w:bottom w:val="single" w:color="auto" w:sz="8" w:space="0"/>
              <w:right w:val="single" w:color="auto" w:sz="8" w:space="0"/>
            </w:tcBorders>
            <w:noWrap w:val="0"/>
            <w:vAlign w:val="center"/>
          </w:tcPr>
          <w:p w14:paraId="0462221C">
            <w:pPr>
              <w:keepNext w:val="0"/>
              <w:keepLines w:val="0"/>
              <w:pageBreakBefore w:val="0"/>
              <w:kinsoku/>
              <w:wordWrap/>
              <w:overflowPunct/>
              <w:topLinePunct w:val="0"/>
              <w:bidi w:val="0"/>
              <w:adjustRightInd w:val="0"/>
              <w:snapToGrid w:val="0"/>
              <w:spacing w:line="360" w:lineRule="auto"/>
              <w:textAlignment w:val="auto"/>
              <w:rPr>
                <w:rFonts w:hint="eastAsia" w:ascii="宋体" w:hAnsi="宋体" w:cs="宋体"/>
                <w:color w:val="auto"/>
                <w:kern w:val="0"/>
                <w:sz w:val="21"/>
                <w:szCs w:val="21"/>
                <w:highlight w:val="none"/>
              </w:rPr>
            </w:pPr>
            <w:r>
              <w:rPr>
                <w:rFonts w:ascii="仿宋" w:hAnsi="仿宋" w:eastAsia="仿宋" w:cs="宋体"/>
                <w:color w:val="auto"/>
                <w:sz w:val="21"/>
                <w:szCs w:val="21"/>
                <w:highlight w:val="none"/>
              </w:rPr>
              <w:t xml:space="preserve">3.2 </w:t>
            </w:r>
            <w:r>
              <w:rPr>
                <w:rFonts w:hint="eastAsia" w:ascii="仿宋" w:hAnsi="仿宋" w:eastAsia="仿宋" w:cs="宋体"/>
                <w:color w:val="auto"/>
                <w:sz w:val="21"/>
                <w:szCs w:val="21"/>
                <w:highlight w:val="none"/>
              </w:rPr>
              <w:t>服务响应：对用户在指定范围内的现场服务要求，服务商保证在接到甲方通知后一个工作日内派出技术人员到达现场并着手解决问题。</w:t>
            </w:r>
          </w:p>
        </w:tc>
      </w:tr>
      <w:tr w14:paraId="6B6D8BB2">
        <w:tblPrEx>
          <w:tblCellMar>
            <w:top w:w="0" w:type="dxa"/>
            <w:left w:w="108" w:type="dxa"/>
            <w:bottom w:w="0" w:type="dxa"/>
            <w:right w:w="108" w:type="dxa"/>
          </w:tblCellMar>
        </w:tblPrEx>
        <w:trPr>
          <w:trHeight w:val="352" w:hRule="atLeast"/>
          <w:jc w:val="center"/>
        </w:trPr>
        <w:tc>
          <w:tcPr>
            <w:tcW w:w="1074" w:type="dxa"/>
            <w:vMerge w:val="continue"/>
            <w:tcBorders>
              <w:left w:val="single" w:color="auto" w:sz="8" w:space="0"/>
              <w:right w:val="single" w:color="auto" w:sz="8" w:space="0"/>
            </w:tcBorders>
            <w:noWrap w:val="0"/>
            <w:vAlign w:val="center"/>
          </w:tcPr>
          <w:p w14:paraId="486F4F7C">
            <w:pPr>
              <w:keepNext w:val="0"/>
              <w:keepLines w:val="0"/>
              <w:pageBreakBefore w:val="0"/>
              <w:widowControl/>
              <w:kinsoku/>
              <w:wordWrap/>
              <w:overflowPunct/>
              <w:topLinePunct w:val="0"/>
              <w:bidi w:val="0"/>
              <w:adjustRightInd w:val="0"/>
              <w:snapToGrid w:val="0"/>
              <w:spacing w:line="360" w:lineRule="auto"/>
              <w:jc w:val="left"/>
              <w:textAlignment w:val="auto"/>
              <w:rPr>
                <w:rFonts w:ascii="宋体" w:hAnsi="宋体" w:cs="宋体"/>
                <w:color w:val="auto"/>
                <w:kern w:val="0"/>
                <w:sz w:val="21"/>
                <w:szCs w:val="21"/>
                <w:highlight w:val="none"/>
              </w:rPr>
            </w:pPr>
          </w:p>
        </w:tc>
        <w:tc>
          <w:tcPr>
            <w:tcW w:w="937" w:type="dxa"/>
            <w:tcBorders>
              <w:top w:val="nil"/>
              <w:left w:val="nil"/>
              <w:bottom w:val="single" w:color="auto" w:sz="8" w:space="0"/>
              <w:right w:val="single" w:color="auto" w:sz="8" w:space="0"/>
            </w:tcBorders>
            <w:noWrap w:val="0"/>
            <w:vAlign w:val="center"/>
          </w:tcPr>
          <w:p w14:paraId="2A3B3FEB">
            <w:pPr>
              <w:keepNext w:val="0"/>
              <w:keepLines w:val="0"/>
              <w:pageBreakBefore w:val="0"/>
              <w:widowControl/>
              <w:kinsoku/>
              <w:wordWrap/>
              <w:overflowPunct/>
              <w:topLinePunct w:val="0"/>
              <w:bidi w:val="0"/>
              <w:adjustRightInd w:val="0"/>
              <w:snapToGrid w:val="0"/>
              <w:spacing w:line="360" w:lineRule="auto"/>
              <w:jc w:val="center"/>
              <w:textAlignment w:val="auto"/>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3.3</w:t>
            </w:r>
          </w:p>
        </w:tc>
        <w:tc>
          <w:tcPr>
            <w:tcW w:w="7867" w:type="dxa"/>
            <w:tcBorders>
              <w:top w:val="nil"/>
              <w:left w:val="nil"/>
              <w:bottom w:val="single" w:color="auto" w:sz="8" w:space="0"/>
              <w:right w:val="single" w:color="auto" w:sz="8" w:space="0"/>
            </w:tcBorders>
            <w:noWrap w:val="0"/>
            <w:vAlign w:val="center"/>
          </w:tcPr>
          <w:p w14:paraId="3B79B0B4">
            <w:pPr>
              <w:keepNext w:val="0"/>
              <w:keepLines w:val="0"/>
              <w:pageBreakBefore w:val="0"/>
              <w:kinsoku/>
              <w:wordWrap/>
              <w:overflowPunct/>
              <w:topLinePunct w:val="0"/>
              <w:bidi w:val="0"/>
              <w:adjustRightInd w:val="0"/>
              <w:snapToGrid w:val="0"/>
              <w:spacing w:line="360" w:lineRule="auto"/>
              <w:textAlignment w:val="auto"/>
              <w:rPr>
                <w:rFonts w:hint="eastAsia" w:ascii="宋体" w:hAnsi="宋体" w:cs="宋体"/>
                <w:color w:val="auto"/>
                <w:kern w:val="0"/>
                <w:sz w:val="21"/>
                <w:szCs w:val="21"/>
                <w:highlight w:val="none"/>
              </w:rPr>
            </w:pPr>
            <w:r>
              <w:rPr>
                <w:rFonts w:ascii="仿宋" w:hAnsi="仿宋" w:eastAsia="仿宋" w:cs="宋体"/>
                <w:color w:val="auto"/>
                <w:sz w:val="21"/>
                <w:szCs w:val="21"/>
                <w:highlight w:val="none"/>
              </w:rPr>
              <w:t xml:space="preserve">3.3 </w:t>
            </w:r>
            <w:r>
              <w:rPr>
                <w:rFonts w:hint="eastAsia" w:ascii="仿宋" w:hAnsi="仿宋" w:eastAsia="仿宋" w:cs="宋体"/>
                <w:color w:val="auto"/>
                <w:sz w:val="21"/>
                <w:szCs w:val="21"/>
                <w:highlight w:val="none"/>
              </w:rPr>
              <w:t>定期回访：服务商技术服务部门要对用户进行定期回访，了解系统运行状况，跟踪记录运行状态，及时对系统进行维护和完善。</w:t>
            </w:r>
          </w:p>
        </w:tc>
      </w:tr>
      <w:tr w14:paraId="4BC259D7">
        <w:tblPrEx>
          <w:tblCellMar>
            <w:top w:w="0" w:type="dxa"/>
            <w:left w:w="108" w:type="dxa"/>
            <w:bottom w:w="0" w:type="dxa"/>
            <w:right w:w="108" w:type="dxa"/>
          </w:tblCellMar>
        </w:tblPrEx>
        <w:trPr>
          <w:trHeight w:val="361" w:hRule="atLeast"/>
          <w:jc w:val="center"/>
        </w:trPr>
        <w:tc>
          <w:tcPr>
            <w:tcW w:w="1074" w:type="dxa"/>
            <w:vMerge w:val="continue"/>
            <w:tcBorders>
              <w:left w:val="single" w:color="auto" w:sz="8" w:space="0"/>
              <w:bottom w:val="single" w:color="000000" w:sz="8" w:space="0"/>
              <w:right w:val="single" w:color="auto" w:sz="8" w:space="0"/>
            </w:tcBorders>
            <w:noWrap w:val="0"/>
            <w:vAlign w:val="center"/>
          </w:tcPr>
          <w:p w14:paraId="0C4F116C">
            <w:pPr>
              <w:keepNext w:val="0"/>
              <w:keepLines w:val="0"/>
              <w:pageBreakBefore w:val="0"/>
              <w:widowControl/>
              <w:kinsoku/>
              <w:wordWrap/>
              <w:overflowPunct/>
              <w:topLinePunct w:val="0"/>
              <w:bidi w:val="0"/>
              <w:adjustRightInd w:val="0"/>
              <w:snapToGrid w:val="0"/>
              <w:spacing w:line="360" w:lineRule="auto"/>
              <w:jc w:val="left"/>
              <w:textAlignment w:val="auto"/>
              <w:rPr>
                <w:rFonts w:ascii="宋体" w:hAnsi="宋体" w:cs="宋体"/>
                <w:color w:val="auto"/>
                <w:kern w:val="0"/>
                <w:sz w:val="21"/>
                <w:szCs w:val="21"/>
                <w:highlight w:val="none"/>
              </w:rPr>
            </w:pPr>
          </w:p>
        </w:tc>
        <w:tc>
          <w:tcPr>
            <w:tcW w:w="937" w:type="dxa"/>
            <w:tcBorders>
              <w:top w:val="nil"/>
              <w:left w:val="nil"/>
              <w:bottom w:val="single" w:color="auto" w:sz="8" w:space="0"/>
              <w:right w:val="single" w:color="auto" w:sz="8" w:space="0"/>
            </w:tcBorders>
            <w:noWrap w:val="0"/>
            <w:vAlign w:val="center"/>
          </w:tcPr>
          <w:p w14:paraId="387284FD">
            <w:pPr>
              <w:keepNext w:val="0"/>
              <w:keepLines w:val="0"/>
              <w:pageBreakBefore w:val="0"/>
              <w:widowControl/>
              <w:kinsoku/>
              <w:wordWrap/>
              <w:overflowPunct/>
              <w:topLinePunct w:val="0"/>
              <w:bidi w:val="0"/>
              <w:adjustRightInd w:val="0"/>
              <w:snapToGrid w:val="0"/>
              <w:spacing w:line="360" w:lineRule="auto"/>
              <w:jc w:val="center"/>
              <w:textAlignment w:val="auto"/>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3.4</w:t>
            </w:r>
          </w:p>
        </w:tc>
        <w:tc>
          <w:tcPr>
            <w:tcW w:w="7867" w:type="dxa"/>
            <w:tcBorders>
              <w:top w:val="nil"/>
              <w:left w:val="nil"/>
              <w:bottom w:val="single" w:color="auto" w:sz="8" w:space="0"/>
              <w:right w:val="single" w:color="auto" w:sz="8" w:space="0"/>
            </w:tcBorders>
            <w:noWrap w:val="0"/>
            <w:vAlign w:val="center"/>
          </w:tcPr>
          <w:p w14:paraId="1A834816">
            <w:pPr>
              <w:keepNext w:val="0"/>
              <w:keepLines w:val="0"/>
              <w:pageBreakBefore w:val="0"/>
              <w:kinsoku/>
              <w:wordWrap/>
              <w:overflowPunct/>
              <w:topLinePunct w:val="0"/>
              <w:bidi w:val="0"/>
              <w:adjustRightInd w:val="0"/>
              <w:snapToGrid w:val="0"/>
              <w:spacing w:line="360" w:lineRule="auto"/>
              <w:textAlignment w:val="auto"/>
              <w:rPr>
                <w:rFonts w:hint="eastAsia" w:ascii="宋体" w:hAnsi="宋体" w:cs="宋体"/>
                <w:color w:val="auto"/>
                <w:kern w:val="0"/>
                <w:sz w:val="21"/>
                <w:szCs w:val="21"/>
                <w:highlight w:val="none"/>
              </w:rPr>
            </w:pPr>
            <w:r>
              <w:rPr>
                <w:rFonts w:ascii="仿宋" w:hAnsi="仿宋" w:eastAsia="仿宋" w:cs="宋体"/>
                <w:color w:val="auto"/>
                <w:sz w:val="21"/>
                <w:szCs w:val="21"/>
                <w:highlight w:val="none"/>
              </w:rPr>
              <w:t xml:space="preserve">3.4 </w:t>
            </w:r>
            <w:r>
              <w:rPr>
                <w:rFonts w:hint="eastAsia" w:ascii="仿宋" w:hAnsi="仿宋" w:eastAsia="仿宋" w:cs="宋体"/>
                <w:color w:val="auto"/>
                <w:sz w:val="21"/>
                <w:szCs w:val="21"/>
                <w:highlight w:val="none"/>
              </w:rPr>
              <w:t>远程服务：服务商需提供远程监测和远程维护的服务体系，如出现紧急情况，技术员通过远程登陆系统端，及时进行远程服务。</w:t>
            </w:r>
          </w:p>
        </w:tc>
      </w:tr>
    </w:tbl>
    <w:p w14:paraId="362967CA">
      <w:pPr>
        <w:pStyle w:val="58"/>
        <w:ind w:firstLine="0" w:firstLineChars="0"/>
        <w:rPr>
          <w:color w:val="auto"/>
          <w:highlight w:val="none"/>
        </w:rPr>
      </w:pPr>
    </w:p>
    <w:p w14:paraId="37BF855E">
      <w:pPr>
        <w:rPr>
          <w:rFonts w:hint="default"/>
          <w:b/>
          <w:bCs/>
          <w:color w:val="auto"/>
          <w:highlight w:val="none"/>
          <w:lang w:val="en-US" w:eastAsia="zh-CN"/>
        </w:rPr>
      </w:pPr>
    </w:p>
    <w:p w14:paraId="318BD0B7">
      <w:pPr>
        <w:pStyle w:val="3"/>
        <w:bidi w:val="0"/>
      </w:pPr>
      <w:bookmarkStart w:id="239" w:name="_Toc15406"/>
      <w:r>
        <w:t>医保控费系统</w:t>
      </w:r>
      <w:bookmarkEnd w:id="239"/>
    </w:p>
    <w:tbl>
      <w:tblPr>
        <w:tblStyle w:val="47"/>
        <w:tblW w:w="9878" w:type="dxa"/>
        <w:jc w:val="center"/>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Layout w:type="fixed"/>
        <w:tblCellMar>
          <w:top w:w="0" w:type="dxa"/>
          <w:left w:w="108" w:type="dxa"/>
          <w:bottom w:w="0" w:type="dxa"/>
          <w:right w:w="108" w:type="dxa"/>
        </w:tblCellMar>
      </w:tblPr>
      <w:tblGrid>
        <w:gridCol w:w="994"/>
        <w:gridCol w:w="1585"/>
        <w:gridCol w:w="7299"/>
      </w:tblGrid>
      <w:tr w14:paraId="3ED81F21">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382" w:hRule="atLeast"/>
          <w:jc w:val="center"/>
        </w:trPr>
        <w:tc>
          <w:tcPr>
            <w:tcW w:w="994"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vAlign w:val="center"/>
          </w:tcPr>
          <w:p w14:paraId="5B46636F">
            <w:pPr>
              <w:keepNext w:val="0"/>
              <w:keepLines w:val="0"/>
              <w:pageBreakBefore w:val="0"/>
              <w:widowControl w:val="0"/>
              <w:kinsoku/>
              <w:wordWrap/>
              <w:overflowPunct/>
              <w:topLinePunct w:val="0"/>
              <w:autoSpaceDE/>
              <w:autoSpaceDN/>
              <w:bidi w:val="0"/>
              <w:adjustRightInd w:val="0"/>
              <w:snapToGrid w:val="0"/>
              <w:spacing w:before="0" w:after="0" w:line="360" w:lineRule="auto"/>
              <w:ind w:left="0" w:right="0"/>
              <w:jc w:val="left"/>
              <w:textAlignment w:val="auto"/>
              <w:rPr>
                <w:sz w:val="21"/>
              </w:rPr>
            </w:pPr>
            <w:r>
              <w:rPr>
                <w:rFonts w:ascii="宋体" w:hAnsi="宋体" w:eastAsia="宋体" w:cs="宋体"/>
                <w:b/>
                <w:i w:val="0"/>
                <w:strike w:val="0"/>
                <w:color w:val="000000"/>
                <w:spacing w:val="0"/>
                <w:sz w:val="21"/>
                <w:u w:val="none"/>
                <w:vertAlign w:val="baseline"/>
              </w:rPr>
              <w:t>序号</w:t>
            </w:r>
          </w:p>
        </w:tc>
        <w:tc>
          <w:tcPr>
            <w:tcW w:w="1585" w:type="dxa"/>
            <w:tcBorders>
              <w:top w:val="single" w:color="000000" w:sz="8" w:space="0"/>
              <w:left w:val="single" w:color="000000" w:sz="0" w:space="0"/>
              <w:bottom w:val="single" w:color="000000" w:sz="8" w:space="0"/>
              <w:right w:val="single" w:color="000000" w:sz="8" w:space="0"/>
            </w:tcBorders>
            <w:tcMar>
              <w:top w:w="0" w:type="dxa"/>
              <w:left w:w="108" w:type="dxa"/>
              <w:bottom w:w="0" w:type="dxa"/>
              <w:right w:w="108" w:type="dxa"/>
            </w:tcMar>
            <w:vAlign w:val="center"/>
          </w:tcPr>
          <w:p w14:paraId="241B24AD">
            <w:pPr>
              <w:keepNext w:val="0"/>
              <w:keepLines w:val="0"/>
              <w:pageBreakBefore w:val="0"/>
              <w:widowControl w:val="0"/>
              <w:kinsoku/>
              <w:wordWrap/>
              <w:overflowPunct/>
              <w:topLinePunct w:val="0"/>
              <w:autoSpaceDE/>
              <w:autoSpaceDN/>
              <w:bidi w:val="0"/>
              <w:adjustRightInd w:val="0"/>
              <w:snapToGrid w:val="0"/>
              <w:spacing w:before="0" w:after="0" w:line="360" w:lineRule="auto"/>
              <w:ind w:left="0" w:right="0"/>
              <w:jc w:val="left"/>
              <w:textAlignment w:val="auto"/>
              <w:rPr>
                <w:sz w:val="21"/>
              </w:rPr>
            </w:pPr>
            <w:r>
              <w:rPr>
                <w:rFonts w:ascii="宋体" w:hAnsi="宋体" w:eastAsia="宋体" w:cs="宋体"/>
                <w:b/>
                <w:i w:val="0"/>
                <w:strike w:val="0"/>
                <w:color w:val="000000"/>
                <w:spacing w:val="0"/>
                <w:sz w:val="21"/>
                <w:u w:val="none"/>
                <w:vertAlign w:val="baseline"/>
              </w:rPr>
              <w:t>服务内容</w:t>
            </w:r>
          </w:p>
        </w:tc>
        <w:tc>
          <w:tcPr>
            <w:tcW w:w="7299" w:type="dxa"/>
            <w:tcBorders>
              <w:top w:val="single" w:color="000000" w:sz="8" w:space="0"/>
              <w:left w:val="single" w:color="000000" w:sz="0" w:space="0"/>
              <w:bottom w:val="single" w:color="000000" w:sz="8" w:space="0"/>
              <w:right w:val="single" w:color="000000" w:sz="8" w:space="0"/>
            </w:tcBorders>
            <w:tcMar>
              <w:top w:w="0" w:type="dxa"/>
              <w:left w:w="108" w:type="dxa"/>
              <w:bottom w:w="0" w:type="dxa"/>
              <w:right w:w="108" w:type="dxa"/>
            </w:tcMar>
            <w:vAlign w:val="center"/>
          </w:tcPr>
          <w:p w14:paraId="7895CC17">
            <w:pPr>
              <w:keepNext w:val="0"/>
              <w:keepLines w:val="0"/>
              <w:pageBreakBefore w:val="0"/>
              <w:widowControl w:val="0"/>
              <w:kinsoku/>
              <w:wordWrap/>
              <w:overflowPunct/>
              <w:topLinePunct w:val="0"/>
              <w:autoSpaceDE/>
              <w:autoSpaceDN/>
              <w:bidi w:val="0"/>
              <w:adjustRightInd w:val="0"/>
              <w:snapToGrid w:val="0"/>
              <w:spacing w:before="0" w:after="0" w:line="360" w:lineRule="auto"/>
              <w:ind w:left="0" w:right="0"/>
              <w:jc w:val="left"/>
              <w:textAlignment w:val="auto"/>
              <w:rPr>
                <w:sz w:val="21"/>
              </w:rPr>
            </w:pPr>
            <w:r>
              <w:rPr>
                <w:rFonts w:ascii="宋体" w:hAnsi="宋体" w:eastAsia="宋体" w:cs="宋体"/>
                <w:b/>
                <w:i w:val="0"/>
                <w:strike w:val="0"/>
                <w:color w:val="000000"/>
                <w:spacing w:val="0"/>
                <w:sz w:val="21"/>
                <w:u w:val="none"/>
                <w:vertAlign w:val="baseline"/>
              </w:rPr>
              <w:t>服务简介</w:t>
            </w:r>
          </w:p>
        </w:tc>
      </w:tr>
      <w:tr w14:paraId="0BE9055E">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080" w:hRule="atLeast"/>
          <w:jc w:val="center"/>
        </w:trPr>
        <w:tc>
          <w:tcPr>
            <w:tcW w:w="994" w:type="dxa"/>
            <w:tcBorders>
              <w:top w:val="single" w:color="000000" w:sz="0" w:space="0"/>
              <w:left w:val="single" w:color="000000" w:sz="8" w:space="0"/>
              <w:bottom w:val="single" w:color="000000" w:sz="8" w:space="0"/>
              <w:right w:val="single" w:color="000000" w:sz="8" w:space="0"/>
            </w:tcBorders>
            <w:tcMar>
              <w:top w:w="0" w:type="dxa"/>
              <w:left w:w="108" w:type="dxa"/>
              <w:bottom w:w="0" w:type="dxa"/>
              <w:right w:w="108" w:type="dxa"/>
            </w:tcMar>
            <w:vAlign w:val="center"/>
          </w:tcPr>
          <w:p w14:paraId="0A88595D">
            <w:pPr>
              <w:keepNext w:val="0"/>
              <w:keepLines w:val="0"/>
              <w:pageBreakBefore w:val="0"/>
              <w:widowControl w:val="0"/>
              <w:kinsoku/>
              <w:wordWrap/>
              <w:overflowPunct/>
              <w:topLinePunct w:val="0"/>
              <w:autoSpaceDE/>
              <w:autoSpaceDN/>
              <w:bidi w:val="0"/>
              <w:adjustRightInd w:val="0"/>
              <w:snapToGrid w:val="0"/>
              <w:spacing w:before="0" w:after="0" w:line="360" w:lineRule="auto"/>
              <w:ind w:left="0" w:right="0"/>
              <w:jc w:val="left"/>
              <w:textAlignment w:val="auto"/>
              <w:rPr>
                <w:rFonts w:ascii="宋体" w:hAnsi="宋体" w:eastAsia="宋体" w:cs="宋体"/>
                <w:b/>
                <w:i w:val="0"/>
                <w:strike w:val="0"/>
                <w:color w:val="000000"/>
                <w:spacing w:val="0"/>
                <w:sz w:val="21"/>
                <w:u w:val="none"/>
              </w:rPr>
            </w:pPr>
            <w:r>
              <w:rPr>
                <w:rFonts w:ascii="宋体" w:hAnsi="宋体" w:eastAsia="宋体" w:cs="宋体"/>
                <w:b/>
                <w:i w:val="0"/>
                <w:strike w:val="0"/>
                <w:color w:val="000000"/>
                <w:spacing w:val="0"/>
                <w:sz w:val="21"/>
                <w:u w:val="none"/>
              </w:rPr>
              <w:t>1</w:t>
            </w:r>
          </w:p>
        </w:tc>
        <w:tc>
          <w:tcPr>
            <w:tcW w:w="1585" w:type="dxa"/>
            <w:tcBorders>
              <w:top w:val="single" w:color="000000" w:sz="0" w:space="0"/>
              <w:left w:val="single" w:color="000000" w:sz="0" w:space="0"/>
              <w:bottom w:val="single" w:color="000000" w:sz="8" w:space="0"/>
              <w:right w:val="single" w:color="000000" w:sz="8" w:space="0"/>
            </w:tcBorders>
            <w:tcMar>
              <w:top w:w="0" w:type="dxa"/>
              <w:left w:w="108" w:type="dxa"/>
              <w:bottom w:w="0" w:type="dxa"/>
              <w:right w:w="108" w:type="dxa"/>
            </w:tcMar>
            <w:vAlign w:val="center"/>
          </w:tcPr>
          <w:p w14:paraId="7ECDCCFF">
            <w:pPr>
              <w:keepNext w:val="0"/>
              <w:keepLines w:val="0"/>
              <w:pageBreakBefore w:val="0"/>
              <w:widowControl w:val="0"/>
              <w:kinsoku/>
              <w:wordWrap/>
              <w:overflowPunct/>
              <w:topLinePunct w:val="0"/>
              <w:autoSpaceDE/>
              <w:autoSpaceDN/>
              <w:bidi w:val="0"/>
              <w:adjustRightInd w:val="0"/>
              <w:snapToGrid w:val="0"/>
              <w:spacing w:before="0" w:after="0" w:line="360" w:lineRule="auto"/>
              <w:ind w:left="0" w:right="0"/>
              <w:jc w:val="left"/>
              <w:textAlignment w:val="auto"/>
              <w:rPr>
                <w:rFonts w:ascii="宋体" w:hAnsi="宋体" w:eastAsia="宋体" w:cs="宋体"/>
                <w:b/>
                <w:i w:val="0"/>
                <w:strike w:val="0"/>
                <w:color w:val="000000"/>
                <w:spacing w:val="0"/>
                <w:sz w:val="21"/>
                <w:u w:val="none"/>
              </w:rPr>
            </w:pPr>
            <w:r>
              <w:rPr>
                <w:rFonts w:ascii="宋体" w:hAnsi="宋体" w:eastAsia="宋体" w:cs="宋体"/>
                <w:b/>
                <w:i w:val="0"/>
                <w:strike w:val="0"/>
                <w:color w:val="000000"/>
                <w:spacing w:val="0"/>
                <w:sz w:val="21"/>
                <w:u w:val="none"/>
              </w:rPr>
              <w:t>咨询服务</w:t>
            </w:r>
          </w:p>
        </w:tc>
        <w:tc>
          <w:tcPr>
            <w:tcW w:w="7299" w:type="dxa"/>
            <w:tcBorders>
              <w:top w:val="single" w:color="000000" w:sz="0" w:space="0"/>
              <w:left w:val="single" w:color="000000" w:sz="0" w:space="0"/>
              <w:bottom w:val="single" w:color="000000" w:sz="8" w:space="0"/>
              <w:right w:val="single" w:color="000000" w:sz="8" w:space="0"/>
            </w:tcBorders>
            <w:tcMar>
              <w:top w:w="0" w:type="dxa"/>
              <w:left w:w="108" w:type="dxa"/>
              <w:bottom w:w="0" w:type="dxa"/>
              <w:right w:w="108" w:type="dxa"/>
            </w:tcMar>
            <w:vAlign w:val="center"/>
          </w:tcPr>
          <w:p w14:paraId="2454A471">
            <w:pPr>
              <w:keepNext w:val="0"/>
              <w:keepLines w:val="0"/>
              <w:pageBreakBefore w:val="0"/>
              <w:widowControl w:val="0"/>
              <w:kinsoku/>
              <w:wordWrap/>
              <w:overflowPunct/>
              <w:topLinePunct w:val="0"/>
              <w:autoSpaceDE/>
              <w:autoSpaceDN/>
              <w:bidi w:val="0"/>
              <w:adjustRightInd w:val="0"/>
              <w:snapToGrid w:val="0"/>
              <w:spacing w:before="0" w:after="0" w:line="360" w:lineRule="auto"/>
              <w:ind w:left="0" w:right="0"/>
              <w:jc w:val="left"/>
              <w:textAlignment w:val="auto"/>
              <w:rPr>
                <w:rFonts w:ascii="宋体" w:hAnsi="宋体" w:eastAsia="宋体" w:cs="宋体"/>
                <w:b w:val="0"/>
                <w:bCs/>
                <w:i w:val="0"/>
                <w:strike w:val="0"/>
                <w:color w:val="000000"/>
                <w:spacing w:val="0"/>
                <w:sz w:val="21"/>
                <w:u w:val="none"/>
              </w:rPr>
            </w:pPr>
            <w:r>
              <w:rPr>
                <w:rFonts w:ascii="宋体" w:hAnsi="宋体" w:eastAsia="宋体" w:cs="宋体"/>
                <w:b w:val="0"/>
                <w:bCs/>
                <w:i w:val="0"/>
                <w:strike w:val="0"/>
                <w:color w:val="000000"/>
                <w:spacing w:val="0"/>
                <w:sz w:val="21"/>
                <w:u w:val="none"/>
              </w:rPr>
              <w:t>提供电话功能的应用及技术咨询服务</w:t>
            </w:r>
          </w:p>
        </w:tc>
      </w:tr>
      <w:tr w14:paraId="562728B0">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080" w:hRule="atLeast"/>
          <w:jc w:val="center"/>
        </w:trPr>
        <w:tc>
          <w:tcPr>
            <w:tcW w:w="994" w:type="dxa"/>
            <w:tcBorders>
              <w:top w:val="single" w:color="000000" w:sz="0" w:space="0"/>
              <w:left w:val="single" w:color="000000" w:sz="8" w:space="0"/>
              <w:bottom w:val="single" w:color="000000" w:sz="8" w:space="0"/>
              <w:right w:val="single" w:color="000000" w:sz="8" w:space="0"/>
            </w:tcBorders>
            <w:tcMar>
              <w:top w:w="0" w:type="dxa"/>
              <w:left w:w="108" w:type="dxa"/>
              <w:bottom w:w="0" w:type="dxa"/>
              <w:right w:w="108" w:type="dxa"/>
            </w:tcMar>
            <w:vAlign w:val="center"/>
          </w:tcPr>
          <w:p w14:paraId="5D3BF816">
            <w:pPr>
              <w:keepNext w:val="0"/>
              <w:keepLines w:val="0"/>
              <w:pageBreakBefore w:val="0"/>
              <w:widowControl w:val="0"/>
              <w:kinsoku/>
              <w:wordWrap/>
              <w:overflowPunct/>
              <w:topLinePunct w:val="0"/>
              <w:autoSpaceDE/>
              <w:autoSpaceDN/>
              <w:bidi w:val="0"/>
              <w:adjustRightInd w:val="0"/>
              <w:snapToGrid w:val="0"/>
              <w:spacing w:before="0" w:after="0" w:line="360" w:lineRule="auto"/>
              <w:ind w:left="0" w:right="0"/>
              <w:jc w:val="left"/>
              <w:textAlignment w:val="auto"/>
              <w:rPr>
                <w:rFonts w:ascii="宋体" w:hAnsi="宋体" w:eastAsia="宋体" w:cs="宋体"/>
                <w:b/>
                <w:i w:val="0"/>
                <w:strike w:val="0"/>
                <w:color w:val="000000"/>
                <w:spacing w:val="0"/>
                <w:sz w:val="21"/>
                <w:u w:val="none"/>
              </w:rPr>
            </w:pPr>
            <w:r>
              <w:rPr>
                <w:rFonts w:ascii="宋体" w:hAnsi="宋体" w:eastAsia="宋体" w:cs="宋体"/>
                <w:b/>
                <w:i w:val="0"/>
                <w:strike w:val="0"/>
                <w:color w:val="000000"/>
                <w:spacing w:val="0"/>
                <w:sz w:val="21"/>
                <w:u w:val="none"/>
              </w:rPr>
              <w:t>2</w:t>
            </w:r>
          </w:p>
        </w:tc>
        <w:tc>
          <w:tcPr>
            <w:tcW w:w="1585" w:type="dxa"/>
            <w:tcBorders>
              <w:top w:val="single" w:color="000000" w:sz="0" w:space="0"/>
              <w:left w:val="single" w:color="000000" w:sz="0" w:space="0"/>
              <w:bottom w:val="single" w:color="000000" w:sz="8" w:space="0"/>
              <w:right w:val="single" w:color="000000" w:sz="8" w:space="0"/>
            </w:tcBorders>
            <w:tcMar>
              <w:top w:w="0" w:type="dxa"/>
              <w:left w:w="108" w:type="dxa"/>
              <w:bottom w:w="0" w:type="dxa"/>
              <w:right w:w="108" w:type="dxa"/>
            </w:tcMar>
            <w:vAlign w:val="center"/>
          </w:tcPr>
          <w:p w14:paraId="409961C3">
            <w:pPr>
              <w:keepNext w:val="0"/>
              <w:keepLines w:val="0"/>
              <w:pageBreakBefore w:val="0"/>
              <w:widowControl w:val="0"/>
              <w:kinsoku/>
              <w:wordWrap/>
              <w:overflowPunct/>
              <w:topLinePunct w:val="0"/>
              <w:autoSpaceDE/>
              <w:autoSpaceDN/>
              <w:bidi w:val="0"/>
              <w:adjustRightInd w:val="0"/>
              <w:snapToGrid w:val="0"/>
              <w:spacing w:before="0" w:after="0" w:line="360" w:lineRule="auto"/>
              <w:ind w:left="0" w:right="0"/>
              <w:jc w:val="left"/>
              <w:textAlignment w:val="auto"/>
              <w:rPr>
                <w:rFonts w:ascii="宋体" w:hAnsi="宋体" w:eastAsia="宋体" w:cs="宋体"/>
                <w:b/>
                <w:i w:val="0"/>
                <w:strike w:val="0"/>
                <w:color w:val="000000"/>
                <w:spacing w:val="0"/>
                <w:sz w:val="21"/>
                <w:u w:val="none"/>
              </w:rPr>
            </w:pPr>
            <w:r>
              <w:rPr>
                <w:rFonts w:ascii="宋体" w:hAnsi="宋体" w:eastAsia="宋体" w:cs="宋体"/>
                <w:b/>
                <w:i w:val="0"/>
                <w:strike w:val="0"/>
                <w:color w:val="000000"/>
                <w:spacing w:val="0"/>
                <w:sz w:val="21"/>
                <w:u w:val="none"/>
              </w:rPr>
              <w:t>医保控费入组规则更新</w:t>
            </w:r>
          </w:p>
        </w:tc>
        <w:tc>
          <w:tcPr>
            <w:tcW w:w="7299" w:type="dxa"/>
            <w:tcBorders>
              <w:top w:val="single" w:color="000000" w:sz="0" w:space="0"/>
              <w:left w:val="single" w:color="000000" w:sz="0" w:space="0"/>
              <w:bottom w:val="single" w:color="000000" w:sz="8" w:space="0"/>
              <w:right w:val="single" w:color="000000" w:sz="8" w:space="0"/>
            </w:tcBorders>
            <w:tcMar>
              <w:top w:w="0" w:type="dxa"/>
              <w:left w:w="108" w:type="dxa"/>
              <w:bottom w:w="0" w:type="dxa"/>
              <w:right w:w="108" w:type="dxa"/>
            </w:tcMar>
            <w:vAlign w:val="center"/>
          </w:tcPr>
          <w:p w14:paraId="011C999E">
            <w:pPr>
              <w:keepNext w:val="0"/>
              <w:keepLines w:val="0"/>
              <w:pageBreakBefore w:val="0"/>
              <w:widowControl w:val="0"/>
              <w:kinsoku/>
              <w:wordWrap/>
              <w:overflowPunct/>
              <w:topLinePunct w:val="0"/>
              <w:autoSpaceDE/>
              <w:autoSpaceDN/>
              <w:bidi w:val="0"/>
              <w:adjustRightInd w:val="0"/>
              <w:snapToGrid w:val="0"/>
              <w:spacing w:before="0" w:after="0" w:line="360" w:lineRule="auto"/>
              <w:ind w:left="0" w:right="0"/>
              <w:jc w:val="left"/>
              <w:textAlignment w:val="auto"/>
              <w:rPr>
                <w:rFonts w:ascii="宋体" w:hAnsi="宋体" w:eastAsia="宋体" w:cs="宋体"/>
                <w:b w:val="0"/>
                <w:bCs/>
                <w:i w:val="0"/>
                <w:strike w:val="0"/>
                <w:color w:val="000000"/>
                <w:spacing w:val="0"/>
                <w:sz w:val="21"/>
                <w:u w:val="none"/>
              </w:rPr>
            </w:pPr>
            <w:r>
              <w:rPr>
                <w:rFonts w:hint="eastAsia" w:ascii="宋体" w:hAnsi="宋体" w:eastAsia="宋体" w:cs="宋体"/>
                <w:b w:val="0"/>
                <w:bCs/>
                <w:i w:val="0"/>
                <w:strike w:val="0"/>
                <w:color w:val="000000"/>
                <w:spacing w:val="0"/>
                <w:sz w:val="21"/>
                <w:u w:val="none"/>
              </w:rPr>
              <w:t>按医保局结合实际DIP支付情况，每年更新DIP分值库及其入组规则。紧跟医保局更新DIP分值库数据，完善DIP模拟分值入组规则。</w:t>
            </w:r>
          </w:p>
        </w:tc>
      </w:tr>
      <w:tr w14:paraId="13430DBA">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452" w:hRule="atLeast"/>
          <w:jc w:val="center"/>
        </w:trPr>
        <w:tc>
          <w:tcPr>
            <w:tcW w:w="994" w:type="dxa"/>
            <w:tcBorders>
              <w:top w:val="single" w:color="000000" w:sz="0" w:space="0"/>
              <w:left w:val="single" w:color="000000" w:sz="8" w:space="0"/>
              <w:bottom w:val="single" w:color="000000" w:sz="8" w:space="0"/>
              <w:right w:val="single" w:color="000000" w:sz="8" w:space="0"/>
            </w:tcBorders>
            <w:tcMar>
              <w:top w:w="0" w:type="dxa"/>
              <w:left w:w="108" w:type="dxa"/>
              <w:bottom w:w="0" w:type="dxa"/>
              <w:right w:w="108" w:type="dxa"/>
            </w:tcMar>
            <w:vAlign w:val="center"/>
          </w:tcPr>
          <w:p w14:paraId="3EBF0612">
            <w:pPr>
              <w:keepNext w:val="0"/>
              <w:keepLines w:val="0"/>
              <w:pageBreakBefore w:val="0"/>
              <w:widowControl w:val="0"/>
              <w:kinsoku/>
              <w:wordWrap/>
              <w:overflowPunct/>
              <w:topLinePunct w:val="0"/>
              <w:autoSpaceDE/>
              <w:autoSpaceDN/>
              <w:bidi w:val="0"/>
              <w:adjustRightInd w:val="0"/>
              <w:snapToGrid w:val="0"/>
              <w:spacing w:before="0" w:after="0" w:line="360" w:lineRule="auto"/>
              <w:ind w:left="0" w:right="0"/>
              <w:jc w:val="left"/>
              <w:textAlignment w:val="auto"/>
              <w:rPr>
                <w:rFonts w:ascii="宋体" w:hAnsi="宋体" w:eastAsia="宋体" w:cs="宋体"/>
                <w:b/>
                <w:i w:val="0"/>
                <w:strike w:val="0"/>
                <w:color w:val="000000"/>
                <w:spacing w:val="0"/>
                <w:sz w:val="21"/>
                <w:u w:val="none"/>
              </w:rPr>
            </w:pPr>
            <w:r>
              <w:rPr>
                <w:rFonts w:ascii="宋体" w:hAnsi="宋体" w:eastAsia="宋体" w:cs="宋体"/>
                <w:b/>
                <w:i w:val="0"/>
                <w:strike w:val="0"/>
                <w:color w:val="000000"/>
                <w:spacing w:val="0"/>
                <w:sz w:val="21"/>
                <w:u w:val="none"/>
              </w:rPr>
              <w:t>3</w:t>
            </w:r>
          </w:p>
        </w:tc>
        <w:tc>
          <w:tcPr>
            <w:tcW w:w="1585" w:type="dxa"/>
            <w:tcBorders>
              <w:top w:val="single" w:color="000000" w:sz="0" w:space="0"/>
              <w:left w:val="single" w:color="000000" w:sz="0" w:space="0"/>
              <w:bottom w:val="single" w:color="000000" w:sz="8" w:space="0"/>
              <w:right w:val="single" w:color="000000" w:sz="8" w:space="0"/>
            </w:tcBorders>
            <w:tcMar>
              <w:top w:w="0" w:type="dxa"/>
              <w:left w:w="108" w:type="dxa"/>
              <w:bottom w:w="0" w:type="dxa"/>
              <w:right w:w="108" w:type="dxa"/>
            </w:tcMar>
            <w:vAlign w:val="center"/>
          </w:tcPr>
          <w:p w14:paraId="1986185A">
            <w:pPr>
              <w:keepNext w:val="0"/>
              <w:keepLines w:val="0"/>
              <w:pageBreakBefore w:val="0"/>
              <w:widowControl w:val="0"/>
              <w:kinsoku/>
              <w:wordWrap/>
              <w:overflowPunct/>
              <w:topLinePunct w:val="0"/>
              <w:autoSpaceDE/>
              <w:autoSpaceDN/>
              <w:bidi w:val="0"/>
              <w:adjustRightInd w:val="0"/>
              <w:snapToGrid w:val="0"/>
              <w:spacing w:before="0" w:after="0" w:line="360" w:lineRule="auto"/>
              <w:ind w:left="0" w:right="0"/>
              <w:jc w:val="left"/>
              <w:textAlignment w:val="auto"/>
              <w:rPr>
                <w:rFonts w:ascii="宋体" w:hAnsi="宋体" w:eastAsia="宋体" w:cs="宋体"/>
                <w:b/>
                <w:i w:val="0"/>
                <w:strike w:val="0"/>
                <w:color w:val="000000"/>
                <w:spacing w:val="0"/>
                <w:sz w:val="21"/>
                <w:u w:val="none"/>
              </w:rPr>
            </w:pPr>
            <w:r>
              <w:rPr>
                <w:rFonts w:ascii="宋体" w:hAnsi="宋体" w:eastAsia="宋体" w:cs="宋体"/>
                <w:b/>
                <w:i w:val="0"/>
                <w:strike w:val="0"/>
                <w:color w:val="000000"/>
                <w:spacing w:val="0"/>
                <w:sz w:val="21"/>
                <w:u w:val="none"/>
              </w:rPr>
              <w:t>故障排除 </w:t>
            </w:r>
          </w:p>
        </w:tc>
        <w:tc>
          <w:tcPr>
            <w:tcW w:w="7299" w:type="dxa"/>
            <w:tcBorders>
              <w:top w:val="single" w:color="000000" w:sz="0" w:space="0"/>
              <w:left w:val="single" w:color="000000" w:sz="0" w:space="0"/>
              <w:bottom w:val="single" w:color="000000" w:sz="8" w:space="0"/>
              <w:right w:val="single" w:color="000000" w:sz="8" w:space="0"/>
            </w:tcBorders>
            <w:tcMar>
              <w:top w:w="0" w:type="dxa"/>
              <w:left w:w="108" w:type="dxa"/>
              <w:bottom w:w="0" w:type="dxa"/>
              <w:right w:w="108" w:type="dxa"/>
            </w:tcMar>
            <w:vAlign w:val="center"/>
          </w:tcPr>
          <w:p w14:paraId="5224DABA">
            <w:pPr>
              <w:keepNext w:val="0"/>
              <w:keepLines w:val="0"/>
              <w:pageBreakBefore w:val="0"/>
              <w:widowControl w:val="0"/>
              <w:kinsoku/>
              <w:wordWrap/>
              <w:overflowPunct/>
              <w:topLinePunct w:val="0"/>
              <w:autoSpaceDE/>
              <w:autoSpaceDN/>
              <w:bidi w:val="0"/>
              <w:adjustRightInd w:val="0"/>
              <w:snapToGrid w:val="0"/>
              <w:spacing w:before="0" w:after="0" w:line="360" w:lineRule="auto"/>
              <w:ind w:left="0" w:right="0"/>
              <w:jc w:val="left"/>
              <w:textAlignment w:val="auto"/>
              <w:rPr>
                <w:rFonts w:ascii="宋体" w:hAnsi="宋体" w:eastAsia="宋体" w:cs="宋体"/>
                <w:b w:val="0"/>
                <w:bCs/>
                <w:i w:val="0"/>
                <w:strike w:val="0"/>
                <w:color w:val="000000"/>
                <w:spacing w:val="0"/>
                <w:sz w:val="21"/>
                <w:u w:val="none"/>
              </w:rPr>
            </w:pPr>
            <w:r>
              <w:rPr>
                <w:rFonts w:ascii="宋体" w:hAnsi="宋体" w:eastAsia="宋体" w:cs="宋体"/>
                <w:b w:val="0"/>
                <w:bCs/>
                <w:i w:val="0"/>
                <w:strike w:val="0"/>
                <w:color w:val="000000"/>
                <w:spacing w:val="0"/>
                <w:sz w:val="21"/>
                <w:u w:val="none"/>
              </w:rPr>
              <w:t>1、应用过程中出现功能错误时，协助查找、排除故障，保证系统功能正常运行。</w:t>
            </w:r>
          </w:p>
          <w:p w14:paraId="4BAC54DD">
            <w:pPr>
              <w:keepNext w:val="0"/>
              <w:keepLines w:val="0"/>
              <w:pageBreakBefore w:val="0"/>
              <w:widowControl w:val="0"/>
              <w:kinsoku/>
              <w:wordWrap/>
              <w:overflowPunct/>
              <w:topLinePunct w:val="0"/>
              <w:autoSpaceDE/>
              <w:autoSpaceDN/>
              <w:bidi w:val="0"/>
              <w:adjustRightInd w:val="0"/>
              <w:snapToGrid w:val="0"/>
              <w:spacing w:before="0" w:after="0" w:line="360" w:lineRule="auto"/>
              <w:ind w:left="0" w:right="0"/>
              <w:jc w:val="left"/>
              <w:textAlignment w:val="auto"/>
              <w:rPr>
                <w:rFonts w:ascii="宋体" w:hAnsi="宋体" w:eastAsia="宋体" w:cs="宋体"/>
                <w:b w:val="0"/>
                <w:bCs/>
                <w:i w:val="0"/>
                <w:strike w:val="0"/>
                <w:color w:val="000000"/>
                <w:spacing w:val="0"/>
                <w:sz w:val="21"/>
                <w:u w:val="none"/>
              </w:rPr>
            </w:pPr>
            <w:r>
              <w:rPr>
                <w:rFonts w:ascii="宋体" w:hAnsi="宋体" w:eastAsia="宋体" w:cs="宋体"/>
                <w:b w:val="0"/>
                <w:bCs/>
                <w:i w:val="0"/>
                <w:strike w:val="0"/>
                <w:color w:val="000000"/>
                <w:spacing w:val="0"/>
                <w:sz w:val="21"/>
                <w:u w:val="none"/>
              </w:rPr>
              <w:t>2、协助医院人员进行日常事件及问题处理，并将解决办法告知医院相关负责人，共同完成更新配置。</w:t>
            </w:r>
          </w:p>
        </w:tc>
      </w:tr>
      <w:tr w14:paraId="1669FD56">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440" w:hRule="atLeast"/>
          <w:jc w:val="center"/>
        </w:trPr>
        <w:tc>
          <w:tcPr>
            <w:tcW w:w="994" w:type="dxa"/>
            <w:tcBorders>
              <w:top w:val="single" w:color="000000" w:sz="0" w:space="0"/>
              <w:left w:val="single" w:color="000000" w:sz="8" w:space="0"/>
              <w:bottom w:val="single" w:color="000000" w:sz="8" w:space="0"/>
              <w:right w:val="single" w:color="000000" w:sz="8" w:space="0"/>
            </w:tcBorders>
            <w:tcMar>
              <w:top w:w="0" w:type="dxa"/>
              <w:left w:w="108" w:type="dxa"/>
              <w:bottom w:w="0" w:type="dxa"/>
              <w:right w:w="108" w:type="dxa"/>
            </w:tcMar>
            <w:vAlign w:val="center"/>
          </w:tcPr>
          <w:p w14:paraId="7B822313">
            <w:pPr>
              <w:keepNext w:val="0"/>
              <w:keepLines w:val="0"/>
              <w:pageBreakBefore w:val="0"/>
              <w:widowControl w:val="0"/>
              <w:kinsoku/>
              <w:wordWrap/>
              <w:overflowPunct/>
              <w:topLinePunct w:val="0"/>
              <w:autoSpaceDE/>
              <w:autoSpaceDN/>
              <w:bidi w:val="0"/>
              <w:adjustRightInd w:val="0"/>
              <w:snapToGrid w:val="0"/>
              <w:spacing w:before="0" w:after="0" w:line="360" w:lineRule="auto"/>
              <w:ind w:left="0" w:right="0"/>
              <w:jc w:val="left"/>
              <w:textAlignment w:val="auto"/>
              <w:rPr>
                <w:rFonts w:ascii="宋体" w:hAnsi="宋体" w:eastAsia="宋体" w:cs="宋体"/>
                <w:b/>
                <w:i w:val="0"/>
                <w:strike w:val="0"/>
                <w:color w:val="000000"/>
                <w:spacing w:val="0"/>
                <w:sz w:val="21"/>
                <w:u w:val="none"/>
              </w:rPr>
            </w:pPr>
            <w:r>
              <w:rPr>
                <w:rFonts w:ascii="宋体" w:hAnsi="宋体" w:eastAsia="宋体" w:cs="宋体"/>
                <w:b/>
                <w:i w:val="0"/>
                <w:strike w:val="0"/>
                <w:color w:val="000000"/>
                <w:spacing w:val="0"/>
                <w:sz w:val="21"/>
                <w:u w:val="none"/>
              </w:rPr>
              <w:t>4</w:t>
            </w:r>
          </w:p>
        </w:tc>
        <w:tc>
          <w:tcPr>
            <w:tcW w:w="1585" w:type="dxa"/>
            <w:tcBorders>
              <w:top w:val="single" w:color="000000" w:sz="0" w:space="0"/>
              <w:left w:val="single" w:color="000000" w:sz="0" w:space="0"/>
              <w:bottom w:val="single" w:color="000000" w:sz="8" w:space="0"/>
              <w:right w:val="single" w:color="000000" w:sz="8" w:space="0"/>
            </w:tcBorders>
            <w:tcMar>
              <w:top w:w="0" w:type="dxa"/>
              <w:left w:w="108" w:type="dxa"/>
              <w:bottom w:w="0" w:type="dxa"/>
              <w:right w:w="108" w:type="dxa"/>
            </w:tcMar>
            <w:vAlign w:val="center"/>
          </w:tcPr>
          <w:p w14:paraId="66599F31">
            <w:pPr>
              <w:keepNext w:val="0"/>
              <w:keepLines w:val="0"/>
              <w:pageBreakBefore w:val="0"/>
              <w:widowControl w:val="0"/>
              <w:kinsoku/>
              <w:wordWrap/>
              <w:overflowPunct/>
              <w:topLinePunct w:val="0"/>
              <w:autoSpaceDE/>
              <w:autoSpaceDN/>
              <w:bidi w:val="0"/>
              <w:adjustRightInd w:val="0"/>
              <w:snapToGrid w:val="0"/>
              <w:spacing w:before="0" w:after="0" w:line="360" w:lineRule="auto"/>
              <w:ind w:left="0" w:right="0"/>
              <w:jc w:val="left"/>
              <w:textAlignment w:val="auto"/>
              <w:rPr>
                <w:rFonts w:ascii="宋体" w:hAnsi="宋体" w:eastAsia="宋体" w:cs="宋体"/>
                <w:b/>
                <w:i w:val="0"/>
                <w:strike w:val="0"/>
                <w:color w:val="000000"/>
                <w:spacing w:val="0"/>
                <w:sz w:val="21"/>
                <w:u w:val="none"/>
              </w:rPr>
            </w:pPr>
            <w:r>
              <w:rPr>
                <w:rFonts w:ascii="宋体" w:hAnsi="宋体" w:eastAsia="宋体" w:cs="宋体"/>
                <w:b/>
                <w:i w:val="0"/>
                <w:strike w:val="0"/>
                <w:color w:val="000000"/>
                <w:spacing w:val="0"/>
                <w:sz w:val="21"/>
                <w:u w:val="none"/>
              </w:rPr>
              <w:t>报表维护</w:t>
            </w:r>
          </w:p>
        </w:tc>
        <w:tc>
          <w:tcPr>
            <w:tcW w:w="7299" w:type="dxa"/>
            <w:tcBorders>
              <w:top w:val="single" w:color="000000" w:sz="0" w:space="0"/>
              <w:left w:val="single" w:color="000000" w:sz="0" w:space="0"/>
              <w:bottom w:val="single" w:color="000000" w:sz="8" w:space="0"/>
              <w:right w:val="single" w:color="000000" w:sz="8" w:space="0"/>
            </w:tcBorders>
            <w:tcMar>
              <w:top w:w="0" w:type="dxa"/>
              <w:left w:w="108" w:type="dxa"/>
              <w:bottom w:w="0" w:type="dxa"/>
              <w:right w:w="108" w:type="dxa"/>
            </w:tcMar>
            <w:vAlign w:val="center"/>
          </w:tcPr>
          <w:p w14:paraId="07A46216">
            <w:pPr>
              <w:keepNext w:val="0"/>
              <w:keepLines w:val="0"/>
              <w:pageBreakBefore w:val="0"/>
              <w:widowControl w:val="0"/>
              <w:kinsoku/>
              <w:wordWrap/>
              <w:overflowPunct/>
              <w:topLinePunct w:val="0"/>
              <w:autoSpaceDE/>
              <w:autoSpaceDN/>
              <w:bidi w:val="0"/>
              <w:adjustRightInd w:val="0"/>
              <w:snapToGrid w:val="0"/>
              <w:spacing w:before="0" w:after="0" w:line="360" w:lineRule="auto"/>
              <w:ind w:left="0" w:right="0"/>
              <w:jc w:val="left"/>
              <w:textAlignment w:val="auto"/>
              <w:rPr>
                <w:rFonts w:ascii="宋体" w:hAnsi="宋体" w:eastAsia="宋体" w:cs="宋体"/>
                <w:b w:val="0"/>
                <w:bCs/>
                <w:i w:val="0"/>
                <w:strike w:val="0"/>
                <w:color w:val="000000"/>
                <w:spacing w:val="0"/>
                <w:sz w:val="21"/>
                <w:u w:val="none"/>
              </w:rPr>
            </w:pPr>
            <w:r>
              <w:rPr>
                <w:rFonts w:ascii="宋体" w:hAnsi="宋体" w:eastAsia="宋体" w:cs="宋体"/>
                <w:b w:val="0"/>
                <w:bCs/>
                <w:i w:val="0"/>
                <w:strike w:val="0"/>
                <w:color w:val="000000"/>
                <w:spacing w:val="0"/>
                <w:sz w:val="21"/>
                <w:u w:val="none"/>
              </w:rPr>
              <w:t>1.每月15日前更新上个月入组数据。 </w:t>
            </w:r>
          </w:p>
          <w:p w14:paraId="36E97177">
            <w:pPr>
              <w:keepNext w:val="0"/>
              <w:keepLines w:val="0"/>
              <w:pageBreakBefore w:val="0"/>
              <w:widowControl w:val="0"/>
              <w:kinsoku/>
              <w:wordWrap/>
              <w:overflowPunct/>
              <w:topLinePunct w:val="0"/>
              <w:autoSpaceDE/>
              <w:autoSpaceDN/>
              <w:bidi w:val="0"/>
              <w:adjustRightInd w:val="0"/>
              <w:snapToGrid w:val="0"/>
              <w:spacing w:before="0" w:after="0" w:line="360" w:lineRule="auto"/>
              <w:ind w:left="0" w:right="0"/>
              <w:jc w:val="left"/>
              <w:textAlignment w:val="auto"/>
              <w:rPr>
                <w:rFonts w:ascii="宋体" w:hAnsi="宋体" w:eastAsia="宋体" w:cs="宋体"/>
                <w:b w:val="0"/>
                <w:bCs/>
                <w:i w:val="0"/>
                <w:strike w:val="0"/>
                <w:color w:val="000000"/>
                <w:spacing w:val="0"/>
                <w:sz w:val="21"/>
                <w:u w:val="none"/>
              </w:rPr>
            </w:pPr>
            <w:r>
              <w:rPr>
                <w:rFonts w:ascii="宋体" w:hAnsi="宋体" w:eastAsia="宋体" w:cs="宋体"/>
                <w:b w:val="0"/>
                <w:bCs/>
                <w:i w:val="0"/>
                <w:strike w:val="0"/>
                <w:color w:val="000000"/>
                <w:spacing w:val="0"/>
                <w:sz w:val="21"/>
                <w:u w:val="none"/>
              </w:rPr>
              <w:t>2.系统现有报表格式、数据调整、修改、新增等。</w:t>
            </w:r>
          </w:p>
          <w:p w14:paraId="4AB8D47B">
            <w:pPr>
              <w:keepNext w:val="0"/>
              <w:keepLines w:val="0"/>
              <w:pageBreakBefore w:val="0"/>
              <w:widowControl w:val="0"/>
              <w:kinsoku/>
              <w:wordWrap/>
              <w:overflowPunct/>
              <w:topLinePunct w:val="0"/>
              <w:autoSpaceDE/>
              <w:autoSpaceDN/>
              <w:bidi w:val="0"/>
              <w:adjustRightInd w:val="0"/>
              <w:snapToGrid w:val="0"/>
              <w:spacing w:before="0" w:after="0" w:line="360" w:lineRule="auto"/>
              <w:ind w:left="0" w:right="0"/>
              <w:jc w:val="left"/>
              <w:textAlignment w:val="auto"/>
              <w:rPr>
                <w:rFonts w:ascii="宋体" w:hAnsi="宋体" w:eastAsia="宋体" w:cs="宋体"/>
                <w:b w:val="0"/>
                <w:bCs/>
                <w:i w:val="0"/>
                <w:strike w:val="0"/>
                <w:color w:val="000000"/>
                <w:spacing w:val="0"/>
                <w:sz w:val="21"/>
                <w:u w:val="none"/>
              </w:rPr>
            </w:pPr>
            <w:r>
              <w:rPr>
                <w:rFonts w:ascii="宋体" w:hAnsi="宋体" w:eastAsia="宋体" w:cs="宋体"/>
                <w:b w:val="0"/>
                <w:bCs/>
                <w:i w:val="0"/>
                <w:strike w:val="0"/>
                <w:color w:val="000000"/>
                <w:spacing w:val="0"/>
                <w:sz w:val="21"/>
                <w:u w:val="none"/>
              </w:rPr>
              <w:t>3.报表数据需要从第三方系统中提取的，需要评估工作量，并需要第三方人员配合。</w:t>
            </w:r>
          </w:p>
        </w:tc>
      </w:tr>
      <w:tr w14:paraId="2093BCDB">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883" w:hRule="atLeast"/>
          <w:jc w:val="center"/>
        </w:trPr>
        <w:tc>
          <w:tcPr>
            <w:tcW w:w="994" w:type="dxa"/>
            <w:tcBorders>
              <w:top w:val="single" w:color="000000" w:sz="0" w:space="0"/>
              <w:left w:val="single" w:color="000000" w:sz="8" w:space="0"/>
              <w:bottom w:val="single" w:color="000000" w:sz="8" w:space="0"/>
              <w:right w:val="single" w:color="000000" w:sz="8" w:space="0"/>
            </w:tcBorders>
            <w:tcMar>
              <w:top w:w="0" w:type="dxa"/>
              <w:left w:w="108" w:type="dxa"/>
              <w:bottom w:w="0" w:type="dxa"/>
              <w:right w:w="108" w:type="dxa"/>
            </w:tcMar>
            <w:vAlign w:val="center"/>
          </w:tcPr>
          <w:p w14:paraId="2A6B2372">
            <w:pPr>
              <w:keepNext w:val="0"/>
              <w:keepLines w:val="0"/>
              <w:pageBreakBefore w:val="0"/>
              <w:widowControl w:val="0"/>
              <w:kinsoku/>
              <w:wordWrap/>
              <w:overflowPunct/>
              <w:topLinePunct w:val="0"/>
              <w:autoSpaceDE/>
              <w:autoSpaceDN/>
              <w:bidi w:val="0"/>
              <w:adjustRightInd w:val="0"/>
              <w:snapToGrid w:val="0"/>
              <w:spacing w:before="0" w:after="0" w:line="360" w:lineRule="auto"/>
              <w:ind w:left="0" w:right="0"/>
              <w:jc w:val="left"/>
              <w:textAlignment w:val="auto"/>
              <w:rPr>
                <w:rFonts w:ascii="宋体" w:hAnsi="宋体" w:eastAsia="宋体" w:cs="宋体"/>
                <w:b/>
                <w:i w:val="0"/>
                <w:strike w:val="0"/>
                <w:color w:val="000000"/>
                <w:spacing w:val="0"/>
                <w:sz w:val="21"/>
                <w:u w:val="none"/>
              </w:rPr>
            </w:pPr>
            <w:r>
              <w:rPr>
                <w:rFonts w:ascii="宋体" w:hAnsi="宋体" w:eastAsia="宋体" w:cs="宋体"/>
                <w:b/>
                <w:i w:val="0"/>
                <w:strike w:val="0"/>
                <w:color w:val="000000"/>
                <w:spacing w:val="0"/>
                <w:sz w:val="21"/>
                <w:u w:val="none"/>
              </w:rPr>
              <w:t>5</w:t>
            </w:r>
          </w:p>
        </w:tc>
        <w:tc>
          <w:tcPr>
            <w:tcW w:w="1585" w:type="dxa"/>
            <w:tcBorders>
              <w:top w:val="single" w:color="000000" w:sz="0" w:space="0"/>
              <w:left w:val="single" w:color="000000" w:sz="0" w:space="0"/>
              <w:bottom w:val="single" w:color="000000" w:sz="8" w:space="0"/>
              <w:right w:val="single" w:color="000000" w:sz="8" w:space="0"/>
            </w:tcBorders>
            <w:tcMar>
              <w:top w:w="0" w:type="dxa"/>
              <w:left w:w="108" w:type="dxa"/>
              <w:bottom w:w="0" w:type="dxa"/>
              <w:right w:w="108" w:type="dxa"/>
            </w:tcMar>
            <w:vAlign w:val="center"/>
          </w:tcPr>
          <w:p w14:paraId="46C0E788">
            <w:pPr>
              <w:keepNext w:val="0"/>
              <w:keepLines w:val="0"/>
              <w:pageBreakBefore w:val="0"/>
              <w:widowControl w:val="0"/>
              <w:kinsoku/>
              <w:wordWrap/>
              <w:overflowPunct/>
              <w:topLinePunct w:val="0"/>
              <w:autoSpaceDE/>
              <w:autoSpaceDN/>
              <w:bidi w:val="0"/>
              <w:adjustRightInd w:val="0"/>
              <w:snapToGrid w:val="0"/>
              <w:spacing w:before="0" w:after="0" w:line="360" w:lineRule="auto"/>
              <w:ind w:left="0" w:right="0"/>
              <w:jc w:val="left"/>
              <w:textAlignment w:val="auto"/>
              <w:rPr>
                <w:rFonts w:ascii="宋体" w:hAnsi="宋体" w:eastAsia="宋体" w:cs="宋体"/>
                <w:b/>
                <w:i w:val="0"/>
                <w:strike w:val="0"/>
                <w:color w:val="000000"/>
                <w:spacing w:val="0"/>
                <w:sz w:val="21"/>
                <w:u w:val="none"/>
              </w:rPr>
            </w:pPr>
            <w:r>
              <w:rPr>
                <w:rFonts w:ascii="宋体" w:hAnsi="宋体" w:eastAsia="宋体" w:cs="宋体"/>
                <w:b/>
                <w:i w:val="0"/>
                <w:strike w:val="0"/>
                <w:color w:val="000000"/>
                <w:spacing w:val="0"/>
                <w:sz w:val="21"/>
                <w:u w:val="none"/>
              </w:rPr>
              <w:t>日常维护</w:t>
            </w:r>
          </w:p>
        </w:tc>
        <w:tc>
          <w:tcPr>
            <w:tcW w:w="7299" w:type="dxa"/>
            <w:tcBorders>
              <w:top w:val="single" w:color="000000" w:sz="0" w:space="0"/>
              <w:left w:val="single" w:color="000000" w:sz="0" w:space="0"/>
              <w:bottom w:val="single" w:color="000000" w:sz="8" w:space="0"/>
              <w:right w:val="single" w:color="000000" w:sz="8" w:space="0"/>
            </w:tcBorders>
            <w:tcMar>
              <w:top w:w="0" w:type="dxa"/>
              <w:left w:w="108" w:type="dxa"/>
              <w:bottom w:w="0" w:type="dxa"/>
              <w:right w:w="108" w:type="dxa"/>
            </w:tcMar>
            <w:vAlign w:val="center"/>
          </w:tcPr>
          <w:p w14:paraId="3721AFC6">
            <w:pPr>
              <w:keepNext w:val="0"/>
              <w:keepLines w:val="0"/>
              <w:pageBreakBefore w:val="0"/>
              <w:widowControl w:val="0"/>
              <w:kinsoku/>
              <w:wordWrap/>
              <w:overflowPunct/>
              <w:topLinePunct w:val="0"/>
              <w:autoSpaceDE/>
              <w:autoSpaceDN/>
              <w:bidi w:val="0"/>
              <w:adjustRightInd w:val="0"/>
              <w:snapToGrid w:val="0"/>
              <w:spacing w:before="0" w:after="0" w:line="360" w:lineRule="auto"/>
              <w:ind w:left="0" w:right="0"/>
              <w:jc w:val="left"/>
              <w:textAlignment w:val="auto"/>
              <w:rPr>
                <w:rFonts w:ascii="宋体" w:hAnsi="宋体" w:eastAsia="宋体" w:cs="宋体"/>
                <w:b w:val="0"/>
                <w:bCs/>
                <w:i w:val="0"/>
                <w:strike w:val="0"/>
                <w:color w:val="000000"/>
                <w:spacing w:val="0"/>
                <w:sz w:val="21"/>
                <w:u w:val="none"/>
              </w:rPr>
            </w:pPr>
            <w:r>
              <w:rPr>
                <w:rFonts w:hint="eastAsia" w:ascii="宋体" w:hAnsi="宋体" w:eastAsia="宋体" w:cs="宋体"/>
                <w:b w:val="0"/>
                <w:bCs/>
                <w:i w:val="0"/>
                <w:strike w:val="0"/>
                <w:color w:val="000000"/>
                <w:spacing w:val="0"/>
                <w:sz w:val="21"/>
                <w:u w:val="none"/>
                <w:lang w:val="en-US" w:eastAsia="zh-CN"/>
              </w:rPr>
              <w:t>确保原系统配置功能的正常使用；按政策更新数据、三大目录及规则；</w:t>
            </w:r>
            <w:r>
              <w:rPr>
                <w:rFonts w:ascii="宋体" w:hAnsi="宋体" w:eastAsia="宋体" w:cs="宋体"/>
                <w:b w:val="0"/>
                <w:bCs/>
                <w:i w:val="0"/>
                <w:strike w:val="0"/>
                <w:color w:val="000000"/>
                <w:spacing w:val="0"/>
                <w:sz w:val="21"/>
                <w:u w:val="none"/>
              </w:rPr>
              <w:t>协助甲方建立日常维护记录，定期与甲方系统管理人员共同检查系统运行情况，并形成系统维护记录制度和系统管理规范。</w:t>
            </w:r>
          </w:p>
        </w:tc>
      </w:tr>
      <w:tr w14:paraId="114FBF74">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847" w:hRule="atLeast"/>
          <w:jc w:val="center"/>
        </w:trPr>
        <w:tc>
          <w:tcPr>
            <w:tcW w:w="994" w:type="dxa"/>
            <w:tcBorders>
              <w:top w:val="single" w:color="000000" w:sz="0" w:space="0"/>
              <w:left w:val="single" w:color="000000" w:sz="8" w:space="0"/>
              <w:bottom w:val="single" w:color="000000" w:sz="8" w:space="0"/>
              <w:right w:val="single" w:color="000000" w:sz="8" w:space="0"/>
            </w:tcBorders>
            <w:tcMar>
              <w:top w:w="0" w:type="dxa"/>
              <w:left w:w="108" w:type="dxa"/>
              <w:bottom w:w="0" w:type="dxa"/>
              <w:right w:w="108" w:type="dxa"/>
            </w:tcMar>
            <w:vAlign w:val="center"/>
          </w:tcPr>
          <w:p w14:paraId="2C372252">
            <w:pPr>
              <w:keepNext w:val="0"/>
              <w:keepLines w:val="0"/>
              <w:pageBreakBefore w:val="0"/>
              <w:widowControl w:val="0"/>
              <w:kinsoku/>
              <w:wordWrap/>
              <w:overflowPunct/>
              <w:topLinePunct w:val="0"/>
              <w:autoSpaceDE/>
              <w:autoSpaceDN/>
              <w:bidi w:val="0"/>
              <w:adjustRightInd w:val="0"/>
              <w:snapToGrid w:val="0"/>
              <w:spacing w:before="0" w:after="0" w:line="360" w:lineRule="auto"/>
              <w:ind w:left="0" w:right="0"/>
              <w:jc w:val="left"/>
              <w:textAlignment w:val="auto"/>
              <w:rPr>
                <w:rFonts w:ascii="宋体" w:hAnsi="宋体" w:eastAsia="宋体" w:cs="宋体"/>
                <w:b/>
                <w:i w:val="0"/>
                <w:strike w:val="0"/>
                <w:color w:val="000000"/>
                <w:spacing w:val="0"/>
                <w:sz w:val="21"/>
                <w:u w:val="none"/>
              </w:rPr>
            </w:pPr>
            <w:r>
              <w:rPr>
                <w:rFonts w:ascii="宋体" w:hAnsi="宋体" w:eastAsia="宋体" w:cs="宋体"/>
                <w:b/>
                <w:i w:val="0"/>
                <w:strike w:val="0"/>
                <w:color w:val="000000"/>
                <w:spacing w:val="0"/>
                <w:sz w:val="21"/>
                <w:u w:val="none"/>
              </w:rPr>
              <w:t>6</w:t>
            </w:r>
          </w:p>
        </w:tc>
        <w:tc>
          <w:tcPr>
            <w:tcW w:w="1585" w:type="dxa"/>
            <w:tcBorders>
              <w:top w:val="single" w:color="000000" w:sz="0" w:space="0"/>
              <w:left w:val="single" w:color="000000" w:sz="0" w:space="0"/>
              <w:bottom w:val="single" w:color="000000" w:sz="8" w:space="0"/>
              <w:right w:val="single" w:color="000000" w:sz="8" w:space="0"/>
            </w:tcBorders>
            <w:tcMar>
              <w:top w:w="0" w:type="dxa"/>
              <w:left w:w="108" w:type="dxa"/>
              <w:bottom w:w="0" w:type="dxa"/>
              <w:right w:w="108" w:type="dxa"/>
            </w:tcMar>
            <w:vAlign w:val="center"/>
          </w:tcPr>
          <w:p w14:paraId="522FCA36">
            <w:pPr>
              <w:keepNext w:val="0"/>
              <w:keepLines w:val="0"/>
              <w:pageBreakBefore w:val="0"/>
              <w:widowControl w:val="0"/>
              <w:kinsoku/>
              <w:wordWrap/>
              <w:overflowPunct/>
              <w:topLinePunct w:val="0"/>
              <w:autoSpaceDE/>
              <w:autoSpaceDN/>
              <w:bidi w:val="0"/>
              <w:adjustRightInd w:val="0"/>
              <w:snapToGrid w:val="0"/>
              <w:spacing w:before="0" w:after="0" w:line="360" w:lineRule="auto"/>
              <w:ind w:left="0" w:right="0"/>
              <w:jc w:val="left"/>
              <w:textAlignment w:val="auto"/>
              <w:rPr>
                <w:rFonts w:ascii="宋体" w:hAnsi="宋体" w:eastAsia="宋体" w:cs="宋体"/>
                <w:b/>
                <w:i w:val="0"/>
                <w:strike w:val="0"/>
                <w:color w:val="000000"/>
                <w:spacing w:val="0"/>
                <w:sz w:val="21"/>
                <w:u w:val="none"/>
              </w:rPr>
            </w:pPr>
            <w:r>
              <w:rPr>
                <w:rFonts w:ascii="宋体" w:hAnsi="宋体" w:eastAsia="宋体" w:cs="宋体"/>
                <w:b/>
                <w:i w:val="0"/>
                <w:strike w:val="0"/>
                <w:color w:val="000000"/>
                <w:spacing w:val="0"/>
                <w:sz w:val="21"/>
                <w:u w:val="none"/>
              </w:rPr>
              <w:t>数据恢复</w:t>
            </w:r>
          </w:p>
        </w:tc>
        <w:tc>
          <w:tcPr>
            <w:tcW w:w="7299" w:type="dxa"/>
            <w:tcBorders>
              <w:top w:val="single" w:color="000000" w:sz="0" w:space="0"/>
              <w:left w:val="single" w:color="000000" w:sz="0" w:space="0"/>
              <w:bottom w:val="single" w:color="000000" w:sz="8" w:space="0"/>
              <w:right w:val="single" w:color="000000" w:sz="8" w:space="0"/>
            </w:tcBorders>
            <w:tcMar>
              <w:top w:w="0" w:type="dxa"/>
              <w:left w:w="108" w:type="dxa"/>
              <w:bottom w:w="0" w:type="dxa"/>
              <w:right w:w="108" w:type="dxa"/>
            </w:tcMar>
            <w:vAlign w:val="center"/>
          </w:tcPr>
          <w:p w14:paraId="3F5B4E9D">
            <w:pPr>
              <w:keepNext w:val="0"/>
              <w:keepLines w:val="0"/>
              <w:pageBreakBefore w:val="0"/>
              <w:widowControl w:val="0"/>
              <w:kinsoku/>
              <w:wordWrap/>
              <w:overflowPunct/>
              <w:topLinePunct w:val="0"/>
              <w:autoSpaceDE/>
              <w:autoSpaceDN/>
              <w:bidi w:val="0"/>
              <w:adjustRightInd w:val="0"/>
              <w:snapToGrid w:val="0"/>
              <w:spacing w:before="0" w:after="0" w:line="360" w:lineRule="auto"/>
              <w:ind w:left="0" w:right="0"/>
              <w:jc w:val="left"/>
              <w:textAlignment w:val="auto"/>
              <w:rPr>
                <w:rFonts w:ascii="宋体" w:hAnsi="宋体" w:eastAsia="宋体" w:cs="宋体"/>
                <w:b w:val="0"/>
                <w:bCs/>
                <w:i w:val="0"/>
                <w:strike w:val="0"/>
                <w:color w:val="000000"/>
                <w:spacing w:val="0"/>
                <w:sz w:val="21"/>
                <w:u w:val="none"/>
              </w:rPr>
            </w:pPr>
            <w:r>
              <w:rPr>
                <w:rFonts w:ascii="宋体" w:hAnsi="宋体" w:eastAsia="宋体" w:cs="宋体"/>
                <w:b w:val="0"/>
                <w:bCs/>
                <w:i w:val="0"/>
                <w:strike w:val="0"/>
                <w:color w:val="000000"/>
                <w:spacing w:val="0"/>
                <w:sz w:val="21"/>
                <w:u w:val="none"/>
              </w:rPr>
              <w:t>因操作不当或其它原因导致数据丢失(包括但不限于患者的所有数据)，乙方负责恢复数据。</w:t>
            </w:r>
          </w:p>
        </w:tc>
      </w:tr>
      <w:tr w14:paraId="4E6C2703">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847" w:hRule="atLeast"/>
          <w:jc w:val="center"/>
        </w:trPr>
        <w:tc>
          <w:tcPr>
            <w:tcW w:w="994" w:type="dxa"/>
            <w:tcBorders>
              <w:top w:val="single" w:color="000000" w:sz="0" w:space="0"/>
              <w:left w:val="single" w:color="000000" w:sz="8" w:space="0"/>
              <w:bottom w:val="single" w:color="000000" w:sz="8" w:space="0"/>
              <w:right w:val="single" w:color="000000" w:sz="8" w:space="0"/>
            </w:tcBorders>
            <w:tcMar>
              <w:top w:w="0" w:type="dxa"/>
              <w:left w:w="108" w:type="dxa"/>
              <w:bottom w:w="0" w:type="dxa"/>
              <w:right w:w="108" w:type="dxa"/>
            </w:tcMar>
            <w:vAlign w:val="center"/>
          </w:tcPr>
          <w:p w14:paraId="405C3E6D">
            <w:pPr>
              <w:keepNext w:val="0"/>
              <w:keepLines w:val="0"/>
              <w:pageBreakBefore w:val="0"/>
              <w:widowControl w:val="0"/>
              <w:kinsoku/>
              <w:wordWrap/>
              <w:overflowPunct/>
              <w:topLinePunct w:val="0"/>
              <w:autoSpaceDE/>
              <w:autoSpaceDN/>
              <w:bidi w:val="0"/>
              <w:adjustRightInd w:val="0"/>
              <w:snapToGrid w:val="0"/>
              <w:spacing w:before="0" w:after="0" w:line="360" w:lineRule="auto"/>
              <w:ind w:left="0" w:right="0"/>
              <w:jc w:val="left"/>
              <w:textAlignment w:val="auto"/>
              <w:rPr>
                <w:rFonts w:ascii="宋体" w:hAnsi="宋体" w:eastAsia="宋体" w:cs="宋体"/>
                <w:b/>
                <w:i w:val="0"/>
                <w:strike w:val="0"/>
                <w:color w:val="000000"/>
                <w:spacing w:val="0"/>
                <w:sz w:val="21"/>
                <w:u w:val="none"/>
              </w:rPr>
            </w:pPr>
            <w:r>
              <w:rPr>
                <w:rFonts w:ascii="宋体" w:hAnsi="宋体" w:eastAsia="宋体" w:cs="宋体"/>
                <w:b/>
                <w:i w:val="0"/>
                <w:strike w:val="0"/>
                <w:color w:val="000000"/>
                <w:spacing w:val="0"/>
                <w:sz w:val="21"/>
                <w:u w:val="none"/>
              </w:rPr>
              <w:t>7</w:t>
            </w:r>
          </w:p>
        </w:tc>
        <w:tc>
          <w:tcPr>
            <w:tcW w:w="1585" w:type="dxa"/>
            <w:tcBorders>
              <w:top w:val="single" w:color="000000" w:sz="0" w:space="0"/>
              <w:left w:val="single" w:color="000000" w:sz="0" w:space="0"/>
              <w:bottom w:val="single" w:color="000000" w:sz="8" w:space="0"/>
              <w:right w:val="single" w:color="000000" w:sz="8" w:space="0"/>
            </w:tcBorders>
            <w:tcMar>
              <w:top w:w="0" w:type="dxa"/>
              <w:left w:w="108" w:type="dxa"/>
              <w:bottom w:w="0" w:type="dxa"/>
              <w:right w:w="108" w:type="dxa"/>
            </w:tcMar>
            <w:vAlign w:val="center"/>
          </w:tcPr>
          <w:p w14:paraId="35334763">
            <w:pPr>
              <w:keepNext w:val="0"/>
              <w:keepLines w:val="0"/>
              <w:pageBreakBefore w:val="0"/>
              <w:widowControl w:val="0"/>
              <w:kinsoku/>
              <w:wordWrap/>
              <w:overflowPunct/>
              <w:topLinePunct w:val="0"/>
              <w:autoSpaceDE/>
              <w:autoSpaceDN/>
              <w:bidi w:val="0"/>
              <w:adjustRightInd w:val="0"/>
              <w:snapToGrid w:val="0"/>
              <w:spacing w:before="0" w:after="0" w:line="360" w:lineRule="auto"/>
              <w:ind w:left="0" w:right="0"/>
              <w:jc w:val="left"/>
              <w:textAlignment w:val="auto"/>
              <w:rPr>
                <w:rFonts w:ascii="宋体" w:hAnsi="宋体" w:eastAsia="宋体" w:cs="宋体"/>
                <w:b/>
                <w:i w:val="0"/>
                <w:strike w:val="0"/>
                <w:color w:val="000000"/>
                <w:spacing w:val="0"/>
                <w:sz w:val="21"/>
                <w:u w:val="none"/>
              </w:rPr>
            </w:pPr>
            <w:r>
              <w:rPr>
                <w:rFonts w:ascii="宋体" w:hAnsi="宋体" w:eastAsia="宋体" w:cs="宋体"/>
                <w:b/>
                <w:i w:val="0"/>
                <w:strike w:val="0"/>
                <w:color w:val="000000"/>
                <w:spacing w:val="0"/>
                <w:sz w:val="21"/>
                <w:u w:val="none"/>
              </w:rPr>
              <w:t>数据调整</w:t>
            </w:r>
          </w:p>
        </w:tc>
        <w:tc>
          <w:tcPr>
            <w:tcW w:w="7299" w:type="dxa"/>
            <w:tcBorders>
              <w:top w:val="single" w:color="000000" w:sz="0" w:space="0"/>
              <w:left w:val="single" w:color="000000" w:sz="0" w:space="0"/>
              <w:bottom w:val="single" w:color="000000" w:sz="8" w:space="0"/>
              <w:right w:val="single" w:color="000000" w:sz="8" w:space="0"/>
            </w:tcBorders>
            <w:tcMar>
              <w:top w:w="0" w:type="dxa"/>
              <w:left w:w="108" w:type="dxa"/>
              <w:bottom w:w="0" w:type="dxa"/>
              <w:right w:w="108" w:type="dxa"/>
            </w:tcMar>
            <w:vAlign w:val="center"/>
          </w:tcPr>
          <w:p w14:paraId="74D0DD7C">
            <w:pPr>
              <w:keepNext w:val="0"/>
              <w:keepLines w:val="0"/>
              <w:pageBreakBefore w:val="0"/>
              <w:widowControl w:val="0"/>
              <w:kinsoku/>
              <w:wordWrap/>
              <w:overflowPunct/>
              <w:topLinePunct w:val="0"/>
              <w:autoSpaceDE/>
              <w:autoSpaceDN/>
              <w:bidi w:val="0"/>
              <w:adjustRightInd w:val="0"/>
              <w:snapToGrid w:val="0"/>
              <w:spacing w:before="0" w:after="0" w:line="360" w:lineRule="auto"/>
              <w:ind w:left="0" w:right="0"/>
              <w:jc w:val="left"/>
              <w:textAlignment w:val="auto"/>
              <w:rPr>
                <w:rFonts w:ascii="宋体" w:hAnsi="宋体" w:eastAsia="宋体" w:cs="宋体"/>
                <w:b w:val="0"/>
                <w:bCs/>
                <w:i w:val="0"/>
                <w:strike w:val="0"/>
                <w:color w:val="000000"/>
                <w:spacing w:val="0"/>
                <w:sz w:val="21"/>
                <w:u w:val="none"/>
              </w:rPr>
            </w:pPr>
            <w:r>
              <w:rPr>
                <w:rFonts w:ascii="宋体" w:hAnsi="宋体" w:eastAsia="宋体" w:cs="宋体"/>
                <w:b w:val="0"/>
                <w:bCs/>
                <w:i w:val="0"/>
                <w:strike w:val="0"/>
                <w:color w:val="000000"/>
                <w:spacing w:val="0"/>
                <w:sz w:val="21"/>
                <w:u w:val="none"/>
              </w:rPr>
              <w:t>因操作不当或其它原因造成系统数据出现部分或全部错误(包指但不限于查找不到患者信息)，乙方负责数据调整。</w:t>
            </w:r>
          </w:p>
        </w:tc>
      </w:tr>
      <w:tr w14:paraId="24512635">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847" w:hRule="atLeast"/>
          <w:jc w:val="center"/>
        </w:trPr>
        <w:tc>
          <w:tcPr>
            <w:tcW w:w="994" w:type="dxa"/>
            <w:tcBorders>
              <w:top w:val="single" w:color="000000" w:sz="0" w:space="0"/>
              <w:left w:val="single" w:color="000000" w:sz="8" w:space="0"/>
              <w:bottom w:val="single" w:color="000000" w:sz="8" w:space="0"/>
              <w:right w:val="single" w:color="000000" w:sz="8" w:space="0"/>
            </w:tcBorders>
            <w:tcMar>
              <w:top w:w="0" w:type="dxa"/>
              <w:left w:w="108" w:type="dxa"/>
              <w:bottom w:w="0" w:type="dxa"/>
              <w:right w:w="108" w:type="dxa"/>
            </w:tcMar>
            <w:vAlign w:val="center"/>
          </w:tcPr>
          <w:p w14:paraId="467C3458">
            <w:pPr>
              <w:keepNext w:val="0"/>
              <w:keepLines w:val="0"/>
              <w:pageBreakBefore w:val="0"/>
              <w:widowControl w:val="0"/>
              <w:kinsoku/>
              <w:wordWrap/>
              <w:overflowPunct/>
              <w:topLinePunct w:val="0"/>
              <w:autoSpaceDE/>
              <w:autoSpaceDN/>
              <w:bidi w:val="0"/>
              <w:adjustRightInd w:val="0"/>
              <w:snapToGrid w:val="0"/>
              <w:spacing w:before="0" w:after="0" w:line="360" w:lineRule="auto"/>
              <w:ind w:left="0" w:right="0"/>
              <w:jc w:val="left"/>
              <w:textAlignment w:val="auto"/>
              <w:rPr>
                <w:rFonts w:ascii="宋体" w:hAnsi="宋体" w:eastAsia="宋体" w:cs="宋体"/>
                <w:b/>
                <w:i w:val="0"/>
                <w:strike w:val="0"/>
                <w:color w:val="000000"/>
                <w:spacing w:val="0"/>
                <w:sz w:val="21"/>
                <w:u w:val="none"/>
              </w:rPr>
            </w:pPr>
            <w:r>
              <w:rPr>
                <w:rFonts w:ascii="宋体" w:hAnsi="宋体" w:eastAsia="宋体" w:cs="宋体"/>
                <w:b/>
                <w:i w:val="0"/>
                <w:strike w:val="0"/>
                <w:color w:val="000000"/>
                <w:spacing w:val="0"/>
                <w:sz w:val="21"/>
                <w:u w:val="none"/>
              </w:rPr>
              <w:t>9</w:t>
            </w:r>
          </w:p>
        </w:tc>
        <w:tc>
          <w:tcPr>
            <w:tcW w:w="1585" w:type="dxa"/>
            <w:tcBorders>
              <w:top w:val="single" w:color="000000" w:sz="0" w:space="0"/>
              <w:left w:val="single" w:color="000000" w:sz="0" w:space="0"/>
              <w:bottom w:val="single" w:color="000000" w:sz="8" w:space="0"/>
              <w:right w:val="single" w:color="000000" w:sz="8" w:space="0"/>
            </w:tcBorders>
            <w:tcMar>
              <w:top w:w="0" w:type="dxa"/>
              <w:left w:w="108" w:type="dxa"/>
              <w:bottom w:w="0" w:type="dxa"/>
              <w:right w:w="108" w:type="dxa"/>
            </w:tcMar>
            <w:vAlign w:val="center"/>
          </w:tcPr>
          <w:p w14:paraId="33CCAB63">
            <w:pPr>
              <w:keepNext w:val="0"/>
              <w:keepLines w:val="0"/>
              <w:pageBreakBefore w:val="0"/>
              <w:widowControl w:val="0"/>
              <w:kinsoku/>
              <w:wordWrap/>
              <w:overflowPunct/>
              <w:topLinePunct w:val="0"/>
              <w:autoSpaceDE/>
              <w:autoSpaceDN/>
              <w:bidi w:val="0"/>
              <w:adjustRightInd w:val="0"/>
              <w:snapToGrid w:val="0"/>
              <w:spacing w:before="0" w:after="0" w:line="360" w:lineRule="auto"/>
              <w:ind w:left="0" w:right="0"/>
              <w:jc w:val="left"/>
              <w:textAlignment w:val="auto"/>
              <w:rPr>
                <w:rFonts w:ascii="宋体" w:hAnsi="宋体" w:eastAsia="宋体" w:cs="宋体"/>
                <w:b/>
                <w:i w:val="0"/>
                <w:strike w:val="0"/>
                <w:color w:val="000000"/>
                <w:spacing w:val="0"/>
                <w:sz w:val="21"/>
                <w:u w:val="none"/>
              </w:rPr>
            </w:pPr>
            <w:r>
              <w:rPr>
                <w:rFonts w:ascii="宋体" w:hAnsi="宋体" w:eastAsia="宋体" w:cs="宋体"/>
                <w:b/>
                <w:i w:val="0"/>
                <w:strike w:val="0"/>
                <w:color w:val="000000"/>
                <w:spacing w:val="0"/>
                <w:sz w:val="21"/>
                <w:u w:val="none"/>
              </w:rPr>
              <w:t>特殊服务</w:t>
            </w:r>
          </w:p>
        </w:tc>
        <w:tc>
          <w:tcPr>
            <w:tcW w:w="7299" w:type="dxa"/>
            <w:tcBorders>
              <w:top w:val="single" w:color="000000" w:sz="0" w:space="0"/>
              <w:left w:val="single" w:color="000000" w:sz="0" w:space="0"/>
              <w:bottom w:val="single" w:color="000000" w:sz="8" w:space="0"/>
              <w:right w:val="single" w:color="000000" w:sz="8" w:space="0"/>
            </w:tcBorders>
            <w:tcMar>
              <w:top w:w="0" w:type="dxa"/>
              <w:left w:w="108" w:type="dxa"/>
              <w:bottom w:w="0" w:type="dxa"/>
              <w:right w:w="108" w:type="dxa"/>
            </w:tcMar>
            <w:vAlign w:val="center"/>
          </w:tcPr>
          <w:p w14:paraId="5C67FDCE">
            <w:pPr>
              <w:keepNext w:val="0"/>
              <w:keepLines w:val="0"/>
              <w:pageBreakBefore w:val="0"/>
              <w:widowControl w:val="0"/>
              <w:kinsoku/>
              <w:wordWrap/>
              <w:overflowPunct/>
              <w:topLinePunct w:val="0"/>
              <w:autoSpaceDE/>
              <w:autoSpaceDN/>
              <w:bidi w:val="0"/>
              <w:adjustRightInd w:val="0"/>
              <w:snapToGrid w:val="0"/>
              <w:spacing w:before="0" w:after="0" w:line="360" w:lineRule="auto"/>
              <w:ind w:left="0" w:right="0"/>
              <w:jc w:val="left"/>
              <w:textAlignment w:val="auto"/>
              <w:rPr>
                <w:rFonts w:ascii="宋体" w:hAnsi="宋体" w:eastAsia="宋体" w:cs="宋体"/>
                <w:b w:val="0"/>
                <w:bCs/>
                <w:i w:val="0"/>
                <w:strike w:val="0"/>
                <w:color w:val="000000"/>
                <w:spacing w:val="0"/>
                <w:sz w:val="21"/>
                <w:u w:val="none"/>
              </w:rPr>
            </w:pPr>
            <w:r>
              <w:rPr>
                <w:rFonts w:ascii="宋体" w:hAnsi="宋体" w:eastAsia="宋体" w:cs="宋体"/>
                <w:b w:val="0"/>
                <w:bCs/>
                <w:i w:val="0"/>
                <w:strike w:val="0"/>
                <w:color w:val="000000"/>
                <w:spacing w:val="0"/>
                <w:sz w:val="21"/>
                <w:u w:val="none"/>
              </w:rPr>
              <w:t>系统灾难发生时，乙方承诺立即响应，减少数据损失，降低灾难对整个系统正常运行的影响。</w:t>
            </w:r>
          </w:p>
        </w:tc>
      </w:tr>
      <w:tr w14:paraId="2A0E79B6">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847" w:hRule="atLeast"/>
          <w:jc w:val="center"/>
        </w:trPr>
        <w:tc>
          <w:tcPr>
            <w:tcW w:w="994" w:type="dxa"/>
            <w:tcBorders>
              <w:top w:val="single" w:color="000000" w:sz="0" w:space="0"/>
              <w:left w:val="single" w:color="000000" w:sz="8" w:space="0"/>
              <w:bottom w:val="single" w:color="000000" w:sz="8" w:space="0"/>
              <w:right w:val="single" w:color="000000" w:sz="8" w:space="0"/>
            </w:tcBorders>
            <w:tcMar>
              <w:top w:w="0" w:type="dxa"/>
              <w:left w:w="108" w:type="dxa"/>
              <w:bottom w:w="0" w:type="dxa"/>
              <w:right w:w="108" w:type="dxa"/>
            </w:tcMar>
            <w:vAlign w:val="center"/>
          </w:tcPr>
          <w:p w14:paraId="37B380BD">
            <w:pPr>
              <w:keepNext w:val="0"/>
              <w:keepLines w:val="0"/>
              <w:pageBreakBefore w:val="0"/>
              <w:widowControl w:val="0"/>
              <w:kinsoku/>
              <w:wordWrap/>
              <w:overflowPunct/>
              <w:topLinePunct w:val="0"/>
              <w:autoSpaceDE/>
              <w:autoSpaceDN/>
              <w:bidi w:val="0"/>
              <w:adjustRightInd w:val="0"/>
              <w:snapToGrid w:val="0"/>
              <w:spacing w:before="0" w:after="0" w:line="360" w:lineRule="auto"/>
              <w:ind w:left="0" w:right="0"/>
              <w:jc w:val="left"/>
              <w:textAlignment w:val="auto"/>
              <w:rPr>
                <w:rFonts w:ascii="宋体" w:hAnsi="宋体" w:eastAsia="宋体" w:cs="宋体"/>
                <w:b/>
                <w:i w:val="0"/>
                <w:strike w:val="0"/>
                <w:color w:val="000000"/>
                <w:spacing w:val="0"/>
                <w:sz w:val="21"/>
                <w:u w:val="none"/>
              </w:rPr>
            </w:pPr>
            <w:r>
              <w:rPr>
                <w:rFonts w:ascii="宋体" w:hAnsi="宋体" w:eastAsia="宋体" w:cs="宋体"/>
                <w:b/>
                <w:i w:val="0"/>
                <w:strike w:val="0"/>
                <w:color w:val="000000"/>
                <w:spacing w:val="0"/>
                <w:sz w:val="21"/>
                <w:u w:val="none"/>
              </w:rPr>
              <w:t>10</w:t>
            </w:r>
          </w:p>
        </w:tc>
        <w:tc>
          <w:tcPr>
            <w:tcW w:w="1585" w:type="dxa"/>
            <w:tcBorders>
              <w:top w:val="single" w:color="000000" w:sz="0" w:space="0"/>
              <w:left w:val="single" w:color="000000" w:sz="0" w:space="0"/>
              <w:bottom w:val="single" w:color="000000" w:sz="8" w:space="0"/>
              <w:right w:val="single" w:color="000000" w:sz="8" w:space="0"/>
            </w:tcBorders>
            <w:tcMar>
              <w:top w:w="0" w:type="dxa"/>
              <w:left w:w="108" w:type="dxa"/>
              <w:bottom w:w="0" w:type="dxa"/>
              <w:right w:w="108" w:type="dxa"/>
            </w:tcMar>
            <w:vAlign w:val="center"/>
          </w:tcPr>
          <w:p w14:paraId="165E5AF3">
            <w:pPr>
              <w:keepNext w:val="0"/>
              <w:keepLines w:val="0"/>
              <w:pageBreakBefore w:val="0"/>
              <w:widowControl w:val="0"/>
              <w:kinsoku/>
              <w:wordWrap/>
              <w:overflowPunct/>
              <w:topLinePunct w:val="0"/>
              <w:autoSpaceDE/>
              <w:autoSpaceDN/>
              <w:bidi w:val="0"/>
              <w:adjustRightInd w:val="0"/>
              <w:snapToGrid w:val="0"/>
              <w:spacing w:before="0" w:after="0" w:line="360" w:lineRule="auto"/>
              <w:ind w:left="0" w:right="0"/>
              <w:jc w:val="left"/>
              <w:textAlignment w:val="auto"/>
              <w:rPr>
                <w:rFonts w:ascii="宋体" w:hAnsi="宋体" w:eastAsia="宋体" w:cs="宋体"/>
                <w:b/>
                <w:i w:val="0"/>
                <w:strike w:val="0"/>
                <w:color w:val="000000"/>
                <w:spacing w:val="0"/>
                <w:sz w:val="21"/>
                <w:u w:val="none"/>
              </w:rPr>
            </w:pPr>
            <w:r>
              <w:rPr>
                <w:rFonts w:ascii="宋体" w:hAnsi="宋体" w:eastAsia="宋体" w:cs="宋体"/>
                <w:b/>
                <w:i w:val="0"/>
                <w:strike w:val="0"/>
                <w:color w:val="000000"/>
                <w:spacing w:val="0"/>
                <w:sz w:val="21"/>
                <w:u w:val="none"/>
              </w:rPr>
              <w:t>巡检服务</w:t>
            </w:r>
          </w:p>
        </w:tc>
        <w:tc>
          <w:tcPr>
            <w:tcW w:w="7299" w:type="dxa"/>
            <w:tcBorders>
              <w:top w:val="single" w:color="000000" w:sz="0" w:space="0"/>
              <w:left w:val="single" w:color="000000" w:sz="0" w:space="0"/>
              <w:bottom w:val="single" w:color="000000" w:sz="8" w:space="0"/>
              <w:right w:val="single" w:color="000000" w:sz="8" w:space="0"/>
            </w:tcBorders>
            <w:tcMar>
              <w:top w:w="0" w:type="dxa"/>
              <w:left w:w="108" w:type="dxa"/>
              <w:bottom w:w="0" w:type="dxa"/>
              <w:right w:w="108" w:type="dxa"/>
            </w:tcMar>
            <w:vAlign w:val="center"/>
          </w:tcPr>
          <w:p w14:paraId="771ADD5E">
            <w:pPr>
              <w:keepNext w:val="0"/>
              <w:keepLines w:val="0"/>
              <w:pageBreakBefore w:val="0"/>
              <w:widowControl w:val="0"/>
              <w:kinsoku/>
              <w:wordWrap/>
              <w:overflowPunct/>
              <w:topLinePunct w:val="0"/>
              <w:autoSpaceDE/>
              <w:autoSpaceDN/>
              <w:bidi w:val="0"/>
              <w:adjustRightInd w:val="0"/>
              <w:snapToGrid w:val="0"/>
              <w:spacing w:before="0" w:after="0" w:line="360" w:lineRule="auto"/>
              <w:ind w:left="0" w:right="0"/>
              <w:jc w:val="left"/>
              <w:textAlignment w:val="auto"/>
              <w:rPr>
                <w:rFonts w:ascii="宋体" w:hAnsi="宋体" w:eastAsia="宋体" w:cs="宋体"/>
                <w:b w:val="0"/>
                <w:bCs/>
                <w:i w:val="0"/>
                <w:strike w:val="0"/>
                <w:color w:val="000000"/>
                <w:spacing w:val="0"/>
                <w:sz w:val="21"/>
                <w:u w:val="none"/>
              </w:rPr>
            </w:pPr>
            <w:r>
              <w:rPr>
                <w:rFonts w:ascii="宋体" w:hAnsi="宋体" w:eastAsia="宋体" w:cs="宋体"/>
                <w:b w:val="0"/>
                <w:bCs/>
                <w:i w:val="0"/>
                <w:strike w:val="0"/>
                <w:color w:val="000000"/>
                <w:spacing w:val="0"/>
                <w:sz w:val="21"/>
                <w:u w:val="none"/>
              </w:rPr>
              <w:t>检查系统模块运行情况，与甲方维护人员沟通，提供常见问题的解决办法。</w:t>
            </w:r>
          </w:p>
        </w:tc>
      </w:tr>
      <w:tr w14:paraId="49E8C923">
        <w:tblPrEx>
          <w:tblBorders>
            <w:top w:val="single" w:color="CBCDD1" w:sz="6" w:space="0"/>
            <w:left w:val="single" w:color="CBCDD1" w:sz="6" w:space="0"/>
            <w:bottom w:val="single" w:color="CBCDD1" w:sz="6" w:space="0"/>
            <w:right w:val="single" w:color="CBCDD1" w:sz="6" w:space="0"/>
            <w:insideH w:val="single" w:color="CBCDD1" w:sz="6" w:space="0"/>
            <w:insideV w:val="single" w:color="CBCDD1" w:sz="6" w:space="0"/>
          </w:tblBorders>
          <w:tblCellMar>
            <w:top w:w="0" w:type="dxa"/>
            <w:left w:w="108" w:type="dxa"/>
            <w:bottom w:w="0" w:type="dxa"/>
            <w:right w:w="108" w:type="dxa"/>
          </w:tblCellMar>
        </w:tblPrEx>
        <w:trPr>
          <w:trHeight w:val="1476" w:hRule="atLeast"/>
          <w:jc w:val="center"/>
        </w:trPr>
        <w:tc>
          <w:tcPr>
            <w:tcW w:w="994" w:type="dxa"/>
            <w:tcBorders>
              <w:top w:val="single" w:color="000000" w:sz="0" w:space="0"/>
              <w:left w:val="single" w:color="000000" w:sz="8" w:space="0"/>
              <w:bottom w:val="single" w:color="000000" w:sz="8" w:space="0"/>
              <w:right w:val="single" w:color="000000" w:sz="8" w:space="0"/>
            </w:tcBorders>
            <w:tcMar>
              <w:top w:w="0" w:type="dxa"/>
              <w:left w:w="108" w:type="dxa"/>
              <w:bottom w:w="0" w:type="dxa"/>
              <w:right w:w="108" w:type="dxa"/>
            </w:tcMar>
            <w:vAlign w:val="center"/>
          </w:tcPr>
          <w:p w14:paraId="180C5CFC">
            <w:pPr>
              <w:keepNext w:val="0"/>
              <w:keepLines w:val="0"/>
              <w:pageBreakBefore w:val="0"/>
              <w:widowControl w:val="0"/>
              <w:kinsoku/>
              <w:wordWrap/>
              <w:overflowPunct/>
              <w:topLinePunct w:val="0"/>
              <w:autoSpaceDE/>
              <w:autoSpaceDN/>
              <w:bidi w:val="0"/>
              <w:adjustRightInd w:val="0"/>
              <w:snapToGrid w:val="0"/>
              <w:spacing w:before="0" w:after="0" w:line="360" w:lineRule="auto"/>
              <w:ind w:left="0" w:right="0"/>
              <w:jc w:val="left"/>
              <w:textAlignment w:val="auto"/>
              <w:rPr>
                <w:rFonts w:ascii="宋体" w:hAnsi="宋体" w:eastAsia="宋体" w:cs="宋体"/>
                <w:b/>
                <w:i w:val="0"/>
                <w:strike w:val="0"/>
                <w:color w:val="000000"/>
                <w:spacing w:val="0"/>
                <w:sz w:val="21"/>
                <w:u w:val="none"/>
              </w:rPr>
            </w:pPr>
            <w:r>
              <w:rPr>
                <w:rFonts w:ascii="宋体" w:hAnsi="宋体" w:eastAsia="宋体" w:cs="宋体"/>
                <w:b/>
                <w:i w:val="0"/>
                <w:strike w:val="0"/>
                <w:color w:val="000000"/>
                <w:spacing w:val="0"/>
                <w:sz w:val="21"/>
                <w:u w:val="none"/>
              </w:rPr>
              <w:t>11</w:t>
            </w:r>
          </w:p>
        </w:tc>
        <w:tc>
          <w:tcPr>
            <w:tcW w:w="1585" w:type="dxa"/>
            <w:tcBorders>
              <w:top w:val="single" w:color="000000" w:sz="0" w:space="0"/>
              <w:left w:val="single" w:color="000000" w:sz="0" w:space="0"/>
              <w:bottom w:val="single" w:color="000000" w:sz="8" w:space="0"/>
              <w:right w:val="single" w:color="000000" w:sz="8" w:space="0"/>
            </w:tcBorders>
            <w:tcMar>
              <w:top w:w="0" w:type="dxa"/>
              <w:left w:w="108" w:type="dxa"/>
              <w:bottom w:w="0" w:type="dxa"/>
              <w:right w:w="108" w:type="dxa"/>
            </w:tcMar>
            <w:vAlign w:val="center"/>
          </w:tcPr>
          <w:p w14:paraId="5E32E490">
            <w:pPr>
              <w:keepNext w:val="0"/>
              <w:keepLines w:val="0"/>
              <w:pageBreakBefore w:val="0"/>
              <w:widowControl w:val="0"/>
              <w:kinsoku/>
              <w:wordWrap/>
              <w:overflowPunct/>
              <w:topLinePunct w:val="0"/>
              <w:autoSpaceDE/>
              <w:autoSpaceDN/>
              <w:bidi w:val="0"/>
              <w:adjustRightInd w:val="0"/>
              <w:snapToGrid w:val="0"/>
              <w:spacing w:before="0" w:after="0" w:line="360" w:lineRule="auto"/>
              <w:ind w:left="0" w:right="0"/>
              <w:jc w:val="left"/>
              <w:textAlignment w:val="auto"/>
              <w:rPr>
                <w:rFonts w:ascii="宋体" w:hAnsi="宋体" w:eastAsia="宋体" w:cs="宋体"/>
                <w:b/>
                <w:i w:val="0"/>
                <w:strike w:val="0"/>
                <w:color w:val="000000"/>
                <w:spacing w:val="0"/>
                <w:sz w:val="21"/>
                <w:u w:val="none"/>
              </w:rPr>
            </w:pPr>
            <w:r>
              <w:rPr>
                <w:rFonts w:ascii="宋体" w:hAnsi="宋体" w:eastAsia="宋体" w:cs="宋体"/>
                <w:b/>
                <w:i w:val="0"/>
                <w:strike w:val="0"/>
                <w:color w:val="000000"/>
                <w:spacing w:val="0"/>
                <w:sz w:val="21"/>
                <w:u w:val="none"/>
              </w:rPr>
              <w:t>服务响应</w:t>
            </w:r>
          </w:p>
        </w:tc>
        <w:tc>
          <w:tcPr>
            <w:tcW w:w="7299" w:type="dxa"/>
            <w:tcBorders>
              <w:top w:val="single" w:color="000000" w:sz="0" w:space="0"/>
              <w:left w:val="single" w:color="000000" w:sz="0" w:space="0"/>
              <w:bottom w:val="single" w:color="000000" w:sz="8" w:space="0"/>
              <w:right w:val="single" w:color="000000" w:sz="8" w:space="0"/>
            </w:tcBorders>
            <w:tcMar>
              <w:top w:w="0" w:type="dxa"/>
              <w:left w:w="108" w:type="dxa"/>
              <w:bottom w:w="0" w:type="dxa"/>
              <w:right w:w="108" w:type="dxa"/>
            </w:tcMar>
            <w:vAlign w:val="center"/>
          </w:tcPr>
          <w:p w14:paraId="195B9CCC">
            <w:pPr>
              <w:keepNext w:val="0"/>
              <w:keepLines w:val="0"/>
              <w:pageBreakBefore w:val="0"/>
              <w:widowControl w:val="0"/>
              <w:kinsoku/>
              <w:wordWrap/>
              <w:overflowPunct/>
              <w:topLinePunct w:val="0"/>
              <w:autoSpaceDE/>
              <w:autoSpaceDN/>
              <w:bidi w:val="0"/>
              <w:adjustRightInd w:val="0"/>
              <w:snapToGrid w:val="0"/>
              <w:spacing w:before="0" w:after="0" w:line="360" w:lineRule="auto"/>
              <w:ind w:left="0" w:right="0"/>
              <w:jc w:val="left"/>
              <w:textAlignment w:val="auto"/>
              <w:rPr>
                <w:rFonts w:ascii="宋体" w:hAnsi="宋体" w:eastAsia="宋体" w:cs="宋体"/>
                <w:b w:val="0"/>
                <w:bCs/>
                <w:i w:val="0"/>
                <w:strike w:val="0"/>
                <w:color w:val="000000"/>
                <w:spacing w:val="0"/>
                <w:sz w:val="21"/>
                <w:u w:val="none"/>
              </w:rPr>
            </w:pPr>
            <w:r>
              <w:rPr>
                <w:rFonts w:ascii="宋体" w:hAnsi="宋体" w:eastAsia="宋体" w:cs="宋体"/>
                <w:b w:val="0"/>
                <w:bCs/>
                <w:i w:val="0"/>
                <w:strike w:val="0"/>
                <w:color w:val="000000"/>
                <w:spacing w:val="0"/>
                <w:sz w:val="21"/>
                <w:u w:val="none"/>
              </w:rPr>
              <w:t>（1）维保期间，工作日保持7*24小时电话响应。</w:t>
            </w:r>
          </w:p>
          <w:p w14:paraId="607DD973">
            <w:pPr>
              <w:keepNext w:val="0"/>
              <w:keepLines w:val="0"/>
              <w:pageBreakBefore w:val="0"/>
              <w:widowControl w:val="0"/>
              <w:kinsoku/>
              <w:wordWrap/>
              <w:overflowPunct/>
              <w:topLinePunct w:val="0"/>
              <w:autoSpaceDE/>
              <w:autoSpaceDN/>
              <w:bidi w:val="0"/>
              <w:adjustRightInd w:val="0"/>
              <w:snapToGrid w:val="0"/>
              <w:spacing w:before="0" w:after="0" w:line="360" w:lineRule="auto"/>
              <w:ind w:left="0" w:right="0"/>
              <w:jc w:val="left"/>
              <w:textAlignment w:val="auto"/>
              <w:rPr>
                <w:rFonts w:ascii="宋体" w:hAnsi="宋体" w:eastAsia="宋体" w:cs="宋体"/>
                <w:b w:val="0"/>
                <w:bCs/>
                <w:i w:val="0"/>
                <w:strike w:val="0"/>
                <w:color w:val="000000"/>
                <w:spacing w:val="0"/>
                <w:sz w:val="21"/>
                <w:u w:val="none"/>
              </w:rPr>
            </w:pPr>
            <w:r>
              <w:rPr>
                <w:rFonts w:ascii="宋体" w:hAnsi="宋体" w:eastAsia="宋体" w:cs="宋体"/>
                <w:b w:val="0"/>
                <w:bCs/>
                <w:i w:val="0"/>
                <w:strike w:val="0"/>
                <w:color w:val="000000"/>
                <w:spacing w:val="0"/>
                <w:sz w:val="21"/>
                <w:u w:val="none"/>
              </w:rPr>
              <w:t>（2）维保期间非工作时间，应急响应时间不超过1小时。</w:t>
            </w:r>
          </w:p>
          <w:p w14:paraId="6909AAF5">
            <w:pPr>
              <w:keepNext w:val="0"/>
              <w:keepLines w:val="0"/>
              <w:pageBreakBefore w:val="0"/>
              <w:widowControl w:val="0"/>
              <w:kinsoku/>
              <w:wordWrap/>
              <w:overflowPunct/>
              <w:topLinePunct w:val="0"/>
              <w:autoSpaceDE/>
              <w:autoSpaceDN/>
              <w:bidi w:val="0"/>
              <w:adjustRightInd w:val="0"/>
              <w:snapToGrid w:val="0"/>
              <w:spacing w:before="0" w:after="0" w:line="360" w:lineRule="auto"/>
              <w:ind w:left="0" w:right="0"/>
              <w:jc w:val="left"/>
              <w:textAlignment w:val="auto"/>
              <w:rPr>
                <w:rFonts w:ascii="宋体" w:hAnsi="宋体" w:eastAsia="宋体" w:cs="宋体"/>
                <w:b w:val="0"/>
                <w:bCs/>
                <w:i w:val="0"/>
                <w:strike w:val="0"/>
                <w:color w:val="000000"/>
                <w:spacing w:val="0"/>
                <w:sz w:val="21"/>
                <w:u w:val="none"/>
              </w:rPr>
            </w:pPr>
            <w:r>
              <w:rPr>
                <w:rFonts w:ascii="宋体" w:hAnsi="宋体" w:eastAsia="宋体" w:cs="宋体"/>
                <w:b w:val="0"/>
                <w:bCs/>
                <w:i w:val="0"/>
                <w:strike w:val="0"/>
                <w:color w:val="000000"/>
                <w:spacing w:val="0"/>
                <w:sz w:val="21"/>
                <w:u w:val="none"/>
              </w:rPr>
              <w:t>（3）维保期间节假日期间，应急响应时间不超过3小时。</w:t>
            </w:r>
          </w:p>
          <w:p w14:paraId="7E13EF51">
            <w:pPr>
              <w:keepNext w:val="0"/>
              <w:keepLines w:val="0"/>
              <w:pageBreakBefore w:val="0"/>
              <w:widowControl w:val="0"/>
              <w:kinsoku/>
              <w:wordWrap/>
              <w:overflowPunct/>
              <w:topLinePunct w:val="0"/>
              <w:autoSpaceDE/>
              <w:autoSpaceDN/>
              <w:bidi w:val="0"/>
              <w:adjustRightInd w:val="0"/>
              <w:snapToGrid w:val="0"/>
              <w:spacing w:before="0" w:after="0" w:line="360" w:lineRule="auto"/>
              <w:ind w:left="0" w:right="0"/>
              <w:jc w:val="left"/>
              <w:textAlignment w:val="auto"/>
              <w:rPr>
                <w:rFonts w:ascii="宋体" w:hAnsi="宋体" w:eastAsia="宋体" w:cs="宋体"/>
                <w:b w:val="0"/>
                <w:bCs/>
                <w:i w:val="0"/>
                <w:strike w:val="0"/>
                <w:color w:val="000000"/>
                <w:spacing w:val="0"/>
                <w:sz w:val="21"/>
                <w:u w:val="none"/>
              </w:rPr>
            </w:pPr>
            <w:r>
              <w:rPr>
                <w:rFonts w:ascii="宋体" w:hAnsi="宋体" w:eastAsia="宋体" w:cs="宋体"/>
                <w:b w:val="0"/>
                <w:bCs/>
                <w:i w:val="0"/>
                <w:strike w:val="0"/>
                <w:color w:val="000000"/>
                <w:spacing w:val="0"/>
                <w:sz w:val="21"/>
                <w:u w:val="none"/>
              </w:rPr>
              <w:t>（4）门诊等特殊直接面向患者服务的系统故障要求恢复时间不超过30分钟。</w:t>
            </w:r>
          </w:p>
        </w:tc>
      </w:tr>
    </w:tbl>
    <w:p w14:paraId="175830A5">
      <w:pPr>
        <w:numPr>
          <w:ilvl w:val="0"/>
          <w:numId w:val="0"/>
        </w:numPr>
        <w:snapToGrid/>
        <w:spacing w:before="0" w:after="0" w:line="240" w:lineRule="auto"/>
        <w:ind w:right="0" w:rightChars="0"/>
        <w:jc w:val="both"/>
        <w:rPr>
          <w:rFonts w:hint="default" w:ascii="宋体" w:hAnsi="宋体" w:eastAsia="宋体" w:cs="宋体"/>
          <w:b/>
          <w:i w:val="0"/>
          <w:strike w:val="0"/>
          <w:color w:val="000000"/>
          <w:sz w:val="21"/>
          <w:u w:val="none"/>
          <w:lang w:val="en-US" w:eastAsia="zh-CN"/>
        </w:rPr>
      </w:pPr>
    </w:p>
    <w:p w14:paraId="46E37434">
      <w:pPr>
        <w:pStyle w:val="58"/>
        <w:ind w:firstLine="0" w:firstLineChars="0"/>
        <w:rPr>
          <w:rFonts w:hint="eastAsia" w:ascii="宋体" w:hAnsi="宋体" w:cs="宋体"/>
          <w:b/>
          <w:bCs/>
          <w:color w:val="auto"/>
          <w:sz w:val="28"/>
          <w:szCs w:val="28"/>
          <w:highlight w:val="none"/>
        </w:rPr>
      </w:pPr>
    </w:p>
    <w:p w14:paraId="45327E39">
      <w:pPr>
        <w:rPr>
          <w:rFonts w:hint="default"/>
          <w:b/>
          <w:bCs/>
          <w:color w:val="auto"/>
          <w:highlight w:val="none"/>
          <w:lang w:val="en-US" w:eastAsia="zh-CN"/>
        </w:rPr>
      </w:pPr>
      <w:r>
        <w:rPr>
          <w:rFonts w:hint="default"/>
          <w:b/>
          <w:bCs/>
          <w:color w:val="auto"/>
          <w:highlight w:val="none"/>
          <w:lang w:val="en-US" w:eastAsia="zh-CN"/>
        </w:rPr>
        <w:br w:type="page"/>
      </w:r>
    </w:p>
    <w:p w14:paraId="584F1481">
      <w:pPr>
        <w:pStyle w:val="2"/>
        <w:bidi w:val="0"/>
        <w:rPr>
          <w:rFonts w:hint="default"/>
          <w:lang w:val="en-US" w:eastAsia="zh-CN"/>
        </w:rPr>
      </w:pPr>
      <w:bookmarkStart w:id="240" w:name="_Toc6747"/>
      <w:bookmarkStart w:id="241" w:name="_Toc25949"/>
      <w:bookmarkStart w:id="242" w:name="_Toc31661"/>
      <w:bookmarkStart w:id="243" w:name="_Toc29625"/>
      <w:bookmarkStart w:id="244" w:name="_Toc1380"/>
      <w:r>
        <w:rPr>
          <w:rFonts w:hint="eastAsia"/>
          <w:lang w:val="en-US" w:eastAsia="zh-CN"/>
        </w:rPr>
        <w:t>其他技术</w:t>
      </w:r>
      <w:r>
        <w:rPr>
          <w:rFonts w:hint="eastAsia"/>
        </w:rPr>
        <w:t>需求</w:t>
      </w:r>
      <w:bookmarkEnd w:id="240"/>
      <w:bookmarkEnd w:id="241"/>
      <w:bookmarkEnd w:id="242"/>
      <w:bookmarkEnd w:id="243"/>
      <w:bookmarkEnd w:id="244"/>
    </w:p>
    <w:p w14:paraId="7159F32E">
      <w:pPr>
        <w:pStyle w:val="3"/>
        <w:bidi w:val="0"/>
        <w:rPr>
          <w:rFonts w:hint="default"/>
          <w:lang w:val="en-US" w:eastAsia="zh-CN"/>
        </w:rPr>
      </w:pPr>
      <w:bookmarkStart w:id="245" w:name="_Toc29717"/>
      <w:bookmarkStart w:id="246" w:name="_Toc19084"/>
      <w:bookmarkStart w:id="247" w:name="_Toc12608"/>
      <w:bookmarkStart w:id="248" w:name="_Toc16275"/>
      <w:bookmarkStart w:id="249" w:name="_Toc11899"/>
      <w:r>
        <w:rPr>
          <w:rFonts w:hint="default"/>
          <w:lang w:val="en-US" w:eastAsia="zh-CN"/>
        </w:rPr>
        <w:t>住院电子病历系统</w:t>
      </w:r>
      <w:bookmarkEnd w:id="245"/>
      <w:bookmarkEnd w:id="246"/>
      <w:bookmarkEnd w:id="247"/>
      <w:bookmarkEnd w:id="248"/>
      <w:bookmarkEnd w:id="249"/>
    </w:p>
    <w:tbl>
      <w:tblPr>
        <w:tblStyle w:val="46"/>
        <w:tblW w:w="9482" w:type="dxa"/>
        <w:jc w:val="center"/>
        <w:tblBorders>
          <w:top w:val="single" w:color="auto" w:sz="6" w:space="0"/>
          <w:left w:val="single" w:color="auto" w:sz="2" w:space="0"/>
          <w:bottom w:val="single" w:color="auto" w:sz="2" w:space="0"/>
          <w:right w:val="single" w:color="auto" w:sz="2" w:space="0"/>
          <w:insideH w:val="none" w:color="auto" w:sz="0" w:space="0"/>
          <w:insideV w:val="none" w:color="auto" w:sz="0" w:space="0"/>
        </w:tblBorders>
        <w:shd w:val="clear" w:color="auto" w:fill="FFFFFF"/>
        <w:tblLayout w:type="fixed"/>
        <w:tblCellMar>
          <w:top w:w="15" w:type="dxa"/>
          <w:left w:w="15" w:type="dxa"/>
          <w:bottom w:w="15" w:type="dxa"/>
          <w:right w:w="15" w:type="dxa"/>
        </w:tblCellMar>
      </w:tblPr>
      <w:tblGrid>
        <w:gridCol w:w="1588"/>
        <w:gridCol w:w="1322"/>
        <w:gridCol w:w="6572"/>
      </w:tblGrid>
      <w:tr w14:paraId="7EC9ED59">
        <w:tblPrEx>
          <w:tblBorders>
            <w:top w:val="single" w:color="auto" w:sz="6"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blHeader/>
          <w:jc w:val="center"/>
        </w:trPr>
        <w:tc>
          <w:tcPr>
            <w:tcW w:w="1588" w:type="dxa"/>
            <w:tcBorders>
              <w:top w:val="single" w:color="auto" w:sz="6" w:space="0"/>
              <w:left w:val="single" w:color="auto" w:sz="6" w:space="0"/>
              <w:bottom w:val="single" w:color="auto" w:sz="6" w:space="0"/>
              <w:right w:val="single" w:color="auto" w:sz="6" w:space="0"/>
            </w:tcBorders>
            <w:shd w:val="clear" w:color="auto" w:fill="FFFFFF"/>
            <w:noWrap/>
            <w:tcMar>
              <w:top w:w="150" w:type="dxa"/>
              <w:left w:w="210" w:type="dxa"/>
              <w:bottom w:w="150" w:type="dxa"/>
              <w:right w:w="210" w:type="dxa"/>
            </w:tcMar>
            <w:vAlign w:val="center"/>
          </w:tcPr>
          <w:p w14:paraId="73291FA2">
            <w:pPr>
              <w:widowControl/>
              <w:snapToGrid w:val="0"/>
              <w:jc w:val="center"/>
              <w:rPr>
                <w:rFonts w:ascii="微软雅黑" w:hAnsi="微软雅黑" w:eastAsia="微软雅黑" w:cs="微软雅黑"/>
                <w:b/>
                <w:bCs/>
                <w:color w:val="060A26"/>
                <w:szCs w:val="21"/>
              </w:rPr>
            </w:pPr>
            <w:r>
              <w:rPr>
                <w:rFonts w:hint="eastAsia" w:ascii="微软雅黑" w:hAnsi="微软雅黑" w:eastAsia="微软雅黑" w:cs="微软雅黑"/>
                <w:b/>
                <w:bCs/>
                <w:color w:val="060A26"/>
                <w:kern w:val="0"/>
                <w:szCs w:val="21"/>
                <w:lang w:bidi="ar"/>
              </w:rPr>
              <w:t>需求名称</w:t>
            </w:r>
          </w:p>
        </w:tc>
        <w:tc>
          <w:tcPr>
            <w:tcW w:w="1322" w:type="dxa"/>
            <w:tcBorders>
              <w:top w:val="single" w:color="auto" w:sz="6" w:space="0"/>
              <w:left w:val="single" w:color="auto" w:sz="6" w:space="0"/>
              <w:bottom w:val="single" w:color="auto" w:sz="6" w:space="0"/>
              <w:right w:val="single" w:color="auto" w:sz="6" w:space="0"/>
            </w:tcBorders>
            <w:shd w:val="clear" w:color="auto" w:fill="FFFFFF"/>
            <w:noWrap/>
            <w:tcMar>
              <w:top w:w="150" w:type="dxa"/>
              <w:left w:w="210" w:type="dxa"/>
              <w:bottom w:w="150" w:type="dxa"/>
              <w:right w:w="210" w:type="dxa"/>
            </w:tcMar>
            <w:vAlign w:val="center"/>
          </w:tcPr>
          <w:p w14:paraId="4534E451">
            <w:pPr>
              <w:widowControl/>
              <w:snapToGrid w:val="0"/>
              <w:jc w:val="center"/>
              <w:rPr>
                <w:rFonts w:ascii="微软雅黑" w:hAnsi="微软雅黑" w:eastAsia="微软雅黑" w:cs="微软雅黑"/>
                <w:b/>
                <w:bCs/>
                <w:color w:val="060A26"/>
                <w:szCs w:val="21"/>
              </w:rPr>
            </w:pPr>
            <w:r>
              <w:rPr>
                <w:rFonts w:hint="eastAsia" w:ascii="微软雅黑" w:hAnsi="微软雅黑" w:eastAsia="微软雅黑" w:cs="微软雅黑"/>
                <w:b/>
                <w:bCs/>
                <w:color w:val="060A26"/>
                <w:kern w:val="0"/>
                <w:szCs w:val="21"/>
                <w:lang w:bidi="ar"/>
              </w:rPr>
              <w:t>序号</w:t>
            </w:r>
          </w:p>
        </w:tc>
        <w:tc>
          <w:tcPr>
            <w:tcW w:w="6572" w:type="dxa"/>
            <w:tcBorders>
              <w:top w:val="single" w:color="auto" w:sz="6" w:space="0"/>
              <w:left w:val="single" w:color="auto" w:sz="6" w:space="0"/>
              <w:bottom w:val="single" w:color="auto" w:sz="6" w:space="0"/>
              <w:right w:val="single" w:color="auto" w:sz="6" w:space="0"/>
            </w:tcBorders>
            <w:shd w:val="clear" w:color="auto" w:fill="FFFFFF"/>
            <w:noWrap/>
            <w:tcMar>
              <w:top w:w="150" w:type="dxa"/>
              <w:left w:w="210" w:type="dxa"/>
              <w:bottom w:w="150" w:type="dxa"/>
              <w:right w:w="210" w:type="dxa"/>
            </w:tcMar>
            <w:vAlign w:val="center"/>
          </w:tcPr>
          <w:p w14:paraId="4D6847AC">
            <w:pPr>
              <w:widowControl/>
              <w:snapToGrid w:val="0"/>
              <w:jc w:val="center"/>
              <w:rPr>
                <w:rFonts w:ascii="微软雅黑" w:hAnsi="微软雅黑" w:eastAsia="微软雅黑" w:cs="微软雅黑"/>
                <w:b/>
                <w:bCs/>
                <w:color w:val="060A26"/>
                <w:szCs w:val="21"/>
              </w:rPr>
            </w:pPr>
            <w:r>
              <w:rPr>
                <w:rFonts w:hint="eastAsia" w:ascii="微软雅黑" w:hAnsi="微软雅黑" w:eastAsia="微软雅黑" w:cs="微软雅黑"/>
                <w:b/>
                <w:bCs/>
                <w:color w:val="060A26"/>
                <w:kern w:val="0"/>
                <w:szCs w:val="21"/>
                <w:lang w:bidi="ar"/>
              </w:rPr>
              <w:t>需求描述</w:t>
            </w:r>
          </w:p>
        </w:tc>
      </w:tr>
      <w:tr w14:paraId="2DA58C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jc w:val="center"/>
        </w:trPr>
        <w:tc>
          <w:tcPr>
            <w:tcW w:w="1588" w:type="dxa"/>
            <w:vMerge w:val="restart"/>
            <w:tcBorders>
              <w:top w:val="single" w:color="auto" w:sz="6" w:space="0"/>
              <w:left w:val="single" w:color="auto" w:sz="6" w:space="0"/>
              <w:right w:val="single" w:color="auto" w:sz="6" w:space="0"/>
            </w:tcBorders>
            <w:shd w:val="clear" w:color="auto" w:fill="FFFFFF"/>
            <w:tcMar>
              <w:top w:w="150" w:type="dxa"/>
              <w:left w:w="210" w:type="dxa"/>
              <w:bottom w:w="150" w:type="dxa"/>
              <w:right w:w="210" w:type="dxa"/>
            </w:tcMar>
            <w:vAlign w:val="center"/>
          </w:tcPr>
          <w:p w14:paraId="0A6A823D">
            <w:pPr>
              <w:widowControl/>
              <w:wordWrap w:val="0"/>
              <w:snapToGrid w:val="0"/>
              <w:jc w:val="center"/>
              <w:textAlignment w:val="center"/>
              <w:rPr>
                <w:rFonts w:ascii="微软雅黑" w:hAnsi="微软雅黑" w:eastAsia="微软雅黑" w:cs="微软雅黑"/>
                <w:color w:val="060A26"/>
                <w:szCs w:val="21"/>
              </w:rPr>
            </w:pPr>
            <w:r>
              <w:rPr>
                <w:rFonts w:hint="eastAsia" w:ascii="微软雅黑" w:hAnsi="微软雅黑" w:eastAsia="微软雅黑" w:cs="微软雅黑"/>
                <w:b/>
                <w:bCs/>
                <w:color w:val="060A26"/>
                <w:kern w:val="0"/>
                <w:szCs w:val="21"/>
                <w:lang w:bidi="ar"/>
              </w:rPr>
              <w:t>1. 住院电子病历系统</w:t>
            </w:r>
          </w:p>
        </w:tc>
        <w:tc>
          <w:tcPr>
            <w:tcW w:w="1322"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7C72B74F">
            <w:pPr>
              <w:widowControl/>
              <w:wordWrap w:val="0"/>
              <w:snapToGrid w:val="0"/>
              <w:jc w:val="left"/>
              <w:textAlignment w:val="center"/>
              <w:rPr>
                <w:rFonts w:ascii="微软雅黑" w:hAnsi="微软雅黑" w:eastAsia="微软雅黑" w:cs="微软雅黑"/>
                <w:color w:val="060A26"/>
                <w:szCs w:val="21"/>
              </w:rPr>
            </w:pPr>
            <w:r>
              <w:rPr>
                <w:rFonts w:hint="eastAsia" w:ascii="微软雅黑" w:hAnsi="微软雅黑" w:eastAsia="微软雅黑" w:cs="微软雅黑"/>
                <w:color w:val="060A26"/>
                <w:kern w:val="0"/>
                <w:szCs w:val="21"/>
                <w:lang w:bidi="ar"/>
              </w:rPr>
              <w:t>1.1</w:t>
            </w:r>
          </w:p>
        </w:tc>
        <w:tc>
          <w:tcPr>
            <w:tcW w:w="6572"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0A420403">
            <w:pPr>
              <w:widowControl/>
              <w:wordWrap w:val="0"/>
              <w:snapToGrid w:val="0"/>
              <w:jc w:val="left"/>
              <w:textAlignment w:val="center"/>
              <w:rPr>
                <w:rFonts w:ascii="微软雅黑" w:hAnsi="微软雅黑" w:eastAsia="微软雅黑" w:cs="微软雅黑"/>
                <w:color w:val="060A26"/>
                <w:szCs w:val="21"/>
              </w:rPr>
            </w:pPr>
            <w:r>
              <w:rPr>
                <w:rFonts w:hint="eastAsia" w:ascii="微软雅黑" w:hAnsi="微软雅黑" w:eastAsia="微软雅黑" w:cs="微软雅黑"/>
                <w:b/>
                <w:bCs/>
                <w:color w:val="060A26"/>
                <w:kern w:val="0"/>
                <w:szCs w:val="21"/>
                <w:lang w:bidi="ar"/>
              </w:rPr>
              <w:t>电子病历系统维护保障</w:t>
            </w:r>
          </w:p>
        </w:tc>
      </w:tr>
      <w:tr w14:paraId="77099BF0">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jc w:val="center"/>
        </w:trPr>
        <w:tc>
          <w:tcPr>
            <w:tcW w:w="1588" w:type="dxa"/>
            <w:vMerge w:val="continue"/>
            <w:tcBorders>
              <w:left w:val="single" w:color="auto" w:sz="6" w:space="0"/>
              <w:right w:val="single" w:color="auto" w:sz="6" w:space="0"/>
            </w:tcBorders>
            <w:shd w:val="clear" w:color="auto" w:fill="FFFFFF"/>
            <w:tcMar>
              <w:top w:w="150" w:type="dxa"/>
              <w:left w:w="210" w:type="dxa"/>
              <w:bottom w:w="150" w:type="dxa"/>
              <w:right w:w="210" w:type="dxa"/>
            </w:tcMar>
            <w:vAlign w:val="center"/>
          </w:tcPr>
          <w:p w14:paraId="7D8AB52D">
            <w:pPr>
              <w:snapToGrid w:val="0"/>
              <w:jc w:val="center"/>
              <w:rPr>
                <w:rFonts w:ascii="微软雅黑" w:hAnsi="微软雅黑" w:eastAsia="微软雅黑" w:cs="微软雅黑"/>
                <w:color w:val="060A26"/>
                <w:szCs w:val="21"/>
              </w:rPr>
            </w:pPr>
          </w:p>
        </w:tc>
        <w:tc>
          <w:tcPr>
            <w:tcW w:w="1322"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19B61AAF">
            <w:pPr>
              <w:widowControl/>
              <w:wordWrap w:val="0"/>
              <w:snapToGrid w:val="0"/>
              <w:jc w:val="left"/>
              <w:textAlignment w:val="center"/>
              <w:rPr>
                <w:rFonts w:ascii="微软雅黑" w:hAnsi="微软雅黑" w:eastAsia="微软雅黑" w:cs="微软雅黑"/>
                <w:color w:val="060A26"/>
                <w:szCs w:val="21"/>
              </w:rPr>
            </w:pPr>
            <w:r>
              <w:rPr>
                <w:rFonts w:hint="eastAsia" w:ascii="微软雅黑" w:hAnsi="微软雅黑" w:eastAsia="微软雅黑" w:cs="微软雅黑"/>
                <w:color w:val="060A26"/>
                <w:kern w:val="0"/>
                <w:szCs w:val="21"/>
                <w:lang w:bidi="ar"/>
              </w:rPr>
              <w:t>1.1.1 病人一览表</w:t>
            </w:r>
          </w:p>
        </w:tc>
        <w:tc>
          <w:tcPr>
            <w:tcW w:w="6572"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6ED0DD3E">
            <w:pPr>
              <w:widowControl/>
              <w:wordWrap w:val="0"/>
              <w:snapToGrid w:val="0"/>
              <w:jc w:val="left"/>
              <w:textAlignment w:val="center"/>
              <w:rPr>
                <w:rFonts w:ascii="微软雅黑" w:hAnsi="微软雅黑" w:eastAsia="微软雅黑" w:cs="微软雅黑"/>
                <w:color w:val="060A26"/>
                <w:kern w:val="0"/>
                <w:szCs w:val="21"/>
                <w:lang w:bidi="ar"/>
              </w:rPr>
            </w:pPr>
            <w:r>
              <w:rPr>
                <w:rFonts w:hint="eastAsia" w:ascii="微软雅黑" w:hAnsi="微软雅黑" w:eastAsia="微软雅黑" w:cs="微软雅黑"/>
                <w:color w:val="060A26"/>
                <w:kern w:val="0"/>
                <w:szCs w:val="21"/>
                <w:lang w:bidi="ar"/>
              </w:rPr>
              <w:t>✓ 提供治疗组病人，专科病区病人，我主管的病人，出院未结算病人区分。</w:t>
            </w:r>
          </w:p>
          <w:p w14:paraId="619CF6F2">
            <w:pPr>
              <w:widowControl/>
              <w:wordWrap w:val="0"/>
              <w:snapToGrid w:val="0"/>
              <w:jc w:val="left"/>
              <w:textAlignment w:val="center"/>
              <w:rPr>
                <w:rFonts w:ascii="微软雅黑" w:hAnsi="微软雅黑" w:eastAsia="微软雅黑" w:cs="微软雅黑"/>
                <w:color w:val="060A26"/>
                <w:kern w:val="0"/>
                <w:szCs w:val="21"/>
                <w:lang w:bidi="ar"/>
              </w:rPr>
            </w:pPr>
            <w:r>
              <w:rPr>
                <w:rFonts w:hint="eastAsia" w:ascii="微软雅黑" w:hAnsi="微软雅黑" w:eastAsia="微软雅黑" w:cs="微软雅黑"/>
                <w:color w:val="060A26"/>
                <w:kern w:val="0"/>
                <w:szCs w:val="21"/>
                <w:lang w:bidi="ar"/>
              </w:rPr>
              <w:t>✓ 可选有权限处理的专科，可选择病区。</w:t>
            </w:r>
          </w:p>
          <w:p w14:paraId="49D8BA09">
            <w:pPr>
              <w:widowControl/>
              <w:wordWrap w:val="0"/>
              <w:snapToGrid w:val="0"/>
              <w:jc w:val="left"/>
              <w:textAlignment w:val="center"/>
              <w:rPr>
                <w:rFonts w:ascii="微软雅黑" w:hAnsi="微软雅黑" w:eastAsia="微软雅黑" w:cs="微软雅黑"/>
                <w:color w:val="060A26"/>
                <w:kern w:val="0"/>
                <w:szCs w:val="21"/>
                <w:lang w:bidi="ar"/>
              </w:rPr>
            </w:pPr>
            <w:r>
              <w:rPr>
                <w:rFonts w:hint="eastAsia" w:ascii="微软雅黑" w:hAnsi="微软雅黑" w:eastAsia="微软雅黑" w:cs="微软雅黑"/>
                <w:color w:val="060A26"/>
                <w:kern w:val="0"/>
                <w:szCs w:val="21"/>
                <w:lang w:bidi="ar"/>
              </w:rPr>
              <w:t>✓ 右键编辑特殊备注，临床路径名红色代表入径后出径</w:t>
            </w:r>
          </w:p>
          <w:p w14:paraId="6F3F6030">
            <w:pPr>
              <w:widowControl/>
              <w:wordWrap w:val="0"/>
              <w:snapToGrid w:val="0"/>
              <w:jc w:val="left"/>
              <w:textAlignment w:val="center"/>
              <w:rPr>
                <w:rFonts w:ascii="微软雅黑" w:hAnsi="微软雅黑" w:eastAsia="微软雅黑" w:cs="微软雅黑"/>
                <w:color w:val="060A26"/>
                <w:kern w:val="0"/>
                <w:szCs w:val="21"/>
                <w:lang w:bidi="ar"/>
              </w:rPr>
            </w:pPr>
            <w:r>
              <w:rPr>
                <w:rFonts w:hint="eastAsia" w:ascii="微软雅黑" w:hAnsi="微软雅黑" w:eastAsia="微软雅黑" w:cs="微软雅黑"/>
                <w:color w:val="060A26"/>
                <w:kern w:val="0"/>
                <w:szCs w:val="21"/>
                <w:lang w:bidi="ar"/>
              </w:rPr>
              <w:t>✓ 提供专科日志卡片，显示病区情况。提供今日手术病人、今日到期抗生素病人、阳性皮试结果病人、申请会诊病人卡片，便捷查看今日病区情况。</w:t>
            </w:r>
          </w:p>
          <w:p w14:paraId="2C9DDDF2">
            <w:pPr>
              <w:widowControl/>
              <w:wordWrap w:val="0"/>
              <w:snapToGrid w:val="0"/>
              <w:jc w:val="left"/>
              <w:textAlignment w:val="center"/>
              <w:rPr>
                <w:rFonts w:ascii="微软雅黑" w:hAnsi="微软雅黑" w:eastAsia="微软雅黑" w:cs="微软雅黑"/>
                <w:color w:val="060A26"/>
                <w:kern w:val="0"/>
                <w:szCs w:val="21"/>
                <w:lang w:bidi="ar"/>
              </w:rPr>
            </w:pPr>
            <w:r>
              <w:rPr>
                <w:rFonts w:hint="eastAsia" w:ascii="微软雅黑" w:hAnsi="微软雅黑" w:eastAsia="微软雅黑" w:cs="微软雅黑"/>
                <w:color w:val="060A26"/>
                <w:kern w:val="0"/>
                <w:szCs w:val="21"/>
                <w:lang w:bidi="ar"/>
              </w:rPr>
              <w:t>✓ 主界面包含红色按钮：紧急信息，黄色按钮：重要信息，绿色按钮：一般信息提示。</w:t>
            </w:r>
          </w:p>
        </w:tc>
      </w:tr>
      <w:tr w14:paraId="33713D96">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jc w:val="center"/>
        </w:trPr>
        <w:tc>
          <w:tcPr>
            <w:tcW w:w="1588" w:type="dxa"/>
            <w:vMerge w:val="continue"/>
            <w:tcBorders>
              <w:left w:val="single" w:color="auto" w:sz="6" w:space="0"/>
              <w:right w:val="single" w:color="auto" w:sz="6" w:space="0"/>
            </w:tcBorders>
            <w:shd w:val="clear" w:color="auto" w:fill="FFFFFF"/>
            <w:tcMar>
              <w:top w:w="150" w:type="dxa"/>
              <w:left w:w="210" w:type="dxa"/>
              <w:bottom w:w="150" w:type="dxa"/>
              <w:right w:w="210" w:type="dxa"/>
            </w:tcMar>
            <w:vAlign w:val="center"/>
          </w:tcPr>
          <w:p w14:paraId="746E0E71">
            <w:pPr>
              <w:snapToGrid w:val="0"/>
              <w:jc w:val="center"/>
              <w:rPr>
                <w:rFonts w:ascii="微软雅黑" w:hAnsi="微软雅黑" w:eastAsia="微软雅黑" w:cs="微软雅黑"/>
                <w:color w:val="060A26"/>
                <w:szCs w:val="21"/>
              </w:rPr>
            </w:pPr>
          </w:p>
        </w:tc>
        <w:tc>
          <w:tcPr>
            <w:tcW w:w="1322"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07533D1B">
            <w:pPr>
              <w:widowControl/>
              <w:wordWrap w:val="0"/>
              <w:snapToGrid w:val="0"/>
              <w:jc w:val="left"/>
              <w:textAlignment w:val="center"/>
              <w:rPr>
                <w:rFonts w:ascii="微软雅黑" w:hAnsi="微软雅黑" w:eastAsia="微软雅黑" w:cs="微软雅黑"/>
                <w:color w:val="060A26"/>
                <w:szCs w:val="21"/>
              </w:rPr>
            </w:pPr>
            <w:r>
              <w:rPr>
                <w:rFonts w:hint="eastAsia" w:ascii="微软雅黑" w:hAnsi="微软雅黑" w:eastAsia="微软雅黑" w:cs="微软雅黑"/>
                <w:color w:val="060A26"/>
                <w:kern w:val="0"/>
                <w:szCs w:val="21"/>
                <w:lang w:bidi="ar"/>
              </w:rPr>
              <w:t>1.1.2 专科菜单</w:t>
            </w:r>
          </w:p>
        </w:tc>
        <w:tc>
          <w:tcPr>
            <w:tcW w:w="6572"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71CCD44E">
            <w:pPr>
              <w:widowControl/>
              <w:wordWrap w:val="0"/>
              <w:snapToGrid w:val="0"/>
              <w:jc w:val="left"/>
              <w:textAlignment w:val="center"/>
              <w:rPr>
                <w:rFonts w:ascii="微软雅黑" w:hAnsi="微软雅黑" w:eastAsia="微软雅黑" w:cs="微软雅黑"/>
                <w:color w:val="060A26"/>
                <w:szCs w:val="21"/>
              </w:rPr>
            </w:pPr>
            <w:r>
              <w:rPr>
                <w:rFonts w:hint="eastAsia" w:ascii="微软雅黑" w:hAnsi="微软雅黑" w:eastAsia="微软雅黑" w:cs="微软雅黑"/>
                <w:color w:val="060A26"/>
                <w:kern w:val="0"/>
                <w:szCs w:val="21"/>
                <w:lang w:bidi="ar"/>
              </w:rPr>
              <w:t>✓ 提供专科15日出院病人列表、本治疗组在院病人列表打印、专科等待入院病人列表、15日内转科病人列表、专科会诊单管理、专科化验单打印、我的病人、我的相关手术查询、当日手术病人、手术审批、手术一览表、术后预防使用抗生素病人一览表、罕见病报告卡-补报入口、本专科剩余床位数、罕见病报告卡管理、在院内镜病人列表、慢性病报告卡管理、深圳市心血管事件登记报告卡管理、食源性疾病报告卡管理、传染病报告卡管理、疑似职业报告卡管理、重度高位妊娠报告卡管理、医疗证明管理、病历拍摄图片管理、患者临床路径变更审核功能，供医生使用。</w:t>
            </w:r>
          </w:p>
        </w:tc>
      </w:tr>
      <w:tr w14:paraId="404B174A">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jc w:val="center"/>
        </w:trPr>
        <w:tc>
          <w:tcPr>
            <w:tcW w:w="1588" w:type="dxa"/>
            <w:vMerge w:val="continue"/>
            <w:tcBorders>
              <w:left w:val="single" w:color="auto" w:sz="6" w:space="0"/>
              <w:right w:val="single" w:color="auto" w:sz="6" w:space="0"/>
            </w:tcBorders>
            <w:shd w:val="clear" w:color="auto" w:fill="FFFFFF"/>
            <w:tcMar>
              <w:top w:w="150" w:type="dxa"/>
              <w:left w:w="210" w:type="dxa"/>
              <w:bottom w:w="150" w:type="dxa"/>
              <w:right w:w="210" w:type="dxa"/>
            </w:tcMar>
            <w:vAlign w:val="center"/>
          </w:tcPr>
          <w:p w14:paraId="00578F17">
            <w:pPr>
              <w:snapToGrid w:val="0"/>
              <w:jc w:val="center"/>
              <w:rPr>
                <w:rFonts w:ascii="微软雅黑" w:hAnsi="微软雅黑" w:eastAsia="微软雅黑" w:cs="微软雅黑"/>
                <w:color w:val="060A26"/>
                <w:szCs w:val="21"/>
              </w:rPr>
            </w:pPr>
          </w:p>
        </w:tc>
        <w:tc>
          <w:tcPr>
            <w:tcW w:w="1322"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0E450F19">
            <w:pPr>
              <w:widowControl/>
              <w:wordWrap w:val="0"/>
              <w:snapToGrid w:val="0"/>
              <w:jc w:val="left"/>
              <w:textAlignment w:val="center"/>
              <w:rPr>
                <w:rFonts w:ascii="微软雅黑" w:hAnsi="微软雅黑" w:eastAsia="微软雅黑" w:cs="微软雅黑"/>
                <w:color w:val="060A26"/>
                <w:szCs w:val="21"/>
              </w:rPr>
            </w:pPr>
            <w:r>
              <w:rPr>
                <w:rFonts w:hint="eastAsia" w:ascii="微软雅黑" w:hAnsi="微软雅黑" w:eastAsia="微软雅黑" w:cs="微软雅黑"/>
                <w:color w:val="060A26"/>
                <w:kern w:val="0"/>
                <w:szCs w:val="21"/>
                <w:lang w:bidi="ar"/>
              </w:rPr>
              <w:t>1.1.3 科室医疗质量指标查询</w:t>
            </w:r>
          </w:p>
        </w:tc>
        <w:tc>
          <w:tcPr>
            <w:tcW w:w="6572"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1F6EB210">
            <w:pPr>
              <w:widowControl/>
              <w:wordWrap w:val="0"/>
              <w:snapToGrid w:val="0"/>
              <w:jc w:val="left"/>
              <w:textAlignment w:val="center"/>
              <w:rPr>
                <w:rFonts w:ascii="微软雅黑" w:hAnsi="微软雅黑" w:eastAsia="微软雅黑" w:cs="微软雅黑"/>
                <w:color w:val="060A26"/>
                <w:szCs w:val="21"/>
              </w:rPr>
            </w:pPr>
            <w:r>
              <w:rPr>
                <w:rFonts w:hint="eastAsia" w:ascii="微软雅黑" w:hAnsi="微软雅黑" w:eastAsia="微软雅黑" w:cs="微软雅黑"/>
                <w:color w:val="060A26"/>
                <w:kern w:val="0"/>
                <w:szCs w:val="21"/>
                <w:lang w:bidi="ar"/>
              </w:rPr>
              <w:t>✓ 提供出入院人数查询、病例讨论记录查询、危重、死亡和化疗病人查询、长期住院病人、会诊单查询统计、病历状态修改记录查询、手术记录按时间间隔统计、病程记录按时间间隔统计、医嘱按时间间隔统计、药占比查询、手术通知单查询、病历上缴查询、病历上缴一览表、危急值查询、会诊单每月统计、病例归档查询、质控报表查询、病历质控，应提交病历及交叉检查、情况查询、交叉检查/病历评比结果审核、交叉检查/病历评比结果统计、病历文书查询、VTE/病历质控统计平台功能，供医生使用</w:t>
            </w:r>
          </w:p>
        </w:tc>
      </w:tr>
      <w:tr w14:paraId="0AD8498B">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jc w:val="center"/>
        </w:trPr>
        <w:tc>
          <w:tcPr>
            <w:tcW w:w="1588" w:type="dxa"/>
            <w:vMerge w:val="continue"/>
            <w:tcBorders>
              <w:left w:val="single" w:color="auto" w:sz="6" w:space="0"/>
              <w:right w:val="single" w:color="auto" w:sz="6" w:space="0"/>
            </w:tcBorders>
            <w:shd w:val="clear" w:color="auto" w:fill="FFFFFF"/>
            <w:tcMar>
              <w:top w:w="150" w:type="dxa"/>
              <w:left w:w="210" w:type="dxa"/>
              <w:bottom w:w="150" w:type="dxa"/>
              <w:right w:w="210" w:type="dxa"/>
            </w:tcMar>
            <w:vAlign w:val="center"/>
          </w:tcPr>
          <w:p w14:paraId="07AEA031">
            <w:pPr>
              <w:snapToGrid w:val="0"/>
              <w:jc w:val="center"/>
              <w:rPr>
                <w:rFonts w:ascii="微软雅黑" w:hAnsi="微软雅黑" w:eastAsia="微软雅黑" w:cs="微软雅黑"/>
                <w:color w:val="060A26"/>
                <w:szCs w:val="21"/>
              </w:rPr>
            </w:pPr>
          </w:p>
        </w:tc>
        <w:tc>
          <w:tcPr>
            <w:tcW w:w="1322"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2C548E4C">
            <w:pPr>
              <w:widowControl/>
              <w:wordWrap w:val="0"/>
              <w:snapToGrid w:val="0"/>
              <w:jc w:val="left"/>
              <w:textAlignment w:val="center"/>
              <w:rPr>
                <w:rFonts w:ascii="微软雅黑" w:hAnsi="微软雅黑" w:eastAsia="微软雅黑" w:cs="微软雅黑"/>
                <w:color w:val="060A26"/>
                <w:szCs w:val="21"/>
              </w:rPr>
            </w:pPr>
            <w:r>
              <w:rPr>
                <w:rFonts w:hint="eastAsia" w:ascii="微软雅黑" w:hAnsi="微软雅黑" w:eastAsia="微软雅黑" w:cs="微软雅黑"/>
                <w:color w:val="060A26"/>
                <w:kern w:val="0"/>
                <w:szCs w:val="21"/>
                <w:lang w:bidi="ar"/>
              </w:rPr>
              <w:t>1.1.4 信息查询</w:t>
            </w:r>
          </w:p>
        </w:tc>
        <w:tc>
          <w:tcPr>
            <w:tcW w:w="6572"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024CDEDA">
            <w:pPr>
              <w:widowControl/>
              <w:wordWrap w:val="0"/>
              <w:snapToGrid w:val="0"/>
              <w:jc w:val="left"/>
              <w:textAlignment w:val="center"/>
              <w:rPr>
                <w:rFonts w:ascii="微软雅黑" w:hAnsi="微软雅黑" w:eastAsia="微软雅黑" w:cs="微软雅黑"/>
                <w:color w:val="060A26"/>
                <w:szCs w:val="21"/>
              </w:rPr>
            </w:pPr>
            <w:r>
              <w:rPr>
                <w:rFonts w:hint="eastAsia" w:ascii="微软雅黑" w:hAnsi="微软雅黑" w:eastAsia="微软雅黑" w:cs="微软雅黑"/>
                <w:color w:val="060A26"/>
                <w:kern w:val="0"/>
                <w:szCs w:val="21"/>
                <w:lang w:bidi="ar"/>
              </w:rPr>
              <w:t>✓ 提供按病人基本信息查询病历，按病历内容查询病历，根据病案首页主要诊断查询病人，医生书写的病历、全院床位查询、药品不良反应/事件报告查询，传染病患者出院统计，治疗医嘱查询，专科手术一览表，医师手术准入表，感染诊断查询，出院病人按治疗组查询，非计划二次手术，电子病历借阅，归档病历查询审批，文件下载，病历交叉检查我的分工，病例质量月检查我的分工，产科护理数据查询，医生不合理医嘱查询功能，供医生使用。</w:t>
            </w:r>
          </w:p>
        </w:tc>
      </w:tr>
      <w:tr w14:paraId="465F8A53">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jc w:val="center"/>
        </w:trPr>
        <w:tc>
          <w:tcPr>
            <w:tcW w:w="1588" w:type="dxa"/>
            <w:vMerge w:val="continue"/>
            <w:tcBorders>
              <w:left w:val="single" w:color="auto" w:sz="6" w:space="0"/>
              <w:right w:val="single" w:color="auto" w:sz="6" w:space="0"/>
            </w:tcBorders>
            <w:shd w:val="clear" w:color="auto" w:fill="FFFFFF"/>
            <w:tcMar>
              <w:top w:w="150" w:type="dxa"/>
              <w:left w:w="210" w:type="dxa"/>
              <w:bottom w:w="150" w:type="dxa"/>
              <w:right w:w="210" w:type="dxa"/>
            </w:tcMar>
            <w:vAlign w:val="center"/>
          </w:tcPr>
          <w:p w14:paraId="060CCCEE">
            <w:pPr>
              <w:snapToGrid w:val="0"/>
              <w:jc w:val="center"/>
              <w:rPr>
                <w:rFonts w:ascii="微软雅黑" w:hAnsi="微软雅黑" w:eastAsia="微软雅黑" w:cs="微软雅黑"/>
                <w:color w:val="060A26"/>
                <w:szCs w:val="21"/>
              </w:rPr>
            </w:pPr>
          </w:p>
        </w:tc>
        <w:tc>
          <w:tcPr>
            <w:tcW w:w="1322"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0508CE41">
            <w:pPr>
              <w:widowControl/>
              <w:wordWrap w:val="0"/>
              <w:snapToGrid w:val="0"/>
              <w:jc w:val="left"/>
              <w:textAlignment w:val="center"/>
              <w:rPr>
                <w:rFonts w:ascii="微软雅黑" w:hAnsi="微软雅黑" w:eastAsia="微软雅黑" w:cs="微软雅黑"/>
                <w:color w:val="060A26"/>
                <w:szCs w:val="21"/>
              </w:rPr>
            </w:pPr>
            <w:r>
              <w:rPr>
                <w:rFonts w:hint="eastAsia" w:ascii="微软雅黑" w:hAnsi="微软雅黑" w:eastAsia="微软雅黑" w:cs="微软雅黑"/>
                <w:color w:val="060A26"/>
                <w:kern w:val="0"/>
                <w:szCs w:val="21"/>
                <w:lang w:bidi="ar"/>
              </w:rPr>
              <w:t>1.1.5 系统维护</w:t>
            </w:r>
          </w:p>
        </w:tc>
        <w:tc>
          <w:tcPr>
            <w:tcW w:w="6572"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48A630BB">
            <w:pPr>
              <w:widowControl/>
              <w:wordWrap w:val="0"/>
              <w:snapToGrid w:val="0"/>
              <w:jc w:val="left"/>
              <w:textAlignment w:val="center"/>
              <w:rPr>
                <w:rFonts w:hint="eastAsia" w:ascii="微软雅黑" w:hAnsi="微软雅黑" w:eastAsia="微软雅黑" w:cs="微软雅黑"/>
                <w:color w:val="060A26"/>
                <w:kern w:val="0"/>
                <w:szCs w:val="21"/>
                <w:lang w:bidi="ar"/>
              </w:rPr>
            </w:pPr>
            <w:r>
              <w:rPr>
                <w:rFonts w:hint="eastAsia" w:ascii="微软雅黑" w:hAnsi="微软雅黑" w:eastAsia="微软雅黑" w:cs="微软雅黑"/>
                <w:color w:val="060A26"/>
                <w:kern w:val="0"/>
                <w:szCs w:val="21"/>
                <w:lang w:bidi="ar"/>
              </w:rPr>
              <w:t>✓ 提供删除病人病历，修改病人病历专科格式，修改病人病历状态，修改病人病历出入院时间，会诊单数据管理，修改首页身份证号，治疗医嘱模板，字典维护，病历复印管理，人员维护，账号维护，专科维护，模块维护，系统组维护，组权限维护，有创模板维护，并发症模板维护，专科知情记录维护，结构化病历元数据定义，结构化病历元数据维护，结构化病历病种定义，结构化病历维护，治疗组维护，治疗组成员维护，治疗组排班审核，治疗组排班统计，病案首页多值表维护，诊断对照表维护，首页财务收费项目对照，住院病历专科格式代码对照，评分表维护，综合模板维护，菜单维护，特殊抗菌药物会诊权限维护，标准库维护，耐药细菌维护，新病历文书模板维护，临床路径维护功能，供医生使用。</w:t>
            </w:r>
          </w:p>
          <w:p w14:paraId="3902C386">
            <w:pPr>
              <w:widowControl/>
              <w:wordWrap w:val="0"/>
              <w:snapToGrid w:val="0"/>
              <w:jc w:val="left"/>
              <w:textAlignment w:val="center"/>
              <w:rPr>
                <w:rFonts w:hint="default" w:ascii="微软雅黑" w:hAnsi="微软雅黑" w:eastAsia="微软雅黑" w:cs="微软雅黑"/>
                <w:color w:val="060A26"/>
                <w:kern w:val="0"/>
                <w:szCs w:val="21"/>
                <w:lang w:val="en-US" w:eastAsia="zh-CN" w:bidi="ar"/>
              </w:rPr>
            </w:pPr>
            <w:r>
              <w:rPr>
                <w:rFonts w:hint="eastAsia" w:ascii="微软雅黑" w:hAnsi="微软雅黑" w:eastAsia="微软雅黑" w:cs="微软雅黑"/>
                <w:color w:val="060A26"/>
                <w:kern w:val="0"/>
                <w:szCs w:val="21"/>
                <w:lang w:bidi="ar"/>
              </w:rPr>
              <w:t>✓ 根据临床实际需求，承担病历文书模板的配置工作，保障文书模板的规范性和适用性。</w:t>
            </w:r>
          </w:p>
        </w:tc>
      </w:tr>
      <w:tr w14:paraId="7290C18F">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jc w:val="center"/>
        </w:trPr>
        <w:tc>
          <w:tcPr>
            <w:tcW w:w="1588" w:type="dxa"/>
            <w:vMerge w:val="continue"/>
            <w:tcBorders>
              <w:left w:val="single" w:color="auto" w:sz="6" w:space="0"/>
              <w:right w:val="single" w:color="auto" w:sz="6" w:space="0"/>
            </w:tcBorders>
            <w:shd w:val="clear" w:color="auto" w:fill="FFFFFF"/>
            <w:tcMar>
              <w:top w:w="150" w:type="dxa"/>
              <w:left w:w="210" w:type="dxa"/>
              <w:bottom w:w="150" w:type="dxa"/>
              <w:right w:w="210" w:type="dxa"/>
            </w:tcMar>
            <w:vAlign w:val="center"/>
          </w:tcPr>
          <w:p w14:paraId="7575E970">
            <w:pPr>
              <w:snapToGrid w:val="0"/>
              <w:jc w:val="center"/>
              <w:rPr>
                <w:rFonts w:ascii="微软雅黑" w:hAnsi="微软雅黑" w:eastAsia="微软雅黑" w:cs="微软雅黑"/>
                <w:color w:val="060A26"/>
                <w:szCs w:val="21"/>
              </w:rPr>
            </w:pPr>
          </w:p>
        </w:tc>
        <w:tc>
          <w:tcPr>
            <w:tcW w:w="1322"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3FE76C09">
            <w:pPr>
              <w:widowControl/>
              <w:wordWrap w:val="0"/>
              <w:snapToGrid w:val="0"/>
              <w:jc w:val="left"/>
              <w:textAlignment w:val="center"/>
              <w:rPr>
                <w:rFonts w:ascii="微软雅黑" w:hAnsi="微软雅黑" w:eastAsia="微软雅黑" w:cs="微软雅黑"/>
                <w:color w:val="060A26"/>
                <w:szCs w:val="21"/>
              </w:rPr>
            </w:pPr>
            <w:r>
              <w:rPr>
                <w:rFonts w:hint="eastAsia" w:ascii="微软雅黑" w:hAnsi="微软雅黑" w:eastAsia="微软雅黑" w:cs="微软雅黑"/>
                <w:color w:val="060A26"/>
                <w:kern w:val="0"/>
                <w:szCs w:val="21"/>
                <w:lang w:bidi="ar"/>
              </w:rPr>
              <w:t>1.1.6 多病人并行处理</w:t>
            </w:r>
          </w:p>
        </w:tc>
        <w:tc>
          <w:tcPr>
            <w:tcW w:w="6572"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4FB4C547">
            <w:pPr>
              <w:widowControl/>
              <w:wordWrap w:val="0"/>
              <w:snapToGrid w:val="0"/>
              <w:jc w:val="left"/>
              <w:textAlignment w:val="center"/>
              <w:rPr>
                <w:rFonts w:ascii="微软雅黑" w:hAnsi="微软雅黑" w:eastAsia="微软雅黑" w:cs="微软雅黑"/>
                <w:color w:val="060A26"/>
                <w:szCs w:val="21"/>
              </w:rPr>
            </w:pPr>
            <w:r>
              <w:rPr>
                <w:rFonts w:hint="eastAsia" w:ascii="微软雅黑" w:hAnsi="微软雅黑" w:eastAsia="微软雅黑" w:cs="微软雅黑"/>
                <w:color w:val="060A26"/>
                <w:kern w:val="0"/>
                <w:szCs w:val="21"/>
                <w:lang w:bidi="ar"/>
              </w:rPr>
              <w:t>✓ 在同一界面可同时打开多个患者的病历进行编辑，支持标签页切换，提升工作效率。</w:t>
            </w:r>
          </w:p>
        </w:tc>
      </w:tr>
      <w:tr w14:paraId="4EA99A5E">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jc w:val="center"/>
        </w:trPr>
        <w:tc>
          <w:tcPr>
            <w:tcW w:w="1588" w:type="dxa"/>
            <w:vMerge w:val="continue"/>
            <w:tcBorders>
              <w:left w:val="single" w:color="auto" w:sz="6" w:space="0"/>
              <w:right w:val="single" w:color="auto" w:sz="6" w:space="0"/>
            </w:tcBorders>
            <w:shd w:val="clear" w:color="auto" w:fill="FFFFFF"/>
            <w:tcMar>
              <w:top w:w="150" w:type="dxa"/>
              <w:left w:w="210" w:type="dxa"/>
              <w:bottom w:w="150" w:type="dxa"/>
              <w:right w:w="210" w:type="dxa"/>
            </w:tcMar>
            <w:vAlign w:val="center"/>
          </w:tcPr>
          <w:p w14:paraId="6BF7C270">
            <w:pPr>
              <w:snapToGrid w:val="0"/>
              <w:jc w:val="center"/>
              <w:rPr>
                <w:rFonts w:ascii="微软雅黑" w:hAnsi="微软雅黑" w:eastAsia="微软雅黑" w:cs="微软雅黑"/>
                <w:color w:val="060A26"/>
                <w:szCs w:val="21"/>
              </w:rPr>
            </w:pPr>
          </w:p>
        </w:tc>
        <w:tc>
          <w:tcPr>
            <w:tcW w:w="1322"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7F92D24C">
            <w:pPr>
              <w:widowControl/>
              <w:wordWrap w:val="0"/>
              <w:snapToGrid w:val="0"/>
              <w:jc w:val="left"/>
              <w:textAlignment w:val="center"/>
              <w:rPr>
                <w:rFonts w:ascii="微软雅黑" w:hAnsi="微软雅黑" w:eastAsia="微软雅黑" w:cs="微软雅黑"/>
                <w:color w:val="060A26"/>
                <w:szCs w:val="21"/>
              </w:rPr>
            </w:pPr>
            <w:r>
              <w:rPr>
                <w:rFonts w:hint="eastAsia" w:ascii="微软雅黑" w:hAnsi="微软雅黑" w:eastAsia="微软雅黑" w:cs="微软雅黑"/>
                <w:color w:val="060A26"/>
                <w:kern w:val="0"/>
                <w:szCs w:val="21"/>
                <w:lang w:bidi="ar"/>
              </w:rPr>
              <w:t>1.1.7 病历文书</w:t>
            </w:r>
          </w:p>
        </w:tc>
        <w:tc>
          <w:tcPr>
            <w:tcW w:w="6572"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4D4C1CEC">
            <w:pPr>
              <w:widowControl/>
              <w:wordWrap w:val="0"/>
              <w:snapToGrid w:val="0"/>
              <w:jc w:val="left"/>
              <w:textAlignment w:val="center"/>
              <w:rPr>
                <w:rFonts w:ascii="微软雅黑" w:hAnsi="微软雅黑" w:eastAsia="微软雅黑" w:cs="微软雅黑"/>
                <w:color w:val="060A26"/>
                <w:kern w:val="0"/>
                <w:szCs w:val="21"/>
                <w:lang w:bidi="ar"/>
              </w:rPr>
            </w:pPr>
            <w:r>
              <w:rPr>
                <w:rFonts w:hint="eastAsia" w:ascii="微软雅黑" w:hAnsi="微软雅黑" w:eastAsia="微软雅黑" w:cs="微软雅黑"/>
                <w:color w:val="060A26"/>
                <w:kern w:val="0"/>
                <w:szCs w:val="21"/>
                <w:lang w:bidi="ar"/>
              </w:rPr>
              <w:t>✓ 支持国家规定的全部住院病历文书类型，包括但不限于：入院记录、首次病程记录、日常病程记录、上级医师查房记录、疑难病例讨论记录、术前讨论记录、手术记录、术后首次病程记录、转科记录、阶段小结、抢救记录、死亡记录、出院记录、死亡病例讨论记录、其他同意书/告知书、特殊病情和治疗记录、其他纸质文书、量表/评分表等，共计20类以上。</w:t>
            </w:r>
          </w:p>
        </w:tc>
      </w:tr>
      <w:tr w14:paraId="1DEBA9F8">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jc w:val="center"/>
        </w:trPr>
        <w:tc>
          <w:tcPr>
            <w:tcW w:w="1588" w:type="dxa"/>
            <w:tcBorders>
              <w:left w:val="single" w:color="auto" w:sz="6" w:space="0"/>
              <w:right w:val="single" w:color="auto" w:sz="6" w:space="0"/>
            </w:tcBorders>
            <w:shd w:val="clear" w:color="auto" w:fill="FFFFFF"/>
            <w:tcMar>
              <w:top w:w="150" w:type="dxa"/>
              <w:left w:w="210" w:type="dxa"/>
              <w:bottom w:w="150" w:type="dxa"/>
              <w:right w:w="210" w:type="dxa"/>
            </w:tcMar>
            <w:vAlign w:val="center"/>
          </w:tcPr>
          <w:p w14:paraId="3013C4EE">
            <w:pPr>
              <w:snapToGrid w:val="0"/>
              <w:jc w:val="center"/>
              <w:rPr>
                <w:rFonts w:ascii="微软雅黑" w:hAnsi="微软雅黑" w:eastAsia="微软雅黑" w:cs="微软雅黑"/>
                <w:color w:val="060A26"/>
                <w:szCs w:val="21"/>
              </w:rPr>
            </w:pPr>
          </w:p>
        </w:tc>
        <w:tc>
          <w:tcPr>
            <w:tcW w:w="1322"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531238DF">
            <w:pPr>
              <w:widowControl/>
              <w:wordWrap w:val="0"/>
              <w:snapToGrid w:val="0"/>
              <w:jc w:val="left"/>
              <w:textAlignment w:val="center"/>
              <w:rPr>
                <w:rFonts w:ascii="微软雅黑" w:hAnsi="微软雅黑" w:eastAsia="微软雅黑" w:cs="微软雅黑"/>
                <w:color w:val="060A26"/>
                <w:kern w:val="0"/>
                <w:szCs w:val="21"/>
                <w:lang w:bidi="ar"/>
              </w:rPr>
            </w:pPr>
            <w:r>
              <w:rPr>
                <w:rFonts w:hint="eastAsia" w:ascii="微软雅黑" w:hAnsi="微软雅黑" w:eastAsia="微软雅黑" w:cs="微软雅黑"/>
                <w:color w:val="060A26"/>
                <w:kern w:val="0"/>
                <w:szCs w:val="21"/>
                <w:lang w:bidi="ar"/>
              </w:rPr>
              <w:t>1.1.8病人主页</w:t>
            </w:r>
          </w:p>
        </w:tc>
        <w:tc>
          <w:tcPr>
            <w:tcW w:w="6572"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49D50109">
            <w:pPr>
              <w:widowControl/>
              <w:wordWrap w:val="0"/>
              <w:snapToGrid w:val="0"/>
              <w:jc w:val="left"/>
              <w:textAlignment w:val="center"/>
              <w:rPr>
                <w:rFonts w:ascii="微软雅黑" w:hAnsi="微软雅黑" w:eastAsia="微软雅黑" w:cs="微软雅黑"/>
                <w:color w:val="060A26"/>
                <w:kern w:val="0"/>
                <w:szCs w:val="21"/>
                <w:lang w:bidi="ar"/>
              </w:rPr>
            </w:pPr>
            <w:r>
              <w:rPr>
                <w:rFonts w:hint="eastAsia" w:ascii="微软雅黑" w:hAnsi="微软雅黑" w:eastAsia="微软雅黑" w:cs="微软雅黑"/>
                <w:color w:val="060A26"/>
                <w:kern w:val="0"/>
                <w:szCs w:val="21"/>
                <w:lang w:bidi="ar"/>
              </w:rPr>
              <w:t>✓ 承担医嘱管理、手术通知单管理、临床文书管理、输血申请管理、文书集中打印、护理记录查询、医疗证明管理、病历质量检查及评比打分、文书回收站、入院记录及病程记录草稿管理、血糖检测记录查询、会诊管理、检查检验结果查询、医疗事件报告管理、门诊复查预约、门诊/住院既往史管理、随访量表及随访记录查询等模块的系统维护与运行保障。</w:t>
            </w:r>
          </w:p>
        </w:tc>
      </w:tr>
      <w:tr w14:paraId="7AC7A77D">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jc w:val="center"/>
        </w:trPr>
        <w:tc>
          <w:tcPr>
            <w:tcW w:w="1588" w:type="dxa"/>
            <w:tcBorders>
              <w:left w:val="single" w:color="auto" w:sz="6" w:space="0"/>
              <w:right w:val="single" w:color="auto" w:sz="6" w:space="0"/>
            </w:tcBorders>
            <w:shd w:val="clear" w:color="auto" w:fill="FFFFFF"/>
            <w:tcMar>
              <w:top w:w="150" w:type="dxa"/>
              <w:left w:w="210" w:type="dxa"/>
              <w:bottom w:w="150" w:type="dxa"/>
              <w:right w:w="210" w:type="dxa"/>
            </w:tcMar>
            <w:vAlign w:val="center"/>
          </w:tcPr>
          <w:p w14:paraId="5338FDC4">
            <w:pPr>
              <w:snapToGrid w:val="0"/>
              <w:jc w:val="center"/>
              <w:rPr>
                <w:rFonts w:ascii="微软雅黑" w:hAnsi="微软雅黑" w:eastAsia="微软雅黑" w:cs="微软雅黑"/>
                <w:color w:val="060A26"/>
                <w:szCs w:val="21"/>
              </w:rPr>
            </w:pPr>
          </w:p>
        </w:tc>
        <w:tc>
          <w:tcPr>
            <w:tcW w:w="1322"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1EF0A151">
            <w:pPr>
              <w:widowControl/>
              <w:wordWrap w:val="0"/>
              <w:snapToGrid w:val="0"/>
              <w:jc w:val="left"/>
              <w:textAlignment w:val="center"/>
              <w:rPr>
                <w:rFonts w:ascii="微软雅黑" w:hAnsi="微软雅黑" w:eastAsia="微软雅黑" w:cs="微软雅黑"/>
                <w:color w:val="060A26"/>
                <w:kern w:val="0"/>
                <w:szCs w:val="21"/>
                <w:lang w:bidi="ar"/>
              </w:rPr>
            </w:pPr>
            <w:r>
              <w:rPr>
                <w:rFonts w:hint="eastAsia" w:ascii="微软雅黑" w:hAnsi="微软雅黑" w:eastAsia="微软雅黑" w:cs="微软雅黑"/>
                <w:color w:val="060A26"/>
                <w:kern w:val="0"/>
                <w:szCs w:val="21"/>
                <w:lang w:bidi="ar"/>
              </w:rPr>
              <w:t>1.2</w:t>
            </w:r>
          </w:p>
        </w:tc>
        <w:tc>
          <w:tcPr>
            <w:tcW w:w="6572"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533626F3">
            <w:pPr>
              <w:widowControl/>
              <w:wordWrap w:val="0"/>
              <w:snapToGrid w:val="0"/>
              <w:jc w:val="left"/>
              <w:textAlignment w:val="center"/>
              <w:rPr>
                <w:rFonts w:ascii="微软雅黑" w:hAnsi="微软雅黑" w:eastAsia="微软雅黑" w:cs="微软雅黑"/>
                <w:color w:val="060A26"/>
                <w:kern w:val="0"/>
                <w:szCs w:val="21"/>
                <w:lang w:bidi="ar"/>
              </w:rPr>
            </w:pPr>
            <w:r>
              <w:rPr>
                <w:rFonts w:hint="eastAsia" w:ascii="微软雅黑" w:hAnsi="微软雅黑" w:eastAsia="微软雅黑" w:cs="微软雅黑"/>
                <w:b/>
                <w:bCs/>
                <w:color w:val="060A26"/>
                <w:kern w:val="0"/>
                <w:szCs w:val="21"/>
                <w:lang w:bidi="ar"/>
              </w:rPr>
              <w:t>新增功能需求</w:t>
            </w:r>
          </w:p>
        </w:tc>
      </w:tr>
      <w:tr w14:paraId="1F5B1C71">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jc w:val="center"/>
        </w:trPr>
        <w:tc>
          <w:tcPr>
            <w:tcW w:w="1588" w:type="dxa"/>
            <w:tcBorders>
              <w:left w:val="single" w:color="auto" w:sz="6" w:space="0"/>
              <w:right w:val="single" w:color="auto" w:sz="6" w:space="0"/>
            </w:tcBorders>
            <w:shd w:val="clear" w:color="auto" w:fill="FFFFFF"/>
            <w:tcMar>
              <w:top w:w="150" w:type="dxa"/>
              <w:left w:w="210" w:type="dxa"/>
              <w:bottom w:w="150" w:type="dxa"/>
              <w:right w:w="210" w:type="dxa"/>
            </w:tcMar>
            <w:vAlign w:val="center"/>
          </w:tcPr>
          <w:p w14:paraId="35950EB6">
            <w:pPr>
              <w:snapToGrid w:val="0"/>
              <w:jc w:val="center"/>
              <w:rPr>
                <w:rFonts w:ascii="微软雅黑" w:hAnsi="微软雅黑" w:eastAsia="微软雅黑" w:cs="微软雅黑"/>
                <w:color w:val="060A26"/>
                <w:szCs w:val="21"/>
              </w:rPr>
            </w:pPr>
          </w:p>
        </w:tc>
        <w:tc>
          <w:tcPr>
            <w:tcW w:w="1322"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04CDD78D">
            <w:pPr>
              <w:widowControl/>
              <w:wordWrap w:val="0"/>
              <w:snapToGrid w:val="0"/>
              <w:jc w:val="left"/>
              <w:textAlignment w:val="center"/>
              <w:rPr>
                <w:rFonts w:ascii="微软雅黑" w:hAnsi="微软雅黑" w:eastAsia="微软雅黑" w:cs="微软雅黑"/>
                <w:color w:val="060A26"/>
                <w:kern w:val="0"/>
                <w:szCs w:val="21"/>
                <w:lang w:bidi="ar"/>
              </w:rPr>
            </w:pPr>
            <w:r>
              <w:rPr>
                <w:rFonts w:hint="eastAsia" w:ascii="微软雅黑" w:hAnsi="微软雅黑" w:eastAsia="微软雅黑" w:cs="微软雅黑"/>
                <w:color w:val="060A26"/>
                <w:kern w:val="0"/>
                <w:szCs w:val="21"/>
                <w:lang w:bidi="ar"/>
              </w:rPr>
              <w:t>1.2.1 住院医嘱</w:t>
            </w:r>
          </w:p>
        </w:tc>
        <w:tc>
          <w:tcPr>
            <w:tcW w:w="6572"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15E5028B">
            <w:pPr>
              <w:widowControl/>
              <w:wordWrap w:val="0"/>
              <w:snapToGrid w:val="0"/>
              <w:jc w:val="left"/>
              <w:textAlignment w:val="center"/>
              <w:rPr>
                <w:rFonts w:ascii="微软雅黑" w:hAnsi="微软雅黑" w:eastAsia="微软雅黑" w:cs="微软雅黑"/>
                <w:color w:val="060A26"/>
                <w:kern w:val="0"/>
                <w:szCs w:val="21"/>
                <w:lang w:bidi="ar"/>
              </w:rPr>
            </w:pPr>
            <w:r>
              <w:rPr>
                <w:rFonts w:hint="eastAsia" w:ascii="微软雅黑" w:hAnsi="微软雅黑" w:eastAsia="微软雅黑" w:cs="微软雅黑"/>
                <w:color w:val="060A26"/>
                <w:kern w:val="0"/>
                <w:szCs w:val="21"/>
                <w:lang w:bidi="ar"/>
              </w:rPr>
              <w:t>✓电子病历——手术通知单——手术选择窗口 “手术代码”改为显示“手术编码"。手术编码从手术管理系统手术准入中取。</w:t>
            </w:r>
            <w:r>
              <w:rPr>
                <w:rFonts w:hint="eastAsia" w:ascii="微软雅黑" w:hAnsi="微软雅黑" w:eastAsia="微软雅黑" w:cs="微软雅黑"/>
                <w:color w:val="060A26"/>
                <w:kern w:val="0"/>
                <w:szCs w:val="21"/>
                <w:lang w:bidi="ar"/>
              </w:rPr>
              <w:br w:type="textWrapping"/>
            </w:r>
            <w:r>
              <w:rPr>
                <w:rFonts w:hint="eastAsia" w:ascii="微软雅黑" w:hAnsi="微软雅黑" w:eastAsia="微软雅黑" w:cs="微软雅黑"/>
                <w:color w:val="060A26"/>
                <w:kern w:val="0"/>
                <w:szCs w:val="21"/>
                <w:lang w:bidi="ar"/>
              </w:rPr>
              <w:t>✓电子病历手术通知单增加“手术版本”选项，勾上的话只能筛选到新目录库的手术，默认勾选上，新目录库有问题的时候可取消勾选。</w:t>
            </w:r>
          </w:p>
          <w:p w14:paraId="30BF9A12">
            <w:pPr>
              <w:widowControl/>
              <w:wordWrap w:val="0"/>
              <w:snapToGrid w:val="0"/>
              <w:jc w:val="left"/>
              <w:textAlignment w:val="center"/>
              <w:rPr>
                <w:rFonts w:ascii="微软雅黑" w:hAnsi="微软雅黑" w:eastAsia="微软雅黑" w:cs="微软雅黑"/>
                <w:color w:val="060A26"/>
                <w:kern w:val="0"/>
                <w:szCs w:val="21"/>
                <w:lang w:bidi="ar"/>
              </w:rPr>
            </w:pPr>
            <w:r>
              <w:rPr>
                <w:rFonts w:hint="eastAsia" w:ascii="微软雅黑" w:hAnsi="微软雅黑" w:eastAsia="微软雅黑" w:cs="微软雅黑"/>
                <w:color w:val="060A26"/>
                <w:kern w:val="0"/>
                <w:szCs w:val="21"/>
                <w:lang w:bidi="ar"/>
              </w:rPr>
              <w:t>✓进行检查的特殊级项目目录进行授权。</w:t>
            </w:r>
          </w:p>
          <w:p w14:paraId="1B967398">
            <w:pPr>
              <w:widowControl/>
              <w:wordWrap w:val="0"/>
              <w:snapToGrid w:val="0"/>
              <w:jc w:val="left"/>
              <w:textAlignment w:val="center"/>
              <w:rPr>
                <w:rFonts w:ascii="微软雅黑" w:hAnsi="微软雅黑" w:eastAsia="微软雅黑" w:cs="微软雅黑"/>
                <w:b/>
                <w:bCs/>
                <w:color w:val="060A26"/>
                <w:kern w:val="0"/>
                <w:szCs w:val="21"/>
                <w:lang w:bidi="ar"/>
              </w:rPr>
            </w:pPr>
            <w:r>
              <w:rPr>
                <w:rFonts w:hint="eastAsia" w:ascii="微软雅黑" w:hAnsi="微软雅黑" w:eastAsia="微软雅黑" w:cs="微软雅黑"/>
                <w:color w:val="060A26"/>
                <w:kern w:val="0"/>
                <w:szCs w:val="21"/>
                <w:lang w:bidi="ar"/>
              </w:rPr>
              <w:t>✓医嘱开立规则配置，比如某些项目不能同时开</w:t>
            </w:r>
          </w:p>
        </w:tc>
      </w:tr>
      <w:tr w14:paraId="2041D4BF">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jc w:val="center"/>
        </w:trPr>
        <w:tc>
          <w:tcPr>
            <w:tcW w:w="1588" w:type="dxa"/>
            <w:tcBorders>
              <w:left w:val="single" w:color="auto" w:sz="6" w:space="0"/>
              <w:right w:val="single" w:color="auto" w:sz="6" w:space="0"/>
            </w:tcBorders>
            <w:shd w:val="clear" w:color="auto" w:fill="FFFFFF"/>
            <w:tcMar>
              <w:top w:w="150" w:type="dxa"/>
              <w:left w:w="210" w:type="dxa"/>
              <w:bottom w:w="150" w:type="dxa"/>
              <w:right w:w="210" w:type="dxa"/>
            </w:tcMar>
            <w:vAlign w:val="center"/>
          </w:tcPr>
          <w:p w14:paraId="574F24C0">
            <w:pPr>
              <w:widowControl/>
              <w:wordWrap w:val="0"/>
              <w:snapToGrid w:val="0"/>
              <w:jc w:val="left"/>
              <w:textAlignment w:val="center"/>
              <w:rPr>
                <w:rFonts w:ascii="微软雅黑" w:hAnsi="微软雅黑" w:eastAsia="微软雅黑" w:cs="微软雅黑"/>
                <w:color w:val="060A26"/>
                <w:kern w:val="0"/>
                <w:szCs w:val="21"/>
                <w:lang w:bidi="ar"/>
              </w:rPr>
            </w:pPr>
          </w:p>
        </w:tc>
        <w:tc>
          <w:tcPr>
            <w:tcW w:w="1322"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095CEB3A">
            <w:pPr>
              <w:widowControl/>
              <w:wordWrap w:val="0"/>
              <w:snapToGrid w:val="0"/>
              <w:jc w:val="left"/>
              <w:textAlignment w:val="center"/>
              <w:rPr>
                <w:rFonts w:ascii="微软雅黑" w:hAnsi="微软雅黑" w:eastAsia="微软雅黑" w:cs="微软雅黑"/>
                <w:color w:val="060A26"/>
                <w:kern w:val="0"/>
                <w:szCs w:val="21"/>
                <w:lang w:bidi="ar"/>
              </w:rPr>
            </w:pPr>
            <w:r>
              <w:rPr>
                <w:rFonts w:hint="eastAsia" w:ascii="微软雅黑" w:hAnsi="微软雅黑" w:eastAsia="微软雅黑" w:cs="微软雅黑"/>
                <w:color w:val="060A26"/>
                <w:kern w:val="0"/>
                <w:szCs w:val="21"/>
                <w:lang w:bidi="ar"/>
              </w:rPr>
              <w:t>1.2.2 医疗记录查询与病历功能完善</w:t>
            </w:r>
          </w:p>
        </w:tc>
        <w:tc>
          <w:tcPr>
            <w:tcW w:w="6572"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795EFE98">
            <w:pPr>
              <w:widowControl/>
              <w:numPr>
                <w:ilvl w:val="-1"/>
                <w:numId w:val="0"/>
              </w:numPr>
              <w:wordWrap w:val="0"/>
              <w:snapToGrid w:val="0"/>
              <w:ind w:left="0" w:firstLine="0"/>
              <w:jc w:val="left"/>
              <w:textAlignment w:val="center"/>
              <w:rPr>
                <w:rFonts w:ascii="微软雅黑" w:hAnsi="微软雅黑" w:eastAsia="微软雅黑" w:cs="微软雅黑"/>
                <w:color w:val="060A26"/>
                <w:kern w:val="0"/>
                <w:szCs w:val="21"/>
                <w:lang w:bidi="ar"/>
              </w:rPr>
            </w:pPr>
            <w:r>
              <w:rPr>
                <w:rFonts w:hint="eastAsia" w:ascii="微软雅黑" w:hAnsi="微软雅黑" w:eastAsia="微软雅黑" w:cs="微软雅黑"/>
                <w:color w:val="060A26"/>
                <w:kern w:val="0"/>
                <w:szCs w:val="21"/>
                <w:lang w:bidi="ar"/>
              </w:rPr>
              <w:t>✓ 书写病历时，同屏直接查询患者本机构和区域内外部医疗机构的主要医疗记录（包括住院病案首页、门急诊病历、诊断证明书、住院医嘱、门诊处方、检验结果、检查报告，其他医疗机构记录实现不少于 3 类）。</w:t>
            </w:r>
          </w:p>
          <w:p w14:paraId="721FEB36">
            <w:pPr>
              <w:widowControl/>
              <w:numPr>
                <w:ilvl w:val="-1"/>
                <w:numId w:val="0"/>
              </w:numPr>
              <w:wordWrap w:val="0"/>
              <w:snapToGrid w:val="0"/>
              <w:ind w:left="0" w:firstLine="0"/>
              <w:jc w:val="left"/>
              <w:textAlignment w:val="center"/>
              <w:rPr>
                <w:rFonts w:ascii="微软雅黑" w:hAnsi="微软雅黑" w:eastAsia="微软雅黑" w:cs="微软雅黑"/>
                <w:color w:val="060A26"/>
                <w:kern w:val="0"/>
                <w:szCs w:val="21"/>
                <w:lang w:bidi="ar"/>
              </w:rPr>
            </w:pPr>
            <w:r>
              <w:rPr>
                <w:rFonts w:hint="eastAsia" w:ascii="微软雅黑" w:hAnsi="微软雅黑" w:eastAsia="微软雅黑" w:cs="微软雅黑"/>
                <w:color w:val="060A26"/>
                <w:kern w:val="0"/>
                <w:szCs w:val="21"/>
                <w:lang w:bidi="ar"/>
              </w:rPr>
              <w:t>✓ 病历引用护理记录和执行记录；</w:t>
            </w:r>
          </w:p>
          <w:p w14:paraId="4F99ABC5">
            <w:pPr>
              <w:widowControl/>
              <w:numPr>
                <w:ilvl w:val="-1"/>
                <w:numId w:val="0"/>
              </w:numPr>
              <w:wordWrap w:val="0"/>
              <w:snapToGrid w:val="0"/>
              <w:ind w:left="0" w:firstLine="0"/>
              <w:jc w:val="left"/>
              <w:textAlignment w:val="center"/>
              <w:rPr>
                <w:rFonts w:hint="eastAsia" w:ascii="微软雅黑" w:hAnsi="微软雅黑" w:eastAsia="微软雅黑" w:cs="微软雅黑"/>
                <w:color w:val="060A26"/>
                <w:kern w:val="0"/>
                <w:szCs w:val="21"/>
                <w:lang w:bidi="ar"/>
              </w:rPr>
            </w:pPr>
            <w:r>
              <w:rPr>
                <w:rFonts w:hint="eastAsia" w:ascii="微软雅黑" w:hAnsi="微软雅黑" w:eastAsia="微软雅黑" w:cs="微软雅黑"/>
                <w:color w:val="060A26"/>
                <w:kern w:val="0"/>
                <w:szCs w:val="21"/>
                <w:lang w:bidi="ar"/>
              </w:rPr>
              <w:t>✓ 实现病历修改提示的痕迹显示及修改痕迹的综合统计。</w:t>
            </w:r>
          </w:p>
          <w:p w14:paraId="3645310F">
            <w:pPr>
              <w:widowControl/>
              <w:numPr>
                <w:ilvl w:val="-1"/>
                <w:numId w:val="0"/>
              </w:numPr>
              <w:wordWrap w:val="0"/>
              <w:snapToGrid w:val="0"/>
              <w:ind w:left="0" w:firstLine="0"/>
              <w:jc w:val="left"/>
              <w:textAlignment w:val="center"/>
              <w:rPr>
                <w:rFonts w:hint="eastAsia" w:ascii="微软雅黑" w:hAnsi="微软雅黑" w:eastAsia="微软雅黑" w:cs="微软雅黑"/>
                <w:color w:val="060A26"/>
                <w:kern w:val="0"/>
                <w:szCs w:val="21"/>
                <w:lang w:bidi="ar"/>
              </w:rPr>
            </w:pPr>
            <w:r>
              <w:rPr>
                <w:rFonts w:hint="eastAsia" w:ascii="微软雅黑" w:hAnsi="微软雅黑" w:eastAsia="微软雅黑" w:cs="微软雅黑"/>
                <w:color w:val="060A26"/>
                <w:kern w:val="0"/>
                <w:szCs w:val="21"/>
                <w:lang w:bidi="ar"/>
              </w:rPr>
              <w:t>✓ 完善病历结构化查询功能</w:t>
            </w:r>
          </w:p>
        </w:tc>
      </w:tr>
      <w:tr w14:paraId="2AE9182A">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jc w:val="center"/>
        </w:trPr>
        <w:tc>
          <w:tcPr>
            <w:tcW w:w="1588" w:type="dxa"/>
            <w:tcBorders>
              <w:left w:val="single" w:color="auto" w:sz="6" w:space="0"/>
              <w:right w:val="single" w:color="auto" w:sz="6" w:space="0"/>
            </w:tcBorders>
            <w:shd w:val="clear" w:color="auto" w:fill="FFFFFF"/>
            <w:tcMar>
              <w:top w:w="150" w:type="dxa"/>
              <w:left w:w="210" w:type="dxa"/>
              <w:bottom w:w="150" w:type="dxa"/>
              <w:right w:w="210" w:type="dxa"/>
            </w:tcMar>
            <w:vAlign w:val="center"/>
          </w:tcPr>
          <w:p w14:paraId="204F85FC">
            <w:pPr>
              <w:widowControl/>
              <w:wordWrap w:val="0"/>
              <w:snapToGrid w:val="0"/>
              <w:jc w:val="left"/>
              <w:textAlignment w:val="center"/>
              <w:rPr>
                <w:rFonts w:ascii="微软雅黑" w:hAnsi="微软雅黑" w:eastAsia="微软雅黑" w:cs="微软雅黑"/>
                <w:color w:val="060A26"/>
                <w:kern w:val="0"/>
                <w:szCs w:val="21"/>
                <w:lang w:bidi="ar"/>
              </w:rPr>
            </w:pPr>
          </w:p>
        </w:tc>
        <w:tc>
          <w:tcPr>
            <w:tcW w:w="1322"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159F924E">
            <w:pPr>
              <w:widowControl/>
              <w:wordWrap w:val="0"/>
              <w:snapToGrid w:val="0"/>
              <w:jc w:val="left"/>
              <w:textAlignment w:val="center"/>
              <w:rPr>
                <w:rFonts w:ascii="微软雅黑" w:hAnsi="微软雅黑" w:eastAsia="微软雅黑" w:cs="微软雅黑"/>
                <w:color w:val="060A26"/>
                <w:kern w:val="0"/>
                <w:szCs w:val="21"/>
                <w:lang w:bidi="ar"/>
              </w:rPr>
            </w:pPr>
            <w:r>
              <w:rPr>
                <w:rFonts w:hint="eastAsia" w:ascii="微软雅黑" w:hAnsi="微软雅黑" w:eastAsia="微软雅黑" w:cs="微软雅黑"/>
                <w:i w:val="0"/>
                <w:iCs w:val="0"/>
                <w:caps w:val="0"/>
                <w:color w:val="060A26"/>
                <w:spacing w:val="0"/>
                <w:kern w:val="0"/>
                <w:sz w:val="21"/>
                <w:szCs w:val="21"/>
                <w:shd w:val="clear" w:fill="auto"/>
                <w:lang w:val="en-US" w:eastAsia="zh-CN" w:bidi="ar"/>
              </w:rPr>
              <w:t>1.2.3文书数据同步</w:t>
            </w:r>
          </w:p>
        </w:tc>
        <w:tc>
          <w:tcPr>
            <w:tcW w:w="6572"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02C03A61">
            <w:pPr>
              <w:widowControl/>
              <w:numPr>
                <w:ilvl w:val="-1"/>
                <w:numId w:val="0"/>
              </w:numPr>
              <w:wordWrap w:val="0"/>
              <w:snapToGrid w:val="0"/>
              <w:ind w:left="0" w:firstLine="0"/>
              <w:jc w:val="left"/>
              <w:textAlignment w:val="center"/>
              <w:rPr>
                <w:rFonts w:ascii="微软雅黑" w:hAnsi="微软雅黑" w:eastAsia="微软雅黑" w:cs="微软雅黑"/>
                <w:color w:val="060A26"/>
                <w:kern w:val="0"/>
                <w:szCs w:val="21"/>
                <w:lang w:bidi="ar"/>
              </w:rPr>
            </w:pPr>
            <w:r>
              <w:rPr>
                <w:rFonts w:hint="eastAsia" w:ascii="微软雅黑" w:hAnsi="微软雅黑" w:eastAsia="微软雅黑" w:cs="微软雅黑"/>
                <w:i w:val="0"/>
                <w:iCs w:val="0"/>
                <w:caps w:val="0"/>
                <w:color w:val="060A26"/>
                <w:spacing w:val="0"/>
                <w:kern w:val="0"/>
                <w:sz w:val="21"/>
                <w:szCs w:val="21"/>
                <w:lang w:val="en-US" w:eastAsia="zh-CN" w:bidi="ar"/>
              </w:rPr>
              <w:t xml:space="preserve">✓ </w:t>
            </w:r>
            <w:r>
              <w:rPr>
                <w:rFonts w:hint="eastAsia" w:ascii="微软雅黑" w:hAnsi="微软雅黑" w:eastAsia="微软雅黑" w:cs="微软雅黑"/>
                <w:color w:val="060A26"/>
                <w:sz w:val="21"/>
                <w:szCs w:val="21"/>
              </w:rPr>
              <w:t>在现有文书数据同步工具基础上进行功能完善，支持对历史文书数据进行核对与同步，确保文书数据的完整性和一致性</w:t>
            </w:r>
            <w:r>
              <w:rPr>
                <w:rFonts w:hint="eastAsia" w:ascii="微软雅黑" w:hAnsi="微软雅黑" w:eastAsia="微软雅黑" w:cs="微软雅黑"/>
                <w:color w:val="060A26"/>
                <w:sz w:val="21"/>
                <w:szCs w:val="21"/>
                <w:lang w:eastAsia="zh-CN"/>
              </w:rPr>
              <w:t>，</w:t>
            </w:r>
            <w:r>
              <w:rPr>
                <w:rFonts w:hint="eastAsia" w:ascii="微软雅黑" w:hAnsi="微软雅黑" w:eastAsia="微软雅黑" w:cs="微软雅黑"/>
                <w:color w:val="060A26"/>
                <w:sz w:val="21"/>
                <w:szCs w:val="21"/>
                <w:lang w:val="en-US" w:eastAsia="zh-CN"/>
              </w:rPr>
              <w:t>按照要求完成所有历史数据的同步</w:t>
            </w:r>
            <w:r>
              <w:rPr>
                <w:rFonts w:hint="eastAsia" w:ascii="微软雅黑" w:hAnsi="微软雅黑" w:eastAsia="微软雅黑" w:cs="微软雅黑"/>
                <w:color w:val="060A26"/>
                <w:szCs w:val="21"/>
                <w:lang w:val="en-US" w:eastAsia="zh-CN"/>
              </w:rPr>
              <w:t>。</w:t>
            </w:r>
          </w:p>
        </w:tc>
      </w:tr>
      <w:tr w14:paraId="17674726">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jc w:val="center"/>
        </w:trPr>
        <w:tc>
          <w:tcPr>
            <w:tcW w:w="1588" w:type="dxa"/>
            <w:tcBorders>
              <w:left w:val="single" w:color="auto" w:sz="6" w:space="0"/>
              <w:right w:val="single" w:color="auto" w:sz="6" w:space="0"/>
            </w:tcBorders>
            <w:shd w:val="clear" w:color="auto" w:fill="FFFFFF"/>
            <w:tcMar>
              <w:top w:w="150" w:type="dxa"/>
              <w:left w:w="210" w:type="dxa"/>
              <w:bottom w:w="150" w:type="dxa"/>
              <w:right w:w="210" w:type="dxa"/>
            </w:tcMar>
            <w:vAlign w:val="center"/>
          </w:tcPr>
          <w:p w14:paraId="423A06CC">
            <w:pPr>
              <w:widowControl/>
              <w:wordWrap w:val="0"/>
              <w:snapToGrid w:val="0"/>
              <w:jc w:val="left"/>
              <w:textAlignment w:val="center"/>
              <w:rPr>
                <w:rFonts w:ascii="微软雅黑" w:hAnsi="微软雅黑" w:eastAsia="微软雅黑" w:cs="微软雅黑"/>
                <w:color w:val="060A26"/>
                <w:kern w:val="0"/>
                <w:szCs w:val="21"/>
                <w:lang w:bidi="ar"/>
              </w:rPr>
            </w:pPr>
          </w:p>
        </w:tc>
        <w:tc>
          <w:tcPr>
            <w:tcW w:w="1322"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5EFF3101">
            <w:pPr>
              <w:widowControl/>
              <w:wordWrap w:val="0"/>
              <w:snapToGrid w:val="0"/>
              <w:jc w:val="left"/>
              <w:textAlignment w:val="center"/>
              <w:rPr>
                <w:rFonts w:hint="eastAsia" w:ascii="微软雅黑" w:hAnsi="微软雅黑" w:eastAsia="微软雅黑" w:cs="微软雅黑"/>
                <w:color w:val="060A26"/>
                <w:kern w:val="0"/>
                <w:szCs w:val="21"/>
                <w:lang w:bidi="ar"/>
              </w:rPr>
            </w:pPr>
            <w:r>
              <w:rPr>
                <w:rFonts w:hint="eastAsia" w:ascii="微软雅黑" w:hAnsi="微软雅黑" w:eastAsia="微软雅黑" w:cs="微软雅黑"/>
                <w:i w:val="0"/>
                <w:iCs w:val="0"/>
                <w:caps w:val="0"/>
                <w:color w:val="060A26"/>
                <w:spacing w:val="0"/>
                <w:kern w:val="0"/>
                <w:sz w:val="21"/>
                <w:szCs w:val="21"/>
                <w:shd w:val="clear" w:fill="auto"/>
                <w:lang w:val="en-US" w:eastAsia="zh-CN" w:bidi="ar"/>
              </w:rPr>
              <w:t>1.2.4完善文书书写功能</w:t>
            </w:r>
          </w:p>
        </w:tc>
        <w:tc>
          <w:tcPr>
            <w:tcW w:w="6572"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7DB5EC83">
            <w:pPr>
              <w:widowControl/>
              <w:numPr>
                <w:ilvl w:val="-1"/>
                <w:numId w:val="0"/>
              </w:numPr>
              <w:wordWrap w:val="0"/>
              <w:snapToGrid w:val="0"/>
              <w:ind w:left="0" w:firstLine="0"/>
              <w:jc w:val="left"/>
              <w:textAlignment w:val="center"/>
              <w:rPr>
                <w:rFonts w:hint="eastAsia" w:ascii="微软雅黑" w:hAnsi="微软雅黑" w:eastAsia="微软雅黑" w:cs="微软雅黑"/>
                <w:color w:val="060A26"/>
                <w:kern w:val="0"/>
                <w:szCs w:val="21"/>
                <w:lang w:bidi="ar"/>
              </w:rPr>
            </w:pPr>
            <w:r>
              <w:rPr>
                <w:rFonts w:hint="eastAsia" w:ascii="微软雅黑" w:hAnsi="微软雅黑" w:eastAsia="微软雅黑" w:cs="微软雅黑"/>
                <w:color w:val="060A26"/>
                <w:kern w:val="0"/>
                <w:szCs w:val="21"/>
                <w:lang w:bidi="ar"/>
              </w:rPr>
              <w:t>✓ 为解决文书书写过程中多窗口同时打开导致的内容覆盖和冲突问题，系统应支持文书编辑冲突提示机制。当同一份文书被不同用户或不同窗口同时修改时，能够通过实时消息方式提示用户相关修改情况，引导用户及时刷新或处理文书内容，避免数据覆盖。</w:t>
            </w:r>
          </w:p>
          <w:p w14:paraId="0D1121FB">
            <w:pPr>
              <w:widowControl/>
              <w:numPr>
                <w:ilvl w:val="-1"/>
                <w:numId w:val="0"/>
              </w:numPr>
              <w:wordWrap w:val="0"/>
              <w:snapToGrid w:val="0"/>
              <w:ind w:left="0" w:firstLine="0"/>
              <w:jc w:val="left"/>
              <w:textAlignment w:val="center"/>
              <w:rPr>
                <w:rFonts w:hint="eastAsia" w:ascii="微软雅黑" w:hAnsi="微软雅黑" w:eastAsia="微软雅黑" w:cs="微软雅黑"/>
                <w:color w:val="060A26"/>
                <w:kern w:val="0"/>
                <w:szCs w:val="21"/>
                <w:lang w:bidi="ar"/>
              </w:rPr>
            </w:pPr>
            <w:r>
              <w:rPr>
                <w:rFonts w:hint="eastAsia" w:ascii="微软雅黑" w:hAnsi="微软雅黑" w:eastAsia="微软雅黑" w:cs="微软雅黑"/>
                <w:color w:val="060A26"/>
                <w:kern w:val="0"/>
                <w:szCs w:val="21"/>
                <w:lang w:bidi="ar"/>
              </w:rPr>
              <w:t>✓ 书写输血记录时，可勾选输血医嘱，实现输血闭环。</w:t>
            </w:r>
          </w:p>
          <w:p w14:paraId="3D7552E3">
            <w:pPr>
              <w:widowControl/>
              <w:numPr>
                <w:ilvl w:val="-1"/>
                <w:numId w:val="0"/>
              </w:numPr>
              <w:wordWrap w:val="0"/>
              <w:snapToGrid w:val="0"/>
              <w:ind w:left="0" w:firstLine="0"/>
              <w:jc w:val="left"/>
              <w:textAlignment w:val="center"/>
              <w:rPr>
                <w:rFonts w:hint="eastAsia" w:ascii="微软雅黑" w:hAnsi="微软雅黑" w:eastAsia="微软雅黑" w:cs="微软雅黑"/>
                <w:color w:val="060A26"/>
                <w:kern w:val="0"/>
                <w:szCs w:val="21"/>
                <w:lang w:bidi="ar"/>
              </w:rPr>
            </w:pPr>
            <w:r>
              <w:rPr>
                <w:rFonts w:hint="eastAsia" w:ascii="微软雅黑" w:hAnsi="微软雅黑" w:eastAsia="微软雅黑" w:cs="微软雅黑"/>
                <w:color w:val="060A26"/>
                <w:kern w:val="0"/>
                <w:szCs w:val="21"/>
                <w:lang w:bidi="ar"/>
              </w:rPr>
              <w:t>✓ 医生可在书写</w:t>
            </w:r>
            <w:r>
              <w:rPr>
                <w:rFonts w:hint="eastAsia" w:ascii="微软雅黑" w:hAnsi="微软雅黑" w:eastAsia="微软雅黑" w:cs="微软雅黑"/>
                <w:color w:val="060A26"/>
                <w:kern w:val="0"/>
                <w:szCs w:val="21"/>
                <w:lang w:val="en-US" w:eastAsia="zh-CN" w:bidi="ar"/>
              </w:rPr>
              <w:t>文书</w:t>
            </w:r>
            <w:r>
              <w:rPr>
                <w:rFonts w:hint="eastAsia" w:ascii="微软雅黑" w:hAnsi="微软雅黑" w:eastAsia="微软雅黑" w:cs="微软雅黑"/>
                <w:color w:val="060A26"/>
                <w:kern w:val="0"/>
                <w:szCs w:val="21"/>
                <w:lang w:bidi="ar"/>
              </w:rPr>
              <w:t>时引用相关医嘱内容；</w:t>
            </w:r>
          </w:p>
          <w:p w14:paraId="7C73B53A">
            <w:pPr>
              <w:widowControl/>
              <w:numPr>
                <w:ilvl w:val="-1"/>
                <w:numId w:val="0"/>
              </w:numPr>
              <w:wordWrap w:val="0"/>
              <w:snapToGrid w:val="0"/>
              <w:ind w:left="0" w:firstLine="0"/>
              <w:jc w:val="left"/>
              <w:textAlignment w:val="center"/>
              <w:rPr>
                <w:rFonts w:hint="eastAsia" w:ascii="微软雅黑" w:hAnsi="微软雅黑" w:eastAsia="微软雅黑" w:cs="微软雅黑"/>
                <w:color w:val="060A26"/>
                <w:kern w:val="0"/>
                <w:szCs w:val="21"/>
                <w:lang w:bidi="ar"/>
              </w:rPr>
            </w:pPr>
            <w:r>
              <w:rPr>
                <w:rFonts w:hint="eastAsia" w:ascii="微软雅黑" w:hAnsi="微软雅黑" w:eastAsia="微软雅黑" w:cs="微软雅黑"/>
                <w:color w:val="060A26"/>
                <w:kern w:val="0"/>
                <w:szCs w:val="21"/>
                <w:lang w:bidi="ar"/>
              </w:rPr>
              <w:t>✓ 支持住院病历 1-5 批量生成或一键合并生成，减少重复点击操作</w:t>
            </w:r>
          </w:p>
        </w:tc>
      </w:tr>
      <w:tr w14:paraId="76456408">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jc w:val="center"/>
        </w:trPr>
        <w:tc>
          <w:tcPr>
            <w:tcW w:w="1588" w:type="dxa"/>
            <w:tcBorders>
              <w:left w:val="single" w:color="auto" w:sz="6" w:space="0"/>
              <w:right w:val="single" w:color="auto" w:sz="6" w:space="0"/>
            </w:tcBorders>
            <w:shd w:val="clear" w:color="auto" w:fill="FFFFFF"/>
            <w:tcMar>
              <w:top w:w="150" w:type="dxa"/>
              <w:left w:w="210" w:type="dxa"/>
              <w:bottom w:w="150" w:type="dxa"/>
              <w:right w:w="210" w:type="dxa"/>
            </w:tcMar>
            <w:vAlign w:val="center"/>
          </w:tcPr>
          <w:p w14:paraId="71FE4ED2">
            <w:pPr>
              <w:widowControl/>
              <w:wordWrap w:val="0"/>
              <w:snapToGrid w:val="0"/>
              <w:jc w:val="left"/>
              <w:textAlignment w:val="center"/>
              <w:rPr>
                <w:rFonts w:ascii="微软雅黑" w:hAnsi="微软雅黑" w:eastAsia="微软雅黑" w:cs="微软雅黑"/>
                <w:color w:val="060A26"/>
                <w:kern w:val="0"/>
                <w:szCs w:val="21"/>
                <w:lang w:bidi="ar"/>
              </w:rPr>
            </w:pPr>
          </w:p>
        </w:tc>
        <w:tc>
          <w:tcPr>
            <w:tcW w:w="1322"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3C0CCF89">
            <w:pPr>
              <w:widowControl/>
              <w:wordWrap w:val="0"/>
              <w:snapToGrid w:val="0"/>
              <w:jc w:val="left"/>
              <w:textAlignment w:val="center"/>
              <w:rPr>
                <w:rFonts w:hint="default" w:ascii="微软雅黑" w:hAnsi="微软雅黑" w:eastAsia="微软雅黑" w:cs="微软雅黑"/>
                <w:color w:val="060A26"/>
                <w:kern w:val="0"/>
                <w:szCs w:val="21"/>
                <w:lang w:val="en-US" w:eastAsia="zh-CN" w:bidi="ar"/>
              </w:rPr>
            </w:pPr>
            <w:r>
              <w:rPr>
                <w:rFonts w:hint="eastAsia" w:ascii="微软雅黑" w:hAnsi="微软雅黑" w:eastAsia="微软雅黑" w:cs="微软雅黑"/>
                <w:color w:val="060A26"/>
                <w:kern w:val="0"/>
                <w:szCs w:val="21"/>
                <w:lang w:bidi="ar"/>
              </w:rPr>
              <w:t>1.2.</w:t>
            </w:r>
            <w:r>
              <w:rPr>
                <w:rFonts w:hint="eastAsia" w:ascii="微软雅黑" w:hAnsi="微软雅黑" w:eastAsia="微软雅黑" w:cs="微软雅黑"/>
                <w:color w:val="060A26"/>
                <w:kern w:val="0"/>
                <w:szCs w:val="21"/>
                <w:lang w:val="en-US" w:eastAsia="zh-CN" w:bidi="ar"/>
              </w:rPr>
              <w:t>5纸质病历拍摄</w:t>
            </w:r>
          </w:p>
        </w:tc>
        <w:tc>
          <w:tcPr>
            <w:tcW w:w="6572"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69585FC6">
            <w:pPr>
              <w:widowControl/>
              <w:wordWrap w:val="0"/>
              <w:snapToGrid w:val="0"/>
              <w:jc w:val="left"/>
              <w:textAlignment w:val="center"/>
              <w:rPr>
                <w:rFonts w:hint="eastAsia" w:ascii="微软雅黑" w:hAnsi="微软雅黑" w:eastAsia="微软雅黑" w:cs="微软雅黑"/>
                <w:color w:val="060A26"/>
                <w:kern w:val="0"/>
                <w:szCs w:val="21"/>
                <w:lang w:bidi="ar"/>
              </w:rPr>
            </w:pPr>
            <w:r>
              <w:rPr>
                <w:rFonts w:hint="eastAsia" w:ascii="微软雅黑" w:hAnsi="微软雅黑" w:eastAsia="微软雅黑" w:cs="微软雅黑"/>
                <w:color w:val="060A26"/>
                <w:kern w:val="0"/>
                <w:szCs w:val="21"/>
                <w:lang w:bidi="ar"/>
              </w:rPr>
              <w:t>✓ 对现有纸质病历拍摄系统进行架构升级，将原 C/S（PB 语言）架构改造为 B/S 架构。系统建设范围包括纸质病历拍摄功能界面和病历质控信息查询界面</w:t>
            </w:r>
            <w:r>
              <w:rPr>
                <w:rFonts w:hint="eastAsia" w:ascii="微软雅黑" w:hAnsi="微软雅黑" w:eastAsia="微软雅黑" w:cs="微软雅黑"/>
                <w:color w:val="060A26"/>
                <w:kern w:val="0"/>
                <w:szCs w:val="21"/>
                <w:lang w:eastAsia="zh-CN" w:bidi="ar"/>
              </w:rPr>
              <w:t>（</w:t>
            </w:r>
            <w:r>
              <w:rPr>
                <w:rFonts w:hint="eastAsia" w:ascii="微软雅黑" w:hAnsi="微软雅黑" w:eastAsia="微软雅黑" w:cs="微软雅黑"/>
                <w:color w:val="060A26"/>
                <w:kern w:val="0"/>
                <w:szCs w:val="21"/>
                <w:lang w:val="en-US" w:eastAsia="zh-CN" w:bidi="ar"/>
              </w:rPr>
              <w:t>具体功能见附件1</w:t>
            </w:r>
            <w:r>
              <w:rPr>
                <w:rFonts w:hint="eastAsia" w:ascii="微软雅黑" w:hAnsi="微软雅黑" w:eastAsia="微软雅黑" w:cs="微软雅黑"/>
                <w:color w:val="060A26"/>
                <w:kern w:val="0"/>
                <w:szCs w:val="21"/>
                <w:lang w:eastAsia="zh-CN" w:bidi="ar"/>
              </w:rPr>
              <w:t>）</w:t>
            </w:r>
            <w:r>
              <w:rPr>
                <w:rFonts w:hint="eastAsia" w:ascii="微软雅黑" w:hAnsi="微软雅黑" w:eastAsia="微软雅黑" w:cs="微软雅黑"/>
                <w:color w:val="060A26"/>
                <w:kern w:val="0"/>
                <w:szCs w:val="21"/>
                <w:lang w:bidi="ar"/>
              </w:rPr>
              <w:t>，支持相关业务功能的平稳迁移与使用。</w:t>
            </w:r>
          </w:p>
          <w:p w14:paraId="6E6D261C">
            <w:pPr>
              <w:widowControl/>
              <w:wordWrap w:val="0"/>
              <w:snapToGrid w:val="0"/>
              <w:jc w:val="left"/>
              <w:textAlignment w:val="center"/>
              <w:rPr>
                <w:rFonts w:ascii="微软雅黑" w:hAnsi="微软雅黑" w:eastAsia="微软雅黑" w:cs="微软雅黑"/>
                <w:color w:val="060A26"/>
                <w:kern w:val="0"/>
                <w:szCs w:val="21"/>
                <w:lang w:bidi="ar"/>
              </w:rPr>
            </w:pPr>
            <w:r>
              <w:rPr>
                <w:rFonts w:hint="eastAsia" w:ascii="微软雅黑" w:hAnsi="微软雅黑" w:eastAsia="微软雅黑" w:cs="微软雅黑"/>
                <w:color w:val="060A26"/>
                <w:kern w:val="0"/>
                <w:szCs w:val="21"/>
                <w:lang w:bidi="ar"/>
              </w:rPr>
              <w:t>✓ 系统支持与电子病历系统、护理平台</w:t>
            </w:r>
            <w:r>
              <w:rPr>
                <w:rFonts w:hint="eastAsia" w:ascii="微软雅黑" w:hAnsi="微软雅黑" w:eastAsia="微软雅黑" w:cs="微软雅黑"/>
                <w:color w:val="060A26"/>
                <w:kern w:val="0"/>
                <w:szCs w:val="21"/>
                <w:lang w:val="en-US" w:eastAsia="zh-CN" w:bidi="ar"/>
              </w:rPr>
              <w:t>等</w:t>
            </w:r>
            <w:r>
              <w:rPr>
                <w:rFonts w:hint="eastAsia" w:ascii="微软雅黑" w:hAnsi="微软雅黑" w:eastAsia="微软雅黑" w:cs="微软雅黑"/>
                <w:color w:val="060A26"/>
                <w:kern w:val="0"/>
                <w:szCs w:val="21"/>
                <w:lang w:bidi="ar"/>
              </w:rPr>
              <w:t>系统通过Token认证方式进行对接，实现统一身份认证，并支持以嵌入或链接跳转的方式在相关业务系统中使用。</w:t>
            </w:r>
          </w:p>
        </w:tc>
      </w:tr>
      <w:tr w14:paraId="53898B6C">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jc w:val="center"/>
        </w:trPr>
        <w:tc>
          <w:tcPr>
            <w:tcW w:w="1588" w:type="dxa"/>
            <w:tcBorders>
              <w:left w:val="single" w:color="auto" w:sz="6" w:space="0"/>
              <w:right w:val="single" w:color="auto" w:sz="6" w:space="0"/>
            </w:tcBorders>
            <w:shd w:val="clear" w:color="auto" w:fill="FFFFFF"/>
            <w:tcMar>
              <w:top w:w="150" w:type="dxa"/>
              <w:left w:w="210" w:type="dxa"/>
              <w:bottom w:w="150" w:type="dxa"/>
              <w:right w:w="210" w:type="dxa"/>
            </w:tcMar>
            <w:vAlign w:val="center"/>
          </w:tcPr>
          <w:p w14:paraId="0E088F07">
            <w:pPr>
              <w:widowControl/>
              <w:wordWrap w:val="0"/>
              <w:snapToGrid w:val="0"/>
              <w:jc w:val="left"/>
              <w:textAlignment w:val="center"/>
              <w:rPr>
                <w:rFonts w:ascii="微软雅黑" w:hAnsi="微软雅黑" w:eastAsia="微软雅黑" w:cs="微软雅黑"/>
                <w:color w:val="060A26"/>
                <w:kern w:val="0"/>
                <w:szCs w:val="21"/>
                <w:lang w:bidi="ar"/>
              </w:rPr>
            </w:pPr>
          </w:p>
        </w:tc>
        <w:tc>
          <w:tcPr>
            <w:tcW w:w="1322"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64E7B8EE">
            <w:pPr>
              <w:widowControl/>
              <w:wordWrap w:val="0"/>
              <w:snapToGrid w:val="0"/>
              <w:jc w:val="left"/>
              <w:textAlignment w:val="center"/>
              <w:rPr>
                <w:rFonts w:hint="eastAsia" w:ascii="微软雅黑" w:hAnsi="微软雅黑" w:eastAsia="微软雅黑" w:cs="微软雅黑"/>
                <w:color w:val="060A26"/>
                <w:kern w:val="0"/>
                <w:szCs w:val="21"/>
                <w:lang w:bidi="ar"/>
              </w:rPr>
            </w:pPr>
            <w:r>
              <w:rPr>
                <w:rFonts w:hint="eastAsia" w:ascii="微软雅黑" w:hAnsi="微软雅黑" w:eastAsia="微软雅黑" w:cs="微软雅黑"/>
                <w:color w:val="060A26"/>
                <w:kern w:val="0"/>
                <w:szCs w:val="21"/>
                <w:lang w:val="en-US" w:eastAsia="zh-CN" w:bidi="ar"/>
              </w:rPr>
              <w:t>1.2.6实现在移动平板书写文书</w:t>
            </w:r>
          </w:p>
        </w:tc>
        <w:tc>
          <w:tcPr>
            <w:tcW w:w="6572"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6698CD17">
            <w:pPr>
              <w:widowControl/>
              <w:wordWrap w:val="0"/>
              <w:snapToGrid w:val="0"/>
              <w:jc w:val="left"/>
              <w:textAlignment w:val="center"/>
              <w:rPr>
                <w:rFonts w:hint="default" w:ascii="微软雅黑" w:hAnsi="微软雅黑" w:eastAsia="微软雅黑" w:cs="微软雅黑"/>
                <w:color w:val="060A26"/>
                <w:kern w:val="0"/>
                <w:szCs w:val="21"/>
                <w:lang w:bidi="ar"/>
              </w:rPr>
            </w:pPr>
            <w:r>
              <w:rPr>
                <w:rFonts w:hint="default" w:ascii="微软雅黑" w:hAnsi="微软雅黑" w:eastAsia="微软雅黑" w:cs="微软雅黑"/>
                <w:color w:val="060A26"/>
                <w:kern w:val="0"/>
                <w:szCs w:val="21"/>
                <w:lang w:bidi="ar"/>
              </w:rPr>
              <w:t>✓ 基于电子病历文书功能，实现移动端适配，支持在平板设备上完成手术台上物品清点单等手术相关文书的书写。</w:t>
            </w:r>
          </w:p>
          <w:p w14:paraId="5D41F9F3">
            <w:pPr>
              <w:widowControl/>
              <w:wordWrap w:val="0"/>
              <w:snapToGrid w:val="0"/>
              <w:jc w:val="left"/>
              <w:textAlignment w:val="center"/>
              <w:rPr>
                <w:rFonts w:hint="default" w:ascii="微软雅黑" w:hAnsi="微软雅黑" w:eastAsia="微软雅黑" w:cs="微软雅黑"/>
                <w:color w:val="060A26"/>
                <w:kern w:val="0"/>
                <w:szCs w:val="21"/>
                <w:lang w:bidi="ar"/>
              </w:rPr>
            </w:pPr>
          </w:p>
          <w:p w14:paraId="34A01711">
            <w:pPr>
              <w:widowControl/>
              <w:wordWrap w:val="0"/>
              <w:snapToGrid w:val="0"/>
              <w:jc w:val="left"/>
              <w:textAlignment w:val="center"/>
              <w:rPr>
                <w:rFonts w:hint="default" w:ascii="微软雅黑" w:hAnsi="微软雅黑" w:eastAsia="微软雅黑" w:cs="微软雅黑"/>
                <w:color w:val="060A26"/>
                <w:kern w:val="0"/>
                <w:szCs w:val="21"/>
                <w:lang w:bidi="ar"/>
              </w:rPr>
            </w:pPr>
            <w:r>
              <w:rPr>
                <w:rFonts w:hint="eastAsia" w:ascii="微软雅黑" w:hAnsi="微软雅黑" w:eastAsia="微软雅黑" w:cs="微软雅黑"/>
                <w:color w:val="060A26"/>
                <w:kern w:val="0"/>
                <w:szCs w:val="21"/>
                <w:lang w:val="en-US" w:eastAsia="zh-CN" w:bidi="ar"/>
              </w:rPr>
              <w:t>1、</w:t>
            </w:r>
            <w:r>
              <w:rPr>
                <w:rFonts w:hint="default" w:ascii="微软雅黑" w:hAnsi="微软雅黑" w:eastAsia="微软雅黑" w:cs="微软雅黑"/>
                <w:color w:val="060A26"/>
                <w:kern w:val="0"/>
                <w:szCs w:val="21"/>
                <w:lang w:bidi="ar"/>
              </w:rPr>
              <w:t>权限与使用范围</w:t>
            </w:r>
          </w:p>
          <w:p w14:paraId="4D9EA7A1">
            <w:pPr>
              <w:widowControl/>
              <w:wordWrap w:val="0"/>
              <w:snapToGrid w:val="0"/>
              <w:jc w:val="left"/>
              <w:textAlignment w:val="center"/>
              <w:rPr>
                <w:rFonts w:hint="default" w:ascii="微软雅黑" w:hAnsi="微软雅黑" w:eastAsia="微软雅黑" w:cs="微软雅黑"/>
                <w:color w:val="060A26"/>
                <w:kern w:val="0"/>
                <w:szCs w:val="21"/>
                <w:lang w:bidi="ar"/>
              </w:rPr>
            </w:pPr>
            <w:r>
              <w:rPr>
                <w:rFonts w:hint="default" w:ascii="微软雅黑" w:hAnsi="微软雅黑" w:eastAsia="微软雅黑" w:cs="微软雅黑"/>
                <w:color w:val="060A26"/>
                <w:kern w:val="0"/>
                <w:szCs w:val="21"/>
                <w:lang w:bidi="ar"/>
              </w:rPr>
              <w:t>支持手麻护士及麻醉医师通过平板登录系统，并具备相应操作权限。用户可查看及编辑近10日内已开具手术申请单患者的手术文书，包括：手术安全核查表、手术风险评估表、手术台上物品清点单、手术安全转运交接单及术前准备单。</w:t>
            </w:r>
          </w:p>
          <w:p w14:paraId="514DADFF">
            <w:pPr>
              <w:widowControl/>
              <w:wordWrap w:val="0"/>
              <w:snapToGrid w:val="0"/>
              <w:jc w:val="left"/>
              <w:textAlignment w:val="center"/>
              <w:rPr>
                <w:rFonts w:hint="default" w:ascii="微软雅黑" w:hAnsi="微软雅黑" w:eastAsia="微软雅黑" w:cs="微软雅黑"/>
                <w:color w:val="060A26"/>
                <w:kern w:val="0"/>
                <w:szCs w:val="21"/>
                <w:lang w:bidi="ar"/>
              </w:rPr>
            </w:pPr>
            <w:r>
              <w:rPr>
                <w:rFonts w:hint="eastAsia" w:ascii="微软雅黑" w:hAnsi="微软雅黑" w:eastAsia="微软雅黑" w:cs="微软雅黑"/>
                <w:color w:val="060A26"/>
                <w:kern w:val="0"/>
                <w:szCs w:val="21"/>
                <w:lang w:val="en-US" w:eastAsia="zh-CN" w:bidi="ar"/>
              </w:rPr>
              <w:t>2、</w:t>
            </w:r>
            <w:r>
              <w:rPr>
                <w:rFonts w:hint="default" w:ascii="微软雅黑" w:hAnsi="微软雅黑" w:eastAsia="微软雅黑" w:cs="微软雅黑"/>
                <w:color w:val="060A26"/>
                <w:kern w:val="0"/>
                <w:szCs w:val="21"/>
                <w:lang w:bidi="ar"/>
              </w:rPr>
              <w:t>患者检索与文书操作</w:t>
            </w:r>
          </w:p>
          <w:p w14:paraId="38522DB5">
            <w:pPr>
              <w:widowControl/>
              <w:wordWrap w:val="0"/>
              <w:snapToGrid w:val="0"/>
              <w:jc w:val="left"/>
              <w:textAlignment w:val="center"/>
              <w:rPr>
                <w:rFonts w:hint="eastAsia" w:ascii="微软雅黑" w:hAnsi="微软雅黑" w:eastAsia="微软雅黑" w:cs="微软雅黑"/>
                <w:color w:val="060A26"/>
                <w:kern w:val="0"/>
                <w:szCs w:val="21"/>
                <w:lang w:bidi="ar"/>
              </w:rPr>
            </w:pPr>
            <w:r>
              <w:rPr>
                <w:rFonts w:hint="default" w:ascii="微软雅黑" w:hAnsi="微软雅黑" w:eastAsia="微软雅黑" w:cs="微软雅黑"/>
                <w:color w:val="060A26"/>
                <w:kern w:val="0"/>
                <w:szCs w:val="21"/>
                <w:lang w:bidi="ar"/>
              </w:rPr>
              <w:t>登录后支持通过住院号或姓名检索患者信息，并展示当日手术患者列表（卡片或列表形式）。列表信息包括：患者姓名、住院号、手术间号、当前住院科室、手术名称及拟开始时间。点击患者后，可选择新建相应手术文书。文书模板支持按需求灵活配置，并根据科室要求实现数据同步及自动计算逻辑</w:t>
            </w:r>
          </w:p>
        </w:tc>
      </w:tr>
      <w:tr w14:paraId="7568CC19">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jc w:val="center"/>
        </w:trPr>
        <w:tc>
          <w:tcPr>
            <w:tcW w:w="1588" w:type="dxa"/>
            <w:tcBorders>
              <w:left w:val="single" w:color="auto" w:sz="6" w:space="0"/>
              <w:right w:val="single" w:color="auto" w:sz="6" w:space="0"/>
            </w:tcBorders>
            <w:shd w:val="clear" w:color="auto" w:fill="FFFFFF"/>
            <w:tcMar>
              <w:top w:w="150" w:type="dxa"/>
              <w:left w:w="210" w:type="dxa"/>
              <w:bottom w:w="150" w:type="dxa"/>
              <w:right w:w="210" w:type="dxa"/>
            </w:tcMar>
            <w:vAlign w:val="center"/>
          </w:tcPr>
          <w:p w14:paraId="174E7BE6">
            <w:pPr>
              <w:widowControl/>
              <w:wordWrap w:val="0"/>
              <w:snapToGrid w:val="0"/>
              <w:jc w:val="left"/>
              <w:textAlignment w:val="center"/>
              <w:rPr>
                <w:rFonts w:ascii="微软雅黑" w:hAnsi="微软雅黑" w:eastAsia="微软雅黑" w:cs="微软雅黑"/>
                <w:color w:val="060A26"/>
                <w:kern w:val="0"/>
                <w:szCs w:val="21"/>
                <w:lang w:bidi="ar"/>
              </w:rPr>
            </w:pPr>
          </w:p>
        </w:tc>
        <w:tc>
          <w:tcPr>
            <w:tcW w:w="1322"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3D4B376C">
            <w:pPr>
              <w:widowControl/>
              <w:wordWrap w:val="0"/>
              <w:snapToGrid w:val="0"/>
              <w:jc w:val="left"/>
              <w:textAlignment w:val="center"/>
              <w:rPr>
                <w:rFonts w:hint="default" w:ascii="微软雅黑" w:hAnsi="微软雅黑" w:eastAsia="微软雅黑" w:cs="微软雅黑"/>
                <w:color w:val="060A26"/>
                <w:kern w:val="0"/>
                <w:szCs w:val="21"/>
                <w:lang w:val="en-US" w:eastAsia="zh-CN" w:bidi="ar"/>
              </w:rPr>
            </w:pPr>
            <w:r>
              <w:rPr>
                <w:rFonts w:hint="eastAsia" w:ascii="微软雅黑" w:hAnsi="微软雅黑" w:eastAsia="微软雅黑" w:cs="微软雅黑"/>
                <w:color w:val="060A26"/>
                <w:kern w:val="0"/>
                <w:szCs w:val="21"/>
                <w:lang w:bidi="ar"/>
              </w:rPr>
              <w:t>1.2.</w:t>
            </w:r>
            <w:r>
              <w:rPr>
                <w:rFonts w:hint="eastAsia" w:ascii="微软雅黑" w:hAnsi="微软雅黑" w:eastAsia="微软雅黑" w:cs="微软雅黑"/>
                <w:color w:val="060A26"/>
                <w:kern w:val="0"/>
                <w:szCs w:val="21"/>
                <w:lang w:val="en-US" w:eastAsia="zh-CN" w:bidi="ar"/>
              </w:rPr>
              <w:t>7</w:t>
            </w:r>
            <w:r>
              <w:rPr>
                <w:rFonts w:hint="eastAsia" w:ascii="微软雅黑" w:hAnsi="微软雅黑" w:eastAsia="微软雅黑" w:cs="微软雅黑"/>
                <w:color w:val="060A26"/>
                <w:kern w:val="0"/>
                <w:szCs w:val="21"/>
                <w:lang w:bidi="ar"/>
              </w:rPr>
              <w:t>对接需求</w:t>
            </w:r>
          </w:p>
        </w:tc>
        <w:tc>
          <w:tcPr>
            <w:tcW w:w="6572"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3EA2B1BA">
            <w:pPr>
              <w:widowControl/>
              <w:wordWrap w:val="0"/>
              <w:snapToGrid w:val="0"/>
              <w:jc w:val="left"/>
              <w:textAlignment w:val="center"/>
              <w:rPr>
                <w:rFonts w:ascii="微软雅黑" w:hAnsi="微软雅黑" w:eastAsia="微软雅黑" w:cs="微软雅黑"/>
                <w:color w:val="060A26"/>
                <w:kern w:val="0"/>
                <w:szCs w:val="21"/>
                <w:lang w:bidi="ar"/>
              </w:rPr>
            </w:pPr>
            <w:r>
              <w:rPr>
                <w:rFonts w:hint="eastAsia" w:ascii="微软雅黑" w:hAnsi="微软雅黑" w:eastAsia="微软雅黑" w:cs="微软雅黑"/>
                <w:color w:val="060A26"/>
                <w:kern w:val="0"/>
                <w:szCs w:val="21"/>
                <w:lang w:bidi="ar"/>
              </w:rPr>
              <w:t>✓ 配合HIS系统改造，完成相关系统接口开发、对接及页面改造工作。</w:t>
            </w:r>
          </w:p>
          <w:p w14:paraId="662B5485">
            <w:pPr>
              <w:widowControl/>
              <w:wordWrap w:val="0"/>
              <w:snapToGrid w:val="0"/>
              <w:jc w:val="left"/>
              <w:textAlignment w:val="center"/>
              <w:rPr>
                <w:rFonts w:hint="eastAsia" w:ascii="微软雅黑" w:hAnsi="微软雅黑" w:eastAsia="微软雅黑" w:cs="微软雅黑"/>
                <w:color w:val="060A26"/>
                <w:kern w:val="0"/>
                <w:szCs w:val="21"/>
                <w:lang w:bidi="ar"/>
              </w:rPr>
            </w:pPr>
            <w:r>
              <w:rPr>
                <w:rFonts w:hint="eastAsia" w:ascii="微软雅黑" w:hAnsi="微软雅黑" w:eastAsia="微软雅黑" w:cs="微软雅黑"/>
                <w:color w:val="060A26"/>
                <w:kern w:val="0"/>
                <w:szCs w:val="21"/>
                <w:lang w:bidi="ar"/>
              </w:rPr>
              <w:t>✓ 患者主索引接口：对接集成平台患者主索引信息，包括患者唯一标识、基本信息等，支持调取集成平台的患者身份标识，实现各业务系统间患者信息的共享和关联。</w:t>
            </w:r>
          </w:p>
        </w:tc>
      </w:tr>
      <w:tr w14:paraId="2C612745">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jc w:val="center"/>
        </w:trPr>
        <w:tc>
          <w:tcPr>
            <w:tcW w:w="1588" w:type="dxa"/>
            <w:tcBorders>
              <w:left w:val="single" w:color="auto" w:sz="6" w:space="0"/>
              <w:right w:val="single" w:color="auto" w:sz="6" w:space="0"/>
            </w:tcBorders>
            <w:shd w:val="clear" w:color="auto" w:fill="FFFFFF"/>
            <w:tcMar>
              <w:top w:w="150" w:type="dxa"/>
              <w:left w:w="210" w:type="dxa"/>
              <w:bottom w:w="150" w:type="dxa"/>
              <w:right w:w="210" w:type="dxa"/>
            </w:tcMar>
            <w:vAlign w:val="center"/>
          </w:tcPr>
          <w:p w14:paraId="2636E2F1">
            <w:pPr>
              <w:widowControl/>
              <w:wordWrap w:val="0"/>
              <w:snapToGrid w:val="0"/>
              <w:jc w:val="left"/>
              <w:textAlignment w:val="center"/>
              <w:rPr>
                <w:rFonts w:ascii="微软雅黑" w:hAnsi="微软雅黑" w:eastAsia="微软雅黑" w:cs="微软雅黑"/>
                <w:color w:val="060A26"/>
                <w:kern w:val="0"/>
                <w:szCs w:val="21"/>
                <w:lang w:bidi="ar"/>
              </w:rPr>
            </w:pPr>
            <w:bookmarkStart w:id="250" w:name="_Toc15078"/>
            <w:bookmarkStart w:id="251" w:name="_Toc26077"/>
          </w:p>
        </w:tc>
        <w:tc>
          <w:tcPr>
            <w:tcW w:w="1322"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51301C1E">
            <w:pPr>
              <w:widowControl/>
              <w:wordWrap w:val="0"/>
              <w:snapToGrid w:val="0"/>
              <w:jc w:val="left"/>
              <w:textAlignment w:val="center"/>
              <w:rPr>
                <w:rFonts w:hint="default" w:ascii="微软雅黑" w:hAnsi="微软雅黑" w:eastAsia="微软雅黑" w:cs="微软雅黑"/>
                <w:color w:val="060A26"/>
                <w:kern w:val="0"/>
                <w:szCs w:val="21"/>
                <w:lang w:val="en-US" w:eastAsia="zh-CN" w:bidi="ar"/>
              </w:rPr>
            </w:pPr>
            <w:r>
              <w:rPr>
                <w:rFonts w:hint="eastAsia" w:ascii="微软雅黑" w:hAnsi="微软雅黑" w:eastAsia="微软雅黑" w:cs="微软雅黑"/>
                <w:color w:val="060A26"/>
                <w:kern w:val="0"/>
                <w:szCs w:val="21"/>
                <w:lang w:val="en-US" w:eastAsia="zh-CN" w:bidi="ar"/>
              </w:rPr>
              <w:t>1.2.8</w:t>
            </w:r>
            <w:r>
              <w:rPr>
                <w:rFonts w:hint="default" w:ascii="微软雅黑" w:hAnsi="微软雅黑" w:eastAsia="微软雅黑" w:cs="微软雅黑"/>
                <w:color w:val="060A26"/>
                <w:kern w:val="0"/>
                <w:szCs w:val="21"/>
                <w:lang w:val="en-US" w:eastAsia="zh-CN" w:bidi="ar"/>
              </w:rPr>
              <w:t>升级技术架构和依赖组件</w:t>
            </w:r>
          </w:p>
        </w:tc>
        <w:tc>
          <w:tcPr>
            <w:tcW w:w="6572"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3C393DEC">
            <w:pPr>
              <w:widowControl/>
              <w:wordWrap w:val="0"/>
              <w:snapToGrid w:val="0"/>
              <w:jc w:val="left"/>
              <w:textAlignment w:val="center"/>
              <w:rPr>
                <w:rFonts w:hint="eastAsia" w:ascii="微软雅黑" w:hAnsi="微软雅黑" w:eastAsia="微软雅黑" w:cs="微软雅黑"/>
                <w:color w:val="060A26"/>
                <w:kern w:val="0"/>
                <w:szCs w:val="21"/>
                <w:lang w:val="en-US" w:eastAsia="zh-CN" w:bidi="ar"/>
              </w:rPr>
            </w:pPr>
            <w:r>
              <w:rPr>
                <w:rFonts w:hint="eastAsia" w:ascii="微软雅黑" w:hAnsi="微软雅黑" w:eastAsia="微软雅黑" w:cs="微软雅黑"/>
                <w:color w:val="060A26"/>
                <w:kern w:val="0"/>
                <w:szCs w:val="21"/>
                <w:lang w:val="en-US" w:eastAsia="zh-CN" w:bidi="ar"/>
              </w:rPr>
              <w:t>将电子病历主业务服务整体升级为 64 位运行，将第三方依赖升级到支持 64 位的版本，确保系统在高并发、大对象处理场景下稳定运行。</w:t>
            </w:r>
          </w:p>
        </w:tc>
      </w:tr>
      <w:tr w14:paraId="69CF3FF2">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jc w:val="center"/>
        </w:trPr>
        <w:tc>
          <w:tcPr>
            <w:tcW w:w="1588" w:type="dxa"/>
            <w:tcBorders>
              <w:left w:val="single" w:color="auto" w:sz="6" w:space="0"/>
              <w:right w:val="single" w:color="auto" w:sz="6" w:space="0"/>
            </w:tcBorders>
            <w:shd w:val="clear" w:color="auto" w:fill="FFFFFF"/>
            <w:tcMar>
              <w:top w:w="150" w:type="dxa"/>
              <w:left w:w="210" w:type="dxa"/>
              <w:bottom w:w="150" w:type="dxa"/>
              <w:right w:w="210" w:type="dxa"/>
            </w:tcMar>
            <w:vAlign w:val="center"/>
          </w:tcPr>
          <w:p w14:paraId="47F09618">
            <w:pPr>
              <w:widowControl/>
              <w:wordWrap w:val="0"/>
              <w:snapToGrid w:val="0"/>
              <w:jc w:val="left"/>
              <w:textAlignment w:val="center"/>
              <w:rPr>
                <w:rFonts w:ascii="微软雅黑" w:hAnsi="微软雅黑" w:eastAsia="微软雅黑" w:cs="微软雅黑"/>
                <w:color w:val="060A26"/>
                <w:kern w:val="0"/>
                <w:szCs w:val="21"/>
                <w:lang w:bidi="ar"/>
              </w:rPr>
            </w:pPr>
          </w:p>
        </w:tc>
        <w:tc>
          <w:tcPr>
            <w:tcW w:w="1322"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1EB3C4C1">
            <w:pPr>
              <w:widowControl/>
              <w:wordWrap w:val="0"/>
              <w:snapToGrid w:val="0"/>
              <w:jc w:val="left"/>
              <w:textAlignment w:val="center"/>
              <w:rPr>
                <w:rFonts w:hint="default" w:ascii="微软雅黑" w:hAnsi="微软雅黑" w:eastAsia="微软雅黑" w:cs="微软雅黑"/>
                <w:color w:val="060A26"/>
                <w:kern w:val="0"/>
                <w:szCs w:val="21"/>
                <w:lang w:val="en-US" w:eastAsia="zh-CN" w:bidi="ar"/>
              </w:rPr>
            </w:pPr>
            <w:r>
              <w:rPr>
                <w:rFonts w:hint="eastAsia" w:ascii="微软雅黑" w:hAnsi="微软雅黑" w:eastAsia="微软雅黑" w:cs="微软雅黑"/>
                <w:color w:val="060A26"/>
                <w:kern w:val="0"/>
                <w:szCs w:val="21"/>
                <w:lang w:val="en-US" w:eastAsia="zh-CN" w:bidi="ar"/>
              </w:rPr>
              <w:t>1.2.9</w:t>
            </w:r>
            <w:r>
              <w:rPr>
                <w:rFonts w:hint="default" w:ascii="微软雅黑" w:hAnsi="微软雅黑" w:eastAsia="微软雅黑" w:cs="微软雅黑"/>
                <w:color w:val="060A26"/>
                <w:kern w:val="0"/>
                <w:szCs w:val="21"/>
                <w:lang w:val="en-US" w:eastAsia="zh-CN" w:bidi="ar"/>
              </w:rPr>
              <w:t>业务发展需求</w:t>
            </w:r>
          </w:p>
        </w:tc>
        <w:tc>
          <w:tcPr>
            <w:tcW w:w="6572"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5B318A87">
            <w:pPr>
              <w:widowControl/>
              <w:wordWrap w:val="0"/>
              <w:snapToGrid w:val="0"/>
              <w:jc w:val="left"/>
              <w:textAlignment w:val="center"/>
              <w:rPr>
                <w:rFonts w:hint="default" w:ascii="微软雅黑" w:hAnsi="微软雅黑" w:eastAsia="微软雅黑" w:cs="微软雅黑"/>
                <w:color w:val="060A26"/>
                <w:kern w:val="0"/>
                <w:szCs w:val="21"/>
                <w:lang w:val="en-US" w:eastAsia="zh-CN" w:bidi="ar"/>
              </w:rPr>
            </w:pPr>
            <w:r>
              <w:rPr>
                <w:rFonts w:hint="eastAsia" w:ascii="微软雅黑" w:hAnsi="微软雅黑" w:eastAsia="微软雅黑" w:cs="微软雅黑"/>
                <w:color w:val="060A26"/>
                <w:kern w:val="0"/>
                <w:szCs w:val="21"/>
                <w:lang w:val="en-US" w:eastAsia="zh-CN" w:bidi="ar"/>
              </w:rPr>
              <w:t>根据</w:t>
            </w:r>
            <w:r>
              <w:rPr>
                <w:rFonts w:hint="default" w:ascii="微软雅黑" w:hAnsi="微软雅黑" w:eastAsia="微软雅黑" w:cs="微软雅黑"/>
                <w:color w:val="060A26"/>
                <w:kern w:val="0"/>
                <w:szCs w:val="21"/>
                <w:lang w:val="en-US" w:eastAsia="zh-CN" w:bidi="ar"/>
              </w:rPr>
              <w:t>上级政策要求、医院管理制度及业务流程优化需要，完成相应功能的优化与改造。</w:t>
            </w:r>
          </w:p>
        </w:tc>
      </w:tr>
    </w:tbl>
    <w:p w14:paraId="20B11918">
      <w:pPr>
        <w:pStyle w:val="3"/>
        <w:bidi w:val="0"/>
      </w:pPr>
      <w:bookmarkStart w:id="252" w:name="_Toc20728"/>
      <w:bookmarkStart w:id="253" w:name="_Toc14927"/>
      <w:bookmarkStart w:id="254" w:name="_Toc28906"/>
      <w:r>
        <w:rPr>
          <w:rFonts w:hint="eastAsia"/>
        </w:rPr>
        <w:t>护理文书系统</w:t>
      </w:r>
      <w:bookmarkEnd w:id="250"/>
      <w:bookmarkEnd w:id="251"/>
      <w:bookmarkEnd w:id="252"/>
      <w:bookmarkEnd w:id="253"/>
      <w:bookmarkEnd w:id="254"/>
    </w:p>
    <w:tbl>
      <w:tblPr>
        <w:tblStyle w:val="46"/>
        <w:tblW w:w="9659" w:type="dxa"/>
        <w:jc w:val="center"/>
        <w:tblBorders>
          <w:top w:val="single" w:color="auto" w:sz="6" w:space="0"/>
          <w:left w:val="single" w:color="auto" w:sz="2" w:space="0"/>
          <w:bottom w:val="single" w:color="auto" w:sz="2" w:space="0"/>
          <w:right w:val="single" w:color="auto" w:sz="2" w:space="0"/>
          <w:insideH w:val="none" w:color="auto" w:sz="0" w:space="0"/>
          <w:insideV w:val="none" w:color="auto" w:sz="0" w:space="0"/>
        </w:tblBorders>
        <w:shd w:val="clear" w:color="auto" w:fill="FFFFFF"/>
        <w:tblLayout w:type="autofit"/>
        <w:tblCellMar>
          <w:top w:w="15" w:type="dxa"/>
          <w:left w:w="15" w:type="dxa"/>
          <w:bottom w:w="15" w:type="dxa"/>
          <w:right w:w="15" w:type="dxa"/>
        </w:tblCellMar>
      </w:tblPr>
      <w:tblGrid>
        <w:gridCol w:w="1582"/>
        <w:gridCol w:w="1345"/>
        <w:gridCol w:w="6732"/>
      </w:tblGrid>
      <w:tr w14:paraId="5B15F310">
        <w:tblPrEx>
          <w:tblBorders>
            <w:top w:val="single" w:color="auto" w:sz="6"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505" w:hRule="atLeast"/>
          <w:tblHeader/>
          <w:jc w:val="center"/>
        </w:trPr>
        <w:tc>
          <w:tcPr>
            <w:tcW w:w="1582" w:type="dxa"/>
            <w:tcBorders>
              <w:top w:val="single" w:color="auto" w:sz="6" w:space="0"/>
              <w:left w:val="single" w:color="auto" w:sz="6" w:space="0"/>
              <w:bottom w:val="single" w:color="auto" w:sz="6" w:space="0"/>
              <w:right w:val="single" w:color="auto" w:sz="6" w:space="0"/>
            </w:tcBorders>
            <w:shd w:val="clear" w:color="auto" w:fill="FFFFFF"/>
            <w:noWrap/>
            <w:tcMar>
              <w:top w:w="150" w:type="dxa"/>
              <w:left w:w="210" w:type="dxa"/>
              <w:bottom w:w="150" w:type="dxa"/>
              <w:right w:w="210" w:type="dxa"/>
            </w:tcMar>
            <w:vAlign w:val="center"/>
          </w:tcPr>
          <w:p w14:paraId="0EC141A0">
            <w:pPr>
              <w:keepNext/>
              <w:widowControl/>
              <w:snapToGrid w:val="0"/>
              <w:jc w:val="center"/>
              <w:rPr>
                <w:rFonts w:ascii="微软雅黑" w:hAnsi="微软雅黑" w:eastAsia="微软雅黑" w:cs="微软雅黑"/>
                <w:b/>
                <w:bCs/>
                <w:color w:val="060A26"/>
                <w:szCs w:val="21"/>
              </w:rPr>
            </w:pPr>
            <w:r>
              <w:rPr>
                <w:rFonts w:hint="eastAsia" w:ascii="微软雅黑" w:hAnsi="微软雅黑" w:eastAsia="微软雅黑" w:cs="微软雅黑"/>
                <w:b/>
                <w:bCs/>
                <w:color w:val="060A26"/>
                <w:kern w:val="0"/>
                <w:szCs w:val="21"/>
                <w:lang w:bidi="ar"/>
              </w:rPr>
              <w:t>需求名称</w:t>
            </w:r>
          </w:p>
        </w:tc>
        <w:tc>
          <w:tcPr>
            <w:tcW w:w="1345" w:type="dxa"/>
            <w:tcBorders>
              <w:top w:val="single" w:color="auto" w:sz="6" w:space="0"/>
              <w:left w:val="single" w:color="auto" w:sz="6" w:space="0"/>
              <w:bottom w:val="single" w:color="auto" w:sz="6" w:space="0"/>
              <w:right w:val="single" w:color="auto" w:sz="6" w:space="0"/>
            </w:tcBorders>
            <w:shd w:val="clear" w:color="auto" w:fill="FFFFFF"/>
            <w:noWrap/>
            <w:tcMar>
              <w:top w:w="150" w:type="dxa"/>
              <w:left w:w="210" w:type="dxa"/>
              <w:bottom w:w="150" w:type="dxa"/>
              <w:right w:w="210" w:type="dxa"/>
            </w:tcMar>
            <w:vAlign w:val="center"/>
          </w:tcPr>
          <w:p w14:paraId="124F0D41">
            <w:pPr>
              <w:keepNext/>
              <w:widowControl/>
              <w:snapToGrid w:val="0"/>
              <w:jc w:val="center"/>
              <w:rPr>
                <w:rFonts w:ascii="微软雅黑" w:hAnsi="微软雅黑" w:eastAsia="微软雅黑" w:cs="微软雅黑"/>
                <w:b/>
                <w:bCs/>
                <w:color w:val="060A26"/>
                <w:szCs w:val="21"/>
              </w:rPr>
            </w:pPr>
            <w:r>
              <w:rPr>
                <w:rFonts w:hint="eastAsia" w:ascii="微软雅黑" w:hAnsi="微软雅黑" w:eastAsia="微软雅黑" w:cs="微软雅黑"/>
                <w:b/>
                <w:bCs/>
                <w:color w:val="060A26"/>
                <w:kern w:val="0"/>
                <w:szCs w:val="21"/>
                <w:lang w:bidi="ar"/>
              </w:rPr>
              <w:t>序号</w:t>
            </w:r>
          </w:p>
        </w:tc>
        <w:tc>
          <w:tcPr>
            <w:tcW w:w="6732" w:type="dxa"/>
            <w:tcBorders>
              <w:top w:val="single" w:color="auto" w:sz="6" w:space="0"/>
              <w:left w:val="single" w:color="auto" w:sz="6" w:space="0"/>
              <w:bottom w:val="single" w:color="auto" w:sz="6" w:space="0"/>
              <w:right w:val="single" w:color="auto" w:sz="6" w:space="0"/>
            </w:tcBorders>
            <w:shd w:val="clear" w:color="auto" w:fill="FFFFFF"/>
            <w:noWrap/>
            <w:tcMar>
              <w:top w:w="150" w:type="dxa"/>
              <w:left w:w="210" w:type="dxa"/>
              <w:bottom w:w="150" w:type="dxa"/>
              <w:right w:w="210" w:type="dxa"/>
            </w:tcMar>
            <w:vAlign w:val="center"/>
          </w:tcPr>
          <w:p w14:paraId="773C5EDF">
            <w:pPr>
              <w:keepNext/>
              <w:widowControl/>
              <w:snapToGrid w:val="0"/>
              <w:jc w:val="center"/>
              <w:rPr>
                <w:rFonts w:ascii="微软雅黑" w:hAnsi="微软雅黑" w:eastAsia="微软雅黑" w:cs="微软雅黑"/>
                <w:b/>
                <w:bCs/>
                <w:color w:val="060A26"/>
                <w:szCs w:val="21"/>
              </w:rPr>
            </w:pPr>
            <w:r>
              <w:rPr>
                <w:rFonts w:hint="eastAsia" w:ascii="微软雅黑" w:hAnsi="微软雅黑" w:eastAsia="微软雅黑" w:cs="微软雅黑"/>
                <w:b/>
                <w:bCs/>
                <w:color w:val="060A26"/>
                <w:kern w:val="0"/>
                <w:szCs w:val="21"/>
                <w:lang w:bidi="ar"/>
              </w:rPr>
              <w:t>需求描述</w:t>
            </w:r>
          </w:p>
        </w:tc>
      </w:tr>
      <w:tr w14:paraId="51F7A3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05" w:hRule="atLeast"/>
          <w:jc w:val="center"/>
        </w:trPr>
        <w:tc>
          <w:tcPr>
            <w:tcW w:w="1582" w:type="dxa"/>
            <w:vMerge w:val="restart"/>
            <w:tcBorders>
              <w:top w:val="single" w:color="auto" w:sz="6" w:space="0"/>
              <w:left w:val="single" w:color="auto" w:sz="6" w:space="0"/>
              <w:right w:val="single" w:color="auto" w:sz="6" w:space="0"/>
            </w:tcBorders>
            <w:shd w:val="clear" w:color="auto" w:fill="FFFFFF"/>
            <w:tcMar>
              <w:top w:w="150" w:type="dxa"/>
              <w:left w:w="210" w:type="dxa"/>
              <w:bottom w:w="150" w:type="dxa"/>
              <w:right w:w="210" w:type="dxa"/>
            </w:tcMar>
            <w:vAlign w:val="center"/>
          </w:tcPr>
          <w:p w14:paraId="2F5ACAD4">
            <w:pPr>
              <w:keepNext/>
              <w:widowControl/>
              <w:wordWrap w:val="0"/>
              <w:snapToGrid w:val="0"/>
              <w:jc w:val="center"/>
              <w:textAlignment w:val="center"/>
              <w:rPr>
                <w:rFonts w:ascii="微软雅黑" w:hAnsi="微软雅黑" w:eastAsia="微软雅黑" w:cs="微软雅黑"/>
                <w:color w:val="060A26"/>
                <w:szCs w:val="21"/>
              </w:rPr>
            </w:pPr>
            <w:r>
              <w:rPr>
                <w:rFonts w:hint="eastAsia" w:ascii="微软雅黑" w:hAnsi="微软雅黑" w:eastAsia="微软雅黑" w:cs="微软雅黑"/>
                <w:b/>
                <w:bCs/>
                <w:color w:val="060A26"/>
                <w:kern w:val="0"/>
                <w:szCs w:val="21"/>
                <w:lang w:bidi="ar"/>
              </w:rPr>
              <w:t>2. 护理文书系统</w:t>
            </w:r>
          </w:p>
        </w:tc>
        <w:tc>
          <w:tcPr>
            <w:tcW w:w="8077" w:type="dxa"/>
            <w:gridSpan w:val="2"/>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4AD3AB2B">
            <w:pPr>
              <w:keepNext/>
              <w:widowControl/>
              <w:tabs>
                <w:tab w:val="left" w:pos="738"/>
              </w:tabs>
              <w:wordWrap w:val="0"/>
              <w:snapToGrid w:val="0"/>
              <w:jc w:val="left"/>
              <w:textAlignment w:val="center"/>
              <w:rPr>
                <w:rFonts w:hint="default" w:ascii="微软雅黑" w:hAnsi="微软雅黑" w:eastAsia="微软雅黑" w:cs="微软雅黑"/>
                <w:b/>
                <w:bCs/>
                <w:color w:val="060A26"/>
                <w:kern w:val="0"/>
                <w:szCs w:val="21"/>
                <w:lang w:val="en-US" w:eastAsia="zh-CN" w:bidi="ar"/>
              </w:rPr>
            </w:pPr>
            <w:r>
              <w:rPr>
                <w:rFonts w:hint="eastAsia" w:ascii="宋体" w:hAnsi="宋体" w:cs="宋体"/>
                <w:b/>
                <w:bCs/>
                <w:color w:val="060A26"/>
                <w:kern w:val="0"/>
                <w:szCs w:val="21"/>
                <w:lang w:eastAsia="zh-CN" w:bidi="ar"/>
              </w:rPr>
              <w:t>（</w:t>
            </w:r>
            <w:r>
              <w:rPr>
                <w:rFonts w:hint="eastAsia" w:ascii="宋体" w:hAnsi="宋体" w:cs="宋体"/>
                <w:b/>
                <w:bCs/>
                <w:color w:val="060A26"/>
                <w:kern w:val="0"/>
                <w:szCs w:val="21"/>
                <w:lang w:val="en-US" w:eastAsia="zh-CN" w:bidi="ar"/>
              </w:rPr>
              <w:t>一</w:t>
            </w:r>
            <w:r>
              <w:rPr>
                <w:rFonts w:hint="eastAsia" w:ascii="宋体" w:hAnsi="宋体" w:cs="宋体"/>
                <w:b/>
                <w:bCs/>
                <w:color w:val="060A26"/>
                <w:kern w:val="0"/>
                <w:szCs w:val="21"/>
                <w:lang w:eastAsia="zh-CN" w:bidi="ar"/>
              </w:rPr>
              <w:t>）</w:t>
            </w:r>
            <w:r>
              <w:rPr>
                <w:rFonts w:hint="eastAsia" w:ascii="微软雅黑" w:hAnsi="微软雅黑" w:eastAsia="微软雅黑" w:cs="微软雅黑"/>
                <w:b/>
                <w:bCs/>
                <w:color w:val="060A26"/>
                <w:kern w:val="0"/>
                <w:szCs w:val="21"/>
                <w:lang w:eastAsia="zh-CN" w:bidi="ar"/>
              </w:rPr>
              <w:t>护理文书系统</w:t>
            </w:r>
            <w:r>
              <w:rPr>
                <w:rFonts w:hint="eastAsia" w:ascii="微软雅黑" w:hAnsi="微软雅黑" w:eastAsia="微软雅黑" w:cs="微软雅黑"/>
                <w:b/>
                <w:bCs/>
                <w:color w:val="060A26"/>
                <w:kern w:val="0"/>
                <w:szCs w:val="21"/>
                <w:lang w:val="en-US" w:eastAsia="zh-CN" w:bidi="ar"/>
              </w:rPr>
              <w:t>维护保障</w:t>
            </w:r>
          </w:p>
        </w:tc>
      </w:tr>
      <w:tr w14:paraId="19611F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05" w:hRule="atLeast"/>
          <w:jc w:val="center"/>
        </w:trPr>
        <w:tc>
          <w:tcPr>
            <w:tcW w:w="1582" w:type="dxa"/>
            <w:vMerge w:val="continue"/>
            <w:tcBorders>
              <w:left w:val="single" w:color="auto" w:sz="6" w:space="0"/>
              <w:right w:val="single" w:color="auto" w:sz="6" w:space="0"/>
            </w:tcBorders>
            <w:shd w:val="clear" w:color="auto" w:fill="FFFFFF"/>
            <w:tcMar>
              <w:top w:w="150" w:type="dxa"/>
              <w:left w:w="210" w:type="dxa"/>
              <w:bottom w:w="150" w:type="dxa"/>
              <w:right w:w="210" w:type="dxa"/>
            </w:tcMar>
            <w:vAlign w:val="center"/>
          </w:tcPr>
          <w:p w14:paraId="0D339EBB">
            <w:pPr>
              <w:keepNext/>
              <w:widowControl/>
              <w:wordWrap w:val="0"/>
              <w:snapToGrid w:val="0"/>
              <w:jc w:val="center"/>
              <w:textAlignment w:val="center"/>
              <w:rPr>
                <w:rFonts w:ascii="微软雅黑" w:hAnsi="微软雅黑" w:eastAsia="微软雅黑" w:cs="微软雅黑"/>
                <w:color w:val="060A26"/>
                <w:szCs w:val="21"/>
              </w:rPr>
            </w:pPr>
          </w:p>
        </w:tc>
        <w:tc>
          <w:tcPr>
            <w:tcW w:w="1345"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65638C67">
            <w:pPr>
              <w:keepNext/>
              <w:widowControl/>
              <w:wordWrap w:val="0"/>
              <w:snapToGrid w:val="0"/>
              <w:jc w:val="center"/>
              <w:textAlignment w:val="center"/>
              <w:rPr>
                <w:rFonts w:ascii="微软雅黑" w:hAnsi="微软雅黑" w:eastAsia="微软雅黑" w:cs="微软雅黑"/>
                <w:color w:val="060A26"/>
                <w:szCs w:val="21"/>
              </w:rPr>
            </w:pPr>
            <w:r>
              <w:rPr>
                <w:rFonts w:hint="eastAsia" w:ascii="微软雅黑" w:hAnsi="微软雅黑" w:eastAsia="微软雅黑" w:cs="微软雅黑"/>
                <w:color w:val="060A26"/>
                <w:kern w:val="0"/>
                <w:szCs w:val="21"/>
                <w:lang w:bidi="ar"/>
              </w:rPr>
              <w:t>2.1</w:t>
            </w:r>
          </w:p>
        </w:tc>
        <w:tc>
          <w:tcPr>
            <w:tcW w:w="6732"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4DAFB5BF">
            <w:pPr>
              <w:keepNext/>
              <w:widowControl/>
              <w:wordWrap w:val="0"/>
              <w:snapToGrid w:val="0"/>
              <w:jc w:val="left"/>
              <w:textAlignment w:val="center"/>
              <w:rPr>
                <w:rFonts w:ascii="微软雅黑" w:hAnsi="微软雅黑" w:eastAsia="微软雅黑" w:cs="微软雅黑"/>
                <w:color w:val="060A26"/>
                <w:szCs w:val="21"/>
              </w:rPr>
            </w:pPr>
            <w:r>
              <w:rPr>
                <w:rFonts w:hint="eastAsia" w:ascii="微软雅黑" w:hAnsi="微软雅黑" w:eastAsia="微软雅黑" w:cs="微软雅黑"/>
                <w:b/>
                <w:bCs/>
                <w:color w:val="060A26"/>
                <w:kern w:val="0"/>
                <w:szCs w:val="21"/>
                <w:lang w:bidi="ar"/>
              </w:rPr>
              <w:t>护理评估与计划</w:t>
            </w:r>
          </w:p>
        </w:tc>
      </w:tr>
      <w:tr w14:paraId="44BC9BFE">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1582" w:hRule="atLeast"/>
          <w:jc w:val="center"/>
        </w:trPr>
        <w:tc>
          <w:tcPr>
            <w:tcW w:w="1582" w:type="dxa"/>
            <w:vMerge w:val="continue"/>
            <w:tcBorders>
              <w:left w:val="single" w:color="auto" w:sz="6" w:space="0"/>
              <w:right w:val="single" w:color="auto" w:sz="6" w:space="0"/>
            </w:tcBorders>
            <w:shd w:val="clear" w:color="auto" w:fill="FFFFFF"/>
            <w:tcMar>
              <w:top w:w="150" w:type="dxa"/>
              <w:left w:w="210" w:type="dxa"/>
              <w:bottom w:w="150" w:type="dxa"/>
              <w:right w:w="210" w:type="dxa"/>
            </w:tcMar>
            <w:vAlign w:val="center"/>
          </w:tcPr>
          <w:p w14:paraId="65FFAE1B">
            <w:pPr>
              <w:keepNext/>
              <w:snapToGrid w:val="0"/>
              <w:jc w:val="center"/>
              <w:rPr>
                <w:rFonts w:ascii="微软雅黑" w:hAnsi="微软雅黑" w:eastAsia="微软雅黑" w:cs="微软雅黑"/>
                <w:color w:val="060A26"/>
                <w:szCs w:val="21"/>
              </w:rPr>
            </w:pPr>
          </w:p>
        </w:tc>
        <w:tc>
          <w:tcPr>
            <w:tcW w:w="1345"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17B83420">
            <w:pPr>
              <w:keepNext/>
              <w:widowControl/>
              <w:wordWrap w:val="0"/>
              <w:snapToGrid w:val="0"/>
              <w:jc w:val="center"/>
              <w:textAlignment w:val="center"/>
              <w:rPr>
                <w:rFonts w:ascii="微软雅黑" w:hAnsi="微软雅黑" w:eastAsia="微软雅黑" w:cs="微软雅黑"/>
                <w:color w:val="060A26"/>
                <w:szCs w:val="21"/>
              </w:rPr>
            </w:pPr>
            <w:r>
              <w:rPr>
                <w:rFonts w:hint="eastAsia" w:ascii="微软雅黑" w:hAnsi="微软雅黑" w:eastAsia="微软雅黑" w:cs="微软雅黑"/>
                <w:color w:val="060A26"/>
                <w:kern w:val="0"/>
                <w:szCs w:val="21"/>
                <w:lang w:bidi="ar"/>
              </w:rPr>
              <w:t>2.1.1 标准化评估量表</w:t>
            </w:r>
          </w:p>
        </w:tc>
        <w:tc>
          <w:tcPr>
            <w:tcW w:w="6732"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034633D4">
            <w:pPr>
              <w:keepNext/>
              <w:widowControl/>
              <w:wordWrap w:val="0"/>
              <w:snapToGrid w:val="0"/>
              <w:jc w:val="left"/>
              <w:textAlignment w:val="center"/>
              <w:rPr>
                <w:rFonts w:ascii="微软雅黑" w:hAnsi="微软雅黑" w:eastAsia="微软雅黑" w:cs="微软雅黑"/>
                <w:color w:val="060A26"/>
                <w:szCs w:val="21"/>
              </w:rPr>
            </w:pPr>
            <w:r>
              <w:rPr>
                <w:rFonts w:hint="eastAsia" w:ascii="微软雅黑" w:hAnsi="微软雅黑" w:eastAsia="微软雅黑" w:cs="微软雅黑"/>
                <w:color w:val="060A26"/>
                <w:kern w:val="0"/>
                <w:szCs w:val="21"/>
                <w:lang w:bidi="ar"/>
              </w:rPr>
              <w:t>✓ 系统内置国家推荐的护理风险评估量表，包括：Morse跌倒风险评估表、Braden压疮风险评估表、NRS-2002营养风险筛查表、疼痛NRS评分、VTE风险评估（Caprini评分）、自杀风险评估（PHQ-9）等，支持自动计算风险等级（总分）。</w:t>
            </w:r>
            <w:r>
              <w:rPr>
                <w:rFonts w:hint="eastAsia" w:ascii="微软雅黑" w:hAnsi="微软雅黑" w:eastAsia="微软雅黑" w:cs="微软雅黑"/>
                <w:color w:val="060A26"/>
                <w:kern w:val="0"/>
                <w:szCs w:val="21"/>
                <w:lang w:bidi="ar"/>
              </w:rPr>
              <w:br w:type="textWrapping"/>
            </w:r>
          </w:p>
        </w:tc>
      </w:tr>
      <w:tr w14:paraId="63EEAF2F">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2120" w:hRule="atLeast"/>
          <w:jc w:val="center"/>
        </w:trPr>
        <w:tc>
          <w:tcPr>
            <w:tcW w:w="1582" w:type="dxa"/>
            <w:vMerge w:val="continue"/>
            <w:tcBorders>
              <w:left w:val="single" w:color="auto" w:sz="6" w:space="0"/>
              <w:right w:val="single" w:color="auto" w:sz="6" w:space="0"/>
            </w:tcBorders>
            <w:shd w:val="clear" w:color="auto" w:fill="FFFFFF"/>
            <w:tcMar>
              <w:top w:w="150" w:type="dxa"/>
              <w:left w:w="210" w:type="dxa"/>
              <w:bottom w:w="150" w:type="dxa"/>
              <w:right w:w="210" w:type="dxa"/>
            </w:tcMar>
            <w:vAlign w:val="center"/>
          </w:tcPr>
          <w:p w14:paraId="32354FDD">
            <w:pPr>
              <w:keepNext/>
              <w:snapToGrid w:val="0"/>
              <w:jc w:val="center"/>
              <w:rPr>
                <w:rFonts w:ascii="微软雅黑" w:hAnsi="微软雅黑" w:eastAsia="微软雅黑" w:cs="微软雅黑"/>
                <w:color w:val="060A26"/>
                <w:szCs w:val="21"/>
              </w:rPr>
            </w:pPr>
          </w:p>
        </w:tc>
        <w:tc>
          <w:tcPr>
            <w:tcW w:w="1345"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3DF2BDE1">
            <w:pPr>
              <w:keepNext/>
              <w:widowControl/>
              <w:wordWrap w:val="0"/>
              <w:snapToGrid w:val="0"/>
              <w:jc w:val="center"/>
              <w:textAlignment w:val="center"/>
              <w:rPr>
                <w:rFonts w:ascii="微软雅黑" w:hAnsi="微软雅黑" w:eastAsia="微软雅黑" w:cs="微软雅黑"/>
                <w:color w:val="060A26"/>
                <w:szCs w:val="21"/>
              </w:rPr>
            </w:pPr>
            <w:r>
              <w:rPr>
                <w:rFonts w:hint="eastAsia" w:ascii="微软雅黑" w:hAnsi="微软雅黑" w:eastAsia="微软雅黑" w:cs="微软雅黑"/>
                <w:color w:val="060A26"/>
                <w:kern w:val="0"/>
                <w:szCs w:val="21"/>
                <w:lang w:bidi="ar"/>
              </w:rPr>
              <w:t>2.1.2 护理计划、护嘱执行、查询统计</w:t>
            </w:r>
          </w:p>
        </w:tc>
        <w:tc>
          <w:tcPr>
            <w:tcW w:w="6732"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6E361359">
            <w:pPr>
              <w:keepNext/>
              <w:widowControl/>
              <w:wordWrap w:val="0"/>
              <w:snapToGrid w:val="0"/>
              <w:jc w:val="left"/>
              <w:textAlignment w:val="center"/>
              <w:rPr>
                <w:rFonts w:ascii="微软雅黑" w:hAnsi="微软雅黑" w:eastAsia="微软雅黑" w:cs="微软雅黑"/>
                <w:color w:val="060A26"/>
                <w:kern w:val="0"/>
                <w:szCs w:val="21"/>
                <w:lang w:bidi="ar"/>
              </w:rPr>
            </w:pPr>
            <w:r>
              <w:rPr>
                <w:rFonts w:hint="eastAsia" w:ascii="微软雅黑" w:hAnsi="微软雅黑" w:eastAsia="微软雅黑" w:cs="微软雅黑"/>
                <w:color w:val="060A26"/>
                <w:kern w:val="0"/>
                <w:szCs w:val="21"/>
                <w:lang w:bidi="ar"/>
              </w:rPr>
              <w:t>✓ 基于评估结果，护士可定制护理计划，可选择优先级，计划人员，开始时间，计划人员，相关因素，护理目标，护理措施等内容。系统可自带相关信息。</w:t>
            </w:r>
            <w:r>
              <w:rPr>
                <w:rFonts w:hint="eastAsia" w:ascii="微软雅黑" w:hAnsi="微软雅黑" w:eastAsia="微软雅黑" w:cs="微软雅黑"/>
                <w:color w:val="060A26"/>
                <w:kern w:val="0"/>
                <w:szCs w:val="21"/>
                <w:lang w:bidi="ar"/>
              </w:rPr>
              <w:br w:type="textWrapping"/>
            </w:r>
            <w:r>
              <w:rPr>
                <w:rFonts w:hint="eastAsia" w:ascii="微软雅黑" w:hAnsi="微软雅黑" w:eastAsia="微软雅黑" w:cs="微软雅黑"/>
                <w:color w:val="060A26"/>
                <w:kern w:val="0"/>
                <w:szCs w:val="21"/>
                <w:lang w:bidi="ar"/>
              </w:rPr>
              <w:t>✓ 可对护理计划进行执行，填写执行备注，可记录开始时间，结束时间，支持一键转入护理记录，打印护理任务</w:t>
            </w:r>
          </w:p>
          <w:p w14:paraId="6618730E">
            <w:pPr>
              <w:keepNext/>
              <w:widowControl/>
              <w:wordWrap w:val="0"/>
              <w:snapToGrid w:val="0"/>
              <w:jc w:val="left"/>
              <w:textAlignment w:val="center"/>
              <w:rPr>
                <w:rFonts w:ascii="微软雅黑" w:hAnsi="微软雅黑" w:eastAsia="微软雅黑" w:cs="微软雅黑"/>
                <w:color w:val="060A26"/>
                <w:kern w:val="0"/>
                <w:szCs w:val="21"/>
                <w:lang w:bidi="ar"/>
              </w:rPr>
            </w:pPr>
            <w:r>
              <w:rPr>
                <w:rFonts w:hint="eastAsia" w:ascii="微软雅黑" w:hAnsi="微软雅黑" w:eastAsia="微软雅黑" w:cs="微软雅黑"/>
                <w:color w:val="060A26"/>
                <w:kern w:val="0"/>
                <w:szCs w:val="21"/>
                <w:lang w:bidi="ar"/>
              </w:rPr>
              <w:t>✓ 提供查询统计，可根据相关信息条件查询患者，提供统计、明细、图表查看。</w:t>
            </w:r>
          </w:p>
        </w:tc>
      </w:tr>
      <w:tr w14:paraId="4AB4B67D">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774" w:hRule="atLeast"/>
          <w:jc w:val="center"/>
        </w:trPr>
        <w:tc>
          <w:tcPr>
            <w:tcW w:w="1582" w:type="dxa"/>
            <w:vMerge w:val="continue"/>
            <w:tcBorders>
              <w:left w:val="single" w:color="auto" w:sz="6" w:space="0"/>
              <w:right w:val="single" w:color="auto" w:sz="6" w:space="0"/>
            </w:tcBorders>
            <w:shd w:val="clear" w:color="auto" w:fill="FFFFFF"/>
            <w:tcMar>
              <w:top w:w="150" w:type="dxa"/>
              <w:left w:w="210" w:type="dxa"/>
              <w:bottom w:w="150" w:type="dxa"/>
              <w:right w:w="210" w:type="dxa"/>
            </w:tcMar>
            <w:vAlign w:val="center"/>
          </w:tcPr>
          <w:p w14:paraId="7CD78416">
            <w:pPr>
              <w:keepNext/>
              <w:snapToGrid w:val="0"/>
              <w:jc w:val="center"/>
              <w:rPr>
                <w:rFonts w:ascii="微软雅黑" w:hAnsi="微软雅黑" w:eastAsia="微软雅黑" w:cs="微软雅黑"/>
                <w:color w:val="060A26"/>
                <w:szCs w:val="21"/>
              </w:rPr>
            </w:pPr>
          </w:p>
        </w:tc>
        <w:tc>
          <w:tcPr>
            <w:tcW w:w="1345"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48F0C1D6">
            <w:r>
              <w:rPr>
                <w:rFonts w:hint="eastAsia"/>
              </w:rPr>
              <w:t>2.1.2护理会诊</w:t>
            </w:r>
          </w:p>
        </w:tc>
        <w:tc>
          <w:tcPr>
            <w:tcW w:w="6732"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4F18FDA3">
            <w:pPr>
              <w:keepNext/>
              <w:widowControl/>
              <w:wordWrap w:val="0"/>
              <w:snapToGrid w:val="0"/>
              <w:jc w:val="left"/>
              <w:textAlignment w:val="center"/>
              <w:rPr>
                <w:rFonts w:ascii="微软雅黑" w:hAnsi="微软雅黑" w:eastAsia="微软雅黑" w:cs="微软雅黑"/>
                <w:color w:val="060A26"/>
                <w:kern w:val="0"/>
                <w:szCs w:val="21"/>
                <w:lang w:bidi="ar"/>
              </w:rPr>
            </w:pPr>
            <w:r>
              <w:rPr>
                <w:rFonts w:hint="eastAsia" w:ascii="微软雅黑" w:hAnsi="微软雅黑" w:eastAsia="微软雅黑" w:cs="微软雅黑"/>
                <w:color w:val="060A26"/>
                <w:kern w:val="0"/>
                <w:szCs w:val="21"/>
                <w:lang w:bidi="ar"/>
              </w:rPr>
              <w:t>✓提供专科会诊单，一键生成内容以及患者信息。提供会诊单统计，提供会诊小组排班，提供MDT会诊跳转接口。</w:t>
            </w:r>
          </w:p>
        </w:tc>
      </w:tr>
      <w:tr w14:paraId="39017E6F">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505" w:hRule="atLeast"/>
          <w:jc w:val="center"/>
        </w:trPr>
        <w:tc>
          <w:tcPr>
            <w:tcW w:w="1582" w:type="dxa"/>
            <w:vMerge w:val="continue"/>
            <w:tcBorders>
              <w:left w:val="single" w:color="auto" w:sz="6" w:space="0"/>
              <w:right w:val="single" w:color="auto" w:sz="6" w:space="0"/>
            </w:tcBorders>
            <w:shd w:val="clear" w:color="auto" w:fill="FFFFFF"/>
            <w:tcMar>
              <w:top w:w="150" w:type="dxa"/>
              <w:left w:w="210" w:type="dxa"/>
              <w:bottom w:w="150" w:type="dxa"/>
              <w:right w:w="210" w:type="dxa"/>
            </w:tcMar>
            <w:vAlign w:val="center"/>
          </w:tcPr>
          <w:p w14:paraId="6AE684BF">
            <w:pPr>
              <w:keepNext/>
              <w:snapToGrid w:val="0"/>
              <w:jc w:val="center"/>
              <w:rPr>
                <w:rFonts w:ascii="微软雅黑" w:hAnsi="微软雅黑" w:eastAsia="微软雅黑" w:cs="微软雅黑"/>
                <w:color w:val="060A26"/>
                <w:szCs w:val="21"/>
              </w:rPr>
            </w:pPr>
          </w:p>
        </w:tc>
        <w:tc>
          <w:tcPr>
            <w:tcW w:w="1345"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725EABEB">
            <w:pPr>
              <w:keepNext/>
              <w:widowControl/>
              <w:wordWrap w:val="0"/>
              <w:snapToGrid w:val="0"/>
              <w:jc w:val="center"/>
              <w:textAlignment w:val="center"/>
              <w:rPr>
                <w:rFonts w:ascii="微软雅黑" w:hAnsi="微软雅黑" w:eastAsia="微软雅黑" w:cs="微软雅黑"/>
                <w:color w:val="060A26"/>
                <w:szCs w:val="21"/>
              </w:rPr>
            </w:pPr>
            <w:r>
              <w:rPr>
                <w:rFonts w:hint="eastAsia" w:ascii="微软雅黑" w:hAnsi="微软雅黑" w:eastAsia="微软雅黑" w:cs="微软雅黑"/>
                <w:color w:val="060A26"/>
                <w:kern w:val="0"/>
                <w:szCs w:val="21"/>
                <w:lang w:bidi="ar"/>
              </w:rPr>
              <w:t>2.2</w:t>
            </w:r>
          </w:p>
        </w:tc>
        <w:tc>
          <w:tcPr>
            <w:tcW w:w="6732"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48BDFFD4">
            <w:pPr>
              <w:keepNext/>
              <w:widowControl/>
              <w:wordWrap w:val="0"/>
              <w:snapToGrid w:val="0"/>
              <w:jc w:val="left"/>
              <w:textAlignment w:val="center"/>
              <w:rPr>
                <w:rFonts w:ascii="微软雅黑" w:hAnsi="微软雅黑" w:eastAsia="微软雅黑" w:cs="微软雅黑"/>
                <w:color w:val="060A26"/>
                <w:szCs w:val="21"/>
              </w:rPr>
            </w:pPr>
            <w:r>
              <w:rPr>
                <w:rFonts w:hint="eastAsia" w:ascii="微软雅黑" w:hAnsi="微软雅黑" w:eastAsia="微软雅黑" w:cs="微软雅黑"/>
                <w:b/>
                <w:bCs/>
                <w:color w:val="060A26"/>
                <w:kern w:val="0"/>
                <w:szCs w:val="21"/>
                <w:lang w:bidi="ar"/>
              </w:rPr>
              <w:t>护理记录管理</w:t>
            </w:r>
          </w:p>
        </w:tc>
      </w:tr>
      <w:tr w14:paraId="387F10A1">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2658" w:hRule="atLeast"/>
          <w:jc w:val="center"/>
        </w:trPr>
        <w:tc>
          <w:tcPr>
            <w:tcW w:w="1582" w:type="dxa"/>
            <w:vMerge w:val="continue"/>
            <w:tcBorders>
              <w:left w:val="single" w:color="auto" w:sz="6" w:space="0"/>
              <w:right w:val="single" w:color="auto" w:sz="6" w:space="0"/>
            </w:tcBorders>
            <w:shd w:val="clear" w:color="auto" w:fill="FFFFFF"/>
            <w:tcMar>
              <w:top w:w="150" w:type="dxa"/>
              <w:left w:w="210" w:type="dxa"/>
              <w:bottom w:w="150" w:type="dxa"/>
              <w:right w:w="210" w:type="dxa"/>
            </w:tcMar>
            <w:vAlign w:val="center"/>
          </w:tcPr>
          <w:p w14:paraId="3881B81C">
            <w:pPr>
              <w:keepNext/>
              <w:snapToGrid w:val="0"/>
              <w:jc w:val="center"/>
              <w:rPr>
                <w:rFonts w:ascii="微软雅黑" w:hAnsi="微软雅黑" w:eastAsia="微软雅黑" w:cs="微软雅黑"/>
                <w:color w:val="060A26"/>
                <w:szCs w:val="21"/>
              </w:rPr>
            </w:pPr>
          </w:p>
        </w:tc>
        <w:tc>
          <w:tcPr>
            <w:tcW w:w="1345"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0504D504">
            <w:pPr>
              <w:keepNext/>
              <w:widowControl/>
              <w:wordWrap w:val="0"/>
              <w:snapToGrid w:val="0"/>
              <w:jc w:val="center"/>
              <w:textAlignment w:val="center"/>
              <w:rPr>
                <w:rFonts w:ascii="微软雅黑" w:hAnsi="微软雅黑" w:eastAsia="微软雅黑" w:cs="微软雅黑"/>
                <w:color w:val="060A26"/>
                <w:szCs w:val="21"/>
              </w:rPr>
            </w:pPr>
            <w:r>
              <w:rPr>
                <w:rFonts w:hint="eastAsia" w:ascii="微软雅黑" w:hAnsi="微软雅黑" w:eastAsia="微软雅黑" w:cs="微软雅黑"/>
                <w:color w:val="060A26"/>
                <w:kern w:val="0"/>
                <w:szCs w:val="21"/>
                <w:lang w:bidi="ar"/>
              </w:rPr>
              <w:t>2.2.1 结构化记录单</w:t>
            </w:r>
          </w:p>
        </w:tc>
        <w:tc>
          <w:tcPr>
            <w:tcW w:w="6732"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6F38BE74">
            <w:pPr>
              <w:keepNext/>
              <w:widowControl/>
              <w:wordWrap w:val="0"/>
              <w:snapToGrid w:val="0"/>
              <w:jc w:val="left"/>
              <w:textAlignment w:val="center"/>
              <w:rPr>
                <w:rFonts w:hint="eastAsia" w:ascii="微软雅黑" w:hAnsi="微软雅黑" w:eastAsia="微软雅黑" w:cs="微软雅黑"/>
                <w:color w:val="060A26"/>
                <w:kern w:val="0"/>
                <w:szCs w:val="21"/>
                <w:lang w:bidi="ar"/>
              </w:rPr>
            </w:pPr>
            <w:r>
              <w:rPr>
                <w:rFonts w:hint="eastAsia" w:ascii="微软雅黑" w:hAnsi="微软雅黑" w:eastAsia="微软雅黑" w:cs="微软雅黑"/>
                <w:color w:val="060A26"/>
                <w:kern w:val="0"/>
                <w:szCs w:val="21"/>
                <w:lang w:bidi="ar"/>
              </w:rPr>
              <w:t>✓ 提供全类型护理文书模板，包括：一般护理记录单、危重患者护理记录单、手术护理记录单、产科护理记录单、新生儿护理记录单等。</w:t>
            </w:r>
            <w:r>
              <w:rPr>
                <w:rFonts w:hint="eastAsia" w:ascii="微软雅黑" w:hAnsi="微软雅黑" w:eastAsia="微软雅黑" w:cs="微软雅黑"/>
                <w:color w:val="060A26"/>
                <w:kern w:val="0"/>
                <w:szCs w:val="21"/>
                <w:lang w:bidi="ar"/>
              </w:rPr>
              <w:br w:type="textWrapping"/>
            </w:r>
            <w:r>
              <w:rPr>
                <w:rFonts w:hint="eastAsia" w:ascii="微软雅黑" w:hAnsi="微软雅黑" w:eastAsia="微软雅黑" w:cs="微软雅黑"/>
                <w:color w:val="060A26"/>
                <w:kern w:val="0"/>
                <w:szCs w:val="21"/>
                <w:lang w:bidi="ar"/>
              </w:rPr>
              <w:t>✓ 记录字段结构化：生命体征（T/P/R/BP/SpO₂）、意识状态（GCS评分）、管道情况（胃管/尿管/引流管位置及通畅性）、皮肤状况（压红/破溃）、出入量、特殊治疗等，支持勾选+数值输入混合模式。</w:t>
            </w:r>
          </w:p>
          <w:p w14:paraId="440D4A0B">
            <w:pPr>
              <w:keepNext/>
              <w:widowControl/>
              <w:wordWrap w:val="0"/>
              <w:snapToGrid w:val="0"/>
              <w:jc w:val="left"/>
              <w:textAlignment w:val="center"/>
              <w:rPr>
                <w:rFonts w:hint="eastAsia" w:ascii="微软雅黑" w:hAnsi="微软雅黑" w:eastAsia="微软雅黑" w:cs="微软雅黑"/>
                <w:color w:val="060A26"/>
                <w:kern w:val="0"/>
                <w:szCs w:val="21"/>
                <w:lang w:bidi="ar"/>
              </w:rPr>
            </w:pPr>
            <w:r>
              <w:rPr>
                <w:rFonts w:hint="eastAsia" w:ascii="微软雅黑" w:hAnsi="微软雅黑" w:eastAsia="微软雅黑" w:cs="微软雅黑"/>
                <w:color w:val="060A26"/>
                <w:kern w:val="0"/>
                <w:szCs w:val="21"/>
                <w:lang w:bidi="ar"/>
              </w:rPr>
              <w:t>✓ 根据临床实际需求，承担文书模板的配置工作，保障文书模板的规范性和适用性。</w:t>
            </w:r>
          </w:p>
        </w:tc>
      </w:tr>
      <w:tr w14:paraId="1A95B12B">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1312" w:hRule="atLeast"/>
          <w:jc w:val="center"/>
        </w:trPr>
        <w:tc>
          <w:tcPr>
            <w:tcW w:w="1582" w:type="dxa"/>
            <w:vMerge w:val="continue"/>
            <w:tcBorders>
              <w:left w:val="single" w:color="auto" w:sz="6" w:space="0"/>
              <w:right w:val="single" w:color="auto" w:sz="6" w:space="0"/>
            </w:tcBorders>
            <w:shd w:val="clear" w:color="auto" w:fill="FFFFFF"/>
            <w:tcMar>
              <w:top w:w="150" w:type="dxa"/>
              <w:left w:w="210" w:type="dxa"/>
              <w:bottom w:w="150" w:type="dxa"/>
              <w:right w:w="210" w:type="dxa"/>
            </w:tcMar>
            <w:vAlign w:val="center"/>
          </w:tcPr>
          <w:p w14:paraId="4DF4E588">
            <w:pPr>
              <w:keepNext/>
              <w:snapToGrid w:val="0"/>
              <w:jc w:val="center"/>
              <w:rPr>
                <w:rFonts w:ascii="微软雅黑" w:hAnsi="微软雅黑" w:eastAsia="微软雅黑" w:cs="微软雅黑"/>
                <w:color w:val="060A26"/>
                <w:szCs w:val="21"/>
              </w:rPr>
            </w:pPr>
          </w:p>
        </w:tc>
        <w:tc>
          <w:tcPr>
            <w:tcW w:w="1345"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44954235">
            <w:pPr>
              <w:keepNext/>
              <w:widowControl/>
              <w:wordWrap w:val="0"/>
              <w:snapToGrid w:val="0"/>
              <w:jc w:val="center"/>
              <w:textAlignment w:val="center"/>
              <w:rPr>
                <w:rFonts w:ascii="微软雅黑" w:hAnsi="微软雅黑" w:eastAsia="微软雅黑" w:cs="微软雅黑"/>
                <w:color w:val="060A26"/>
                <w:szCs w:val="21"/>
              </w:rPr>
            </w:pPr>
            <w:r>
              <w:rPr>
                <w:rFonts w:hint="eastAsia" w:ascii="微软雅黑" w:hAnsi="微软雅黑" w:eastAsia="微软雅黑" w:cs="微软雅黑"/>
                <w:color w:val="060A26"/>
                <w:kern w:val="0"/>
                <w:szCs w:val="21"/>
                <w:lang w:bidi="ar"/>
              </w:rPr>
              <w:t>2.2.2 移动端录入</w:t>
            </w:r>
          </w:p>
        </w:tc>
        <w:tc>
          <w:tcPr>
            <w:tcW w:w="6732"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0643EB59">
            <w:pPr>
              <w:keepNext/>
              <w:widowControl/>
              <w:wordWrap w:val="0"/>
              <w:snapToGrid w:val="0"/>
              <w:jc w:val="left"/>
              <w:textAlignment w:val="center"/>
              <w:rPr>
                <w:rFonts w:ascii="微软雅黑" w:hAnsi="微软雅黑" w:eastAsia="微软雅黑" w:cs="微软雅黑"/>
                <w:color w:val="060A26"/>
                <w:szCs w:val="21"/>
              </w:rPr>
            </w:pPr>
            <w:r>
              <w:rPr>
                <w:rFonts w:hint="eastAsia" w:ascii="微软雅黑" w:hAnsi="微软雅黑" w:eastAsia="微软雅黑" w:cs="微软雅黑"/>
                <w:color w:val="060A26"/>
                <w:kern w:val="0"/>
                <w:szCs w:val="21"/>
                <w:lang w:bidi="ar"/>
              </w:rPr>
              <w:t>✓ 支持护士通过PDA或手机APP扫描患者腕带，自动调出护理记录单，完成数据录入、签名提交，全程无纸化。</w:t>
            </w:r>
            <w:r>
              <w:rPr>
                <w:rFonts w:hint="eastAsia" w:ascii="微软雅黑" w:hAnsi="微软雅黑" w:eastAsia="微软雅黑" w:cs="微软雅黑"/>
                <w:color w:val="060A26"/>
                <w:kern w:val="0"/>
                <w:szCs w:val="21"/>
                <w:lang w:bidi="ar"/>
              </w:rPr>
              <w:br w:type="textWrapping"/>
            </w:r>
            <w:r>
              <w:rPr>
                <w:rFonts w:hint="eastAsia" w:ascii="微软雅黑" w:hAnsi="微软雅黑" w:eastAsia="微软雅黑" w:cs="微软雅黑"/>
                <w:color w:val="060A26"/>
                <w:kern w:val="0"/>
                <w:szCs w:val="21"/>
                <w:lang w:bidi="ar"/>
              </w:rPr>
              <w:t>✓ 异常值自动报警：如体温≥39℃、收缩压≤90mmHg、尿量&lt;30ml/h，系统弹窗提醒并强制填写处理措施。</w:t>
            </w:r>
          </w:p>
        </w:tc>
      </w:tr>
      <w:tr w14:paraId="06D80AE0">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505" w:hRule="atLeast"/>
          <w:jc w:val="center"/>
        </w:trPr>
        <w:tc>
          <w:tcPr>
            <w:tcW w:w="1582" w:type="dxa"/>
            <w:vMerge w:val="continue"/>
            <w:tcBorders>
              <w:left w:val="single" w:color="auto" w:sz="6" w:space="0"/>
              <w:right w:val="single" w:color="auto" w:sz="6" w:space="0"/>
            </w:tcBorders>
            <w:shd w:val="clear" w:color="auto" w:fill="FFFFFF"/>
            <w:tcMar>
              <w:top w:w="150" w:type="dxa"/>
              <w:left w:w="210" w:type="dxa"/>
              <w:bottom w:w="150" w:type="dxa"/>
              <w:right w:w="210" w:type="dxa"/>
            </w:tcMar>
            <w:vAlign w:val="center"/>
          </w:tcPr>
          <w:p w14:paraId="561510ED">
            <w:pPr>
              <w:keepNext/>
              <w:snapToGrid w:val="0"/>
              <w:jc w:val="center"/>
              <w:rPr>
                <w:rFonts w:ascii="微软雅黑" w:hAnsi="微软雅黑" w:eastAsia="微软雅黑" w:cs="微软雅黑"/>
                <w:color w:val="060A26"/>
                <w:szCs w:val="21"/>
              </w:rPr>
            </w:pPr>
          </w:p>
        </w:tc>
        <w:tc>
          <w:tcPr>
            <w:tcW w:w="1345"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6C2F019E">
            <w:pPr>
              <w:keepNext/>
              <w:widowControl/>
              <w:wordWrap w:val="0"/>
              <w:snapToGrid w:val="0"/>
              <w:jc w:val="center"/>
              <w:textAlignment w:val="center"/>
              <w:rPr>
                <w:rFonts w:ascii="微软雅黑" w:hAnsi="微软雅黑" w:eastAsia="微软雅黑" w:cs="微软雅黑"/>
                <w:color w:val="060A26"/>
                <w:szCs w:val="21"/>
              </w:rPr>
            </w:pPr>
            <w:r>
              <w:rPr>
                <w:rFonts w:hint="eastAsia" w:ascii="微软雅黑" w:hAnsi="微软雅黑" w:eastAsia="微软雅黑" w:cs="微软雅黑"/>
                <w:color w:val="060A26"/>
                <w:kern w:val="0"/>
                <w:szCs w:val="21"/>
                <w:lang w:bidi="ar"/>
              </w:rPr>
              <w:t>2.3</w:t>
            </w:r>
          </w:p>
        </w:tc>
        <w:tc>
          <w:tcPr>
            <w:tcW w:w="6732"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68EC2354">
            <w:pPr>
              <w:keepNext/>
              <w:widowControl/>
              <w:wordWrap w:val="0"/>
              <w:snapToGrid w:val="0"/>
              <w:jc w:val="left"/>
              <w:textAlignment w:val="center"/>
              <w:rPr>
                <w:rFonts w:ascii="微软雅黑" w:hAnsi="微软雅黑" w:eastAsia="微软雅黑" w:cs="微软雅黑"/>
                <w:color w:val="060A26"/>
                <w:szCs w:val="21"/>
              </w:rPr>
            </w:pPr>
            <w:r>
              <w:rPr>
                <w:rFonts w:hint="eastAsia" w:ascii="微软雅黑" w:hAnsi="微软雅黑" w:eastAsia="微软雅黑" w:cs="微软雅黑"/>
                <w:b/>
                <w:bCs/>
                <w:color w:val="060A26"/>
                <w:kern w:val="0"/>
                <w:szCs w:val="21"/>
                <w:lang w:bidi="ar"/>
              </w:rPr>
              <w:t>体温单、出入量、血糖、体征测量记录，静脉通路管理</w:t>
            </w:r>
          </w:p>
        </w:tc>
      </w:tr>
      <w:tr w14:paraId="6065202D">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1312" w:hRule="atLeast"/>
          <w:jc w:val="center"/>
        </w:trPr>
        <w:tc>
          <w:tcPr>
            <w:tcW w:w="1582" w:type="dxa"/>
            <w:vMerge w:val="continue"/>
            <w:tcBorders>
              <w:left w:val="single" w:color="auto" w:sz="6" w:space="0"/>
              <w:right w:val="single" w:color="auto" w:sz="6" w:space="0"/>
            </w:tcBorders>
            <w:shd w:val="clear" w:color="auto" w:fill="FFFFFF"/>
            <w:tcMar>
              <w:top w:w="150" w:type="dxa"/>
              <w:left w:w="210" w:type="dxa"/>
              <w:bottom w:w="150" w:type="dxa"/>
              <w:right w:w="210" w:type="dxa"/>
            </w:tcMar>
            <w:vAlign w:val="center"/>
          </w:tcPr>
          <w:p w14:paraId="0CFB5AF6">
            <w:pPr>
              <w:keepNext/>
              <w:snapToGrid w:val="0"/>
              <w:jc w:val="center"/>
              <w:rPr>
                <w:rFonts w:ascii="微软雅黑" w:hAnsi="微软雅黑" w:eastAsia="微软雅黑" w:cs="微软雅黑"/>
                <w:color w:val="060A26"/>
                <w:szCs w:val="21"/>
              </w:rPr>
            </w:pPr>
          </w:p>
        </w:tc>
        <w:tc>
          <w:tcPr>
            <w:tcW w:w="1345"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59B3B718">
            <w:pPr>
              <w:keepNext/>
              <w:widowControl/>
              <w:wordWrap w:val="0"/>
              <w:snapToGrid w:val="0"/>
              <w:jc w:val="center"/>
              <w:textAlignment w:val="center"/>
              <w:rPr>
                <w:rFonts w:ascii="微软雅黑" w:hAnsi="微软雅黑" w:eastAsia="微软雅黑" w:cs="微软雅黑"/>
                <w:color w:val="060A26"/>
                <w:szCs w:val="21"/>
              </w:rPr>
            </w:pPr>
            <w:r>
              <w:rPr>
                <w:rFonts w:hint="eastAsia" w:ascii="微软雅黑" w:hAnsi="微软雅黑" w:eastAsia="微软雅黑" w:cs="微软雅黑"/>
                <w:color w:val="060A26"/>
                <w:kern w:val="0"/>
                <w:szCs w:val="21"/>
                <w:lang w:bidi="ar"/>
              </w:rPr>
              <w:t>2.3.1 体温单可视化</w:t>
            </w:r>
          </w:p>
        </w:tc>
        <w:tc>
          <w:tcPr>
            <w:tcW w:w="6732"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0D233B15">
            <w:pPr>
              <w:keepNext/>
              <w:widowControl/>
              <w:wordWrap w:val="0"/>
              <w:snapToGrid w:val="0"/>
              <w:jc w:val="left"/>
              <w:textAlignment w:val="center"/>
              <w:rPr>
                <w:rFonts w:ascii="微软雅黑" w:hAnsi="微软雅黑" w:eastAsia="微软雅黑" w:cs="微软雅黑"/>
                <w:color w:val="060A26"/>
                <w:szCs w:val="21"/>
              </w:rPr>
            </w:pPr>
            <w:r>
              <w:rPr>
                <w:rFonts w:hint="eastAsia" w:ascii="微软雅黑" w:hAnsi="微软雅黑" w:eastAsia="微软雅黑" w:cs="微软雅黑"/>
                <w:color w:val="060A26"/>
                <w:kern w:val="0"/>
                <w:szCs w:val="21"/>
                <w:lang w:bidi="ar"/>
              </w:rPr>
              <w:t>✓ 体温单以曲线图展示7日生命体征趋势，支持手动录入或对接监护仪、体温枪自动采集数据。</w:t>
            </w:r>
            <w:r>
              <w:rPr>
                <w:rFonts w:hint="eastAsia" w:ascii="微软雅黑" w:hAnsi="微软雅黑" w:eastAsia="微软雅黑" w:cs="微软雅黑"/>
                <w:color w:val="060A26"/>
                <w:kern w:val="0"/>
                <w:szCs w:val="21"/>
                <w:lang w:bidi="ar"/>
              </w:rPr>
              <w:br w:type="textWrapping"/>
            </w:r>
            <w:r>
              <w:rPr>
                <w:rFonts w:hint="eastAsia" w:ascii="微软雅黑" w:hAnsi="微软雅黑" w:eastAsia="微软雅黑" w:cs="微软雅黑"/>
                <w:color w:val="060A26"/>
                <w:kern w:val="0"/>
                <w:szCs w:val="21"/>
                <w:lang w:bidi="ar"/>
              </w:rPr>
              <w:t>✓ 曲线图支持缩放、导出PDF，符合《护理文书书写规范》要求。</w:t>
            </w:r>
          </w:p>
        </w:tc>
      </w:tr>
      <w:tr w14:paraId="147C6AD1">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2389" w:hRule="atLeast"/>
          <w:jc w:val="center"/>
        </w:trPr>
        <w:tc>
          <w:tcPr>
            <w:tcW w:w="1582" w:type="dxa"/>
            <w:vMerge w:val="continue"/>
            <w:tcBorders>
              <w:left w:val="single" w:color="auto" w:sz="6" w:space="0"/>
              <w:right w:val="single" w:color="auto" w:sz="6" w:space="0"/>
            </w:tcBorders>
            <w:shd w:val="clear" w:color="auto" w:fill="FFFFFF"/>
            <w:tcMar>
              <w:top w:w="150" w:type="dxa"/>
              <w:left w:w="210" w:type="dxa"/>
              <w:bottom w:w="150" w:type="dxa"/>
              <w:right w:w="210" w:type="dxa"/>
            </w:tcMar>
            <w:vAlign w:val="center"/>
          </w:tcPr>
          <w:p w14:paraId="04E29AA1">
            <w:pPr>
              <w:keepNext/>
              <w:snapToGrid w:val="0"/>
              <w:jc w:val="center"/>
              <w:rPr>
                <w:rFonts w:ascii="微软雅黑" w:hAnsi="微软雅黑" w:eastAsia="微软雅黑" w:cs="微软雅黑"/>
                <w:color w:val="060A26"/>
                <w:szCs w:val="21"/>
              </w:rPr>
            </w:pPr>
          </w:p>
        </w:tc>
        <w:tc>
          <w:tcPr>
            <w:tcW w:w="1345"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29417234">
            <w:pPr>
              <w:keepNext/>
              <w:widowControl/>
              <w:wordWrap w:val="0"/>
              <w:snapToGrid w:val="0"/>
              <w:jc w:val="center"/>
              <w:textAlignment w:val="center"/>
              <w:rPr>
                <w:rFonts w:ascii="微软雅黑" w:hAnsi="微软雅黑" w:eastAsia="微软雅黑" w:cs="微软雅黑"/>
                <w:color w:val="060A26"/>
                <w:szCs w:val="21"/>
              </w:rPr>
            </w:pPr>
            <w:r>
              <w:rPr>
                <w:rFonts w:hint="eastAsia" w:ascii="微软雅黑" w:hAnsi="微软雅黑" w:eastAsia="微软雅黑" w:cs="微软雅黑"/>
                <w:color w:val="060A26"/>
                <w:kern w:val="0"/>
                <w:szCs w:val="21"/>
                <w:lang w:bidi="ar"/>
              </w:rPr>
              <w:t>2.3.2 出入量、血糖、体征、智能统计</w:t>
            </w:r>
          </w:p>
        </w:tc>
        <w:tc>
          <w:tcPr>
            <w:tcW w:w="6732"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058B13D4">
            <w:pPr>
              <w:keepNext/>
              <w:widowControl/>
              <w:wordWrap w:val="0"/>
              <w:snapToGrid w:val="0"/>
              <w:jc w:val="left"/>
              <w:textAlignment w:val="center"/>
              <w:rPr>
                <w:rFonts w:ascii="微软雅黑" w:hAnsi="微软雅黑" w:eastAsia="微软雅黑" w:cs="微软雅黑"/>
                <w:color w:val="060A26"/>
                <w:kern w:val="0"/>
                <w:szCs w:val="21"/>
                <w:lang w:bidi="ar"/>
              </w:rPr>
            </w:pPr>
            <w:r>
              <w:rPr>
                <w:rFonts w:hint="eastAsia" w:ascii="微软雅黑" w:hAnsi="微软雅黑" w:eastAsia="微软雅黑" w:cs="微软雅黑"/>
                <w:color w:val="060A26"/>
                <w:kern w:val="0"/>
                <w:szCs w:val="21"/>
                <w:lang w:bidi="ar"/>
              </w:rPr>
              <w:t>✓ 出入量按“摄入”（饮水、输液、食物）和“排出”（尿量、引流量、呕吐物、大便）分类录入，24小时自动汇总，超限（如24h尿量&lt;400ml）触发预警。</w:t>
            </w:r>
            <w:r>
              <w:rPr>
                <w:rFonts w:hint="eastAsia" w:ascii="微软雅黑" w:hAnsi="微软雅黑" w:eastAsia="微软雅黑" w:cs="微软雅黑"/>
                <w:color w:val="060A26"/>
                <w:kern w:val="0"/>
                <w:szCs w:val="21"/>
                <w:lang w:bidi="ar"/>
              </w:rPr>
              <w:br w:type="textWrapping"/>
            </w:r>
            <w:r>
              <w:rPr>
                <w:rFonts w:hint="eastAsia" w:ascii="微软雅黑" w:hAnsi="微软雅黑" w:eastAsia="微软雅黑" w:cs="微软雅黑"/>
                <w:color w:val="060A26"/>
                <w:kern w:val="0"/>
                <w:szCs w:val="21"/>
                <w:lang w:bidi="ar"/>
              </w:rPr>
              <w:t>✓ 血糖记录提供24小时检测单，血糖小于等于3.9和大于等于6.1显示为橘红色，小于等于2.8显示为大红色。</w:t>
            </w:r>
          </w:p>
          <w:p w14:paraId="02215E26">
            <w:pPr>
              <w:keepNext/>
              <w:widowControl/>
              <w:wordWrap w:val="0"/>
              <w:snapToGrid w:val="0"/>
              <w:jc w:val="left"/>
              <w:textAlignment w:val="center"/>
              <w:rPr>
                <w:rFonts w:ascii="微软雅黑" w:hAnsi="微软雅黑" w:eastAsia="微软雅黑" w:cs="微软雅黑"/>
                <w:color w:val="060A26"/>
                <w:kern w:val="0"/>
                <w:szCs w:val="21"/>
                <w:lang w:bidi="ar"/>
              </w:rPr>
            </w:pPr>
            <w:r>
              <w:rPr>
                <w:rFonts w:hint="eastAsia" w:ascii="微软雅黑" w:hAnsi="微软雅黑" w:eastAsia="微软雅黑" w:cs="微软雅黑"/>
                <w:color w:val="060A26"/>
                <w:kern w:val="0"/>
                <w:szCs w:val="21"/>
                <w:lang w:bidi="ar"/>
              </w:rPr>
              <w:t>✓ 体征记录提供计划测量时间，测量护士，体温测量部位，体温，脉搏，呼吸，心率，体重，身高，总入量，尿量，疼痛评分信息填写。</w:t>
            </w:r>
          </w:p>
        </w:tc>
      </w:tr>
      <w:tr w14:paraId="052B1B58">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1312" w:hRule="atLeast"/>
          <w:jc w:val="center"/>
        </w:trPr>
        <w:tc>
          <w:tcPr>
            <w:tcW w:w="1582" w:type="dxa"/>
            <w:vMerge w:val="continue"/>
            <w:tcBorders>
              <w:left w:val="single" w:color="auto" w:sz="6" w:space="0"/>
              <w:right w:val="single" w:color="auto" w:sz="6" w:space="0"/>
            </w:tcBorders>
            <w:shd w:val="clear" w:color="auto" w:fill="FFFFFF"/>
            <w:tcMar>
              <w:top w:w="150" w:type="dxa"/>
              <w:left w:w="210" w:type="dxa"/>
              <w:bottom w:w="150" w:type="dxa"/>
              <w:right w:w="210" w:type="dxa"/>
            </w:tcMar>
            <w:vAlign w:val="center"/>
          </w:tcPr>
          <w:p w14:paraId="3A3EA2C7">
            <w:pPr>
              <w:keepNext/>
              <w:snapToGrid w:val="0"/>
              <w:jc w:val="center"/>
              <w:rPr>
                <w:rFonts w:ascii="微软雅黑" w:hAnsi="微软雅黑" w:eastAsia="微软雅黑" w:cs="微软雅黑"/>
                <w:color w:val="060A26"/>
                <w:szCs w:val="21"/>
              </w:rPr>
            </w:pPr>
          </w:p>
        </w:tc>
        <w:tc>
          <w:tcPr>
            <w:tcW w:w="1345"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64E7BB03">
            <w:pPr>
              <w:keepNext/>
              <w:widowControl/>
              <w:wordWrap w:val="0"/>
              <w:snapToGrid w:val="0"/>
              <w:jc w:val="center"/>
              <w:textAlignment w:val="center"/>
              <w:rPr>
                <w:rFonts w:ascii="微软雅黑" w:hAnsi="微软雅黑" w:eastAsia="微软雅黑" w:cs="微软雅黑"/>
                <w:color w:val="060A26"/>
                <w:kern w:val="0"/>
                <w:szCs w:val="21"/>
                <w:lang w:bidi="ar"/>
              </w:rPr>
            </w:pPr>
            <w:r>
              <w:rPr>
                <w:rFonts w:hint="eastAsia" w:ascii="微软雅黑" w:hAnsi="微软雅黑" w:eastAsia="微软雅黑" w:cs="微软雅黑"/>
                <w:color w:val="060A26"/>
                <w:kern w:val="0"/>
                <w:szCs w:val="21"/>
                <w:lang w:bidi="ar"/>
              </w:rPr>
              <w:t>2.3.3门诊、住院静脉通路管理</w:t>
            </w:r>
          </w:p>
        </w:tc>
        <w:tc>
          <w:tcPr>
            <w:tcW w:w="6732"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1DD3F8F1">
            <w:pPr>
              <w:keepNext/>
              <w:widowControl/>
              <w:wordWrap w:val="0"/>
              <w:snapToGrid w:val="0"/>
              <w:jc w:val="left"/>
              <w:textAlignment w:val="center"/>
              <w:rPr>
                <w:rFonts w:ascii="微软雅黑" w:hAnsi="微软雅黑" w:eastAsia="微软雅黑" w:cs="微软雅黑"/>
                <w:color w:val="060A26"/>
                <w:kern w:val="0"/>
                <w:szCs w:val="21"/>
                <w:lang w:bidi="ar"/>
              </w:rPr>
            </w:pPr>
            <w:r>
              <w:rPr>
                <w:rFonts w:hint="eastAsia" w:ascii="微软雅黑" w:hAnsi="微软雅黑" w:eastAsia="微软雅黑" w:cs="微软雅黑"/>
                <w:color w:val="060A26"/>
                <w:kern w:val="0"/>
                <w:szCs w:val="21"/>
                <w:lang w:bidi="ar"/>
              </w:rPr>
              <w:t>✓ 可根据患者信息，科室，时间检索查询。提供PICC穿刺、CVC穿刺、评估单。显示患者信息、置管类别，时间，维护时间，状态等信息。</w:t>
            </w:r>
          </w:p>
        </w:tc>
      </w:tr>
      <w:tr w14:paraId="41B68B1F">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505" w:hRule="atLeast"/>
          <w:jc w:val="center"/>
        </w:trPr>
        <w:tc>
          <w:tcPr>
            <w:tcW w:w="1582" w:type="dxa"/>
            <w:vMerge w:val="continue"/>
            <w:tcBorders>
              <w:left w:val="single" w:color="auto" w:sz="6" w:space="0"/>
              <w:right w:val="single" w:color="auto" w:sz="6" w:space="0"/>
            </w:tcBorders>
            <w:shd w:val="clear" w:color="auto" w:fill="FFFFFF"/>
            <w:tcMar>
              <w:top w:w="150" w:type="dxa"/>
              <w:left w:w="210" w:type="dxa"/>
              <w:bottom w:w="150" w:type="dxa"/>
              <w:right w:w="210" w:type="dxa"/>
            </w:tcMar>
            <w:vAlign w:val="center"/>
          </w:tcPr>
          <w:p w14:paraId="4BB03ABE">
            <w:pPr>
              <w:keepNext/>
              <w:snapToGrid w:val="0"/>
              <w:jc w:val="center"/>
              <w:rPr>
                <w:rFonts w:ascii="微软雅黑" w:hAnsi="微软雅黑" w:eastAsia="微软雅黑" w:cs="微软雅黑"/>
                <w:color w:val="060A26"/>
                <w:szCs w:val="21"/>
              </w:rPr>
            </w:pPr>
          </w:p>
        </w:tc>
        <w:tc>
          <w:tcPr>
            <w:tcW w:w="1345"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5318B2EA">
            <w:pPr>
              <w:keepNext/>
              <w:widowControl/>
              <w:wordWrap w:val="0"/>
              <w:snapToGrid w:val="0"/>
              <w:jc w:val="center"/>
              <w:textAlignment w:val="center"/>
              <w:rPr>
                <w:rFonts w:ascii="微软雅黑" w:hAnsi="微软雅黑" w:eastAsia="微软雅黑" w:cs="微软雅黑"/>
                <w:color w:val="060A26"/>
                <w:szCs w:val="21"/>
              </w:rPr>
            </w:pPr>
            <w:r>
              <w:rPr>
                <w:rFonts w:hint="eastAsia" w:ascii="微软雅黑" w:hAnsi="微软雅黑" w:eastAsia="微软雅黑" w:cs="微软雅黑"/>
                <w:color w:val="060A26"/>
                <w:kern w:val="0"/>
                <w:szCs w:val="21"/>
                <w:lang w:bidi="ar"/>
              </w:rPr>
              <w:t>2.4</w:t>
            </w:r>
          </w:p>
        </w:tc>
        <w:tc>
          <w:tcPr>
            <w:tcW w:w="6732"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4FC079E5">
            <w:pPr>
              <w:keepNext/>
              <w:widowControl/>
              <w:wordWrap w:val="0"/>
              <w:snapToGrid w:val="0"/>
              <w:jc w:val="left"/>
              <w:textAlignment w:val="center"/>
              <w:rPr>
                <w:rFonts w:ascii="微软雅黑" w:hAnsi="微软雅黑" w:eastAsia="微软雅黑" w:cs="微软雅黑"/>
                <w:color w:val="060A26"/>
                <w:szCs w:val="21"/>
              </w:rPr>
            </w:pPr>
            <w:r>
              <w:rPr>
                <w:rFonts w:hint="eastAsia" w:ascii="微软雅黑" w:hAnsi="微软雅黑" w:eastAsia="微软雅黑" w:cs="微软雅黑"/>
                <w:b/>
                <w:bCs/>
                <w:color w:val="060A26"/>
                <w:kern w:val="0"/>
                <w:szCs w:val="21"/>
                <w:lang w:bidi="ar"/>
              </w:rPr>
              <w:t>查询统计</w:t>
            </w:r>
          </w:p>
        </w:tc>
      </w:tr>
      <w:tr w14:paraId="6FEE5919">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1312" w:hRule="atLeast"/>
          <w:jc w:val="center"/>
        </w:trPr>
        <w:tc>
          <w:tcPr>
            <w:tcW w:w="1582" w:type="dxa"/>
            <w:vMerge w:val="continue"/>
            <w:tcBorders>
              <w:left w:val="single" w:color="auto" w:sz="6" w:space="0"/>
              <w:right w:val="single" w:color="auto" w:sz="6" w:space="0"/>
            </w:tcBorders>
            <w:shd w:val="clear" w:color="auto" w:fill="FFFFFF"/>
            <w:tcMar>
              <w:top w:w="150" w:type="dxa"/>
              <w:left w:w="210" w:type="dxa"/>
              <w:bottom w:w="150" w:type="dxa"/>
              <w:right w:w="210" w:type="dxa"/>
            </w:tcMar>
            <w:vAlign w:val="center"/>
          </w:tcPr>
          <w:p w14:paraId="760E61A9">
            <w:pPr>
              <w:keepNext/>
              <w:snapToGrid w:val="0"/>
              <w:jc w:val="center"/>
              <w:rPr>
                <w:rFonts w:ascii="微软雅黑" w:hAnsi="微软雅黑" w:eastAsia="微软雅黑" w:cs="微软雅黑"/>
                <w:color w:val="060A26"/>
                <w:szCs w:val="21"/>
              </w:rPr>
            </w:pPr>
          </w:p>
        </w:tc>
        <w:tc>
          <w:tcPr>
            <w:tcW w:w="1345"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0C266F21">
            <w:pPr>
              <w:keepNext/>
              <w:widowControl/>
              <w:wordWrap w:val="0"/>
              <w:snapToGrid w:val="0"/>
              <w:jc w:val="center"/>
              <w:textAlignment w:val="center"/>
              <w:rPr>
                <w:rFonts w:ascii="微软雅黑" w:hAnsi="微软雅黑" w:eastAsia="微软雅黑" w:cs="微软雅黑"/>
                <w:color w:val="060A26"/>
                <w:szCs w:val="21"/>
              </w:rPr>
            </w:pPr>
            <w:r>
              <w:rPr>
                <w:rFonts w:hint="eastAsia" w:ascii="微软雅黑" w:hAnsi="微软雅黑" w:eastAsia="微软雅黑" w:cs="微软雅黑"/>
                <w:color w:val="060A26"/>
                <w:kern w:val="0"/>
                <w:szCs w:val="21"/>
                <w:lang w:bidi="ar"/>
              </w:rPr>
              <w:t>2.4.1 电子交接模板</w:t>
            </w:r>
          </w:p>
        </w:tc>
        <w:tc>
          <w:tcPr>
            <w:tcW w:w="6732"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4F7E1700">
            <w:pPr>
              <w:keepNext/>
              <w:widowControl/>
              <w:wordWrap w:val="0"/>
              <w:snapToGrid w:val="0"/>
              <w:jc w:val="left"/>
              <w:textAlignment w:val="center"/>
              <w:rPr>
                <w:rFonts w:ascii="微软雅黑" w:hAnsi="微软雅黑" w:eastAsia="微软雅黑" w:cs="微软雅黑"/>
                <w:color w:val="060A26"/>
                <w:kern w:val="0"/>
                <w:szCs w:val="21"/>
                <w:lang w:bidi="ar"/>
              </w:rPr>
            </w:pPr>
            <w:r>
              <w:rPr>
                <w:rFonts w:hint="eastAsia" w:ascii="微软雅黑" w:hAnsi="微软雅黑" w:eastAsia="微软雅黑" w:cs="微软雅黑"/>
                <w:color w:val="060A26"/>
                <w:kern w:val="0"/>
                <w:szCs w:val="21"/>
                <w:lang w:bidi="ar"/>
              </w:rPr>
              <w:t>✓ 提供病人详细信息查询，可查询病人病历数据，转出病人查询，可进行住院费用结算单查询。</w:t>
            </w:r>
          </w:p>
          <w:p w14:paraId="19BBC47A">
            <w:pPr>
              <w:keepNext/>
              <w:widowControl/>
              <w:wordWrap w:val="0"/>
              <w:snapToGrid w:val="0"/>
              <w:jc w:val="left"/>
              <w:textAlignment w:val="center"/>
              <w:rPr>
                <w:rFonts w:ascii="微软雅黑" w:hAnsi="微软雅黑" w:eastAsia="微软雅黑" w:cs="微软雅黑"/>
                <w:color w:val="060A26"/>
                <w:szCs w:val="21"/>
              </w:rPr>
            </w:pPr>
            <w:r>
              <w:rPr>
                <w:rFonts w:hint="eastAsia" w:ascii="微软雅黑" w:hAnsi="微软雅黑" w:eastAsia="微软雅黑" w:cs="微软雅黑"/>
                <w:color w:val="060A26"/>
                <w:kern w:val="0"/>
                <w:szCs w:val="21"/>
                <w:lang w:bidi="ar"/>
              </w:rPr>
              <w:t>✓ 支持定制化查询，例如床护比，护患比，护理时数，非计划把管统计等。</w:t>
            </w:r>
          </w:p>
        </w:tc>
      </w:tr>
      <w:tr w14:paraId="66C0F89E">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505" w:hRule="atLeast"/>
          <w:jc w:val="center"/>
        </w:trPr>
        <w:tc>
          <w:tcPr>
            <w:tcW w:w="1582" w:type="dxa"/>
            <w:vMerge w:val="continue"/>
            <w:tcBorders>
              <w:left w:val="single" w:color="auto" w:sz="6" w:space="0"/>
              <w:right w:val="single" w:color="auto" w:sz="6" w:space="0"/>
            </w:tcBorders>
            <w:shd w:val="clear" w:color="auto" w:fill="FFFFFF"/>
            <w:tcMar>
              <w:top w:w="150" w:type="dxa"/>
              <w:left w:w="210" w:type="dxa"/>
              <w:bottom w:w="150" w:type="dxa"/>
              <w:right w:w="210" w:type="dxa"/>
            </w:tcMar>
            <w:vAlign w:val="center"/>
          </w:tcPr>
          <w:p w14:paraId="6265AD84">
            <w:pPr>
              <w:keepNext/>
              <w:snapToGrid w:val="0"/>
              <w:jc w:val="center"/>
              <w:rPr>
                <w:rFonts w:ascii="微软雅黑" w:hAnsi="微软雅黑" w:eastAsia="微软雅黑" w:cs="微软雅黑"/>
                <w:color w:val="060A26"/>
                <w:szCs w:val="21"/>
              </w:rPr>
            </w:pPr>
          </w:p>
        </w:tc>
        <w:tc>
          <w:tcPr>
            <w:tcW w:w="1345"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32EAFD2E">
            <w:pPr>
              <w:keepNext/>
              <w:widowControl/>
              <w:wordWrap w:val="0"/>
              <w:snapToGrid w:val="0"/>
              <w:jc w:val="center"/>
              <w:textAlignment w:val="center"/>
              <w:rPr>
                <w:rFonts w:ascii="微软雅黑" w:hAnsi="微软雅黑" w:eastAsia="微软雅黑" w:cs="微软雅黑"/>
                <w:color w:val="060A26"/>
                <w:szCs w:val="21"/>
              </w:rPr>
            </w:pPr>
            <w:r>
              <w:rPr>
                <w:rFonts w:hint="eastAsia" w:ascii="微软雅黑" w:hAnsi="微软雅黑" w:eastAsia="微软雅黑" w:cs="微软雅黑"/>
                <w:color w:val="060A26"/>
                <w:kern w:val="0"/>
                <w:szCs w:val="21"/>
                <w:lang w:bidi="ar"/>
              </w:rPr>
              <w:t>2.5</w:t>
            </w:r>
          </w:p>
        </w:tc>
        <w:tc>
          <w:tcPr>
            <w:tcW w:w="6732"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53DF009F">
            <w:pPr>
              <w:keepNext/>
              <w:widowControl/>
              <w:wordWrap w:val="0"/>
              <w:snapToGrid w:val="0"/>
              <w:jc w:val="left"/>
              <w:textAlignment w:val="center"/>
              <w:rPr>
                <w:rFonts w:ascii="微软雅黑" w:hAnsi="微软雅黑" w:eastAsia="微软雅黑" w:cs="微软雅黑"/>
                <w:color w:val="060A26"/>
                <w:szCs w:val="21"/>
              </w:rPr>
            </w:pPr>
            <w:r>
              <w:rPr>
                <w:rFonts w:hint="eastAsia" w:ascii="微软雅黑" w:hAnsi="微软雅黑" w:eastAsia="微软雅黑" w:cs="微软雅黑"/>
                <w:b/>
                <w:bCs/>
                <w:color w:val="060A26"/>
                <w:kern w:val="0"/>
                <w:szCs w:val="21"/>
                <w:lang w:bidi="ar"/>
              </w:rPr>
              <w:t>系统集成</w:t>
            </w:r>
          </w:p>
        </w:tc>
      </w:tr>
      <w:tr w14:paraId="0465FB5D">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1312" w:hRule="atLeast"/>
          <w:jc w:val="center"/>
        </w:trPr>
        <w:tc>
          <w:tcPr>
            <w:tcW w:w="1582" w:type="dxa"/>
            <w:vMerge w:val="continue"/>
            <w:tcBorders>
              <w:left w:val="single" w:color="auto" w:sz="6" w:space="0"/>
              <w:right w:val="single" w:color="auto" w:sz="6" w:space="0"/>
            </w:tcBorders>
            <w:shd w:val="clear" w:color="auto" w:fill="FFFFFF"/>
            <w:tcMar>
              <w:top w:w="150" w:type="dxa"/>
              <w:left w:w="210" w:type="dxa"/>
              <w:bottom w:w="150" w:type="dxa"/>
              <w:right w:w="210" w:type="dxa"/>
            </w:tcMar>
            <w:vAlign w:val="center"/>
          </w:tcPr>
          <w:p w14:paraId="31FF9D15">
            <w:pPr>
              <w:keepNext/>
              <w:snapToGrid w:val="0"/>
              <w:jc w:val="center"/>
              <w:rPr>
                <w:rFonts w:ascii="微软雅黑" w:hAnsi="微软雅黑" w:eastAsia="微软雅黑" w:cs="微软雅黑"/>
                <w:color w:val="060A26"/>
                <w:szCs w:val="21"/>
              </w:rPr>
            </w:pPr>
          </w:p>
        </w:tc>
        <w:tc>
          <w:tcPr>
            <w:tcW w:w="1345"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4566826A">
            <w:pPr>
              <w:keepNext/>
              <w:widowControl/>
              <w:wordWrap w:val="0"/>
              <w:snapToGrid w:val="0"/>
              <w:jc w:val="center"/>
              <w:textAlignment w:val="center"/>
              <w:rPr>
                <w:rFonts w:ascii="微软雅黑" w:hAnsi="微软雅黑" w:eastAsia="微软雅黑" w:cs="微软雅黑"/>
                <w:color w:val="060A26"/>
                <w:szCs w:val="21"/>
              </w:rPr>
            </w:pPr>
            <w:r>
              <w:rPr>
                <w:rFonts w:hint="eastAsia" w:ascii="微软雅黑" w:hAnsi="微软雅黑" w:eastAsia="微软雅黑" w:cs="微软雅黑"/>
                <w:color w:val="060A26"/>
                <w:kern w:val="0"/>
                <w:szCs w:val="21"/>
                <w:lang w:bidi="ar"/>
              </w:rPr>
              <w:t>2.5.1 与电子病历集成</w:t>
            </w:r>
          </w:p>
        </w:tc>
        <w:tc>
          <w:tcPr>
            <w:tcW w:w="6732"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7F6CDF21">
            <w:pPr>
              <w:keepNext/>
              <w:widowControl/>
              <w:wordWrap w:val="0"/>
              <w:snapToGrid w:val="0"/>
              <w:jc w:val="left"/>
              <w:textAlignment w:val="center"/>
              <w:rPr>
                <w:rFonts w:ascii="微软雅黑" w:hAnsi="微软雅黑" w:eastAsia="微软雅黑" w:cs="微软雅黑"/>
                <w:color w:val="060A26"/>
                <w:szCs w:val="21"/>
              </w:rPr>
            </w:pPr>
            <w:r>
              <w:rPr>
                <w:rFonts w:hint="eastAsia" w:ascii="微软雅黑" w:hAnsi="微软雅黑" w:eastAsia="微软雅黑" w:cs="微软雅黑"/>
                <w:color w:val="060A26"/>
                <w:kern w:val="0"/>
                <w:szCs w:val="21"/>
                <w:lang w:bidi="ar"/>
              </w:rPr>
              <w:t>✓ 护理评估、记录、体温单等数据自动同步至住院电子病历系统，避免重复录入。</w:t>
            </w:r>
            <w:r>
              <w:rPr>
                <w:rFonts w:hint="eastAsia" w:ascii="微软雅黑" w:hAnsi="微软雅黑" w:eastAsia="微软雅黑" w:cs="微软雅黑"/>
                <w:color w:val="060A26"/>
                <w:kern w:val="0"/>
                <w:szCs w:val="21"/>
                <w:lang w:bidi="ar"/>
              </w:rPr>
              <w:br w:type="textWrapping"/>
            </w:r>
            <w:r>
              <w:rPr>
                <w:rFonts w:hint="eastAsia" w:ascii="微软雅黑" w:hAnsi="微软雅黑" w:eastAsia="微软雅黑" w:cs="微软雅黑"/>
                <w:color w:val="060A26"/>
                <w:kern w:val="0"/>
                <w:szCs w:val="21"/>
                <w:lang w:bidi="ar"/>
              </w:rPr>
              <w:t>✓ 医生在病程记录中可直接查看护理记录关键指标（如24h出入量、疼痛评分）。</w:t>
            </w:r>
          </w:p>
        </w:tc>
      </w:tr>
      <w:tr w14:paraId="1C00CCD0">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1043" w:hRule="atLeast"/>
          <w:jc w:val="center"/>
        </w:trPr>
        <w:tc>
          <w:tcPr>
            <w:tcW w:w="1582" w:type="dxa"/>
            <w:vMerge w:val="continue"/>
            <w:tcBorders>
              <w:left w:val="single" w:color="auto" w:sz="6" w:space="0"/>
              <w:right w:val="single" w:color="auto" w:sz="6" w:space="0"/>
            </w:tcBorders>
            <w:shd w:val="clear" w:color="auto" w:fill="FFFFFF"/>
            <w:tcMar>
              <w:top w:w="150" w:type="dxa"/>
              <w:left w:w="210" w:type="dxa"/>
              <w:bottom w:w="150" w:type="dxa"/>
              <w:right w:w="210" w:type="dxa"/>
            </w:tcMar>
            <w:vAlign w:val="center"/>
          </w:tcPr>
          <w:p w14:paraId="22CF2AFB">
            <w:pPr>
              <w:keepNext/>
              <w:snapToGrid w:val="0"/>
              <w:jc w:val="center"/>
              <w:rPr>
                <w:rFonts w:ascii="微软雅黑" w:hAnsi="微软雅黑" w:eastAsia="微软雅黑" w:cs="微软雅黑"/>
                <w:color w:val="060A26"/>
                <w:szCs w:val="21"/>
              </w:rPr>
            </w:pPr>
          </w:p>
        </w:tc>
        <w:tc>
          <w:tcPr>
            <w:tcW w:w="1345"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5F2200A4">
            <w:pPr>
              <w:keepNext/>
              <w:widowControl/>
              <w:wordWrap w:val="0"/>
              <w:snapToGrid w:val="0"/>
              <w:jc w:val="center"/>
              <w:textAlignment w:val="center"/>
              <w:rPr>
                <w:rFonts w:ascii="微软雅黑" w:hAnsi="微软雅黑" w:eastAsia="微软雅黑" w:cs="微软雅黑"/>
                <w:color w:val="060A26"/>
                <w:szCs w:val="21"/>
              </w:rPr>
            </w:pPr>
            <w:r>
              <w:rPr>
                <w:rFonts w:hint="eastAsia" w:ascii="微软雅黑" w:hAnsi="微软雅黑" w:eastAsia="微软雅黑" w:cs="微软雅黑"/>
                <w:color w:val="060A26"/>
                <w:kern w:val="0"/>
                <w:szCs w:val="21"/>
                <w:lang w:bidi="ar"/>
              </w:rPr>
              <w:t>2.5.2 与医嘱系统集成</w:t>
            </w:r>
          </w:p>
        </w:tc>
        <w:tc>
          <w:tcPr>
            <w:tcW w:w="6732"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7C781664">
            <w:pPr>
              <w:keepNext/>
              <w:widowControl/>
              <w:wordWrap w:val="0"/>
              <w:snapToGrid w:val="0"/>
              <w:jc w:val="left"/>
              <w:textAlignment w:val="center"/>
              <w:rPr>
                <w:rFonts w:ascii="微软雅黑" w:hAnsi="微软雅黑" w:eastAsia="微软雅黑" w:cs="微软雅黑"/>
                <w:color w:val="060A26"/>
                <w:szCs w:val="21"/>
              </w:rPr>
            </w:pPr>
            <w:r>
              <w:rPr>
                <w:rFonts w:hint="eastAsia" w:ascii="微软雅黑" w:hAnsi="微软雅黑" w:eastAsia="微软雅黑" w:cs="微软雅黑"/>
                <w:color w:val="060A26"/>
                <w:kern w:val="0"/>
                <w:szCs w:val="21"/>
                <w:lang w:bidi="ar"/>
              </w:rPr>
              <w:t>✓ 护士执行医嘱（如给药、输血）后，执行记录自动回写至护理记录单，形成闭环。</w:t>
            </w:r>
          </w:p>
        </w:tc>
      </w:tr>
      <w:tr w14:paraId="3D33C202">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505" w:hRule="atLeast"/>
          <w:jc w:val="center"/>
        </w:trPr>
        <w:tc>
          <w:tcPr>
            <w:tcW w:w="1582" w:type="dxa"/>
            <w:tcBorders>
              <w:left w:val="single" w:color="auto" w:sz="6" w:space="0"/>
              <w:right w:val="single" w:color="auto" w:sz="6" w:space="0"/>
            </w:tcBorders>
            <w:shd w:val="clear" w:color="auto" w:fill="FFFFFF"/>
            <w:tcMar>
              <w:top w:w="150" w:type="dxa"/>
              <w:left w:w="210" w:type="dxa"/>
              <w:bottom w:w="150" w:type="dxa"/>
              <w:right w:w="210" w:type="dxa"/>
            </w:tcMar>
            <w:vAlign w:val="center"/>
          </w:tcPr>
          <w:p w14:paraId="29E5392E">
            <w:pPr>
              <w:keepNext/>
              <w:snapToGrid w:val="0"/>
              <w:jc w:val="center"/>
              <w:rPr>
                <w:rFonts w:ascii="微软雅黑" w:hAnsi="微软雅黑" w:eastAsia="微软雅黑" w:cs="微软雅黑"/>
                <w:color w:val="060A26"/>
                <w:szCs w:val="21"/>
              </w:rPr>
            </w:pPr>
          </w:p>
        </w:tc>
        <w:tc>
          <w:tcPr>
            <w:tcW w:w="8077" w:type="dxa"/>
            <w:gridSpan w:val="2"/>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75638239">
            <w:pPr>
              <w:keepNext/>
              <w:widowControl/>
              <w:wordWrap w:val="0"/>
              <w:snapToGrid w:val="0"/>
              <w:jc w:val="both"/>
              <w:textAlignment w:val="center"/>
              <w:rPr>
                <w:rFonts w:ascii="微软雅黑" w:hAnsi="微软雅黑" w:eastAsia="微软雅黑" w:cs="微软雅黑"/>
                <w:color w:val="060A26"/>
                <w:kern w:val="0"/>
                <w:szCs w:val="21"/>
                <w:lang w:bidi="ar"/>
              </w:rPr>
            </w:pPr>
            <w:r>
              <w:rPr>
                <w:rFonts w:hint="eastAsia" w:ascii="宋体" w:hAnsi="宋体" w:cs="宋体"/>
                <w:b/>
                <w:bCs/>
                <w:color w:val="060A26"/>
                <w:kern w:val="0"/>
                <w:szCs w:val="21"/>
                <w:lang w:eastAsia="zh-CN" w:bidi="ar"/>
              </w:rPr>
              <w:t>（</w:t>
            </w:r>
            <w:r>
              <w:rPr>
                <w:rFonts w:hint="eastAsia" w:ascii="宋体" w:hAnsi="宋体" w:cs="宋体"/>
                <w:b/>
                <w:bCs/>
                <w:color w:val="060A26"/>
                <w:kern w:val="0"/>
                <w:szCs w:val="21"/>
                <w:lang w:val="en-US" w:eastAsia="zh-CN" w:bidi="ar"/>
              </w:rPr>
              <w:t>二</w:t>
            </w:r>
            <w:r>
              <w:rPr>
                <w:rFonts w:hint="eastAsia" w:ascii="宋体" w:hAnsi="宋体" w:cs="宋体"/>
                <w:b/>
                <w:bCs/>
                <w:color w:val="060A26"/>
                <w:kern w:val="0"/>
                <w:szCs w:val="21"/>
                <w:lang w:eastAsia="zh-CN" w:bidi="ar"/>
              </w:rPr>
              <w:t>）</w:t>
            </w:r>
            <w:r>
              <w:rPr>
                <w:rFonts w:hint="eastAsia" w:ascii="微软雅黑" w:hAnsi="微软雅黑" w:eastAsia="微软雅黑" w:cs="微软雅黑"/>
                <w:b/>
                <w:bCs/>
                <w:color w:val="060A26"/>
                <w:kern w:val="0"/>
                <w:szCs w:val="21"/>
                <w:lang w:bidi="ar"/>
              </w:rPr>
              <w:t>新增功能需求</w:t>
            </w:r>
          </w:p>
        </w:tc>
      </w:tr>
      <w:tr w14:paraId="1174192C">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1593" w:hRule="atLeast"/>
          <w:jc w:val="center"/>
        </w:trPr>
        <w:tc>
          <w:tcPr>
            <w:tcW w:w="1582" w:type="dxa"/>
            <w:tcBorders>
              <w:left w:val="single" w:color="auto" w:sz="6" w:space="0"/>
              <w:right w:val="single" w:color="auto" w:sz="6" w:space="0"/>
            </w:tcBorders>
            <w:shd w:val="clear" w:color="auto" w:fill="FFFFFF"/>
            <w:tcMar>
              <w:top w:w="150" w:type="dxa"/>
              <w:left w:w="210" w:type="dxa"/>
              <w:bottom w:w="150" w:type="dxa"/>
              <w:right w:w="210" w:type="dxa"/>
            </w:tcMar>
            <w:vAlign w:val="center"/>
          </w:tcPr>
          <w:p w14:paraId="0741D334">
            <w:pPr>
              <w:keepNext/>
              <w:snapToGrid w:val="0"/>
              <w:jc w:val="center"/>
              <w:rPr>
                <w:rFonts w:ascii="微软雅黑" w:hAnsi="微软雅黑" w:eastAsia="微软雅黑" w:cs="微软雅黑"/>
                <w:color w:val="060A26"/>
                <w:szCs w:val="21"/>
              </w:rPr>
            </w:pPr>
          </w:p>
        </w:tc>
        <w:tc>
          <w:tcPr>
            <w:tcW w:w="1345"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663C9FB4">
            <w:pPr>
              <w:keepNext/>
              <w:widowControl/>
              <w:wordWrap w:val="0"/>
              <w:snapToGrid w:val="0"/>
              <w:jc w:val="center"/>
              <w:textAlignment w:val="center"/>
              <w:rPr>
                <w:rFonts w:ascii="微软雅黑" w:hAnsi="微软雅黑" w:eastAsia="微软雅黑" w:cs="微软雅黑"/>
                <w:color w:val="060A26"/>
                <w:kern w:val="0"/>
                <w:szCs w:val="21"/>
                <w:lang w:bidi="ar"/>
              </w:rPr>
            </w:pPr>
            <w:r>
              <w:rPr>
                <w:rFonts w:hint="eastAsia" w:ascii="微软雅黑" w:hAnsi="微软雅黑" w:eastAsia="微软雅黑" w:cs="微软雅黑"/>
                <w:color w:val="060A26"/>
                <w:kern w:val="0"/>
                <w:szCs w:val="21"/>
                <w:lang w:bidi="ar"/>
              </w:rPr>
              <w:t>2.6.1对接需求</w:t>
            </w:r>
          </w:p>
        </w:tc>
        <w:tc>
          <w:tcPr>
            <w:tcW w:w="6732"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25857D38">
            <w:pPr>
              <w:widowControl/>
              <w:wordWrap w:val="0"/>
              <w:snapToGrid w:val="0"/>
              <w:jc w:val="left"/>
              <w:textAlignment w:val="center"/>
              <w:rPr>
                <w:rFonts w:ascii="微软雅黑" w:hAnsi="微软雅黑" w:eastAsia="微软雅黑" w:cs="微软雅黑"/>
                <w:color w:val="060A26"/>
                <w:kern w:val="0"/>
                <w:szCs w:val="21"/>
                <w:lang w:bidi="ar"/>
              </w:rPr>
            </w:pPr>
            <w:r>
              <w:rPr>
                <w:rFonts w:ascii="宋体" w:hAnsi="宋体" w:eastAsia="宋体" w:cs="宋体"/>
                <w:color w:val="060A26"/>
                <w:kern w:val="0"/>
                <w:szCs w:val="21"/>
                <w:lang w:bidi="ar"/>
              </w:rPr>
              <w:t>✓</w:t>
            </w:r>
            <w:r>
              <w:rPr>
                <w:rFonts w:hint="eastAsia" w:ascii="微软雅黑" w:hAnsi="微软雅黑" w:eastAsia="微软雅黑" w:cs="微软雅黑"/>
                <w:color w:val="060A26"/>
                <w:kern w:val="0"/>
                <w:szCs w:val="21"/>
                <w:lang w:bidi="ar"/>
              </w:rPr>
              <w:t xml:space="preserve"> 配合HIS系统改造，完成相关系统接口开发、对接及页面改造工作。</w:t>
            </w:r>
          </w:p>
          <w:p w14:paraId="593F6676">
            <w:pPr>
              <w:widowControl/>
              <w:wordWrap w:val="0"/>
              <w:snapToGrid w:val="0"/>
              <w:jc w:val="left"/>
              <w:textAlignment w:val="center"/>
              <w:rPr>
                <w:rFonts w:ascii="微软雅黑" w:hAnsi="微软雅黑" w:eastAsia="微软雅黑" w:cs="微软雅黑"/>
                <w:color w:val="060A26"/>
                <w:kern w:val="0"/>
                <w:szCs w:val="21"/>
                <w:lang w:bidi="ar"/>
              </w:rPr>
            </w:pPr>
            <w:r>
              <w:rPr>
                <w:rFonts w:hint="eastAsia" w:ascii="微软雅黑" w:hAnsi="微软雅黑" w:eastAsia="微软雅黑" w:cs="微软雅黑"/>
                <w:color w:val="060A26"/>
                <w:kern w:val="0"/>
                <w:szCs w:val="21"/>
                <w:lang w:bidi="ar"/>
              </w:rPr>
              <w:t>✓ 患者主索引接口：对接集成平台患者主索引信息，包括患者唯一标识、基本信息等，支持调取集成平台的患者身份标识，实现各业务系统间患者信息的共享和关联。</w:t>
            </w:r>
          </w:p>
        </w:tc>
      </w:tr>
      <w:tr w14:paraId="641F0D75">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993" w:hRule="atLeast"/>
          <w:jc w:val="center"/>
        </w:trPr>
        <w:tc>
          <w:tcPr>
            <w:tcW w:w="1582" w:type="dxa"/>
            <w:tcBorders>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6984267B">
            <w:pPr>
              <w:keepNext/>
              <w:snapToGrid w:val="0"/>
              <w:jc w:val="center"/>
              <w:rPr>
                <w:rFonts w:ascii="微软雅黑" w:hAnsi="微软雅黑" w:eastAsia="微软雅黑" w:cs="微软雅黑"/>
                <w:color w:val="060A26"/>
                <w:szCs w:val="21"/>
              </w:rPr>
            </w:pPr>
          </w:p>
        </w:tc>
        <w:tc>
          <w:tcPr>
            <w:tcW w:w="1345"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6355C890">
            <w:pPr>
              <w:widowControl/>
              <w:wordWrap w:val="0"/>
              <w:snapToGrid w:val="0"/>
              <w:jc w:val="left"/>
              <w:textAlignment w:val="center"/>
              <w:rPr>
                <w:rFonts w:hint="eastAsia" w:ascii="微软雅黑" w:hAnsi="微软雅黑" w:eastAsia="微软雅黑" w:cs="微软雅黑"/>
                <w:color w:val="060A26"/>
                <w:kern w:val="0"/>
                <w:sz w:val="21"/>
                <w:szCs w:val="21"/>
                <w:lang w:val="en-US" w:eastAsia="zh-CN" w:bidi="ar"/>
              </w:rPr>
            </w:pPr>
            <w:r>
              <w:rPr>
                <w:rFonts w:hint="eastAsia" w:ascii="微软雅黑" w:hAnsi="微软雅黑" w:eastAsia="微软雅黑" w:cs="微软雅黑"/>
                <w:color w:val="060A26"/>
                <w:kern w:val="0"/>
                <w:szCs w:val="21"/>
                <w:lang w:val="en-US" w:eastAsia="zh-CN" w:bidi="ar"/>
              </w:rPr>
              <w:t>2.6.2</w:t>
            </w:r>
            <w:r>
              <w:rPr>
                <w:rFonts w:hint="default" w:ascii="微软雅黑" w:hAnsi="微软雅黑" w:eastAsia="微软雅黑" w:cs="微软雅黑"/>
                <w:color w:val="060A26"/>
                <w:kern w:val="0"/>
                <w:szCs w:val="21"/>
                <w:lang w:val="en-US" w:eastAsia="zh-CN" w:bidi="ar"/>
              </w:rPr>
              <w:t>业务发展需求</w:t>
            </w:r>
          </w:p>
        </w:tc>
        <w:tc>
          <w:tcPr>
            <w:tcW w:w="6732"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19113A7C">
            <w:pPr>
              <w:widowControl/>
              <w:wordWrap w:val="0"/>
              <w:snapToGrid w:val="0"/>
              <w:jc w:val="left"/>
              <w:textAlignment w:val="center"/>
              <w:rPr>
                <w:rFonts w:hint="eastAsia" w:ascii="微软雅黑" w:hAnsi="微软雅黑" w:eastAsia="微软雅黑" w:cs="微软雅黑"/>
                <w:color w:val="060A26"/>
                <w:kern w:val="0"/>
                <w:sz w:val="21"/>
                <w:szCs w:val="21"/>
                <w:lang w:val="en-US" w:eastAsia="zh-CN" w:bidi="ar"/>
              </w:rPr>
            </w:pPr>
            <w:r>
              <w:rPr>
                <w:rFonts w:hint="eastAsia" w:ascii="微软雅黑" w:hAnsi="微软雅黑" w:eastAsia="微软雅黑" w:cs="微软雅黑"/>
                <w:color w:val="060A26"/>
                <w:kern w:val="0"/>
                <w:szCs w:val="21"/>
                <w:lang w:val="en-US" w:eastAsia="zh-CN" w:bidi="ar"/>
              </w:rPr>
              <w:t>根据</w:t>
            </w:r>
            <w:r>
              <w:rPr>
                <w:rFonts w:hint="default" w:ascii="微软雅黑" w:hAnsi="微软雅黑" w:eastAsia="微软雅黑" w:cs="微软雅黑"/>
                <w:color w:val="060A26"/>
                <w:kern w:val="0"/>
                <w:szCs w:val="21"/>
                <w:lang w:val="en-US" w:eastAsia="zh-CN" w:bidi="ar"/>
              </w:rPr>
              <w:t>上级政策要求、医院管理制度及业务流程优化需要，完成相应功能的优化与改造。</w:t>
            </w:r>
          </w:p>
        </w:tc>
      </w:tr>
    </w:tbl>
    <w:p w14:paraId="7413FC2D"/>
    <w:p w14:paraId="6F3CB7DB"/>
    <w:p w14:paraId="259EDB2C"/>
    <w:p w14:paraId="5E474946">
      <w:pPr>
        <w:pStyle w:val="3"/>
        <w:bidi w:val="0"/>
      </w:pPr>
      <w:bookmarkStart w:id="255" w:name="_Toc1139"/>
      <w:bookmarkStart w:id="256" w:name="_Toc2012"/>
      <w:bookmarkStart w:id="257" w:name="_Toc20881"/>
      <w:bookmarkStart w:id="258" w:name="_Toc10643"/>
      <w:bookmarkStart w:id="259" w:name="_Toc443"/>
      <w:r>
        <w:t>门诊预约分诊系统</w:t>
      </w:r>
      <w:bookmarkEnd w:id="255"/>
      <w:bookmarkEnd w:id="256"/>
      <w:bookmarkEnd w:id="257"/>
      <w:bookmarkEnd w:id="258"/>
      <w:bookmarkEnd w:id="259"/>
    </w:p>
    <w:tbl>
      <w:tblPr>
        <w:tblStyle w:val="46"/>
        <w:tblW w:w="9047" w:type="dxa"/>
        <w:jc w:val="center"/>
        <w:tblBorders>
          <w:top w:val="single" w:color="auto" w:sz="6" w:space="0"/>
          <w:left w:val="single" w:color="auto" w:sz="2" w:space="0"/>
          <w:bottom w:val="single" w:color="auto" w:sz="2" w:space="0"/>
          <w:right w:val="single" w:color="auto" w:sz="2" w:space="0"/>
          <w:insideH w:val="none" w:color="auto" w:sz="0" w:space="0"/>
          <w:insideV w:val="none" w:color="auto" w:sz="0" w:space="0"/>
        </w:tblBorders>
        <w:tblLayout w:type="fixed"/>
        <w:tblCellMar>
          <w:top w:w="15" w:type="dxa"/>
          <w:left w:w="15" w:type="dxa"/>
          <w:bottom w:w="15" w:type="dxa"/>
          <w:right w:w="15" w:type="dxa"/>
        </w:tblCellMar>
      </w:tblPr>
      <w:tblGrid>
        <w:gridCol w:w="1165"/>
        <w:gridCol w:w="1763"/>
        <w:gridCol w:w="6119"/>
      </w:tblGrid>
      <w:tr w14:paraId="7D705325">
        <w:tblPrEx>
          <w:tblBorders>
            <w:top w:val="single" w:color="auto" w:sz="6"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blHeader/>
          <w:jc w:val="center"/>
        </w:trPr>
        <w:tc>
          <w:tcPr>
            <w:tcW w:w="1165" w:type="dxa"/>
            <w:tcBorders>
              <w:top w:val="single" w:color="auto" w:sz="6" w:space="0"/>
              <w:left w:val="single" w:color="auto" w:sz="6" w:space="0"/>
              <w:bottom w:val="single" w:color="auto" w:sz="6" w:space="0"/>
              <w:right w:val="single" w:color="auto" w:sz="6" w:space="0"/>
            </w:tcBorders>
            <w:shd w:val="clear" w:color="auto" w:fill="auto"/>
            <w:noWrap/>
            <w:tcMar>
              <w:top w:w="150" w:type="dxa"/>
              <w:left w:w="210" w:type="dxa"/>
              <w:bottom w:w="150" w:type="dxa"/>
              <w:right w:w="210" w:type="dxa"/>
            </w:tcMar>
            <w:vAlign w:val="center"/>
          </w:tcPr>
          <w:p w14:paraId="3C6CB4FB">
            <w:pPr>
              <w:widowControl/>
              <w:snapToGrid w:val="0"/>
              <w:jc w:val="center"/>
              <w:rPr>
                <w:rFonts w:ascii="宋体" w:eastAsia="宋体"/>
                <w:b/>
                <w:bCs/>
                <w:color w:val="060A26"/>
                <w:szCs w:val="21"/>
              </w:rPr>
            </w:pPr>
            <w:r>
              <w:rPr>
                <w:rFonts w:ascii="宋体" w:hAnsi="宋体" w:eastAsia="宋体" w:cs="宋体"/>
                <w:b/>
                <w:bCs/>
                <w:color w:val="060A26"/>
                <w:kern w:val="0"/>
                <w:szCs w:val="21"/>
                <w:lang w:bidi="ar"/>
              </w:rPr>
              <w:t>需求名称</w:t>
            </w:r>
          </w:p>
        </w:tc>
        <w:tc>
          <w:tcPr>
            <w:tcW w:w="1763" w:type="dxa"/>
            <w:tcBorders>
              <w:top w:val="single" w:color="auto" w:sz="6" w:space="0"/>
              <w:left w:val="single" w:color="auto" w:sz="6" w:space="0"/>
              <w:bottom w:val="single" w:color="auto" w:sz="6" w:space="0"/>
              <w:right w:val="single" w:color="auto" w:sz="6" w:space="0"/>
            </w:tcBorders>
            <w:shd w:val="clear" w:color="auto" w:fill="auto"/>
            <w:noWrap/>
            <w:tcMar>
              <w:top w:w="150" w:type="dxa"/>
              <w:left w:w="210" w:type="dxa"/>
              <w:bottom w:w="150" w:type="dxa"/>
              <w:right w:w="210" w:type="dxa"/>
            </w:tcMar>
            <w:vAlign w:val="center"/>
          </w:tcPr>
          <w:p w14:paraId="6F676D7F">
            <w:pPr>
              <w:widowControl/>
              <w:snapToGrid w:val="0"/>
              <w:jc w:val="center"/>
              <w:rPr>
                <w:rFonts w:ascii="宋体" w:eastAsia="宋体"/>
                <w:b/>
                <w:bCs/>
                <w:color w:val="060A26"/>
                <w:szCs w:val="21"/>
              </w:rPr>
            </w:pPr>
            <w:r>
              <w:rPr>
                <w:rFonts w:ascii="宋体" w:hAnsi="宋体" w:eastAsia="宋体" w:cs="宋体"/>
                <w:b/>
                <w:bCs/>
                <w:color w:val="060A26"/>
                <w:kern w:val="0"/>
                <w:szCs w:val="21"/>
                <w:lang w:bidi="ar"/>
              </w:rPr>
              <w:t>序号</w:t>
            </w:r>
          </w:p>
        </w:tc>
        <w:tc>
          <w:tcPr>
            <w:tcW w:w="6119" w:type="dxa"/>
            <w:tcBorders>
              <w:top w:val="single" w:color="auto" w:sz="6" w:space="0"/>
              <w:left w:val="single" w:color="auto" w:sz="6" w:space="0"/>
              <w:bottom w:val="single" w:color="auto" w:sz="6" w:space="0"/>
              <w:right w:val="single" w:color="auto" w:sz="6" w:space="0"/>
            </w:tcBorders>
            <w:shd w:val="clear" w:color="auto" w:fill="auto"/>
            <w:noWrap/>
            <w:tcMar>
              <w:top w:w="150" w:type="dxa"/>
              <w:left w:w="210" w:type="dxa"/>
              <w:bottom w:w="150" w:type="dxa"/>
              <w:right w:w="210" w:type="dxa"/>
            </w:tcMar>
            <w:vAlign w:val="center"/>
          </w:tcPr>
          <w:p w14:paraId="08DBDEB0">
            <w:pPr>
              <w:widowControl/>
              <w:snapToGrid w:val="0"/>
              <w:jc w:val="center"/>
              <w:rPr>
                <w:rFonts w:ascii="宋体" w:eastAsia="宋体"/>
                <w:b/>
                <w:bCs/>
                <w:color w:val="060A26"/>
                <w:szCs w:val="21"/>
              </w:rPr>
            </w:pPr>
            <w:r>
              <w:rPr>
                <w:rFonts w:ascii="宋体" w:hAnsi="宋体" w:eastAsia="宋体" w:cs="宋体"/>
                <w:b/>
                <w:bCs/>
                <w:color w:val="060A26"/>
                <w:kern w:val="0"/>
                <w:szCs w:val="21"/>
                <w:lang w:bidi="ar"/>
              </w:rPr>
              <w:t>需求描述</w:t>
            </w:r>
          </w:p>
        </w:tc>
      </w:tr>
      <w:tr w14:paraId="3198E7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1165" w:type="dxa"/>
            <w:vMerge w:val="restart"/>
            <w:tcBorders>
              <w:top w:val="single" w:color="auto" w:sz="6" w:space="0"/>
              <w:left w:val="single" w:color="auto" w:sz="6" w:space="0"/>
              <w:right w:val="single" w:color="auto" w:sz="6" w:space="0"/>
            </w:tcBorders>
            <w:shd w:val="clear" w:color="auto" w:fill="auto"/>
            <w:tcMar>
              <w:top w:w="150" w:type="dxa"/>
              <w:left w:w="210" w:type="dxa"/>
              <w:bottom w:w="150" w:type="dxa"/>
              <w:right w:w="210" w:type="dxa"/>
            </w:tcMar>
            <w:vAlign w:val="center"/>
          </w:tcPr>
          <w:p w14:paraId="140FABA8">
            <w:pPr>
              <w:widowControl/>
              <w:wordWrap w:val="0"/>
              <w:snapToGrid w:val="0"/>
              <w:jc w:val="center"/>
              <w:textAlignment w:val="center"/>
              <w:rPr>
                <w:rFonts w:ascii="宋体" w:eastAsia="宋体"/>
                <w:color w:val="060A26"/>
                <w:szCs w:val="21"/>
              </w:rPr>
            </w:pPr>
            <w:r>
              <w:rPr>
                <w:rFonts w:ascii="宋体" w:hAnsi="宋体" w:eastAsia="宋体" w:cs="宋体"/>
                <w:b/>
                <w:bCs/>
                <w:color w:val="060A26"/>
                <w:kern w:val="0"/>
                <w:szCs w:val="21"/>
                <w:lang w:bidi="ar"/>
              </w:rPr>
              <w:t>3. 门诊预约分诊系统</w:t>
            </w:r>
          </w:p>
        </w:tc>
        <w:tc>
          <w:tcPr>
            <w:tcW w:w="7882" w:type="dxa"/>
            <w:gridSpan w:val="2"/>
            <w:tcBorders>
              <w:top w:val="single" w:color="auto" w:sz="6" w:space="0"/>
              <w:left w:val="single" w:color="auto" w:sz="6" w:space="0"/>
              <w:bottom w:val="single" w:color="auto" w:sz="6" w:space="0"/>
              <w:right w:val="single" w:color="auto" w:sz="6" w:space="0"/>
            </w:tcBorders>
            <w:shd w:val="clear" w:color="auto" w:fill="auto"/>
            <w:tcMar>
              <w:top w:w="150" w:type="dxa"/>
              <w:left w:w="210" w:type="dxa"/>
              <w:bottom w:w="150" w:type="dxa"/>
              <w:right w:w="210" w:type="dxa"/>
            </w:tcMar>
            <w:vAlign w:val="center"/>
          </w:tcPr>
          <w:p w14:paraId="70B7F01C">
            <w:pPr>
              <w:widowControl/>
              <w:wordWrap w:val="0"/>
              <w:snapToGrid w:val="0"/>
              <w:jc w:val="left"/>
              <w:textAlignment w:val="center"/>
              <w:rPr>
                <w:rFonts w:hint="eastAsia" w:ascii="宋体" w:hAnsi="宋体" w:eastAsia="宋体" w:cs="宋体"/>
                <w:b/>
                <w:bCs/>
                <w:color w:val="060A26"/>
                <w:kern w:val="0"/>
                <w:szCs w:val="21"/>
                <w:lang w:bidi="ar"/>
              </w:rPr>
            </w:pPr>
            <w:r>
              <w:rPr>
                <w:rFonts w:hint="eastAsia" w:ascii="宋体" w:hAnsi="宋体" w:cs="宋体"/>
                <w:b/>
                <w:bCs/>
                <w:color w:val="060A26"/>
                <w:kern w:val="0"/>
                <w:szCs w:val="21"/>
                <w:lang w:eastAsia="zh-CN" w:bidi="ar"/>
              </w:rPr>
              <w:t>（</w:t>
            </w:r>
            <w:r>
              <w:rPr>
                <w:rFonts w:hint="eastAsia" w:ascii="宋体" w:hAnsi="宋体" w:cs="宋体"/>
                <w:b/>
                <w:bCs/>
                <w:color w:val="060A26"/>
                <w:kern w:val="0"/>
                <w:szCs w:val="21"/>
                <w:lang w:val="en-US" w:eastAsia="zh-CN" w:bidi="ar"/>
              </w:rPr>
              <w:t>一</w:t>
            </w:r>
            <w:r>
              <w:rPr>
                <w:rFonts w:hint="eastAsia" w:ascii="宋体" w:hAnsi="宋体" w:cs="宋体"/>
                <w:b/>
                <w:bCs/>
                <w:color w:val="060A26"/>
                <w:kern w:val="0"/>
                <w:szCs w:val="21"/>
                <w:lang w:eastAsia="zh-CN" w:bidi="ar"/>
              </w:rPr>
              <w:t>）</w:t>
            </w:r>
            <w:r>
              <w:rPr>
                <w:rFonts w:hint="eastAsia" w:ascii="宋体" w:hAnsi="宋体" w:eastAsia="宋体" w:cs="宋体"/>
                <w:b/>
                <w:bCs/>
                <w:color w:val="060A26"/>
                <w:kern w:val="0"/>
                <w:szCs w:val="21"/>
                <w:lang w:bidi="ar"/>
              </w:rPr>
              <w:t>门诊预约分诊系统</w:t>
            </w:r>
            <w:r>
              <w:rPr>
                <w:rFonts w:hint="eastAsia" w:ascii="宋体" w:hAnsi="宋体" w:cs="宋体"/>
                <w:b/>
                <w:bCs/>
                <w:color w:val="060A26"/>
                <w:kern w:val="0"/>
                <w:szCs w:val="21"/>
                <w:lang w:val="en-US" w:eastAsia="zh-CN" w:bidi="ar"/>
              </w:rPr>
              <w:t>维护保障</w:t>
            </w:r>
          </w:p>
        </w:tc>
      </w:tr>
      <w:tr w14:paraId="6E0FB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1165" w:type="dxa"/>
            <w:vMerge w:val="continue"/>
            <w:tcBorders>
              <w:left w:val="single" w:color="auto" w:sz="6" w:space="0"/>
              <w:right w:val="single" w:color="auto" w:sz="6" w:space="0"/>
            </w:tcBorders>
            <w:shd w:val="clear" w:color="auto" w:fill="auto"/>
            <w:tcMar>
              <w:top w:w="150" w:type="dxa"/>
              <w:left w:w="210" w:type="dxa"/>
              <w:bottom w:w="150" w:type="dxa"/>
              <w:right w:w="210" w:type="dxa"/>
            </w:tcMar>
            <w:vAlign w:val="center"/>
          </w:tcPr>
          <w:p w14:paraId="4DF5773B">
            <w:pPr>
              <w:widowControl/>
              <w:wordWrap w:val="0"/>
              <w:snapToGrid w:val="0"/>
              <w:jc w:val="center"/>
              <w:textAlignment w:val="center"/>
              <w:rPr>
                <w:rFonts w:ascii="宋体" w:eastAsia="宋体"/>
                <w:color w:val="060A26"/>
                <w:szCs w:val="21"/>
              </w:rPr>
            </w:pPr>
          </w:p>
        </w:tc>
        <w:tc>
          <w:tcPr>
            <w:tcW w:w="1763" w:type="dxa"/>
            <w:tcBorders>
              <w:top w:val="single" w:color="auto" w:sz="6" w:space="0"/>
              <w:left w:val="single" w:color="auto" w:sz="6" w:space="0"/>
              <w:bottom w:val="single" w:color="auto" w:sz="6" w:space="0"/>
              <w:right w:val="single" w:color="auto" w:sz="6" w:space="0"/>
            </w:tcBorders>
            <w:shd w:val="clear" w:color="auto" w:fill="auto"/>
            <w:tcMar>
              <w:top w:w="150" w:type="dxa"/>
              <w:left w:w="210" w:type="dxa"/>
              <w:bottom w:w="150" w:type="dxa"/>
              <w:right w:w="210" w:type="dxa"/>
            </w:tcMar>
            <w:vAlign w:val="center"/>
          </w:tcPr>
          <w:p w14:paraId="5375A1A5">
            <w:pPr>
              <w:widowControl/>
              <w:wordWrap w:val="0"/>
              <w:snapToGrid w:val="0"/>
              <w:jc w:val="center"/>
              <w:textAlignment w:val="center"/>
              <w:rPr>
                <w:rFonts w:ascii="宋体" w:eastAsia="宋体"/>
                <w:color w:val="060A26"/>
                <w:szCs w:val="21"/>
              </w:rPr>
            </w:pPr>
            <w:r>
              <w:rPr>
                <w:rFonts w:ascii="宋体" w:hAnsi="宋体" w:eastAsia="宋体" w:cs="宋体"/>
                <w:color w:val="060A26"/>
                <w:kern w:val="0"/>
                <w:szCs w:val="21"/>
                <w:lang w:bidi="ar"/>
              </w:rPr>
              <w:t>3.1</w:t>
            </w:r>
          </w:p>
        </w:tc>
        <w:tc>
          <w:tcPr>
            <w:tcW w:w="6119" w:type="dxa"/>
            <w:tcBorders>
              <w:top w:val="single" w:color="auto" w:sz="6" w:space="0"/>
              <w:left w:val="single" w:color="auto" w:sz="6" w:space="0"/>
              <w:bottom w:val="single" w:color="auto" w:sz="6" w:space="0"/>
              <w:right w:val="single" w:color="auto" w:sz="6" w:space="0"/>
            </w:tcBorders>
            <w:shd w:val="clear" w:color="auto" w:fill="auto"/>
            <w:tcMar>
              <w:top w:w="150" w:type="dxa"/>
              <w:left w:w="210" w:type="dxa"/>
              <w:bottom w:w="150" w:type="dxa"/>
              <w:right w:w="210" w:type="dxa"/>
            </w:tcMar>
            <w:vAlign w:val="center"/>
          </w:tcPr>
          <w:p w14:paraId="101EB458">
            <w:pPr>
              <w:widowControl/>
              <w:wordWrap w:val="0"/>
              <w:snapToGrid w:val="0"/>
              <w:jc w:val="left"/>
              <w:textAlignment w:val="center"/>
              <w:rPr>
                <w:rFonts w:ascii="宋体" w:eastAsia="宋体"/>
                <w:color w:val="060A26"/>
                <w:szCs w:val="21"/>
              </w:rPr>
            </w:pPr>
            <w:r>
              <w:rPr>
                <w:rFonts w:hint="eastAsia" w:ascii="宋体" w:hAnsi="宋体" w:eastAsia="宋体" w:cs="宋体"/>
                <w:b/>
                <w:bCs/>
                <w:color w:val="060A26"/>
                <w:kern w:val="0"/>
                <w:szCs w:val="21"/>
                <w:lang w:bidi="ar"/>
              </w:rPr>
              <w:t>预约系统设置维护</w:t>
            </w:r>
          </w:p>
        </w:tc>
      </w:tr>
      <w:tr w14:paraId="68D8B9F4">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jc w:val="center"/>
        </w:trPr>
        <w:tc>
          <w:tcPr>
            <w:tcW w:w="1165" w:type="dxa"/>
            <w:vMerge w:val="continue"/>
            <w:tcBorders>
              <w:left w:val="single" w:color="auto" w:sz="6" w:space="0"/>
              <w:right w:val="single" w:color="auto" w:sz="6" w:space="0"/>
            </w:tcBorders>
            <w:shd w:val="clear" w:color="auto" w:fill="auto"/>
            <w:tcMar>
              <w:top w:w="150" w:type="dxa"/>
              <w:left w:w="210" w:type="dxa"/>
              <w:bottom w:w="150" w:type="dxa"/>
              <w:right w:w="210" w:type="dxa"/>
            </w:tcMar>
            <w:vAlign w:val="center"/>
          </w:tcPr>
          <w:p w14:paraId="164663D8">
            <w:pPr>
              <w:snapToGrid w:val="0"/>
              <w:jc w:val="center"/>
              <w:rPr>
                <w:rFonts w:ascii="宋体" w:eastAsia="宋体"/>
                <w:color w:val="060A26"/>
                <w:szCs w:val="21"/>
              </w:rPr>
            </w:pPr>
          </w:p>
        </w:tc>
        <w:tc>
          <w:tcPr>
            <w:tcW w:w="1763" w:type="dxa"/>
            <w:tcBorders>
              <w:top w:val="single" w:color="auto" w:sz="6" w:space="0"/>
              <w:left w:val="single" w:color="auto" w:sz="6" w:space="0"/>
              <w:bottom w:val="single" w:color="auto" w:sz="6" w:space="0"/>
              <w:right w:val="single" w:color="auto" w:sz="6" w:space="0"/>
            </w:tcBorders>
            <w:shd w:val="clear" w:color="auto" w:fill="auto"/>
            <w:tcMar>
              <w:top w:w="150" w:type="dxa"/>
              <w:left w:w="210" w:type="dxa"/>
              <w:bottom w:w="150" w:type="dxa"/>
              <w:right w:w="210" w:type="dxa"/>
            </w:tcMar>
            <w:vAlign w:val="center"/>
          </w:tcPr>
          <w:p w14:paraId="701AC471">
            <w:pPr>
              <w:widowControl/>
              <w:wordWrap w:val="0"/>
              <w:snapToGrid w:val="0"/>
              <w:jc w:val="center"/>
              <w:textAlignment w:val="center"/>
              <w:rPr>
                <w:rFonts w:ascii="宋体" w:eastAsia="宋体"/>
                <w:color w:val="060A26"/>
                <w:szCs w:val="21"/>
              </w:rPr>
            </w:pPr>
            <w:r>
              <w:rPr>
                <w:rFonts w:ascii="宋体" w:hAnsi="宋体" w:eastAsia="宋体" w:cs="宋体"/>
                <w:color w:val="060A26"/>
                <w:kern w:val="0"/>
                <w:szCs w:val="21"/>
                <w:lang w:bidi="ar"/>
              </w:rPr>
              <w:t xml:space="preserve">3.1.1 </w:t>
            </w:r>
            <w:r>
              <w:rPr>
                <w:rFonts w:hint="eastAsia" w:ascii="宋体" w:hAnsi="宋体" w:eastAsia="宋体" w:cs="宋体"/>
                <w:color w:val="060A26"/>
                <w:kern w:val="0"/>
                <w:szCs w:val="21"/>
                <w:lang w:bidi="ar"/>
              </w:rPr>
              <w:t>设置维护</w:t>
            </w:r>
          </w:p>
        </w:tc>
        <w:tc>
          <w:tcPr>
            <w:tcW w:w="6119" w:type="dxa"/>
            <w:tcBorders>
              <w:top w:val="single" w:color="auto" w:sz="6" w:space="0"/>
              <w:left w:val="single" w:color="auto" w:sz="6" w:space="0"/>
              <w:bottom w:val="single" w:color="auto" w:sz="6" w:space="0"/>
              <w:right w:val="single" w:color="auto" w:sz="6" w:space="0"/>
            </w:tcBorders>
            <w:shd w:val="clear" w:color="auto" w:fill="auto"/>
            <w:tcMar>
              <w:top w:w="150" w:type="dxa"/>
              <w:left w:w="210" w:type="dxa"/>
              <w:bottom w:w="150" w:type="dxa"/>
              <w:right w:w="210" w:type="dxa"/>
            </w:tcMar>
            <w:vAlign w:val="center"/>
          </w:tcPr>
          <w:p w14:paraId="2532025F">
            <w:pPr>
              <w:widowControl/>
              <w:wordWrap w:val="0"/>
              <w:snapToGrid w:val="0"/>
              <w:jc w:val="left"/>
              <w:textAlignment w:val="center"/>
              <w:rPr>
                <w:rFonts w:ascii="宋体" w:eastAsia="宋体"/>
                <w:color w:val="060A26"/>
                <w:szCs w:val="21"/>
              </w:rPr>
            </w:pPr>
            <w:r>
              <w:rPr>
                <w:rFonts w:ascii="宋体" w:hAnsi="宋体" w:eastAsia="宋体" w:cs="宋体"/>
                <w:color w:val="060A26"/>
                <w:kern w:val="0"/>
                <w:szCs w:val="21"/>
                <w:lang w:bidi="ar"/>
              </w:rPr>
              <w:t xml:space="preserve">✓ </w:t>
            </w:r>
            <w:r>
              <w:rPr>
                <w:rFonts w:hint="eastAsia" w:ascii="宋体" w:hAnsi="宋体" w:eastAsia="宋体" w:cs="宋体"/>
                <w:color w:val="060A26"/>
                <w:kern w:val="0"/>
                <w:szCs w:val="21"/>
                <w:lang w:bidi="ar"/>
              </w:rPr>
              <w:t>提供分诊站编号设置，分诊参数维护，房间信息维护，节假日维护，短信提醒维护，应用组及人员权限维护，专病预约单注意事项维护，特检排班维护（特检），特检各种参数格式内容维护，检查池与分诊房间对应关系维护，申请单可预约检查池控制，检查部位属性维护，排班班次维护，二次分诊专科排班维护（门诊），专科分级维护，超声部位工作量维护功能</w:t>
            </w:r>
          </w:p>
        </w:tc>
      </w:tr>
      <w:tr w14:paraId="76CCB6CE">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jc w:val="center"/>
        </w:trPr>
        <w:tc>
          <w:tcPr>
            <w:tcW w:w="1165" w:type="dxa"/>
            <w:vMerge w:val="continue"/>
            <w:tcBorders>
              <w:left w:val="single" w:color="auto" w:sz="6" w:space="0"/>
              <w:right w:val="single" w:color="auto" w:sz="6" w:space="0"/>
            </w:tcBorders>
            <w:shd w:val="clear" w:color="auto" w:fill="auto"/>
            <w:tcMar>
              <w:top w:w="150" w:type="dxa"/>
              <w:left w:w="210" w:type="dxa"/>
              <w:bottom w:w="150" w:type="dxa"/>
              <w:right w:w="210" w:type="dxa"/>
            </w:tcMar>
            <w:vAlign w:val="center"/>
          </w:tcPr>
          <w:p w14:paraId="588FE826">
            <w:pPr>
              <w:snapToGrid w:val="0"/>
              <w:jc w:val="center"/>
              <w:rPr>
                <w:rFonts w:ascii="宋体" w:eastAsia="宋体"/>
                <w:color w:val="060A26"/>
                <w:szCs w:val="21"/>
              </w:rPr>
            </w:pPr>
          </w:p>
        </w:tc>
        <w:tc>
          <w:tcPr>
            <w:tcW w:w="1763" w:type="dxa"/>
            <w:tcBorders>
              <w:top w:val="single" w:color="auto" w:sz="6" w:space="0"/>
              <w:left w:val="single" w:color="auto" w:sz="6" w:space="0"/>
              <w:bottom w:val="single" w:color="auto" w:sz="6" w:space="0"/>
              <w:right w:val="single" w:color="auto" w:sz="6" w:space="0"/>
            </w:tcBorders>
            <w:shd w:val="clear" w:color="auto" w:fill="auto"/>
            <w:tcMar>
              <w:top w:w="150" w:type="dxa"/>
              <w:left w:w="210" w:type="dxa"/>
              <w:bottom w:w="150" w:type="dxa"/>
              <w:right w:w="210" w:type="dxa"/>
            </w:tcMar>
            <w:vAlign w:val="center"/>
          </w:tcPr>
          <w:p w14:paraId="50FD9F6F">
            <w:pPr>
              <w:widowControl/>
              <w:wordWrap w:val="0"/>
              <w:snapToGrid w:val="0"/>
              <w:jc w:val="center"/>
              <w:textAlignment w:val="center"/>
              <w:rPr>
                <w:rFonts w:ascii="宋体" w:eastAsia="宋体"/>
                <w:color w:val="060A26"/>
                <w:szCs w:val="21"/>
              </w:rPr>
            </w:pPr>
            <w:r>
              <w:rPr>
                <w:rFonts w:ascii="宋体" w:hAnsi="宋体" w:eastAsia="宋体" w:cs="宋体"/>
                <w:color w:val="060A26"/>
                <w:kern w:val="0"/>
                <w:szCs w:val="21"/>
                <w:lang w:bidi="ar"/>
              </w:rPr>
              <w:t xml:space="preserve">3.1.2 </w:t>
            </w:r>
            <w:r>
              <w:rPr>
                <w:rFonts w:hint="eastAsia" w:ascii="宋体" w:hAnsi="宋体" w:eastAsia="宋体" w:cs="宋体"/>
                <w:color w:val="060A26"/>
                <w:kern w:val="0"/>
                <w:szCs w:val="21"/>
                <w:lang w:bidi="ar"/>
              </w:rPr>
              <w:t>医师信息维护</w:t>
            </w:r>
          </w:p>
        </w:tc>
        <w:tc>
          <w:tcPr>
            <w:tcW w:w="6119" w:type="dxa"/>
            <w:tcBorders>
              <w:top w:val="single" w:color="auto" w:sz="6" w:space="0"/>
              <w:left w:val="single" w:color="auto" w:sz="6" w:space="0"/>
              <w:bottom w:val="single" w:color="auto" w:sz="6" w:space="0"/>
              <w:right w:val="single" w:color="auto" w:sz="6" w:space="0"/>
            </w:tcBorders>
            <w:shd w:val="clear" w:color="auto" w:fill="auto"/>
            <w:tcMar>
              <w:top w:w="150" w:type="dxa"/>
              <w:left w:w="210" w:type="dxa"/>
              <w:bottom w:w="150" w:type="dxa"/>
              <w:right w:w="210" w:type="dxa"/>
            </w:tcMar>
            <w:vAlign w:val="center"/>
          </w:tcPr>
          <w:p w14:paraId="442ED2EE">
            <w:pPr>
              <w:widowControl/>
              <w:wordWrap w:val="0"/>
              <w:snapToGrid w:val="0"/>
              <w:jc w:val="left"/>
              <w:textAlignment w:val="center"/>
              <w:rPr>
                <w:rFonts w:ascii="宋体" w:eastAsia="宋体"/>
                <w:color w:val="060A26"/>
                <w:szCs w:val="21"/>
              </w:rPr>
            </w:pPr>
            <w:r>
              <w:rPr>
                <w:rFonts w:ascii="宋体" w:hAnsi="宋体" w:eastAsia="宋体" w:cs="宋体"/>
                <w:color w:val="060A26"/>
                <w:kern w:val="0"/>
                <w:szCs w:val="21"/>
                <w:lang w:bidi="ar"/>
              </w:rPr>
              <w:t xml:space="preserve">✓ </w:t>
            </w:r>
            <w:r>
              <w:rPr>
                <w:rFonts w:hint="eastAsia" w:ascii="宋体" w:hAnsi="宋体" w:eastAsia="宋体" w:cs="宋体"/>
                <w:color w:val="060A26"/>
                <w:kern w:val="0"/>
                <w:szCs w:val="21"/>
                <w:lang w:bidi="ar"/>
              </w:rPr>
              <w:t>提供医师排班维护，排班预留好维护，医师专科维护，医师排班替换，医师排班取消短信发送，医师排班批量处理，医师排班查询核对导出，跟台护士排班功能。</w:t>
            </w:r>
          </w:p>
        </w:tc>
      </w:tr>
      <w:tr w14:paraId="54DCD8D1">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jc w:val="center"/>
        </w:trPr>
        <w:tc>
          <w:tcPr>
            <w:tcW w:w="1165" w:type="dxa"/>
            <w:vMerge w:val="continue"/>
            <w:tcBorders>
              <w:left w:val="single" w:color="auto" w:sz="6" w:space="0"/>
              <w:right w:val="single" w:color="auto" w:sz="6" w:space="0"/>
            </w:tcBorders>
            <w:shd w:val="clear" w:color="auto" w:fill="auto"/>
            <w:tcMar>
              <w:top w:w="150" w:type="dxa"/>
              <w:left w:w="210" w:type="dxa"/>
              <w:bottom w:w="150" w:type="dxa"/>
              <w:right w:w="210" w:type="dxa"/>
            </w:tcMar>
            <w:vAlign w:val="center"/>
          </w:tcPr>
          <w:p w14:paraId="275EE47C">
            <w:pPr>
              <w:snapToGrid w:val="0"/>
              <w:jc w:val="center"/>
              <w:rPr>
                <w:rFonts w:ascii="宋体" w:eastAsia="宋体"/>
                <w:color w:val="060A26"/>
                <w:szCs w:val="21"/>
              </w:rPr>
            </w:pPr>
          </w:p>
        </w:tc>
        <w:tc>
          <w:tcPr>
            <w:tcW w:w="1763" w:type="dxa"/>
            <w:tcBorders>
              <w:top w:val="single" w:color="auto" w:sz="6" w:space="0"/>
              <w:left w:val="single" w:color="auto" w:sz="6" w:space="0"/>
              <w:bottom w:val="single" w:color="auto" w:sz="6" w:space="0"/>
              <w:right w:val="single" w:color="auto" w:sz="6" w:space="0"/>
            </w:tcBorders>
            <w:shd w:val="clear" w:color="auto" w:fill="auto"/>
            <w:tcMar>
              <w:top w:w="150" w:type="dxa"/>
              <w:left w:w="210" w:type="dxa"/>
              <w:bottom w:w="150" w:type="dxa"/>
              <w:right w:w="210" w:type="dxa"/>
            </w:tcMar>
            <w:vAlign w:val="center"/>
          </w:tcPr>
          <w:p w14:paraId="781AEF56">
            <w:pPr>
              <w:widowControl/>
              <w:wordWrap w:val="0"/>
              <w:snapToGrid w:val="0"/>
              <w:jc w:val="center"/>
              <w:textAlignment w:val="center"/>
              <w:rPr>
                <w:rFonts w:ascii="宋体" w:eastAsia="宋体"/>
                <w:color w:val="060A26"/>
                <w:szCs w:val="21"/>
              </w:rPr>
            </w:pPr>
            <w:r>
              <w:rPr>
                <w:rFonts w:ascii="宋体" w:hAnsi="宋体" w:eastAsia="宋体" w:cs="宋体"/>
                <w:color w:val="060A26"/>
                <w:kern w:val="0"/>
                <w:szCs w:val="21"/>
                <w:lang w:bidi="ar"/>
              </w:rPr>
              <w:t>3.2</w:t>
            </w:r>
          </w:p>
        </w:tc>
        <w:tc>
          <w:tcPr>
            <w:tcW w:w="6119" w:type="dxa"/>
            <w:tcBorders>
              <w:top w:val="single" w:color="auto" w:sz="6" w:space="0"/>
              <w:left w:val="single" w:color="auto" w:sz="6" w:space="0"/>
              <w:bottom w:val="single" w:color="auto" w:sz="6" w:space="0"/>
              <w:right w:val="single" w:color="auto" w:sz="6" w:space="0"/>
            </w:tcBorders>
            <w:shd w:val="clear" w:color="auto" w:fill="auto"/>
            <w:tcMar>
              <w:top w:w="150" w:type="dxa"/>
              <w:left w:w="210" w:type="dxa"/>
              <w:bottom w:w="150" w:type="dxa"/>
              <w:right w:w="210" w:type="dxa"/>
            </w:tcMar>
            <w:vAlign w:val="center"/>
          </w:tcPr>
          <w:p w14:paraId="09EAC6A8">
            <w:pPr>
              <w:widowControl/>
              <w:wordWrap w:val="0"/>
              <w:snapToGrid w:val="0"/>
              <w:jc w:val="left"/>
              <w:textAlignment w:val="center"/>
              <w:rPr>
                <w:rFonts w:ascii="宋体" w:eastAsia="宋体"/>
                <w:color w:val="060A26"/>
                <w:szCs w:val="21"/>
              </w:rPr>
            </w:pPr>
            <w:r>
              <w:rPr>
                <w:rFonts w:hint="eastAsia" w:ascii="宋体" w:hAnsi="宋体" w:eastAsia="宋体" w:cs="宋体"/>
                <w:b/>
                <w:bCs/>
                <w:color w:val="060A26"/>
                <w:kern w:val="0"/>
                <w:szCs w:val="21"/>
                <w:lang w:bidi="ar"/>
              </w:rPr>
              <w:t>门诊预约以及数据上报</w:t>
            </w:r>
          </w:p>
        </w:tc>
      </w:tr>
      <w:tr w14:paraId="6ADD1A4F">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jc w:val="center"/>
        </w:trPr>
        <w:tc>
          <w:tcPr>
            <w:tcW w:w="1165" w:type="dxa"/>
            <w:vMerge w:val="continue"/>
            <w:tcBorders>
              <w:left w:val="single" w:color="auto" w:sz="6" w:space="0"/>
              <w:right w:val="single" w:color="auto" w:sz="6" w:space="0"/>
            </w:tcBorders>
            <w:shd w:val="clear" w:color="auto" w:fill="auto"/>
            <w:tcMar>
              <w:top w:w="150" w:type="dxa"/>
              <w:left w:w="210" w:type="dxa"/>
              <w:bottom w:w="150" w:type="dxa"/>
              <w:right w:w="210" w:type="dxa"/>
            </w:tcMar>
            <w:vAlign w:val="center"/>
          </w:tcPr>
          <w:p w14:paraId="16B8B372">
            <w:pPr>
              <w:snapToGrid w:val="0"/>
              <w:jc w:val="center"/>
              <w:rPr>
                <w:rFonts w:ascii="宋体" w:eastAsia="宋体"/>
                <w:color w:val="060A26"/>
                <w:szCs w:val="21"/>
              </w:rPr>
            </w:pPr>
          </w:p>
        </w:tc>
        <w:tc>
          <w:tcPr>
            <w:tcW w:w="1763" w:type="dxa"/>
            <w:tcBorders>
              <w:top w:val="single" w:color="auto" w:sz="6" w:space="0"/>
              <w:left w:val="single" w:color="auto" w:sz="6" w:space="0"/>
              <w:bottom w:val="single" w:color="auto" w:sz="6" w:space="0"/>
              <w:right w:val="single" w:color="auto" w:sz="6" w:space="0"/>
            </w:tcBorders>
            <w:shd w:val="clear" w:color="auto" w:fill="auto"/>
            <w:tcMar>
              <w:top w:w="150" w:type="dxa"/>
              <w:left w:w="210" w:type="dxa"/>
              <w:bottom w:w="150" w:type="dxa"/>
              <w:right w:w="210" w:type="dxa"/>
            </w:tcMar>
            <w:vAlign w:val="center"/>
          </w:tcPr>
          <w:p w14:paraId="0F782D1E">
            <w:pPr>
              <w:widowControl/>
              <w:wordWrap w:val="0"/>
              <w:snapToGrid w:val="0"/>
              <w:jc w:val="center"/>
              <w:textAlignment w:val="center"/>
              <w:rPr>
                <w:rFonts w:ascii="宋体" w:eastAsia="宋体"/>
                <w:color w:val="060A26"/>
                <w:szCs w:val="21"/>
              </w:rPr>
            </w:pPr>
            <w:r>
              <w:rPr>
                <w:rFonts w:ascii="宋体" w:hAnsi="宋体" w:eastAsia="宋体" w:cs="宋体"/>
                <w:color w:val="060A26"/>
                <w:kern w:val="0"/>
                <w:szCs w:val="21"/>
                <w:lang w:bidi="ar"/>
              </w:rPr>
              <w:t>3.2.1 分诊</w:t>
            </w:r>
            <w:r>
              <w:rPr>
                <w:rFonts w:hint="eastAsia" w:ascii="宋体" w:hAnsi="宋体" w:eastAsia="宋体" w:cs="宋体"/>
                <w:color w:val="060A26"/>
                <w:kern w:val="0"/>
                <w:szCs w:val="21"/>
                <w:lang w:bidi="ar"/>
              </w:rPr>
              <w:t>预约</w:t>
            </w:r>
          </w:p>
        </w:tc>
        <w:tc>
          <w:tcPr>
            <w:tcW w:w="6119" w:type="dxa"/>
            <w:tcBorders>
              <w:top w:val="single" w:color="auto" w:sz="6" w:space="0"/>
              <w:left w:val="single" w:color="auto" w:sz="6" w:space="0"/>
              <w:bottom w:val="single" w:color="auto" w:sz="6" w:space="0"/>
              <w:right w:val="single" w:color="auto" w:sz="6" w:space="0"/>
            </w:tcBorders>
            <w:shd w:val="clear" w:color="auto" w:fill="auto"/>
            <w:tcMar>
              <w:top w:w="150" w:type="dxa"/>
              <w:left w:w="210" w:type="dxa"/>
              <w:bottom w:w="150" w:type="dxa"/>
              <w:right w:w="210" w:type="dxa"/>
            </w:tcMar>
            <w:vAlign w:val="center"/>
          </w:tcPr>
          <w:p w14:paraId="4355158A">
            <w:pPr>
              <w:widowControl/>
              <w:wordWrap w:val="0"/>
              <w:snapToGrid w:val="0"/>
              <w:jc w:val="left"/>
              <w:textAlignment w:val="center"/>
              <w:rPr>
                <w:rFonts w:ascii="宋体" w:eastAsia="宋体"/>
                <w:color w:val="060A26"/>
                <w:szCs w:val="21"/>
              </w:rPr>
            </w:pPr>
            <w:r>
              <w:rPr>
                <w:rFonts w:ascii="宋体" w:hAnsi="宋体" w:eastAsia="宋体" w:cs="宋体"/>
                <w:color w:val="060A26"/>
                <w:kern w:val="0"/>
                <w:szCs w:val="21"/>
                <w:lang w:bidi="ar"/>
              </w:rPr>
              <w:t xml:space="preserve">✓ </w:t>
            </w:r>
            <w:r>
              <w:rPr>
                <w:rFonts w:hint="eastAsia" w:ascii="宋体" w:hAnsi="宋体" w:eastAsia="宋体" w:cs="宋体"/>
                <w:color w:val="060A26"/>
                <w:kern w:val="0"/>
                <w:szCs w:val="21"/>
                <w:lang w:bidi="ar"/>
              </w:rPr>
              <w:t>提供分诊预约，预约查询，建档，可进行门诊预约取消记录处理，预存账户维护，退药申请，门诊患者生命体征录入功能。</w:t>
            </w:r>
          </w:p>
        </w:tc>
      </w:tr>
      <w:tr w14:paraId="5579E4D0">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jc w:val="center"/>
        </w:trPr>
        <w:tc>
          <w:tcPr>
            <w:tcW w:w="1165" w:type="dxa"/>
            <w:vMerge w:val="continue"/>
            <w:tcBorders>
              <w:left w:val="single" w:color="auto" w:sz="6" w:space="0"/>
              <w:right w:val="single" w:color="auto" w:sz="6" w:space="0"/>
            </w:tcBorders>
            <w:shd w:val="clear" w:color="auto" w:fill="auto"/>
            <w:tcMar>
              <w:top w:w="150" w:type="dxa"/>
              <w:left w:w="210" w:type="dxa"/>
              <w:bottom w:w="150" w:type="dxa"/>
              <w:right w:w="210" w:type="dxa"/>
            </w:tcMar>
            <w:vAlign w:val="center"/>
          </w:tcPr>
          <w:p w14:paraId="2CB866A8">
            <w:pPr>
              <w:snapToGrid w:val="0"/>
              <w:jc w:val="center"/>
              <w:rPr>
                <w:rFonts w:ascii="宋体" w:eastAsia="宋体"/>
                <w:color w:val="060A26"/>
                <w:szCs w:val="21"/>
              </w:rPr>
            </w:pPr>
          </w:p>
        </w:tc>
        <w:tc>
          <w:tcPr>
            <w:tcW w:w="1763" w:type="dxa"/>
            <w:tcBorders>
              <w:top w:val="single" w:color="auto" w:sz="6" w:space="0"/>
              <w:left w:val="single" w:color="auto" w:sz="6" w:space="0"/>
              <w:bottom w:val="single" w:color="auto" w:sz="6" w:space="0"/>
              <w:right w:val="single" w:color="auto" w:sz="6" w:space="0"/>
            </w:tcBorders>
            <w:shd w:val="clear" w:color="auto" w:fill="auto"/>
            <w:tcMar>
              <w:top w:w="150" w:type="dxa"/>
              <w:left w:w="210" w:type="dxa"/>
              <w:bottom w:w="150" w:type="dxa"/>
              <w:right w:w="210" w:type="dxa"/>
            </w:tcMar>
            <w:vAlign w:val="center"/>
          </w:tcPr>
          <w:p w14:paraId="4006FAF4">
            <w:pPr>
              <w:widowControl/>
              <w:wordWrap w:val="0"/>
              <w:snapToGrid w:val="0"/>
              <w:jc w:val="center"/>
              <w:textAlignment w:val="center"/>
              <w:rPr>
                <w:rFonts w:ascii="宋体" w:eastAsia="宋体"/>
                <w:color w:val="060A26"/>
                <w:szCs w:val="21"/>
              </w:rPr>
            </w:pPr>
            <w:r>
              <w:rPr>
                <w:rFonts w:ascii="宋体" w:hAnsi="宋体" w:eastAsia="宋体" w:cs="宋体"/>
                <w:color w:val="060A26"/>
                <w:kern w:val="0"/>
                <w:szCs w:val="21"/>
                <w:lang w:bidi="ar"/>
              </w:rPr>
              <w:t xml:space="preserve">3.2.2 </w:t>
            </w:r>
            <w:r>
              <w:rPr>
                <w:rFonts w:hint="eastAsia" w:ascii="宋体" w:hAnsi="宋体" w:eastAsia="宋体" w:cs="宋体"/>
                <w:color w:val="060A26"/>
                <w:kern w:val="0"/>
                <w:szCs w:val="21"/>
                <w:lang w:bidi="ar"/>
              </w:rPr>
              <w:t>门诊数据上报/查询/打印</w:t>
            </w:r>
          </w:p>
        </w:tc>
        <w:tc>
          <w:tcPr>
            <w:tcW w:w="6119" w:type="dxa"/>
            <w:tcBorders>
              <w:top w:val="single" w:color="auto" w:sz="6" w:space="0"/>
              <w:left w:val="single" w:color="auto" w:sz="6" w:space="0"/>
              <w:bottom w:val="single" w:color="auto" w:sz="6" w:space="0"/>
              <w:right w:val="single" w:color="auto" w:sz="6" w:space="0"/>
            </w:tcBorders>
            <w:shd w:val="clear" w:color="auto" w:fill="auto"/>
            <w:tcMar>
              <w:top w:w="150" w:type="dxa"/>
              <w:left w:w="210" w:type="dxa"/>
              <w:bottom w:w="150" w:type="dxa"/>
              <w:right w:w="210" w:type="dxa"/>
            </w:tcMar>
            <w:vAlign w:val="center"/>
          </w:tcPr>
          <w:p w14:paraId="3DD39653">
            <w:pPr>
              <w:widowControl/>
              <w:wordWrap w:val="0"/>
              <w:snapToGrid w:val="0"/>
              <w:jc w:val="left"/>
              <w:textAlignment w:val="center"/>
              <w:rPr>
                <w:rFonts w:ascii="宋体" w:eastAsia="宋体"/>
                <w:color w:val="060A26"/>
                <w:szCs w:val="21"/>
              </w:rPr>
            </w:pPr>
            <w:r>
              <w:rPr>
                <w:rFonts w:ascii="宋体" w:hAnsi="宋体" w:eastAsia="宋体" w:cs="宋体"/>
                <w:color w:val="060A26"/>
                <w:kern w:val="0"/>
                <w:szCs w:val="21"/>
                <w:lang w:bidi="ar"/>
              </w:rPr>
              <w:t>✓ 支持</w:t>
            </w:r>
            <w:r>
              <w:rPr>
                <w:rFonts w:hint="eastAsia" w:ascii="宋体" w:hAnsi="宋体" w:eastAsia="宋体" w:cs="宋体"/>
                <w:color w:val="060A26"/>
                <w:kern w:val="0"/>
                <w:szCs w:val="21"/>
                <w:lang w:bidi="ar"/>
              </w:rPr>
              <w:t>门诊病历打印，肺结核转诊单打印，医疗证明书打印，药物不良反应上报。</w:t>
            </w:r>
          </w:p>
        </w:tc>
      </w:tr>
      <w:tr w14:paraId="6035EDBD">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jc w:val="center"/>
        </w:trPr>
        <w:tc>
          <w:tcPr>
            <w:tcW w:w="1165" w:type="dxa"/>
            <w:vMerge w:val="continue"/>
            <w:tcBorders>
              <w:left w:val="single" w:color="auto" w:sz="6" w:space="0"/>
              <w:right w:val="single" w:color="auto" w:sz="6" w:space="0"/>
            </w:tcBorders>
            <w:shd w:val="clear" w:color="auto" w:fill="auto"/>
            <w:tcMar>
              <w:top w:w="150" w:type="dxa"/>
              <w:left w:w="210" w:type="dxa"/>
              <w:bottom w:w="150" w:type="dxa"/>
              <w:right w:w="210" w:type="dxa"/>
            </w:tcMar>
            <w:vAlign w:val="center"/>
          </w:tcPr>
          <w:p w14:paraId="76A63C38">
            <w:pPr>
              <w:snapToGrid w:val="0"/>
              <w:jc w:val="center"/>
              <w:rPr>
                <w:rFonts w:ascii="宋体" w:eastAsia="宋体"/>
                <w:color w:val="060A26"/>
                <w:szCs w:val="21"/>
              </w:rPr>
            </w:pPr>
          </w:p>
        </w:tc>
        <w:tc>
          <w:tcPr>
            <w:tcW w:w="1763" w:type="dxa"/>
            <w:tcBorders>
              <w:top w:val="single" w:color="auto" w:sz="6" w:space="0"/>
              <w:left w:val="single" w:color="auto" w:sz="6" w:space="0"/>
              <w:bottom w:val="single" w:color="auto" w:sz="6" w:space="0"/>
              <w:right w:val="single" w:color="auto" w:sz="6" w:space="0"/>
            </w:tcBorders>
            <w:shd w:val="clear" w:color="auto" w:fill="auto"/>
            <w:tcMar>
              <w:top w:w="150" w:type="dxa"/>
              <w:left w:w="210" w:type="dxa"/>
              <w:bottom w:w="150" w:type="dxa"/>
              <w:right w:w="210" w:type="dxa"/>
            </w:tcMar>
            <w:vAlign w:val="center"/>
          </w:tcPr>
          <w:p w14:paraId="19E0BD25">
            <w:pPr>
              <w:widowControl/>
              <w:wordWrap w:val="0"/>
              <w:snapToGrid w:val="0"/>
              <w:jc w:val="center"/>
              <w:textAlignment w:val="center"/>
              <w:rPr>
                <w:rFonts w:ascii="宋体" w:eastAsia="宋体"/>
                <w:color w:val="060A26"/>
                <w:szCs w:val="21"/>
              </w:rPr>
            </w:pPr>
            <w:r>
              <w:rPr>
                <w:rFonts w:ascii="宋体" w:hAnsi="宋体" w:eastAsia="宋体" w:cs="宋体"/>
                <w:color w:val="060A26"/>
                <w:kern w:val="0"/>
                <w:szCs w:val="21"/>
                <w:lang w:bidi="ar"/>
              </w:rPr>
              <w:t>3.3</w:t>
            </w:r>
          </w:p>
        </w:tc>
        <w:tc>
          <w:tcPr>
            <w:tcW w:w="6119" w:type="dxa"/>
            <w:tcBorders>
              <w:top w:val="single" w:color="auto" w:sz="6" w:space="0"/>
              <w:left w:val="single" w:color="auto" w:sz="6" w:space="0"/>
              <w:bottom w:val="single" w:color="auto" w:sz="6" w:space="0"/>
              <w:right w:val="single" w:color="auto" w:sz="6" w:space="0"/>
            </w:tcBorders>
            <w:shd w:val="clear" w:color="auto" w:fill="auto"/>
            <w:tcMar>
              <w:top w:w="150" w:type="dxa"/>
              <w:left w:w="210" w:type="dxa"/>
              <w:bottom w:w="150" w:type="dxa"/>
              <w:right w:w="210" w:type="dxa"/>
            </w:tcMar>
            <w:vAlign w:val="center"/>
          </w:tcPr>
          <w:p w14:paraId="38A319E6">
            <w:pPr>
              <w:widowControl/>
              <w:wordWrap w:val="0"/>
              <w:snapToGrid w:val="0"/>
              <w:jc w:val="left"/>
              <w:textAlignment w:val="center"/>
              <w:rPr>
                <w:rFonts w:ascii="宋体" w:eastAsia="宋体"/>
                <w:color w:val="060A26"/>
                <w:szCs w:val="21"/>
              </w:rPr>
            </w:pPr>
            <w:r>
              <w:rPr>
                <w:rFonts w:hint="eastAsia" w:ascii="宋体" w:hAnsi="宋体" w:eastAsia="宋体" w:cs="宋体"/>
                <w:b/>
                <w:bCs/>
                <w:color w:val="060A26"/>
                <w:kern w:val="0"/>
                <w:szCs w:val="21"/>
                <w:lang w:bidi="ar"/>
              </w:rPr>
              <w:t>数据统计</w:t>
            </w:r>
          </w:p>
        </w:tc>
      </w:tr>
      <w:tr w14:paraId="1A0B39DB">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jc w:val="center"/>
        </w:trPr>
        <w:tc>
          <w:tcPr>
            <w:tcW w:w="1165" w:type="dxa"/>
            <w:vMerge w:val="continue"/>
            <w:tcBorders>
              <w:left w:val="single" w:color="auto" w:sz="6" w:space="0"/>
              <w:right w:val="single" w:color="auto" w:sz="6" w:space="0"/>
            </w:tcBorders>
            <w:shd w:val="clear" w:color="auto" w:fill="auto"/>
            <w:tcMar>
              <w:top w:w="150" w:type="dxa"/>
              <w:left w:w="210" w:type="dxa"/>
              <w:bottom w:w="150" w:type="dxa"/>
              <w:right w:w="210" w:type="dxa"/>
            </w:tcMar>
            <w:vAlign w:val="center"/>
          </w:tcPr>
          <w:p w14:paraId="3D2228EE">
            <w:pPr>
              <w:snapToGrid w:val="0"/>
              <w:jc w:val="center"/>
              <w:rPr>
                <w:rFonts w:ascii="宋体" w:eastAsia="宋体"/>
                <w:b/>
                <w:color w:val="060A26"/>
                <w:szCs w:val="21"/>
              </w:rPr>
            </w:pPr>
          </w:p>
        </w:tc>
        <w:tc>
          <w:tcPr>
            <w:tcW w:w="1763" w:type="dxa"/>
            <w:tcBorders>
              <w:top w:val="single" w:color="auto" w:sz="6" w:space="0"/>
              <w:left w:val="single" w:color="auto" w:sz="6" w:space="0"/>
              <w:bottom w:val="single" w:color="auto" w:sz="6" w:space="0"/>
              <w:right w:val="single" w:color="auto" w:sz="6" w:space="0"/>
            </w:tcBorders>
            <w:shd w:val="clear" w:color="auto" w:fill="auto"/>
            <w:tcMar>
              <w:top w:w="150" w:type="dxa"/>
              <w:left w:w="210" w:type="dxa"/>
              <w:bottom w:w="150" w:type="dxa"/>
              <w:right w:w="210" w:type="dxa"/>
            </w:tcMar>
            <w:vAlign w:val="center"/>
          </w:tcPr>
          <w:p w14:paraId="7F289E63">
            <w:pPr>
              <w:widowControl/>
              <w:wordWrap w:val="0"/>
              <w:snapToGrid w:val="0"/>
              <w:jc w:val="center"/>
              <w:textAlignment w:val="center"/>
              <w:rPr>
                <w:rFonts w:ascii="宋体" w:eastAsia="宋体"/>
                <w:b/>
                <w:color w:val="060A26"/>
                <w:szCs w:val="21"/>
              </w:rPr>
            </w:pPr>
            <w:r>
              <w:rPr>
                <w:rFonts w:ascii="宋体" w:hAnsi="宋体" w:eastAsia="宋体" w:cs="宋体"/>
                <w:bCs/>
                <w:color w:val="060A26"/>
                <w:kern w:val="0"/>
                <w:szCs w:val="21"/>
                <w:lang w:bidi="ar"/>
              </w:rPr>
              <w:t xml:space="preserve">3.3.1 </w:t>
            </w:r>
            <w:r>
              <w:rPr>
                <w:rFonts w:hint="eastAsia" w:ascii="宋体" w:hAnsi="宋体" w:eastAsia="宋体" w:cs="宋体"/>
                <w:bCs/>
                <w:color w:val="060A26"/>
                <w:kern w:val="0"/>
                <w:szCs w:val="21"/>
                <w:lang w:bidi="ar"/>
              </w:rPr>
              <w:t>门诊查询报表</w:t>
            </w:r>
          </w:p>
        </w:tc>
        <w:tc>
          <w:tcPr>
            <w:tcW w:w="6119" w:type="dxa"/>
            <w:tcBorders>
              <w:top w:val="single" w:color="auto" w:sz="6" w:space="0"/>
              <w:left w:val="single" w:color="auto" w:sz="6" w:space="0"/>
              <w:bottom w:val="single" w:color="auto" w:sz="6" w:space="0"/>
              <w:right w:val="single" w:color="auto" w:sz="6" w:space="0"/>
            </w:tcBorders>
            <w:shd w:val="clear" w:color="auto" w:fill="auto"/>
            <w:tcMar>
              <w:top w:w="150" w:type="dxa"/>
              <w:left w:w="210" w:type="dxa"/>
              <w:bottom w:w="150" w:type="dxa"/>
              <w:right w:w="210" w:type="dxa"/>
            </w:tcMar>
            <w:vAlign w:val="center"/>
          </w:tcPr>
          <w:p w14:paraId="53F21F5C">
            <w:pPr>
              <w:widowControl/>
              <w:wordWrap w:val="0"/>
              <w:snapToGrid w:val="0"/>
              <w:jc w:val="left"/>
              <w:textAlignment w:val="center"/>
              <w:rPr>
                <w:rFonts w:ascii="宋体" w:eastAsia="宋体"/>
                <w:bCs/>
                <w:color w:val="060A26"/>
                <w:szCs w:val="21"/>
              </w:rPr>
            </w:pPr>
            <w:r>
              <w:rPr>
                <w:rFonts w:ascii="宋体" w:hAnsi="宋体" w:eastAsia="宋体" w:cs="宋体"/>
                <w:bCs/>
                <w:color w:val="060A26"/>
                <w:kern w:val="0"/>
                <w:szCs w:val="21"/>
                <w:lang w:bidi="ar"/>
              </w:rPr>
              <w:t xml:space="preserve">✓ </w:t>
            </w:r>
            <w:r>
              <w:rPr>
                <w:rFonts w:hint="eastAsia" w:ascii="宋体" w:hAnsi="宋体" w:eastAsia="宋体" w:cs="宋体"/>
                <w:bCs/>
                <w:color w:val="060A26"/>
                <w:kern w:val="0"/>
                <w:szCs w:val="21"/>
                <w:lang w:bidi="ar"/>
              </w:rPr>
              <w:t>提供预约情况统计，提前就诊统计，病人挂号就诊情况查询，按时间查询统计失约病人，医师排班导出，登录情况查询，门诊暂停排班报表，病人预约情况查询，门诊处方外带打印，预约率查询，专科复制预约率统计，医师站复制预约报表，医师排班修改查询，门诊专病首次下诊断量报表，按排班预约患者就诊时间报表，门诊预约取消统计报表，医师取消预约记录查询，名医馆工作量报表，门诊预约率统计，门诊爽约率统计，名医馆预约按分钟站汇总统计，门诊预约分析报表，已缴费未预约检查功能。</w:t>
            </w:r>
          </w:p>
        </w:tc>
      </w:tr>
      <w:tr w14:paraId="728521F1">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jc w:val="center"/>
        </w:trPr>
        <w:tc>
          <w:tcPr>
            <w:tcW w:w="1165" w:type="dxa"/>
            <w:vMerge w:val="continue"/>
            <w:tcBorders>
              <w:left w:val="single" w:color="auto" w:sz="6" w:space="0"/>
              <w:right w:val="single" w:color="auto" w:sz="6" w:space="0"/>
            </w:tcBorders>
            <w:shd w:val="clear" w:color="auto" w:fill="auto"/>
            <w:tcMar>
              <w:top w:w="150" w:type="dxa"/>
              <w:left w:w="210" w:type="dxa"/>
              <w:bottom w:w="150" w:type="dxa"/>
              <w:right w:w="210" w:type="dxa"/>
            </w:tcMar>
            <w:vAlign w:val="center"/>
          </w:tcPr>
          <w:p w14:paraId="2F87A71A">
            <w:pPr>
              <w:snapToGrid w:val="0"/>
              <w:jc w:val="center"/>
              <w:rPr>
                <w:rFonts w:ascii="宋体" w:eastAsia="宋体"/>
                <w:color w:val="060A26"/>
                <w:szCs w:val="21"/>
              </w:rPr>
            </w:pPr>
          </w:p>
        </w:tc>
        <w:tc>
          <w:tcPr>
            <w:tcW w:w="1763" w:type="dxa"/>
            <w:tcBorders>
              <w:top w:val="single" w:color="auto" w:sz="6" w:space="0"/>
              <w:left w:val="single" w:color="auto" w:sz="6" w:space="0"/>
              <w:bottom w:val="single" w:color="auto" w:sz="6" w:space="0"/>
              <w:right w:val="single" w:color="auto" w:sz="6" w:space="0"/>
            </w:tcBorders>
            <w:shd w:val="clear" w:color="auto" w:fill="auto"/>
            <w:tcMar>
              <w:top w:w="150" w:type="dxa"/>
              <w:left w:w="210" w:type="dxa"/>
              <w:bottom w:w="150" w:type="dxa"/>
              <w:right w:w="210" w:type="dxa"/>
            </w:tcMar>
            <w:vAlign w:val="center"/>
          </w:tcPr>
          <w:p w14:paraId="0992CF42">
            <w:pPr>
              <w:widowControl/>
              <w:wordWrap w:val="0"/>
              <w:snapToGrid w:val="0"/>
              <w:jc w:val="center"/>
              <w:textAlignment w:val="center"/>
              <w:rPr>
                <w:rFonts w:ascii="宋体" w:eastAsia="宋体"/>
                <w:color w:val="060A26"/>
                <w:szCs w:val="21"/>
              </w:rPr>
            </w:pPr>
            <w:r>
              <w:rPr>
                <w:rFonts w:hint="eastAsia" w:ascii="宋体" w:eastAsia="宋体"/>
                <w:color w:val="060A26"/>
                <w:szCs w:val="21"/>
              </w:rPr>
              <w:t>3.</w:t>
            </w:r>
            <w:r>
              <w:rPr>
                <w:rFonts w:hint="eastAsia" w:ascii="宋体" w:eastAsia="宋体"/>
                <w:color w:val="060A26"/>
                <w:szCs w:val="21"/>
                <w:lang w:val="en-US" w:eastAsia="zh-CN"/>
              </w:rPr>
              <w:t>4</w:t>
            </w:r>
          </w:p>
        </w:tc>
        <w:tc>
          <w:tcPr>
            <w:tcW w:w="6119" w:type="dxa"/>
            <w:tcBorders>
              <w:top w:val="single" w:color="auto" w:sz="6" w:space="0"/>
              <w:left w:val="single" w:color="auto" w:sz="6" w:space="0"/>
              <w:bottom w:val="single" w:color="auto" w:sz="6" w:space="0"/>
              <w:right w:val="single" w:color="auto" w:sz="6" w:space="0"/>
            </w:tcBorders>
            <w:shd w:val="clear" w:color="auto" w:fill="auto"/>
            <w:tcMar>
              <w:top w:w="150" w:type="dxa"/>
              <w:left w:w="210" w:type="dxa"/>
              <w:bottom w:w="150" w:type="dxa"/>
              <w:right w:w="210" w:type="dxa"/>
            </w:tcMar>
            <w:vAlign w:val="center"/>
          </w:tcPr>
          <w:p w14:paraId="3FF80483">
            <w:pPr>
              <w:widowControl/>
              <w:wordWrap w:val="0"/>
              <w:snapToGrid w:val="0"/>
              <w:jc w:val="left"/>
              <w:textAlignment w:val="center"/>
              <w:rPr>
                <w:rFonts w:ascii="宋体" w:eastAsia="宋体"/>
                <w:b/>
                <w:bCs/>
                <w:color w:val="060A26"/>
                <w:szCs w:val="21"/>
              </w:rPr>
            </w:pPr>
            <w:r>
              <w:rPr>
                <w:rFonts w:hint="eastAsia" w:ascii="宋体" w:eastAsia="宋体"/>
                <w:b/>
                <w:bCs/>
                <w:color w:val="060A26"/>
                <w:szCs w:val="21"/>
              </w:rPr>
              <w:t>检查询报表</w:t>
            </w:r>
          </w:p>
        </w:tc>
      </w:tr>
      <w:tr w14:paraId="780E1500">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jc w:val="center"/>
        </w:trPr>
        <w:tc>
          <w:tcPr>
            <w:tcW w:w="1165" w:type="dxa"/>
            <w:tcBorders>
              <w:left w:val="single" w:color="auto" w:sz="6" w:space="0"/>
              <w:right w:val="single" w:color="auto" w:sz="6" w:space="0"/>
            </w:tcBorders>
            <w:shd w:val="clear" w:color="auto" w:fill="auto"/>
            <w:tcMar>
              <w:top w:w="150" w:type="dxa"/>
              <w:left w:w="210" w:type="dxa"/>
              <w:bottom w:w="150" w:type="dxa"/>
              <w:right w:w="210" w:type="dxa"/>
            </w:tcMar>
            <w:vAlign w:val="center"/>
          </w:tcPr>
          <w:p w14:paraId="48171769">
            <w:pPr>
              <w:snapToGrid w:val="0"/>
              <w:jc w:val="center"/>
              <w:rPr>
                <w:rFonts w:ascii="宋体" w:eastAsia="宋体"/>
                <w:color w:val="060A26"/>
                <w:szCs w:val="21"/>
              </w:rPr>
            </w:pPr>
          </w:p>
        </w:tc>
        <w:tc>
          <w:tcPr>
            <w:tcW w:w="1763" w:type="dxa"/>
            <w:tcBorders>
              <w:top w:val="single" w:color="auto" w:sz="6" w:space="0"/>
              <w:left w:val="single" w:color="auto" w:sz="6" w:space="0"/>
              <w:bottom w:val="single" w:color="auto" w:sz="6" w:space="0"/>
              <w:right w:val="single" w:color="auto" w:sz="6" w:space="0"/>
            </w:tcBorders>
            <w:shd w:val="clear" w:color="auto" w:fill="auto"/>
            <w:tcMar>
              <w:top w:w="150" w:type="dxa"/>
              <w:left w:w="210" w:type="dxa"/>
              <w:bottom w:w="150" w:type="dxa"/>
              <w:right w:w="210" w:type="dxa"/>
            </w:tcMar>
            <w:vAlign w:val="center"/>
          </w:tcPr>
          <w:p w14:paraId="4E25F099">
            <w:pPr>
              <w:widowControl/>
              <w:wordWrap w:val="0"/>
              <w:snapToGrid w:val="0"/>
              <w:jc w:val="center"/>
              <w:textAlignment w:val="center"/>
              <w:rPr>
                <w:rFonts w:ascii="宋体" w:eastAsia="宋体"/>
                <w:color w:val="060A26"/>
                <w:szCs w:val="21"/>
              </w:rPr>
            </w:pPr>
            <w:r>
              <w:rPr>
                <w:rFonts w:hint="eastAsia" w:ascii="宋体" w:eastAsia="宋体"/>
                <w:color w:val="060A26"/>
                <w:szCs w:val="21"/>
              </w:rPr>
              <w:t>3.</w:t>
            </w:r>
            <w:r>
              <w:rPr>
                <w:rFonts w:hint="eastAsia" w:ascii="宋体" w:eastAsia="宋体"/>
                <w:color w:val="060A26"/>
                <w:szCs w:val="21"/>
                <w:lang w:val="en-US" w:eastAsia="zh-CN"/>
              </w:rPr>
              <w:t>4</w:t>
            </w:r>
            <w:r>
              <w:rPr>
                <w:rFonts w:hint="eastAsia" w:ascii="宋体" w:eastAsia="宋体"/>
                <w:color w:val="060A26"/>
                <w:szCs w:val="21"/>
              </w:rPr>
              <w:t>.1统计查询</w:t>
            </w:r>
          </w:p>
        </w:tc>
        <w:tc>
          <w:tcPr>
            <w:tcW w:w="6119" w:type="dxa"/>
            <w:tcBorders>
              <w:top w:val="single" w:color="auto" w:sz="6" w:space="0"/>
              <w:left w:val="single" w:color="auto" w:sz="6" w:space="0"/>
              <w:bottom w:val="single" w:color="auto" w:sz="6" w:space="0"/>
              <w:right w:val="single" w:color="auto" w:sz="6" w:space="0"/>
            </w:tcBorders>
            <w:shd w:val="clear" w:color="auto" w:fill="auto"/>
            <w:tcMar>
              <w:top w:w="150" w:type="dxa"/>
              <w:left w:w="210" w:type="dxa"/>
              <w:bottom w:w="150" w:type="dxa"/>
              <w:right w:w="210" w:type="dxa"/>
            </w:tcMar>
            <w:vAlign w:val="center"/>
          </w:tcPr>
          <w:p w14:paraId="06698849">
            <w:pPr>
              <w:widowControl/>
              <w:wordWrap w:val="0"/>
              <w:snapToGrid w:val="0"/>
              <w:jc w:val="left"/>
              <w:textAlignment w:val="center"/>
              <w:rPr>
                <w:rFonts w:ascii="宋体" w:hAnsi="宋体" w:eastAsia="宋体" w:cs="宋体"/>
                <w:color w:val="060A26"/>
                <w:kern w:val="0"/>
                <w:szCs w:val="21"/>
                <w:lang w:bidi="ar"/>
              </w:rPr>
            </w:pPr>
            <w:r>
              <w:rPr>
                <w:rFonts w:ascii="宋体" w:hAnsi="宋体" w:eastAsia="宋体" w:cs="宋体"/>
                <w:color w:val="060A26"/>
                <w:kern w:val="0"/>
                <w:szCs w:val="21"/>
                <w:lang w:bidi="ar"/>
              </w:rPr>
              <w:t>✓</w:t>
            </w:r>
            <w:r>
              <w:rPr>
                <w:rFonts w:hint="eastAsia" w:ascii="宋体" w:hAnsi="宋体" w:eastAsia="宋体" w:cs="宋体"/>
                <w:color w:val="060A26"/>
                <w:kern w:val="0"/>
                <w:szCs w:val="21"/>
                <w:lang w:bidi="ar"/>
              </w:rPr>
              <w:t xml:space="preserve"> 提供特检预约统计，特检预约信息查询，特检预约日报表，门诊检查撤销费用统计，特检平均预约日查询，特检检查例数查询，检查工作量报表，检查工作量按部位统计报表，诊室工作量汇总功能。特检预约系统提供接口。</w:t>
            </w:r>
          </w:p>
          <w:p w14:paraId="15A30CBF">
            <w:pPr>
              <w:widowControl/>
              <w:wordWrap w:val="0"/>
              <w:snapToGrid w:val="0"/>
              <w:jc w:val="left"/>
              <w:textAlignment w:val="center"/>
              <w:rPr>
                <w:rFonts w:ascii="宋体" w:hAnsi="宋体" w:eastAsia="宋体" w:cs="宋体"/>
                <w:color w:val="060A26"/>
                <w:kern w:val="0"/>
                <w:szCs w:val="21"/>
                <w:lang w:bidi="ar"/>
              </w:rPr>
            </w:pPr>
            <w:r>
              <w:rPr>
                <w:rFonts w:ascii="宋体" w:hAnsi="宋体" w:eastAsia="宋体" w:cs="宋体"/>
                <w:color w:val="060A26"/>
                <w:kern w:val="0"/>
                <w:szCs w:val="21"/>
                <w:lang w:bidi="ar"/>
              </w:rPr>
              <w:t>✓</w:t>
            </w:r>
            <w:r>
              <w:rPr>
                <w:rFonts w:hint="eastAsia" w:ascii="宋体" w:hAnsi="宋体" w:eastAsia="宋体" w:cs="宋体"/>
                <w:color w:val="060A26"/>
                <w:kern w:val="0"/>
                <w:szCs w:val="21"/>
                <w:lang w:bidi="ar"/>
              </w:rPr>
              <w:t>提供特检报告登记报表，特检登记人员工作量报表。特检预约系统提供接口。</w:t>
            </w:r>
          </w:p>
        </w:tc>
      </w:tr>
      <w:tr w14:paraId="2665CC6E">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jc w:val="center"/>
        </w:trPr>
        <w:tc>
          <w:tcPr>
            <w:tcW w:w="1165" w:type="dxa"/>
            <w:tcBorders>
              <w:left w:val="single" w:color="auto" w:sz="6" w:space="0"/>
              <w:right w:val="single" w:color="auto" w:sz="6" w:space="0"/>
            </w:tcBorders>
            <w:shd w:val="clear" w:color="auto" w:fill="auto"/>
            <w:tcMar>
              <w:top w:w="150" w:type="dxa"/>
              <w:left w:w="210" w:type="dxa"/>
              <w:bottom w:w="150" w:type="dxa"/>
              <w:right w:w="210" w:type="dxa"/>
            </w:tcMar>
            <w:vAlign w:val="center"/>
          </w:tcPr>
          <w:p w14:paraId="4D24F82D">
            <w:pPr>
              <w:snapToGrid w:val="0"/>
              <w:jc w:val="center"/>
              <w:rPr>
                <w:rFonts w:ascii="宋体" w:eastAsia="宋体"/>
                <w:color w:val="060A26"/>
                <w:szCs w:val="21"/>
              </w:rPr>
            </w:pPr>
          </w:p>
        </w:tc>
        <w:tc>
          <w:tcPr>
            <w:tcW w:w="7882" w:type="dxa"/>
            <w:gridSpan w:val="2"/>
            <w:tcBorders>
              <w:top w:val="single" w:color="auto" w:sz="6" w:space="0"/>
              <w:left w:val="single" w:color="auto" w:sz="6" w:space="0"/>
              <w:bottom w:val="single" w:color="auto" w:sz="6" w:space="0"/>
              <w:right w:val="single" w:color="auto" w:sz="6" w:space="0"/>
            </w:tcBorders>
            <w:shd w:val="clear" w:color="auto" w:fill="auto"/>
            <w:tcMar>
              <w:top w:w="150" w:type="dxa"/>
              <w:left w:w="210" w:type="dxa"/>
              <w:bottom w:w="150" w:type="dxa"/>
              <w:right w:w="210" w:type="dxa"/>
            </w:tcMar>
            <w:vAlign w:val="center"/>
          </w:tcPr>
          <w:p w14:paraId="6C1CC0E0">
            <w:pPr>
              <w:widowControl/>
              <w:wordWrap w:val="0"/>
              <w:snapToGrid w:val="0"/>
              <w:jc w:val="left"/>
              <w:textAlignment w:val="center"/>
              <w:rPr>
                <w:rFonts w:ascii="宋体" w:hAnsi="宋体" w:eastAsia="宋体" w:cs="宋体"/>
                <w:b/>
                <w:bCs/>
                <w:color w:val="060A26"/>
                <w:kern w:val="0"/>
                <w:szCs w:val="21"/>
                <w:lang w:bidi="ar"/>
              </w:rPr>
            </w:pPr>
            <w:r>
              <w:rPr>
                <w:rFonts w:hint="eastAsia" w:ascii="宋体" w:hAnsi="宋体" w:cs="宋体"/>
                <w:b/>
                <w:bCs/>
                <w:color w:val="060A26"/>
                <w:kern w:val="0"/>
                <w:szCs w:val="21"/>
                <w:lang w:eastAsia="zh-CN" w:bidi="ar"/>
              </w:rPr>
              <w:t>（</w:t>
            </w:r>
            <w:r>
              <w:rPr>
                <w:rFonts w:hint="eastAsia" w:ascii="宋体" w:hAnsi="宋体" w:cs="宋体"/>
                <w:b/>
                <w:bCs/>
                <w:color w:val="060A26"/>
                <w:kern w:val="0"/>
                <w:szCs w:val="21"/>
                <w:lang w:val="en-US" w:eastAsia="zh-CN" w:bidi="ar"/>
              </w:rPr>
              <w:t>二</w:t>
            </w:r>
            <w:r>
              <w:rPr>
                <w:rFonts w:hint="eastAsia" w:ascii="宋体" w:hAnsi="宋体" w:cs="宋体"/>
                <w:b/>
                <w:bCs/>
                <w:color w:val="060A26"/>
                <w:kern w:val="0"/>
                <w:szCs w:val="21"/>
                <w:lang w:eastAsia="zh-CN" w:bidi="ar"/>
              </w:rPr>
              <w:t>）</w:t>
            </w:r>
            <w:r>
              <w:rPr>
                <w:rFonts w:hint="eastAsia" w:ascii="宋体" w:hAnsi="宋体" w:eastAsia="宋体" w:cs="宋体"/>
                <w:b/>
                <w:bCs/>
                <w:color w:val="060A26"/>
                <w:kern w:val="0"/>
                <w:szCs w:val="21"/>
                <w:lang w:bidi="ar"/>
              </w:rPr>
              <w:t>新增功能需求</w:t>
            </w:r>
          </w:p>
        </w:tc>
      </w:tr>
      <w:tr w14:paraId="6693CF94">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jc w:val="center"/>
        </w:trPr>
        <w:tc>
          <w:tcPr>
            <w:tcW w:w="1165" w:type="dxa"/>
            <w:tcBorders>
              <w:left w:val="single" w:color="auto" w:sz="6" w:space="0"/>
              <w:right w:val="single" w:color="auto" w:sz="6" w:space="0"/>
            </w:tcBorders>
            <w:shd w:val="clear" w:color="auto" w:fill="auto"/>
            <w:tcMar>
              <w:top w:w="150" w:type="dxa"/>
              <w:left w:w="210" w:type="dxa"/>
              <w:bottom w:w="150" w:type="dxa"/>
              <w:right w:w="210" w:type="dxa"/>
            </w:tcMar>
            <w:vAlign w:val="center"/>
          </w:tcPr>
          <w:p w14:paraId="3BD55D4D">
            <w:pPr>
              <w:snapToGrid w:val="0"/>
              <w:jc w:val="center"/>
              <w:rPr>
                <w:rFonts w:ascii="宋体" w:eastAsia="宋体"/>
                <w:color w:val="060A26"/>
                <w:szCs w:val="21"/>
              </w:rPr>
            </w:pPr>
          </w:p>
        </w:tc>
        <w:tc>
          <w:tcPr>
            <w:tcW w:w="1763" w:type="dxa"/>
            <w:tcBorders>
              <w:top w:val="single" w:color="auto" w:sz="6" w:space="0"/>
              <w:left w:val="single" w:color="auto" w:sz="6" w:space="0"/>
              <w:bottom w:val="single" w:color="auto" w:sz="6" w:space="0"/>
              <w:right w:val="single" w:color="auto" w:sz="6" w:space="0"/>
            </w:tcBorders>
            <w:shd w:val="clear" w:color="auto" w:fill="auto"/>
            <w:tcMar>
              <w:top w:w="150" w:type="dxa"/>
              <w:left w:w="210" w:type="dxa"/>
              <w:bottom w:w="150" w:type="dxa"/>
              <w:right w:w="210" w:type="dxa"/>
            </w:tcMar>
            <w:vAlign w:val="center"/>
          </w:tcPr>
          <w:p w14:paraId="6F3FAA30">
            <w:pPr>
              <w:widowControl/>
              <w:wordWrap w:val="0"/>
              <w:snapToGrid w:val="0"/>
              <w:jc w:val="center"/>
              <w:textAlignment w:val="center"/>
              <w:rPr>
                <w:rFonts w:ascii="宋体" w:eastAsia="宋体"/>
                <w:color w:val="060A26"/>
                <w:szCs w:val="21"/>
              </w:rPr>
            </w:pPr>
            <w:r>
              <w:rPr>
                <w:rFonts w:hint="eastAsia" w:ascii="宋体" w:eastAsia="宋体"/>
                <w:color w:val="060A26"/>
                <w:szCs w:val="21"/>
              </w:rPr>
              <w:t>3.</w:t>
            </w:r>
            <w:r>
              <w:rPr>
                <w:rFonts w:hint="eastAsia" w:ascii="宋体" w:eastAsia="宋体"/>
                <w:color w:val="060A26"/>
                <w:szCs w:val="21"/>
                <w:lang w:val="en-US" w:eastAsia="zh-CN"/>
              </w:rPr>
              <w:t>5</w:t>
            </w:r>
            <w:r>
              <w:rPr>
                <w:rFonts w:hint="eastAsia" w:ascii="宋体" w:eastAsia="宋体"/>
                <w:color w:val="060A26"/>
                <w:szCs w:val="21"/>
              </w:rPr>
              <w:t>.1号源管理</w:t>
            </w:r>
          </w:p>
        </w:tc>
        <w:tc>
          <w:tcPr>
            <w:tcW w:w="6119" w:type="dxa"/>
            <w:tcBorders>
              <w:top w:val="single" w:color="auto" w:sz="6" w:space="0"/>
              <w:left w:val="single" w:color="auto" w:sz="6" w:space="0"/>
              <w:bottom w:val="single" w:color="auto" w:sz="6" w:space="0"/>
              <w:right w:val="single" w:color="auto" w:sz="6" w:space="0"/>
            </w:tcBorders>
            <w:shd w:val="clear" w:color="auto" w:fill="auto"/>
            <w:tcMar>
              <w:top w:w="150" w:type="dxa"/>
              <w:left w:w="210" w:type="dxa"/>
              <w:bottom w:w="150" w:type="dxa"/>
              <w:right w:w="210" w:type="dxa"/>
            </w:tcMar>
            <w:vAlign w:val="center"/>
          </w:tcPr>
          <w:p w14:paraId="1E4CBA14">
            <w:pPr>
              <w:widowControl/>
              <w:wordWrap w:val="0"/>
              <w:snapToGrid w:val="0"/>
              <w:jc w:val="left"/>
              <w:textAlignment w:val="center"/>
              <w:rPr>
                <w:rFonts w:ascii="宋体" w:hAnsi="宋体" w:eastAsia="宋体" w:cs="宋体"/>
                <w:color w:val="060A26"/>
                <w:kern w:val="0"/>
                <w:szCs w:val="21"/>
                <w:lang w:bidi="ar"/>
              </w:rPr>
            </w:pPr>
            <w:r>
              <w:rPr>
                <w:rFonts w:ascii="宋体" w:hAnsi="宋体" w:eastAsia="宋体" w:cs="宋体"/>
                <w:color w:val="060A26"/>
                <w:kern w:val="0"/>
                <w:szCs w:val="21"/>
                <w:lang w:bidi="ar"/>
              </w:rPr>
              <w:t>✓</w:t>
            </w:r>
            <w:r>
              <w:rPr>
                <w:rFonts w:hint="eastAsia" w:ascii="宋体" w:hAnsi="宋体" w:eastAsia="宋体" w:cs="宋体"/>
                <w:color w:val="060A26"/>
                <w:kern w:val="0"/>
                <w:szCs w:val="21"/>
                <w:lang w:bidi="ar"/>
              </w:rPr>
              <w:t xml:space="preserve"> </w:t>
            </w:r>
            <w:r>
              <w:rPr>
                <w:rFonts w:ascii="宋体" w:hAnsi="宋体" w:eastAsia="宋体" w:cs="宋体"/>
                <w:color w:val="060A26"/>
                <w:kern w:val="0"/>
                <w:szCs w:val="21"/>
                <w:lang w:bidi="ar"/>
              </w:rPr>
              <w:t>支持号源类型配置，包括初诊、复诊、预留号、人才号、回看报告号等</w:t>
            </w:r>
            <w:r>
              <w:rPr>
                <w:rFonts w:hint="eastAsia" w:ascii="宋体" w:hAnsi="宋体" w:eastAsia="宋体" w:cs="宋体"/>
                <w:color w:val="060A26"/>
                <w:kern w:val="0"/>
                <w:szCs w:val="21"/>
                <w:lang w:bidi="ar"/>
              </w:rPr>
              <w:t>。</w:t>
            </w:r>
          </w:p>
          <w:p w14:paraId="71D46684">
            <w:pPr>
              <w:widowControl/>
              <w:wordWrap w:val="0"/>
              <w:snapToGrid w:val="0"/>
              <w:jc w:val="left"/>
              <w:textAlignment w:val="center"/>
              <w:rPr>
                <w:rFonts w:ascii="宋体" w:hAnsi="宋体" w:eastAsia="宋体" w:cs="宋体"/>
                <w:color w:val="060A26"/>
                <w:kern w:val="0"/>
                <w:szCs w:val="21"/>
                <w:lang w:bidi="ar"/>
              </w:rPr>
            </w:pPr>
            <w:r>
              <w:rPr>
                <w:rFonts w:ascii="宋体" w:hAnsi="宋体" w:eastAsia="宋体" w:cs="宋体"/>
                <w:color w:val="060A26"/>
                <w:kern w:val="0"/>
                <w:szCs w:val="21"/>
                <w:lang w:bidi="ar"/>
              </w:rPr>
              <w:t>✓</w:t>
            </w:r>
            <w:r>
              <w:rPr>
                <w:rFonts w:hint="eastAsia" w:ascii="宋体" w:hAnsi="宋体" w:eastAsia="宋体" w:cs="宋体"/>
                <w:color w:val="060A26"/>
                <w:kern w:val="0"/>
                <w:szCs w:val="21"/>
                <w:lang w:bidi="ar"/>
              </w:rPr>
              <w:t xml:space="preserve"> </w:t>
            </w:r>
            <w:r>
              <w:rPr>
                <w:rFonts w:ascii="宋体" w:hAnsi="宋体" w:eastAsia="宋体" w:cs="宋体"/>
                <w:color w:val="060A26"/>
                <w:kern w:val="0"/>
                <w:szCs w:val="21"/>
                <w:lang w:bidi="ar"/>
              </w:rPr>
              <w:t>支持叫号队列按号源类型进行区分管理，回看报告号源独立队列显示</w:t>
            </w:r>
            <w:r>
              <w:rPr>
                <w:rFonts w:hint="eastAsia" w:ascii="宋体" w:hAnsi="宋体" w:eastAsia="宋体" w:cs="宋体"/>
                <w:color w:val="060A26"/>
                <w:kern w:val="0"/>
                <w:szCs w:val="21"/>
                <w:lang w:bidi="ar"/>
              </w:rPr>
              <w:t>。</w:t>
            </w:r>
          </w:p>
          <w:p w14:paraId="3924FC4B">
            <w:pPr>
              <w:widowControl/>
              <w:wordWrap w:val="0"/>
              <w:snapToGrid w:val="0"/>
              <w:jc w:val="left"/>
              <w:textAlignment w:val="center"/>
              <w:rPr>
                <w:rFonts w:ascii="宋体" w:hAnsi="宋体" w:eastAsia="宋体" w:cs="宋体"/>
                <w:color w:val="060A26"/>
                <w:kern w:val="0"/>
                <w:szCs w:val="21"/>
                <w:lang w:bidi="ar"/>
              </w:rPr>
            </w:pPr>
            <w:r>
              <w:rPr>
                <w:rFonts w:ascii="宋体" w:hAnsi="宋体" w:eastAsia="宋体" w:cs="宋体"/>
                <w:color w:val="060A26"/>
                <w:kern w:val="0"/>
                <w:szCs w:val="21"/>
                <w:lang w:bidi="ar"/>
              </w:rPr>
              <w:t>✓</w:t>
            </w:r>
            <w:r>
              <w:rPr>
                <w:rFonts w:hint="eastAsia" w:ascii="宋体" w:hAnsi="宋体" w:eastAsia="宋体" w:cs="宋体"/>
                <w:color w:val="060A26"/>
                <w:kern w:val="0"/>
                <w:szCs w:val="21"/>
                <w:lang w:bidi="ar"/>
              </w:rPr>
              <w:t xml:space="preserve"> 支持叫号优先级规则设置，可实现老年患者、军人等人群优先叫号。</w:t>
            </w:r>
          </w:p>
        </w:tc>
      </w:tr>
      <w:tr w14:paraId="25E75FE4">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jc w:val="center"/>
        </w:trPr>
        <w:tc>
          <w:tcPr>
            <w:tcW w:w="1165" w:type="dxa"/>
            <w:tcBorders>
              <w:left w:val="single" w:color="auto" w:sz="6" w:space="0"/>
              <w:right w:val="single" w:color="auto" w:sz="6" w:space="0"/>
            </w:tcBorders>
            <w:shd w:val="clear" w:color="auto" w:fill="auto"/>
            <w:tcMar>
              <w:top w:w="150" w:type="dxa"/>
              <w:left w:w="210" w:type="dxa"/>
              <w:bottom w:w="150" w:type="dxa"/>
              <w:right w:w="210" w:type="dxa"/>
            </w:tcMar>
            <w:vAlign w:val="center"/>
          </w:tcPr>
          <w:p w14:paraId="3B39F844">
            <w:pPr>
              <w:snapToGrid w:val="0"/>
              <w:jc w:val="center"/>
              <w:rPr>
                <w:rFonts w:ascii="宋体" w:eastAsia="宋体"/>
                <w:color w:val="060A26"/>
                <w:szCs w:val="21"/>
              </w:rPr>
            </w:pPr>
          </w:p>
        </w:tc>
        <w:tc>
          <w:tcPr>
            <w:tcW w:w="1763" w:type="dxa"/>
            <w:tcBorders>
              <w:top w:val="single" w:color="auto" w:sz="6" w:space="0"/>
              <w:left w:val="single" w:color="auto" w:sz="6" w:space="0"/>
              <w:bottom w:val="single" w:color="auto" w:sz="6" w:space="0"/>
              <w:right w:val="single" w:color="auto" w:sz="6" w:space="0"/>
            </w:tcBorders>
            <w:shd w:val="clear" w:color="auto" w:fill="auto"/>
            <w:tcMar>
              <w:top w:w="150" w:type="dxa"/>
              <w:left w:w="210" w:type="dxa"/>
              <w:bottom w:w="150" w:type="dxa"/>
              <w:right w:w="210" w:type="dxa"/>
            </w:tcMar>
            <w:vAlign w:val="center"/>
          </w:tcPr>
          <w:p w14:paraId="77B2AFF8">
            <w:pPr>
              <w:widowControl/>
              <w:wordWrap w:val="0"/>
              <w:snapToGrid w:val="0"/>
              <w:jc w:val="center"/>
              <w:textAlignment w:val="center"/>
              <w:rPr>
                <w:rFonts w:ascii="宋体" w:eastAsia="宋体"/>
                <w:color w:val="060A26"/>
                <w:szCs w:val="21"/>
              </w:rPr>
            </w:pPr>
            <w:r>
              <w:rPr>
                <w:rFonts w:hint="eastAsia" w:ascii="宋体" w:eastAsia="宋体"/>
                <w:color w:val="060A26"/>
                <w:szCs w:val="21"/>
              </w:rPr>
              <w:t>3.</w:t>
            </w:r>
            <w:r>
              <w:rPr>
                <w:rFonts w:hint="eastAsia" w:ascii="宋体" w:eastAsia="宋体"/>
                <w:color w:val="060A26"/>
                <w:szCs w:val="21"/>
                <w:lang w:val="en-US" w:eastAsia="zh-CN"/>
              </w:rPr>
              <w:t>5</w:t>
            </w:r>
            <w:r>
              <w:rPr>
                <w:rFonts w:hint="eastAsia" w:ascii="宋体" w:eastAsia="宋体"/>
                <w:color w:val="060A26"/>
                <w:szCs w:val="21"/>
              </w:rPr>
              <w:t>.2开放接口</w:t>
            </w:r>
          </w:p>
        </w:tc>
        <w:tc>
          <w:tcPr>
            <w:tcW w:w="6119" w:type="dxa"/>
            <w:tcBorders>
              <w:top w:val="single" w:color="auto" w:sz="6" w:space="0"/>
              <w:left w:val="single" w:color="auto" w:sz="6" w:space="0"/>
              <w:bottom w:val="single" w:color="auto" w:sz="6" w:space="0"/>
              <w:right w:val="single" w:color="auto" w:sz="6" w:space="0"/>
            </w:tcBorders>
            <w:shd w:val="clear" w:color="auto" w:fill="auto"/>
            <w:tcMar>
              <w:top w:w="150" w:type="dxa"/>
              <w:left w:w="210" w:type="dxa"/>
              <w:bottom w:w="150" w:type="dxa"/>
              <w:right w:w="210" w:type="dxa"/>
            </w:tcMar>
            <w:vAlign w:val="center"/>
          </w:tcPr>
          <w:p w14:paraId="1A322F30">
            <w:pPr>
              <w:widowControl/>
              <w:wordWrap w:val="0"/>
              <w:snapToGrid w:val="0"/>
              <w:jc w:val="left"/>
              <w:textAlignment w:val="center"/>
              <w:rPr>
                <w:rFonts w:ascii="宋体" w:hAnsi="宋体" w:eastAsia="宋体" w:cs="宋体"/>
                <w:color w:val="060A26"/>
                <w:kern w:val="0"/>
                <w:szCs w:val="21"/>
                <w:lang w:bidi="ar"/>
              </w:rPr>
            </w:pPr>
            <w:r>
              <w:rPr>
                <w:rFonts w:ascii="宋体" w:hAnsi="宋体" w:eastAsia="宋体" w:cs="宋体"/>
                <w:color w:val="060A26"/>
                <w:kern w:val="0"/>
                <w:szCs w:val="21"/>
                <w:lang w:bidi="ar"/>
              </w:rPr>
              <w:t>✓</w:t>
            </w:r>
            <w:r>
              <w:rPr>
                <w:rFonts w:hint="eastAsia" w:ascii="宋体" w:hAnsi="宋体" w:eastAsia="宋体" w:cs="宋体"/>
                <w:color w:val="060A26"/>
                <w:kern w:val="0"/>
                <w:szCs w:val="21"/>
                <w:lang w:bidi="ar"/>
              </w:rPr>
              <w:t xml:space="preserve"> </w:t>
            </w:r>
            <w:r>
              <w:rPr>
                <w:rFonts w:ascii="宋体" w:hAnsi="宋体" w:eastAsia="宋体" w:cs="宋体"/>
                <w:color w:val="060A26"/>
                <w:kern w:val="0"/>
                <w:szCs w:val="21"/>
                <w:lang w:bidi="ar"/>
              </w:rPr>
              <w:t>开发并开放医生排班、号源查询、预约挂号等标准接口，供互联网医院、自助机、第三方业务系统等进行对接使用。</w:t>
            </w:r>
          </w:p>
        </w:tc>
      </w:tr>
      <w:tr w14:paraId="43FE2199">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jc w:val="center"/>
        </w:trPr>
        <w:tc>
          <w:tcPr>
            <w:tcW w:w="1165" w:type="dxa"/>
            <w:tcBorders>
              <w:left w:val="single" w:color="auto" w:sz="6" w:space="0"/>
              <w:right w:val="single" w:color="auto" w:sz="6" w:space="0"/>
            </w:tcBorders>
            <w:shd w:val="clear" w:color="auto" w:fill="auto"/>
            <w:tcMar>
              <w:top w:w="150" w:type="dxa"/>
              <w:left w:w="210" w:type="dxa"/>
              <w:bottom w:w="150" w:type="dxa"/>
              <w:right w:w="210" w:type="dxa"/>
            </w:tcMar>
            <w:vAlign w:val="center"/>
          </w:tcPr>
          <w:p w14:paraId="6A5A3D51">
            <w:pPr>
              <w:snapToGrid w:val="0"/>
              <w:jc w:val="center"/>
              <w:rPr>
                <w:rFonts w:ascii="宋体" w:eastAsia="宋体"/>
                <w:color w:val="060A26"/>
                <w:szCs w:val="21"/>
              </w:rPr>
            </w:pPr>
          </w:p>
        </w:tc>
        <w:tc>
          <w:tcPr>
            <w:tcW w:w="1763" w:type="dxa"/>
            <w:tcBorders>
              <w:top w:val="single" w:color="auto" w:sz="6" w:space="0"/>
              <w:left w:val="single" w:color="auto" w:sz="6" w:space="0"/>
              <w:bottom w:val="single" w:color="auto" w:sz="6" w:space="0"/>
              <w:right w:val="single" w:color="auto" w:sz="6" w:space="0"/>
            </w:tcBorders>
            <w:shd w:val="clear" w:color="auto" w:fill="auto"/>
            <w:tcMar>
              <w:top w:w="150" w:type="dxa"/>
              <w:left w:w="210" w:type="dxa"/>
              <w:bottom w:w="150" w:type="dxa"/>
              <w:right w:w="210" w:type="dxa"/>
            </w:tcMar>
            <w:vAlign w:val="center"/>
          </w:tcPr>
          <w:p w14:paraId="37CDFFFE">
            <w:pPr>
              <w:widowControl/>
              <w:wordWrap w:val="0"/>
              <w:snapToGrid w:val="0"/>
              <w:jc w:val="center"/>
              <w:textAlignment w:val="center"/>
              <w:rPr>
                <w:rFonts w:ascii="宋体" w:eastAsia="宋体"/>
                <w:color w:val="060A26"/>
                <w:szCs w:val="21"/>
              </w:rPr>
            </w:pPr>
            <w:r>
              <w:rPr>
                <w:rFonts w:hint="eastAsia" w:ascii="宋体" w:eastAsia="宋体"/>
                <w:color w:val="060A26"/>
                <w:szCs w:val="21"/>
              </w:rPr>
              <w:t>3.</w:t>
            </w:r>
            <w:r>
              <w:rPr>
                <w:rFonts w:hint="eastAsia" w:ascii="宋体" w:eastAsia="宋体"/>
                <w:color w:val="060A26"/>
                <w:szCs w:val="21"/>
                <w:lang w:val="en-US" w:eastAsia="zh-CN"/>
              </w:rPr>
              <w:t>5</w:t>
            </w:r>
            <w:r>
              <w:rPr>
                <w:rFonts w:hint="eastAsia" w:ascii="宋体" w:eastAsia="宋体"/>
                <w:color w:val="060A26"/>
                <w:szCs w:val="21"/>
              </w:rPr>
              <w:t>.3叫号排序</w:t>
            </w:r>
          </w:p>
        </w:tc>
        <w:tc>
          <w:tcPr>
            <w:tcW w:w="6119" w:type="dxa"/>
            <w:tcBorders>
              <w:top w:val="single" w:color="auto" w:sz="6" w:space="0"/>
              <w:left w:val="single" w:color="auto" w:sz="6" w:space="0"/>
              <w:bottom w:val="single" w:color="auto" w:sz="6" w:space="0"/>
              <w:right w:val="single" w:color="auto" w:sz="6" w:space="0"/>
            </w:tcBorders>
            <w:shd w:val="clear" w:color="auto" w:fill="auto"/>
            <w:tcMar>
              <w:top w:w="150" w:type="dxa"/>
              <w:left w:w="210" w:type="dxa"/>
              <w:bottom w:w="150" w:type="dxa"/>
              <w:right w:w="210" w:type="dxa"/>
            </w:tcMar>
            <w:vAlign w:val="center"/>
          </w:tcPr>
          <w:p w14:paraId="70E8A50E">
            <w:pPr>
              <w:widowControl/>
              <w:wordWrap w:val="0"/>
              <w:snapToGrid w:val="0"/>
              <w:jc w:val="left"/>
              <w:textAlignment w:val="center"/>
              <w:rPr>
                <w:rFonts w:ascii="宋体" w:hAnsi="宋体" w:eastAsia="宋体" w:cs="宋体"/>
                <w:color w:val="060A26"/>
                <w:kern w:val="0"/>
                <w:szCs w:val="21"/>
                <w:lang w:bidi="ar"/>
              </w:rPr>
            </w:pPr>
            <w:r>
              <w:rPr>
                <w:rFonts w:ascii="宋体" w:hAnsi="宋体" w:eastAsia="宋体" w:cs="宋体"/>
                <w:color w:val="060A26"/>
                <w:kern w:val="0"/>
                <w:szCs w:val="21"/>
                <w:lang w:bidi="ar"/>
              </w:rPr>
              <w:t>✓</w:t>
            </w:r>
            <w:r>
              <w:rPr>
                <w:rFonts w:hint="eastAsia" w:ascii="宋体" w:hAnsi="宋体" w:eastAsia="宋体" w:cs="宋体"/>
                <w:color w:val="060A26"/>
                <w:kern w:val="0"/>
                <w:szCs w:val="21"/>
                <w:lang w:bidi="ar"/>
              </w:rPr>
              <w:t xml:space="preserve"> </w:t>
            </w:r>
            <w:r>
              <w:rPr>
                <w:rFonts w:ascii="宋体" w:hAnsi="宋体" w:eastAsia="宋体" w:cs="宋体"/>
                <w:color w:val="060A26"/>
                <w:kern w:val="0"/>
                <w:szCs w:val="21"/>
                <w:lang w:bidi="ar"/>
              </w:rPr>
              <w:t>改造现有系统，支持按时间段进行放号管理，并在同一时间段内，预约患者按照签到时间顺序进行排队。</w:t>
            </w:r>
          </w:p>
        </w:tc>
      </w:tr>
      <w:tr w14:paraId="26519AC3">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jc w:val="center"/>
        </w:trPr>
        <w:tc>
          <w:tcPr>
            <w:tcW w:w="1165" w:type="dxa"/>
            <w:tcBorders>
              <w:left w:val="single" w:color="auto" w:sz="6" w:space="0"/>
              <w:right w:val="single" w:color="auto" w:sz="6" w:space="0"/>
            </w:tcBorders>
            <w:shd w:val="clear" w:color="auto" w:fill="auto"/>
            <w:tcMar>
              <w:top w:w="150" w:type="dxa"/>
              <w:left w:w="210" w:type="dxa"/>
              <w:bottom w:w="150" w:type="dxa"/>
              <w:right w:w="210" w:type="dxa"/>
            </w:tcMar>
            <w:vAlign w:val="center"/>
          </w:tcPr>
          <w:p w14:paraId="63BB52C3">
            <w:pPr>
              <w:snapToGrid w:val="0"/>
              <w:jc w:val="center"/>
              <w:rPr>
                <w:rFonts w:ascii="宋体" w:eastAsia="宋体"/>
                <w:b w:val="0"/>
                <w:bCs w:val="0"/>
                <w:color w:val="060A26"/>
                <w:szCs w:val="21"/>
              </w:rPr>
            </w:pPr>
          </w:p>
        </w:tc>
        <w:tc>
          <w:tcPr>
            <w:tcW w:w="1763" w:type="dxa"/>
            <w:tcBorders>
              <w:top w:val="single" w:color="auto" w:sz="6" w:space="0"/>
              <w:left w:val="single" w:color="auto" w:sz="6" w:space="0"/>
              <w:bottom w:val="single" w:color="auto" w:sz="6" w:space="0"/>
              <w:right w:val="single" w:color="auto" w:sz="6" w:space="0"/>
            </w:tcBorders>
            <w:shd w:val="clear" w:color="auto" w:fill="auto"/>
            <w:tcMar>
              <w:top w:w="150" w:type="dxa"/>
              <w:left w:w="210" w:type="dxa"/>
              <w:bottom w:w="150" w:type="dxa"/>
              <w:right w:w="210" w:type="dxa"/>
            </w:tcMar>
            <w:vAlign w:val="center"/>
          </w:tcPr>
          <w:p w14:paraId="57824BEA">
            <w:pPr>
              <w:widowControl/>
              <w:wordWrap w:val="0"/>
              <w:snapToGrid w:val="0"/>
              <w:jc w:val="center"/>
              <w:textAlignment w:val="center"/>
              <w:rPr>
                <w:rFonts w:hint="eastAsia" w:ascii="宋体" w:eastAsia="宋体"/>
                <w:b w:val="0"/>
                <w:bCs w:val="0"/>
                <w:color w:val="060A26"/>
                <w:szCs w:val="21"/>
                <w:lang w:val="en-US" w:eastAsia="zh-CN"/>
              </w:rPr>
            </w:pPr>
            <w:r>
              <w:rPr>
                <w:rFonts w:hint="eastAsia" w:ascii="宋体" w:eastAsia="宋体"/>
                <w:b w:val="0"/>
                <w:bCs w:val="0"/>
                <w:color w:val="060A26"/>
                <w:szCs w:val="21"/>
                <w:lang w:val="en-US" w:eastAsia="zh-CN"/>
              </w:rPr>
              <w:t>3.5.4</w:t>
            </w:r>
            <w:r>
              <w:rPr>
                <w:rFonts w:hint="eastAsia" w:ascii="宋体" w:hAnsi="宋体" w:eastAsia="宋体" w:cs="宋体"/>
                <w:b w:val="0"/>
                <w:bCs w:val="0"/>
                <w:color w:val="060A26"/>
                <w:kern w:val="0"/>
                <w:szCs w:val="21"/>
                <w:lang w:bidi="ar"/>
              </w:rPr>
              <w:t>支持规则维护</w:t>
            </w:r>
            <w:r>
              <w:rPr>
                <w:rFonts w:hint="eastAsia" w:ascii="宋体" w:hAnsi="宋体" w:eastAsia="宋体" w:cs="宋体"/>
                <w:b w:val="0"/>
                <w:bCs w:val="0"/>
                <w:color w:val="060A26"/>
                <w:kern w:val="0"/>
                <w:szCs w:val="21"/>
                <w:lang w:val="en-US" w:eastAsia="zh-CN" w:bidi="ar"/>
              </w:rPr>
              <w:t>管理</w:t>
            </w:r>
          </w:p>
        </w:tc>
        <w:tc>
          <w:tcPr>
            <w:tcW w:w="6119"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11BED102">
            <w:pPr>
              <w:widowControl/>
              <w:wordWrap w:val="0"/>
              <w:snapToGrid w:val="0"/>
              <w:jc w:val="left"/>
              <w:textAlignment w:val="center"/>
              <w:rPr>
                <w:rFonts w:ascii="宋体" w:hAnsi="宋体" w:eastAsia="宋体" w:cs="宋体"/>
                <w:color w:val="060A26"/>
                <w:kern w:val="0"/>
                <w:szCs w:val="21"/>
                <w:lang w:bidi="ar"/>
              </w:rPr>
            </w:pPr>
            <w:r>
              <w:rPr>
                <w:rFonts w:ascii="宋体" w:hAnsi="宋体" w:eastAsia="宋体" w:cs="宋体"/>
                <w:color w:val="060A26"/>
                <w:kern w:val="0"/>
                <w:szCs w:val="21"/>
                <w:lang w:bidi="ar"/>
              </w:rPr>
              <w:t xml:space="preserve">✓ </w:t>
            </w:r>
            <w:r>
              <w:rPr>
                <w:rFonts w:hint="eastAsia" w:ascii="宋体" w:hAnsi="宋体" w:eastAsia="宋体" w:cs="宋体"/>
                <w:color w:val="060A26"/>
                <w:kern w:val="0"/>
                <w:szCs w:val="21"/>
                <w:lang w:bidi="ar"/>
              </w:rPr>
              <w:t>累计爽约n次， 系统自动纳入院预约挂号黑名单，m个月内无法享受预约挂号服务；支持手工拉入黑名单，支持手工取消黑名单。</w:t>
            </w:r>
          </w:p>
          <w:p w14:paraId="2C3FCBA3">
            <w:pPr>
              <w:widowControl/>
              <w:wordWrap w:val="0"/>
              <w:snapToGrid w:val="0"/>
              <w:jc w:val="left"/>
              <w:textAlignment w:val="center"/>
              <w:rPr>
                <w:rFonts w:ascii="宋体" w:eastAsia="宋体"/>
                <w:color w:val="060A26"/>
                <w:szCs w:val="21"/>
              </w:rPr>
            </w:pPr>
            <w:r>
              <w:rPr>
                <w:rFonts w:ascii="Segoe UI Symbol" w:hAnsi="Segoe UI Symbol" w:eastAsia="宋体" w:cs="Segoe UI Symbol"/>
                <w:color w:val="060A26"/>
                <w:kern w:val="0"/>
                <w:szCs w:val="21"/>
                <w:lang w:bidi="ar"/>
              </w:rPr>
              <w:t>✓</w:t>
            </w:r>
            <w:r>
              <w:rPr>
                <w:rFonts w:hint="eastAsia" w:ascii="Segoe UI Symbol" w:hAnsi="Segoe UI Symbol" w:eastAsia="宋体" w:cs="Segoe UI Symbol"/>
                <w:color w:val="060A26"/>
                <w:kern w:val="0"/>
                <w:szCs w:val="21"/>
                <w:lang w:bidi="ar"/>
              </w:rPr>
              <w:t xml:space="preserve"> </w:t>
            </w:r>
            <w:r>
              <w:rPr>
                <w:rFonts w:hint="eastAsia" w:ascii="宋体" w:eastAsia="宋体"/>
                <w:color w:val="060A26"/>
                <w:szCs w:val="21"/>
              </w:rPr>
              <w:t>患者预约挂号 （含当日挂号） 每天在同一个科室同一职称只能进行一次挂号， 每天总计预约挂号数量不可超过 n 个</w:t>
            </w:r>
          </w:p>
          <w:p w14:paraId="1E127161">
            <w:pPr>
              <w:widowControl/>
              <w:wordWrap w:val="0"/>
              <w:snapToGrid w:val="0"/>
              <w:jc w:val="left"/>
              <w:textAlignment w:val="center"/>
              <w:rPr>
                <w:rFonts w:ascii="宋体" w:eastAsia="宋体"/>
                <w:color w:val="060A26"/>
                <w:szCs w:val="21"/>
              </w:rPr>
            </w:pPr>
            <w:r>
              <w:rPr>
                <w:rFonts w:ascii="Segoe UI Symbol" w:hAnsi="Segoe UI Symbol" w:eastAsia="宋体" w:cs="Segoe UI Symbol"/>
                <w:color w:val="060A26"/>
                <w:kern w:val="0"/>
                <w:szCs w:val="21"/>
                <w:lang w:bidi="ar"/>
              </w:rPr>
              <w:t>✓</w:t>
            </w:r>
            <w:r>
              <w:rPr>
                <w:rFonts w:hint="eastAsia" w:ascii="Segoe UI Symbol" w:hAnsi="Segoe UI Symbol" w:eastAsia="宋体" w:cs="Segoe UI Symbol"/>
                <w:color w:val="060A26"/>
                <w:kern w:val="0"/>
                <w:szCs w:val="21"/>
                <w:lang w:bidi="ar"/>
              </w:rPr>
              <w:t xml:space="preserve"> </w:t>
            </w:r>
            <w:r>
              <w:rPr>
                <w:rFonts w:hint="eastAsia" w:ascii="宋体" w:eastAsia="宋体"/>
                <w:color w:val="060A26"/>
                <w:szCs w:val="21"/>
              </w:rPr>
              <w:t>同一就诊人当天取消订单超过 n 笔数,系统自动限制该账户当日不可继续预约。支持手工取消系统限制。</w:t>
            </w:r>
          </w:p>
          <w:p w14:paraId="7D5CDCC2">
            <w:pPr>
              <w:widowControl/>
              <w:wordWrap w:val="0"/>
              <w:snapToGrid w:val="0"/>
              <w:jc w:val="left"/>
              <w:textAlignment w:val="center"/>
              <w:rPr>
                <w:rFonts w:hint="eastAsia" w:ascii="宋体" w:eastAsia="宋体"/>
                <w:color w:val="060A26"/>
                <w:szCs w:val="21"/>
              </w:rPr>
            </w:pPr>
            <w:r>
              <w:rPr>
                <w:rFonts w:ascii="Segoe UI Symbol" w:hAnsi="Segoe UI Symbol" w:eastAsia="宋体" w:cs="Segoe UI Symbol"/>
                <w:color w:val="060A26"/>
                <w:kern w:val="0"/>
                <w:szCs w:val="21"/>
                <w:lang w:bidi="ar"/>
              </w:rPr>
              <w:t>✓</w:t>
            </w:r>
            <w:r>
              <w:rPr>
                <w:rFonts w:hint="eastAsia" w:ascii="Segoe UI Symbol" w:hAnsi="Segoe UI Symbol" w:eastAsia="宋体" w:cs="Segoe UI Symbol"/>
                <w:color w:val="060A26"/>
                <w:kern w:val="0"/>
                <w:szCs w:val="21"/>
                <w:lang w:bidi="ar"/>
              </w:rPr>
              <w:t xml:space="preserve"> </w:t>
            </w:r>
            <w:r>
              <w:rPr>
                <w:rFonts w:hint="eastAsia" w:ascii="宋体" w:eastAsia="宋体"/>
                <w:color w:val="060A26"/>
                <w:szCs w:val="21"/>
              </w:rPr>
              <w:t>同一账户当月预约超过 n 次,系统自动限制该账户当月不可继续预约。支持手工取消系统限制。</w:t>
            </w:r>
          </w:p>
          <w:p w14:paraId="2951454D">
            <w:pPr>
              <w:widowControl/>
              <w:wordWrap w:val="0"/>
              <w:snapToGrid w:val="0"/>
              <w:jc w:val="left"/>
              <w:textAlignment w:val="center"/>
              <w:rPr>
                <w:rFonts w:ascii="宋体" w:eastAsia="宋体"/>
                <w:color w:val="060A26"/>
                <w:szCs w:val="21"/>
              </w:rPr>
            </w:pPr>
            <w:r>
              <w:rPr>
                <w:rFonts w:ascii="Segoe UI Symbol" w:hAnsi="Segoe UI Symbol" w:eastAsia="宋体" w:cs="Segoe UI Symbol"/>
                <w:color w:val="060A26"/>
                <w:kern w:val="0"/>
                <w:szCs w:val="21"/>
                <w:lang w:bidi="ar"/>
              </w:rPr>
              <w:t>✓</w:t>
            </w:r>
            <w:r>
              <w:rPr>
                <w:rFonts w:hint="eastAsia" w:ascii="Segoe UI Symbol" w:hAnsi="Segoe UI Symbol" w:eastAsia="宋体" w:cs="Segoe UI Symbol"/>
                <w:color w:val="060A26"/>
                <w:kern w:val="0"/>
                <w:szCs w:val="21"/>
                <w:lang w:bidi="ar"/>
              </w:rPr>
              <w:t xml:space="preserve"> </w:t>
            </w:r>
            <w:r>
              <w:rPr>
                <w:rFonts w:hint="eastAsia" w:ascii="宋体" w:eastAsia="宋体"/>
                <w:color w:val="060A26"/>
                <w:szCs w:val="21"/>
              </w:rPr>
              <w:t>身份证绑定数量限定 n 个诊疗卡，诊疗卡信息修改需与医院信息系统（HIS)验证一致才可以修改成功。</w:t>
            </w:r>
          </w:p>
          <w:p w14:paraId="6EBF4C7D">
            <w:pPr>
              <w:widowControl/>
              <w:wordWrap w:val="0"/>
              <w:snapToGrid w:val="0"/>
              <w:jc w:val="left"/>
              <w:textAlignment w:val="center"/>
              <w:rPr>
                <w:rFonts w:hint="eastAsia" w:ascii="宋体" w:eastAsia="宋体"/>
                <w:color w:val="060A26"/>
                <w:szCs w:val="21"/>
              </w:rPr>
            </w:pPr>
            <w:r>
              <w:rPr>
                <w:rFonts w:ascii="Segoe UI Symbol" w:hAnsi="Segoe UI Symbol" w:eastAsia="宋体" w:cs="Segoe UI Symbol"/>
                <w:color w:val="060A26"/>
                <w:kern w:val="0"/>
                <w:szCs w:val="21"/>
                <w:lang w:bidi="ar"/>
              </w:rPr>
              <w:t>✓</w:t>
            </w:r>
            <w:r>
              <w:rPr>
                <w:rFonts w:hint="eastAsia" w:ascii="Segoe UI Symbol" w:hAnsi="Segoe UI Symbol" w:eastAsia="宋体" w:cs="Segoe UI Symbol"/>
                <w:color w:val="060A26"/>
                <w:kern w:val="0"/>
                <w:szCs w:val="21"/>
                <w:lang w:bidi="ar"/>
              </w:rPr>
              <w:t xml:space="preserve"> </w:t>
            </w:r>
            <w:r>
              <w:rPr>
                <w:rFonts w:hint="eastAsia" w:ascii="宋体" w:eastAsia="宋体"/>
                <w:color w:val="060A26"/>
                <w:szCs w:val="21"/>
              </w:rPr>
              <w:t>支持迟到顺延规则定义。</w:t>
            </w:r>
          </w:p>
          <w:p w14:paraId="19B9E945">
            <w:pPr>
              <w:widowControl/>
              <w:wordWrap w:val="0"/>
              <w:snapToGrid w:val="0"/>
              <w:jc w:val="left"/>
              <w:textAlignment w:val="center"/>
              <w:rPr>
                <w:rFonts w:hint="eastAsia" w:ascii="宋体" w:eastAsia="宋体"/>
                <w:color w:val="060A26"/>
                <w:szCs w:val="21"/>
              </w:rPr>
            </w:pPr>
          </w:p>
          <w:p w14:paraId="3E75CFBB">
            <w:pPr>
              <w:widowControl/>
              <w:wordWrap w:val="0"/>
              <w:snapToGrid w:val="0"/>
              <w:jc w:val="left"/>
              <w:textAlignment w:val="center"/>
              <w:rPr>
                <w:rFonts w:ascii="宋体" w:hAnsi="宋体" w:eastAsia="宋体" w:cs="宋体"/>
                <w:color w:val="060A26"/>
                <w:kern w:val="0"/>
                <w:szCs w:val="21"/>
                <w:lang w:bidi="ar"/>
              </w:rPr>
            </w:pPr>
            <w:r>
              <w:rPr>
                <w:rFonts w:ascii="宋体" w:hAnsi="宋体" w:eastAsia="宋体" w:cs="宋体"/>
                <w:color w:val="060A26"/>
                <w:kern w:val="0"/>
                <w:szCs w:val="21"/>
                <w:lang w:bidi="ar"/>
              </w:rPr>
              <w:t xml:space="preserve">✓ </w:t>
            </w:r>
            <w:r>
              <w:rPr>
                <w:rFonts w:hint="eastAsia" w:ascii="宋体" w:hAnsi="宋体" w:eastAsia="宋体" w:cs="宋体"/>
                <w:color w:val="060A26"/>
                <w:kern w:val="0"/>
                <w:szCs w:val="21"/>
                <w:lang w:bidi="ar"/>
              </w:rPr>
              <w:t>同一账号绑定 n 个月内最多可以解绑 m 个人， 解绑后需等k个月后才能再次绑定其他人</w:t>
            </w:r>
          </w:p>
          <w:p w14:paraId="7CEA3287">
            <w:pPr>
              <w:widowControl/>
              <w:wordWrap w:val="0"/>
              <w:snapToGrid w:val="0"/>
              <w:jc w:val="left"/>
              <w:textAlignment w:val="center"/>
              <w:rPr>
                <w:rFonts w:ascii="宋体" w:eastAsia="宋体"/>
                <w:color w:val="060A26"/>
                <w:szCs w:val="21"/>
              </w:rPr>
            </w:pPr>
            <w:r>
              <w:rPr>
                <w:rFonts w:ascii="Segoe UI Symbol" w:hAnsi="Segoe UI Symbol" w:eastAsia="宋体" w:cs="Segoe UI Symbol"/>
                <w:color w:val="060A26"/>
                <w:kern w:val="0"/>
                <w:szCs w:val="21"/>
                <w:lang w:bidi="ar"/>
              </w:rPr>
              <w:t>✓</w:t>
            </w:r>
            <w:r>
              <w:rPr>
                <w:rFonts w:hint="eastAsia" w:ascii="Segoe UI Symbol" w:hAnsi="Segoe UI Symbol" w:eastAsia="宋体" w:cs="Segoe UI Symbol"/>
                <w:color w:val="060A26"/>
                <w:kern w:val="0"/>
                <w:szCs w:val="21"/>
                <w:lang w:bidi="ar"/>
              </w:rPr>
              <w:t xml:space="preserve"> </w:t>
            </w:r>
            <w:r>
              <w:rPr>
                <w:rFonts w:hint="eastAsia" w:ascii="宋体" w:eastAsia="宋体"/>
                <w:color w:val="060A26"/>
                <w:szCs w:val="21"/>
              </w:rPr>
              <w:t>对于预约被取消后，随机时间（n 分钟内）返回号源池重新放出预约，应防止黄牛抢号后取消即刻转给其他患者</w:t>
            </w:r>
          </w:p>
          <w:p w14:paraId="24A9ABE8">
            <w:pPr>
              <w:widowControl/>
              <w:wordWrap w:val="0"/>
              <w:snapToGrid w:val="0"/>
              <w:jc w:val="left"/>
              <w:textAlignment w:val="center"/>
              <w:rPr>
                <w:rFonts w:hint="eastAsia" w:ascii="宋体" w:eastAsia="宋体"/>
                <w:color w:val="060A26"/>
                <w:szCs w:val="21"/>
              </w:rPr>
            </w:pPr>
            <w:r>
              <w:rPr>
                <w:rFonts w:ascii="Segoe UI Symbol" w:hAnsi="Segoe UI Symbol" w:eastAsia="宋体" w:cs="Segoe UI Symbol"/>
                <w:color w:val="060A26"/>
                <w:kern w:val="0"/>
                <w:szCs w:val="21"/>
                <w:lang w:bidi="ar"/>
              </w:rPr>
              <w:t>✓</w:t>
            </w:r>
            <w:r>
              <w:rPr>
                <w:rFonts w:hint="eastAsia" w:ascii="Segoe UI Symbol" w:hAnsi="Segoe UI Symbol" w:eastAsia="宋体" w:cs="Segoe UI Symbol"/>
                <w:color w:val="060A26"/>
                <w:kern w:val="0"/>
                <w:szCs w:val="21"/>
                <w:lang w:bidi="ar"/>
              </w:rPr>
              <w:t xml:space="preserve"> </w:t>
            </w:r>
            <w:r>
              <w:rPr>
                <w:rFonts w:hint="eastAsia" w:ascii="宋体" w:eastAsia="宋体"/>
                <w:color w:val="060A26"/>
                <w:szCs w:val="21"/>
              </w:rPr>
              <w:t>对院内预约账号实行实名制管理， 如有异常号源流出， 经调查落实，按有关规定依法依规处理</w:t>
            </w:r>
          </w:p>
        </w:tc>
      </w:tr>
      <w:tr w14:paraId="7AEBE5A4">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jc w:val="center"/>
        </w:trPr>
        <w:tc>
          <w:tcPr>
            <w:tcW w:w="1165" w:type="dxa"/>
            <w:tcBorders>
              <w:left w:val="single" w:color="auto" w:sz="6" w:space="0"/>
              <w:right w:val="single" w:color="auto" w:sz="6" w:space="0"/>
            </w:tcBorders>
            <w:shd w:val="clear" w:color="auto" w:fill="auto"/>
            <w:tcMar>
              <w:top w:w="150" w:type="dxa"/>
              <w:left w:w="210" w:type="dxa"/>
              <w:bottom w:w="150" w:type="dxa"/>
              <w:right w:w="210" w:type="dxa"/>
            </w:tcMar>
            <w:vAlign w:val="center"/>
          </w:tcPr>
          <w:p w14:paraId="4494B530">
            <w:pPr>
              <w:snapToGrid w:val="0"/>
              <w:jc w:val="center"/>
              <w:rPr>
                <w:rFonts w:ascii="宋体" w:eastAsia="宋体"/>
                <w:b w:val="0"/>
                <w:bCs w:val="0"/>
                <w:color w:val="060A26"/>
                <w:szCs w:val="21"/>
              </w:rPr>
            </w:pPr>
          </w:p>
        </w:tc>
        <w:tc>
          <w:tcPr>
            <w:tcW w:w="1763" w:type="dxa"/>
            <w:tcBorders>
              <w:top w:val="single" w:color="auto" w:sz="6" w:space="0"/>
              <w:left w:val="single" w:color="auto" w:sz="6" w:space="0"/>
              <w:bottom w:val="single" w:color="auto" w:sz="6" w:space="0"/>
              <w:right w:val="single" w:color="auto" w:sz="6" w:space="0"/>
            </w:tcBorders>
            <w:shd w:val="clear" w:color="auto" w:fill="auto"/>
            <w:tcMar>
              <w:top w:w="150" w:type="dxa"/>
              <w:left w:w="210" w:type="dxa"/>
              <w:bottom w:w="150" w:type="dxa"/>
              <w:right w:w="210" w:type="dxa"/>
            </w:tcMar>
            <w:vAlign w:val="center"/>
          </w:tcPr>
          <w:p w14:paraId="48DF30B8">
            <w:pPr>
              <w:widowControl/>
              <w:wordWrap w:val="0"/>
              <w:snapToGrid w:val="0"/>
              <w:jc w:val="center"/>
              <w:textAlignment w:val="center"/>
              <w:rPr>
                <w:rFonts w:hint="eastAsia" w:ascii="宋体" w:eastAsia="宋体"/>
                <w:b w:val="0"/>
                <w:bCs w:val="0"/>
                <w:color w:val="060A26"/>
                <w:szCs w:val="21"/>
                <w:lang w:val="en-US" w:eastAsia="zh-CN"/>
              </w:rPr>
            </w:pPr>
            <w:r>
              <w:rPr>
                <w:rFonts w:hint="eastAsia" w:ascii="宋体" w:eastAsia="宋体"/>
                <w:color w:val="060A26"/>
                <w:szCs w:val="21"/>
              </w:rPr>
              <w:t>3.</w:t>
            </w:r>
            <w:r>
              <w:rPr>
                <w:rFonts w:hint="eastAsia" w:ascii="宋体" w:eastAsia="宋体"/>
                <w:color w:val="060A26"/>
                <w:szCs w:val="21"/>
                <w:lang w:val="en-US" w:eastAsia="zh-CN"/>
              </w:rPr>
              <w:t>5</w:t>
            </w:r>
            <w:r>
              <w:rPr>
                <w:rFonts w:hint="eastAsia" w:ascii="宋体" w:eastAsia="宋体"/>
                <w:color w:val="060A26"/>
                <w:szCs w:val="21"/>
              </w:rPr>
              <w:t>.</w:t>
            </w:r>
            <w:r>
              <w:rPr>
                <w:rFonts w:hint="eastAsia" w:ascii="宋体" w:eastAsia="宋体"/>
                <w:color w:val="060A26"/>
                <w:szCs w:val="21"/>
                <w:lang w:val="en-US" w:eastAsia="zh-CN"/>
              </w:rPr>
              <w:t>5</w:t>
            </w:r>
            <w:r>
              <w:rPr>
                <w:rFonts w:hint="eastAsia" w:ascii="宋体" w:eastAsia="宋体"/>
                <w:color w:val="060A26"/>
                <w:szCs w:val="21"/>
              </w:rPr>
              <w:t>对接需求</w:t>
            </w:r>
          </w:p>
        </w:tc>
        <w:tc>
          <w:tcPr>
            <w:tcW w:w="6119"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0C7E98D3">
            <w:pPr>
              <w:widowControl/>
              <w:wordWrap w:val="0"/>
              <w:snapToGrid w:val="0"/>
              <w:jc w:val="left"/>
              <w:textAlignment w:val="center"/>
              <w:rPr>
                <w:rFonts w:ascii="宋体" w:hAnsi="宋体" w:eastAsia="宋体" w:cs="宋体"/>
                <w:color w:val="060A26"/>
                <w:kern w:val="0"/>
                <w:szCs w:val="21"/>
                <w:lang w:bidi="ar"/>
              </w:rPr>
            </w:pPr>
            <w:r>
              <w:rPr>
                <w:rFonts w:ascii="宋体" w:hAnsi="宋体" w:eastAsia="宋体" w:cs="宋体"/>
                <w:color w:val="060A26"/>
                <w:kern w:val="0"/>
                <w:szCs w:val="21"/>
                <w:lang w:bidi="ar"/>
              </w:rPr>
              <w:t>✓</w:t>
            </w:r>
            <w:r>
              <w:rPr>
                <w:rFonts w:hint="eastAsia" w:ascii="宋体" w:hAnsi="宋体" w:eastAsia="宋体" w:cs="宋体"/>
                <w:color w:val="060A26"/>
                <w:kern w:val="0"/>
                <w:szCs w:val="21"/>
                <w:lang w:bidi="ar"/>
              </w:rPr>
              <w:t xml:space="preserve"> </w:t>
            </w:r>
            <w:r>
              <w:rPr>
                <w:rFonts w:ascii="宋体" w:hAnsi="宋体" w:eastAsia="宋体" w:cs="宋体"/>
                <w:color w:val="060A26"/>
                <w:kern w:val="0"/>
                <w:szCs w:val="21"/>
                <w:lang w:bidi="ar"/>
              </w:rPr>
              <w:t>配合HIS系统改造，完成相关系统接口开发、对接及页面改造工作</w:t>
            </w:r>
            <w:r>
              <w:rPr>
                <w:rFonts w:hint="eastAsia" w:ascii="宋体" w:hAnsi="宋体" w:eastAsia="宋体" w:cs="宋体"/>
                <w:color w:val="060A26"/>
                <w:kern w:val="0"/>
                <w:szCs w:val="21"/>
                <w:lang w:bidi="ar"/>
              </w:rPr>
              <w:t>。</w:t>
            </w:r>
          </w:p>
          <w:p w14:paraId="47D83CD2">
            <w:pPr>
              <w:widowControl/>
              <w:wordWrap w:val="0"/>
              <w:snapToGrid w:val="0"/>
              <w:jc w:val="left"/>
              <w:textAlignment w:val="center"/>
              <w:rPr>
                <w:rFonts w:ascii="Segoe UI Symbol" w:hAnsi="Segoe UI Symbol" w:eastAsia="宋体" w:cs="Segoe UI Symbol"/>
                <w:color w:val="060A26"/>
                <w:kern w:val="0"/>
                <w:szCs w:val="21"/>
                <w:lang w:bidi="ar"/>
              </w:rPr>
            </w:pPr>
            <w:r>
              <w:rPr>
                <w:rFonts w:hint="default" w:ascii="宋体" w:hAnsi="宋体" w:eastAsia="宋体" w:cs="宋体"/>
                <w:color w:val="060A26"/>
                <w:kern w:val="0"/>
                <w:szCs w:val="21"/>
                <w:lang w:bidi="ar"/>
              </w:rPr>
              <w:t>✓ 患者主索引接口：对接集成平台患者主索引信息，包括患者唯一标识、基本信息等，支持调取集成平台的患者身份标识，实现各业务系统间患者信息的共享和关联。</w:t>
            </w:r>
          </w:p>
        </w:tc>
      </w:tr>
      <w:tr w14:paraId="7CBB8DBA">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jc w:val="center"/>
        </w:trPr>
        <w:tc>
          <w:tcPr>
            <w:tcW w:w="1165" w:type="dxa"/>
            <w:tcBorders>
              <w:left w:val="single" w:color="auto" w:sz="6" w:space="0"/>
              <w:bottom w:val="single" w:color="auto" w:sz="6" w:space="0"/>
              <w:right w:val="single" w:color="auto" w:sz="6" w:space="0"/>
            </w:tcBorders>
            <w:shd w:val="clear" w:color="auto" w:fill="auto"/>
            <w:tcMar>
              <w:top w:w="150" w:type="dxa"/>
              <w:left w:w="210" w:type="dxa"/>
              <w:bottom w:w="150" w:type="dxa"/>
              <w:right w:w="210" w:type="dxa"/>
            </w:tcMar>
            <w:vAlign w:val="center"/>
          </w:tcPr>
          <w:p w14:paraId="5CC9B873">
            <w:pPr>
              <w:snapToGrid w:val="0"/>
              <w:jc w:val="center"/>
              <w:rPr>
                <w:rFonts w:ascii="宋体" w:eastAsia="宋体"/>
                <w:b w:val="0"/>
                <w:bCs w:val="0"/>
                <w:color w:val="060A26"/>
                <w:szCs w:val="21"/>
              </w:rPr>
            </w:pPr>
          </w:p>
        </w:tc>
        <w:tc>
          <w:tcPr>
            <w:tcW w:w="1763"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450E2872">
            <w:pPr>
              <w:widowControl/>
              <w:wordWrap w:val="0"/>
              <w:snapToGrid w:val="0"/>
              <w:jc w:val="left"/>
              <w:textAlignment w:val="center"/>
              <w:rPr>
                <w:rFonts w:hint="eastAsia" w:ascii="微软雅黑" w:hAnsi="微软雅黑" w:eastAsia="微软雅黑" w:cs="微软雅黑"/>
                <w:color w:val="060A26"/>
                <w:kern w:val="0"/>
                <w:szCs w:val="21"/>
                <w:lang w:val="en-US" w:eastAsia="zh-CN" w:bidi="ar"/>
              </w:rPr>
            </w:pPr>
            <w:r>
              <w:rPr>
                <w:rFonts w:hint="eastAsia" w:ascii="宋体" w:hAnsi="宋体" w:cs="宋体"/>
                <w:color w:val="060A26"/>
                <w:kern w:val="0"/>
                <w:szCs w:val="21"/>
                <w:lang w:val="en-US" w:eastAsia="zh-CN" w:bidi="ar"/>
              </w:rPr>
              <w:t>3.5.6</w:t>
            </w:r>
            <w:r>
              <w:rPr>
                <w:rFonts w:hint="eastAsia" w:ascii="宋体" w:hAnsi="宋体" w:cs="宋体"/>
                <w:color w:val="060A26"/>
                <w:kern w:val="0"/>
                <w:szCs w:val="21"/>
                <w:lang w:eastAsia="zh-CN" w:bidi="ar"/>
              </w:rPr>
              <w:t>患者生命体征数据录入</w:t>
            </w:r>
          </w:p>
        </w:tc>
        <w:tc>
          <w:tcPr>
            <w:tcW w:w="6119"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1A4DD896">
            <w:pPr>
              <w:widowControl/>
              <w:wordWrap w:val="0"/>
              <w:snapToGrid w:val="0"/>
              <w:jc w:val="left"/>
              <w:textAlignment w:val="center"/>
              <w:rPr>
                <w:rFonts w:hint="eastAsia" w:ascii="宋体" w:hAnsi="宋体" w:cs="宋体"/>
                <w:color w:val="060A26"/>
                <w:kern w:val="0"/>
                <w:szCs w:val="21"/>
                <w:lang w:eastAsia="zh-CN" w:bidi="ar"/>
              </w:rPr>
            </w:pPr>
            <w:r>
              <w:rPr>
                <w:rFonts w:hint="eastAsia" w:cs="Times New Roman"/>
                <w:kern w:val="2"/>
                <w:sz w:val="21"/>
                <w:szCs w:val="24"/>
                <w:lang w:val="en-US" w:eastAsia="zh-CN" w:bidi="ar-SA"/>
              </w:rPr>
              <w:t>数据录入：</w:t>
            </w:r>
            <w:r>
              <w:rPr>
                <w:rFonts w:hint="eastAsia" w:ascii="宋体" w:hAnsi="宋体" w:cs="宋体"/>
                <w:color w:val="060A26"/>
                <w:kern w:val="0"/>
                <w:szCs w:val="21"/>
                <w:lang w:eastAsia="zh-CN" w:bidi="ar"/>
              </w:rPr>
              <w:t>支持患者诊前预约时候，体温测量、脉搏、血压等数据录入；</w:t>
            </w:r>
          </w:p>
          <w:p w14:paraId="07E1D6B3">
            <w:pPr>
              <w:widowControl/>
              <w:wordWrap w:val="0"/>
              <w:snapToGrid w:val="0"/>
              <w:jc w:val="left"/>
              <w:textAlignment w:val="center"/>
              <w:rPr>
                <w:rFonts w:hint="eastAsia" w:ascii="宋体" w:hAnsi="宋体" w:cs="宋体"/>
                <w:color w:val="060A26"/>
                <w:kern w:val="0"/>
                <w:szCs w:val="21"/>
                <w:lang w:val="en-US" w:eastAsia="zh-CN" w:bidi="ar"/>
              </w:rPr>
            </w:pPr>
            <w:r>
              <w:rPr>
                <w:rFonts w:hint="eastAsia" w:cs="Times New Roman"/>
                <w:kern w:val="2"/>
                <w:sz w:val="21"/>
                <w:szCs w:val="24"/>
                <w:lang w:val="en-US" w:eastAsia="zh-CN" w:bidi="ar-SA"/>
              </w:rPr>
              <w:t>规则校验：</w:t>
            </w:r>
            <w:r>
              <w:rPr>
                <w:rFonts w:hint="eastAsia" w:ascii="宋体" w:hAnsi="宋体" w:cs="宋体"/>
                <w:color w:val="060A26"/>
                <w:kern w:val="0"/>
                <w:szCs w:val="21"/>
                <w:lang w:val="en-US" w:eastAsia="zh-CN" w:bidi="ar"/>
              </w:rPr>
              <w:t>部署智能逻辑校验机制，提供预警提醒和规则维护功能，如在预约分诊系统完善血压值逻辑规则，当录入值≤10，或收缩压≤舒张压时，触发强提醒（请确认血压值录入是否有误）返回修改，不能保存错误数值。</w:t>
            </w:r>
          </w:p>
        </w:tc>
      </w:tr>
      <w:tr w14:paraId="075B0E38">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jc w:val="center"/>
        </w:trPr>
        <w:tc>
          <w:tcPr>
            <w:tcW w:w="1165" w:type="dxa"/>
            <w:tcBorders>
              <w:left w:val="single" w:color="auto" w:sz="6" w:space="0"/>
              <w:bottom w:val="single" w:color="auto" w:sz="6" w:space="0"/>
              <w:right w:val="single" w:color="auto" w:sz="6" w:space="0"/>
            </w:tcBorders>
            <w:shd w:val="clear" w:color="auto" w:fill="auto"/>
            <w:tcMar>
              <w:top w:w="150" w:type="dxa"/>
              <w:left w:w="210" w:type="dxa"/>
              <w:bottom w:w="150" w:type="dxa"/>
              <w:right w:w="210" w:type="dxa"/>
            </w:tcMar>
            <w:vAlign w:val="center"/>
          </w:tcPr>
          <w:p w14:paraId="1341AE34">
            <w:pPr>
              <w:snapToGrid w:val="0"/>
              <w:jc w:val="center"/>
              <w:rPr>
                <w:rFonts w:ascii="宋体" w:eastAsia="宋体"/>
                <w:b w:val="0"/>
                <w:bCs w:val="0"/>
                <w:color w:val="060A26"/>
                <w:szCs w:val="21"/>
              </w:rPr>
            </w:pPr>
          </w:p>
        </w:tc>
        <w:tc>
          <w:tcPr>
            <w:tcW w:w="1763"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71F3431B">
            <w:pPr>
              <w:widowControl/>
              <w:wordWrap w:val="0"/>
              <w:snapToGrid w:val="0"/>
              <w:jc w:val="left"/>
              <w:textAlignment w:val="center"/>
              <w:rPr>
                <w:rFonts w:hint="eastAsia" w:ascii="微软雅黑" w:hAnsi="微软雅黑" w:eastAsia="微软雅黑" w:cs="微软雅黑"/>
                <w:color w:val="060A26"/>
                <w:kern w:val="0"/>
                <w:sz w:val="21"/>
                <w:szCs w:val="21"/>
                <w:lang w:val="en-US" w:eastAsia="zh-CN" w:bidi="ar"/>
              </w:rPr>
            </w:pPr>
            <w:r>
              <w:rPr>
                <w:rFonts w:hint="eastAsia" w:ascii="微软雅黑" w:hAnsi="微软雅黑" w:eastAsia="微软雅黑" w:cs="微软雅黑"/>
                <w:color w:val="060A26"/>
                <w:kern w:val="0"/>
                <w:szCs w:val="21"/>
                <w:lang w:val="en-US" w:eastAsia="zh-CN" w:bidi="ar"/>
              </w:rPr>
              <w:t>3.5.7</w:t>
            </w:r>
            <w:r>
              <w:rPr>
                <w:rFonts w:hint="default" w:ascii="微软雅黑" w:hAnsi="微软雅黑" w:eastAsia="微软雅黑" w:cs="微软雅黑"/>
                <w:color w:val="060A26"/>
                <w:kern w:val="0"/>
                <w:szCs w:val="21"/>
                <w:lang w:val="en-US" w:eastAsia="zh-CN" w:bidi="ar"/>
              </w:rPr>
              <w:t>业务发展需求</w:t>
            </w:r>
          </w:p>
        </w:tc>
        <w:tc>
          <w:tcPr>
            <w:tcW w:w="6119"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0CC06F2F">
            <w:pPr>
              <w:widowControl/>
              <w:wordWrap w:val="0"/>
              <w:snapToGrid w:val="0"/>
              <w:jc w:val="left"/>
              <w:textAlignment w:val="center"/>
              <w:rPr>
                <w:rFonts w:hint="default" w:ascii="微软雅黑" w:hAnsi="微软雅黑" w:eastAsia="微软雅黑" w:cs="微软雅黑"/>
                <w:color w:val="060A26"/>
                <w:kern w:val="0"/>
                <w:sz w:val="21"/>
                <w:szCs w:val="21"/>
                <w:lang w:val="en-US" w:eastAsia="zh-CN" w:bidi="ar"/>
              </w:rPr>
            </w:pPr>
            <w:r>
              <w:rPr>
                <w:rFonts w:hint="eastAsia" w:ascii="微软雅黑" w:hAnsi="微软雅黑" w:eastAsia="微软雅黑" w:cs="微软雅黑"/>
                <w:color w:val="060A26"/>
                <w:kern w:val="0"/>
                <w:szCs w:val="21"/>
                <w:lang w:val="en-US" w:eastAsia="zh-CN" w:bidi="ar"/>
              </w:rPr>
              <w:t>根据</w:t>
            </w:r>
            <w:r>
              <w:rPr>
                <w:rFonts w:hint="default" w:ascii="微软雅黑" w:hAnsi="微软雅黑" w:eastAsia="微软雅黑" w:cs="微软雅黑"/>
                <w:color w:val="060A26"/>
                <w:kern w:val="0"/>
                <w:szCs w:val="21"/>
                <w:lang w:val="en-US" w:eastAsia="zh-CN" w:bidi="ar"/>
              </w:rPr>
              <w:t>上级政策要求、医院管理制度及业务流程优化需要，完成相应功能的优化与改造。</w:t>
            </w:r>
          </w:p>
        </w:tc>
      </w:tr>
    </w:tbl>
    <w:p w14:paraId="1EE2A39A">
      <w:pPr>
        <w:widowControl/>
        <w:jc w:val="left"/>
      </w:pPr>
    </w:p>
    <w:p w14:paraId="090373B6">
      <w:pPr>
        <w:widowControl/>
        <w:jc w:val="left"/>
      </w:pPr>
    </w:p>
    <w:p w14:paraId="6F5EC4C1">
      <w:pPr>
        <w:pStyle w:val="3"/>
        <w:bidi w:val="0"/>
      </w:pPr>
      <w:bookmarkStart w:id="260" w:name="_Toc18845"/>
      <w:bookmarkStart w:id="261" w:name="_Toc2498"/>
      <w:bookmarkStart w:id="262" w:name="_Toc17700"/>
      <w:bookmarkStart w:id="263" w:name="_Toc21793"/>
      <w:bookmarkStart w:id="264" w:name="_Toc18799"/>
      <w:r>
        <w:t>平台科室知情同意书系统</w:t>
      </w:r>
      <w:bookmarkEnd w:id="260"/>
      <w:bookmarkEnd w:id="261"/>
      <w:bookmarkEnd w:id="262"/>
      <w:bookmarkEnd w:id="263"/>
      <w:bookmarkEnd w:id="264"/>
    </w:p>
    <w:tbl>
      <w:tblPr>
        <w:tblStyle w:val="46"/>
        <w:tblW w:w="9579" w:type="dxa"/>
        <w:jc w:val="center"/>
        <w:tblBorders>
          <w:top w:val="single" w:color="auto" w:sz="6" w:space="0"/>
          <w:left w:val="single" w:color="auto" w:sz="2" w:space="0"/>
          <w:bottom w:val="single" w:color="auto" w:sz="2" w:space="0"/>
          <w:right w:val="single" w:color="auto" w:sz="2" w:space="0"/>
          <w:insideH w:val="none" w:color="auto" w:sz="0" w:space="0"/>
          <w:insideV w:val="none" w:color="auto" w:sz="0" w:space="0"/>
        </w:tblBorders>
        <w:tblLayout w:type="fixed"/>
        <w:tblCellMar>
          <w:top w:w="15" w:type="dxa"/>
          <w:left w:w="15" w:type="dxa"/>
          <w:bottom w:w="15" w:type="dxa"/>
          <w:right w:w="15" w:type="dxa"/>
        </w:tblCellMar>
      </w:tblPr>
      <w:tblGrid>
        <w:gridCol w:w="1433"/>
        <w:gridCol w:w="1886"/>
        <w:gridCol w:w="6260"/>
      </w:tblGrid>
      <w:tr w14:paraId="7F7B1821">
        <w:tblPrEx>
          <w:tblBorders>
            <w:top w:val="single" w:color="auto" w:sz="6"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456" w:hRule="atLeast"/>
          <w:tblHeader/>
          <w:jc w:val="center"/>
        </w:trPr>
        <w:tc>
          <w:tcPr>
            <w:tcW w:w="1433" w:type="dxa"/>
            <w:tcBorders>
              <w:top w:val="single" w:color="auto" w:sz="6" w:space="0"/>
              <w:left w:val="single" w:color="auto" w:sz="6" w:space="0"/>
              <w:bottom w:val="single" w:color="auto" w:sz="6" w:space="0"/>
              <w:right w:val="single" w:color="auto" w:sz="6" w:space="0"/>
            </w:tcBorders>
            <w:shd w:val="clear" w:color="auto" w:fill="auto"/>
            <w:noWrap/>
            <w:tcMar>
              <w:top w:w="150" w:type="dxa"/>
              <w:left w:w="210" w:type="dxa"/>
              <w:bottom w:w="150" w:type="dxa"/>
              <w:right w:w="210" w:type="dxa"/>
            </w:tcMar>
            <w:vAlign w:val="center"/>
          </w:tcPr>
          <w:p w14:paraId="3B7BBF35">
            <w:pPr>
              <w:widowControl/>
              <w:snapToGrid w:val="0"/>
              <w:jc w:val="center"/>
              <w:rPr>
                <w:rFonts w:ascii="宋体" w:eastAsia="宋体"/>
                <w:b/>
                <w:bCs/>
                <w:color w:val="060A26"/>
                <w:szCs w:val="21"/>
              </w:rPr>
            </w:pPr>
            <w:r>
              <w:rPr>
                <w:rFonts w:ascii="宋体" w:hAnsi="宋体" w:eastAsia="宋体" w:cs="宋体"/>
                <w:b/>
                <w:bCs/>
                <w:color w:val="060A26"/>
                <w:kern w:val="0"/>
                <w:szCs w:val="21"/>
                <w:lang w:bidi="ar"/>
              </w:rPr>
              <w:t>需求名称</w:t>
            </w:r>
          </w:p>
        </w:tc>
        <w:tc>
          <w:tcPr>
            <w:tcW w:w="1886" w:type="dxa"/>
            <w:tcBorders>
              <w:top w:val="single" w:color="auto" w:sz="6" w:space="0"/>
              <w:left w:val="single" w:color="auto" w:sz="6" w:space="0"/>
              <w:bottom w:val="single" w:color="auto" w:sz="6" w:space="0"/>
              <w:right w:val="single" w:color="auto" w:sz="6" w:space="0"/>
            </w:tcBorders>
            <w:shd w:val="clear" w:color="auto" w:fill="auto"/>
            <w:noWrap/>
            <w:tcMar>
              <w:top w:w="150" w:type="dxa"/>
              <w:left w:w="210" w:type="dxa"/>
              <w:bottom w:w="150" w:type="dxa"/>
              <w:right w:w="210" w:type="dxa"/>
            </w:tcMar>
            <w:vAlign w:val="center"/>
          </w:tcPr>
          <w:p w14:paraId="5527EDAD">
            <w:pPr>
              <w:widowControl/>
              <w:snapToGrid w:val="0"/>
              <w:jc w:val="center"/>
              <w:rPr>
                <w:rFonts w:ascii="宋体" w:eastAsia="宋体"/>
                <w:b/>
                <w:bCs/>
                <w:color w:val="060A26"/>
                <w:szCs w:val="21"/>
              </w:rPr>
            </w:pPr>
            <w:r>
              <w:rPr>
                <w:rFonts w:ascii="宋体" w:hAnsi="宋体" w:eastAsia="宋体" w:cs="宋体"/>
                <w:b/>
                <w:bCs/>
                <w:color w:val="060A26"/>
                <w:kern w:val="0"/>
                <w:szCs w:val="21"/>
                <w:lang w:bidi="ar"/>
              </w:rPr>
              <w:t>序号</w:t>
            </w:r>
          </w:p>
        </w:tc>
        <w:tc>
          <w:tcPr>
            <w:tcW w:w="6260" w:type="dxa"/>
            <w:tcBorders>
              <w:top w:val="single" w:color="auto" w:sz="6" w:space="0"/>
              <w:left w:val="single" w:color="auto" w:sz="6" w:space="0"/>
              <w:bottom w:val="single" w:color="auto" w:sz="6" w:space="0"/>
              <w:right w:val="single" w:color="auto" w:sz="6" w:space="0"/>
            </w:tcBorders>
            <w:shd w:val="clear" w:color="auto" w:fill="auto"/>
            <w:noWrap/>
            <w:tcMar>
              <w:top w:w="150" w:type="dxa"/>
              <w:left w:w="210" w:type="dxa"/>
              <w:bottom w:w="150" w:type="dxa"/>
              <w:right w:w="210" w:type="dxa"/>
            </w:tcMar>
            <w:vAlign w:val="center"/>
          </w:tcPr>
          <w:p w14:paraId="3D8CB44E">
            <w:pPr>
              <w:widowControl/>
              <w:snapToGrid w:val="0"/>
              <w:jc w:val="center"/>
              <w:rPr>
                <w:rFonts w:ascii="宋体" w:eastAsia="宋体"/>
                <w:b/>
                <w:bCs/>
                <w:color w:val="060A26"/>
                <w:szCs w:val="21"/>
              </w:rPr>
            </w:pPr>
            <w:r>
              <w:rPr>
                <w:rFonts w:ascii="宋体" w:hAnsi="宋体" w:eastAsia="宋体" w:cs="宋体"/>
                <w:b/>
                <w:bCs/>
                <w:color w:val="060A26"/>
                <w:kern w:val="0"/>
                <w:szCs w:val="21"/>
                <w:lang w:bidi="ar"/>
              </w:rPr>
              <w:t>需求描述</w:t>
            </w:r>
          </w:p>
        </w:tc>
      </w:tr>
      <w:tr w14:paraId="3EA0C9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6" w:hRule="atLeast"/>
          <w:jc w:val="center"/>
        </w:trPr>
        <w:tc>
          <w:tcPr>
            <w:tcW w:w="1433" w:type="dxa"/>
            <w:vMerge w:val="restart"/>
            <w:tcBorders>
              <w:top w:val="single" w:color="auto" w:sz="6" w:space="0"/>
              <w:left w:val="single" w:color="auto" w:sz="6" w:space="0"/>
              <w:right w:val="single" w:color="auto" w:sz="6" w:space="0"/>
            </w:tcBorders>
            <w:shd w:val="clear" w:color="auto" w:fill="auto"/>
            <w:tcMar>
              <w:top w:w="150" w:type="dxa"/>
              <w:left w:w="210" w:type="dxa"/>
              <w:bottom w:w="150" w:type="dxa"/>
              <w:right w:w="210" w:type="dxa"/>
            </w:tcMar>
            <w:vAlign w:val="center"/>
          </w:tcPr>
          <w:p w14:paraId="156F174E">
            <w:pPr>
              <w:widowControl/>
              <w:wordWrap w:val="0"/>
              <w:snapToGrid w:val="0"/>
              <w:jc w:val="center"/>
              <w:textAlignment w:val="center"/>
              <w:rPr>
                <w:rFonts w:ascii="宋体" w:hAnsi="宋体" w:eastAsia="宋体" w:cs="宋体"/>
                <w:b/>
                <w:bCs/>
                <w:color w:val="060A26"/>
                <w:kern w:val="0"/>
                <w:szCs w:val="21"/>
                <w:lang w:bidi="ar"/>
              </w:rPr>
            </w:pPr>
          </w:p>
          <w:p w14:paraId="656AC3CD">
            <w:pPr>
              <w:widowControl/>
              <w:wordWrap w:val="0"/>
              <w:snapToGrid w:val="0"/>
              <w:jc w:val="center"/>
              <w:textAlignment w:val="center"/>
              <w:rPr>
                <w:rFonts w:ascii="宋体" w:hAnsi="宋体" w:eastAsia="宋体" w:cs="宋体"/>
                <w:b/>
                <w:bCs/>
                <w:color w:val="060A26"/>
                <w:kern w:val="0"/>
                <w:szCs w:val="21"/>
                <w:lang w:bidi="ar"/>
              </w:rPr>
            </w:pPr>
          </w:p>
          <w:p w14:paraId="02B1BAF1">
            <w:pPr>
              <w:widowControl/>
              <w:wordWrap w:val="0"/>
              <w:snapToGrid w:val="0"/>
              <w:jc w:val="center"/>
              <w:textAlignment w:val="center"/>
              <w:rPr>
                <w:rFonts w:ascii="宋体" w:hAnsi="宋体" w:eastAsia="宋体" w:cs="宋体"/>
                <w:b/>
                <w:bCs/>
                <w:color w:val="060A26"/>
                <w:kern w:val="0"/>
                <w:szCs w:val="21"/>
                <w:lang w:bidi="ar"/>
              </w:rPr>
            </w:pPr>
          </w:p>
          <w:p w14:paraId="19DDE2A4">
            <w:pPr>
              <w:widowControl/>
              <w:wordWrap w:val="0"/>
              <w:snapToGrid w:val="0"/>
              <w:jc w:val="center"/>
              <w:textAlignment w:val="center"/>
              <w:rPr>
                <w:rFonts w:ascii="宋体" w:hAnsi="宋体" w:eastAsia="宋体" w:cs="宋体"/>
                <w:b/>
                <w:bCs/>
                <w:color w:val="060A26"/>
                <w:kern w:val="0"/>
                <w:szCs w:val="21"/>
                <w:lang w:bidi="ar"/>
              </w:rPr>
            </w:pPr>
          </w:p>
          <w:p w14:paraId="391C498D">
            <w:pPr>
              <w:widowControl/>
              <w:wordWrap w:val="0"/>
              <w:snapToGrid w:val="0"/>
              <w:jc w:val="center"/>
              <w:textAlignment w:val="center"/>
              <w:rPr>
                <w:rFonts w:ascii="宋体" w:hAnsi="宋体" w:eastAsia="宋体" w:cs="宋体"/>
                <w:b/>
                <w:bCs/>
                <w:color w:val="060A26"/>
                <w:kern w:val="0"/>
                <w:szCs w:val="21"/>
                <w:lang w:bidi="ar"/>
              </w:rPr>
            </w:pPr>
          </w:p>
          <w:p w14:paraId="3E41C13F">
            <w:pPr>
              <w:widowControl/>
              <w:wordWrap w:val="0"/>
              <w:snapToGrid w:val="0"/>
              <w:jc w:val="center"/>
              <w:textAlignment w:val="center"/>
              <w:rPr>
                <w:rFonts w:ascii="宋体" w:hAnsi="宋体" w:eastAsia="宋体" w:cs="宋体"/>
                <w:b/>
                <w:bCs/>
                <w:color w:val="060A26"/>
                <w:kern w:val="0"/>
                <w:szCs w:val="21"/>
                <w:lang w:bidi="ar"/>
              </w:rPr>
            </w:pPr>
          </w:p>
          <w:p w14:paraId="61F62542">
            <w:pPr>
              <w:widowControl/>
              <w:wordWrap w:val="0"/>
              <w:snapToGrid w:val="0"/>
              <w:jc w:val="center"/>
              <w:textAlignment w:val="center"/>
              <w:rPr>
                <w:rFonts w:ascii="宋体" w:hAnsi="宋体" w:eastAsia="宋体" w:cs="宋体"/>
                <w:b/>
                <w:bCs/>
                <w:color w:val="060A26"/>
                <w:kern w:val="0"/>
                <w:szCs w:val="21"/>
                <w:lang w:bidi="ar"/>
              </w:rPr>
            </w:pPr>
          </w:p>
          <w:p w14:paraId="6181DF92">
            <w:pPr>
              <w:widowControl/>
              <w:wordWrap w:val="0"/>
              <w:snapToGrid w:val="0"/>
              <w:jc w:val="center"/>
              <w:textAlignment w:val="center"/>
              <w:rPr>
                <w:rFonts w:ascii="宋体" w:hAnsi="宋体" w:eastAsia="宋体" w:cs="宋体"/>
                <w:b/>
                <w:bCs/>
                <w:color w:val="060A26"/>
                <w:kern w:val="0"/>
                <w:szCs w:val="21"/>
                <w:lang w:bidi="ar"/>
              </w:rPr>
            </w:pPr>
          </w:p>
          <w:p w14:paraId="1DE00458">
            <w:pPr>
              <w:widowControl/>
              <w:wordWrap w:val="0"/>
              <w:snapToGrid w:val="0"/>
              <w:jc w:val="center"/>
              <w:textAlignment w:val="center"/>
              <w:rPr>
                <w:rFonts w:ascii="宋体" w:hAnsi="宋体" w:eastAsia="宋体" w:cs="宋体"/>
                <w:b/>
                <w:bCs/>
                <w:color w:val="060A26"/>
                <w:kern w:val="0"/>
                <w:szCs w:val="21"/>
                <w:lang w:bidi="ar"/>
              </w:rPr>
            </w:pPr>
          </w:p>
          <w:p w14:paraId="6DC1927E">
            <w:pPr>
              <w:widowControl/>
              <w:wordWrap w:val="0"/>
              <w:snapToGrid w:val="0"/>
              <w:jc w:val="center"/>
              <w:textAlignment w:val="center"/>
              <w:rPr>
                <w:rFonts w:ascii="宋体" w:hAnsi="宋体" w:eastAsia="宋体" w:cs="宋体"/>
                <w:b/>
                <w:bCs/>
                <w:color w:val="060A26"/>
                <w:kern w:val="0"/>
                <w:szCs w:val="21"/>
                <w:lang w:bidi="ar"/>
              </w:rPr>
            </w:pPr>
          </w:p>
          <w:p w14:paraId="1B6B1ABD">
            <w:pPr>
              <w:widowControl/>
              <w:wordWrap w:val="0"/>
              <w:snapToGrid w:val="0"/>
              <w:jc w:val="center"/>
              <w:textAlignment w:val="center"/>
              <w:rPr>
                <w:rFonts w:ascii="宋体" w:hAnsi="宋体" w:eastAsia="宋体" w:cs="宋体"/>
                <w:b/>
                <w:bCs/>
                <w:color w:val="060A26"/>
                <w:kern w:val="0"/>
                <w:szCs w:val="21"/>
                <w:lang w:bidi="ar"/>
              </w:rPr>
            </w:pPr>
          </w:p>
          <w:p w14:paraId="0BED1ADB">
            <w:pPr>
              <w:widowControl/>
              <w:wordWrap w:val="0"/>
              <w:snapToGrid w:val="0"/>
              <w:jc w:val="center"/>
              <w:textAlignment w:val="center"/>
              <w:rPr>
                <w:rFonts w:ascii="宋体" w:hAnsi="宋体" w:eastAsia="宋体" w:cs="宋体"/>
                <w:b/>
                <w:bCs/>
                <w:color w:val="060A26"/>
                <w:kern w:val="0"/>
                <w:szCs w:val="21"/>
                <w:lang w:bidi="ar"/>
              </w:rPr>
            </w:pPr>
          </w:p>
          <w:p w14:paraId="0185CF73">
            <w:pPr>
              <w:widowControl/>
              <w:wordWrap w:val="0"/>
              <w:snapToGrid w:val="0"/>
              <w:jc w:val="center"/>
              <w:textAlignment w:val="center"/>
              <w:rPr>
                <w:rFonts w:ascii="宋体" w:hAnsi="宋体" w:eastAsia="宋体" w:cs="宋体"/>
                <w:b/>
                <w:bCs/>
                <w:color w:val="060A26"/>
                <w:kern w:val="0"/>
                <w:szCs w:val="21"/>
                <w:lang w:bidi="ar"/>
              </w:rPr>
            </w:pPr>
          </w:p>
          <w:p w14:paraId="233ECFA0">
            <w:pPr>
              <w:widowControl/>
              <w:wordWrap w:val="0"/>
              <w:snapToGrid w:val="0"/>
              <w:jc w:val="center"/>
              <w:textAlignment w:val="center"/>
              <w:rPr>
                <w:rFonts w:ascii="宋体" w:hAnsi="宋体" w:eastAsia="宋体" w:cs="宋体"/>
                <w:b/>
                <w:bCs/>
                <w:color w:val="060A26"/>
                <w:kern w:val="0"/>
                <w:szCs w:val="21"/>
                <w:lang w:bidi="ar"/>
              </w:rPr>
            </w:pPr>
          </w:p>
          <w:p w14:paraId="4A1F55CD">
            <w:pPr>
              <w:widowControl/>
              <w:wordWrap w:val="0"/>
              <w:snapToGrid w:val="0"/>
              <w:jc w:val="center"/>
              <w:textAlignment w:val="center"/>
              <w:rPr>
                <w:rFonts w:ascii="宋体" w:hAnsi="宋体" w:eastAsia="宋体" w:cs="宋体"/>
                <w:b/>
                <w:bCs/>
                <w:color w:val="060A26"/>
                <w:kern w:val="0"/>
                <w:szCs w:val="21"/>
                <w:lang w:bidi="ar"/>
              </w:rPr>
            </w:pPr>
          </w:p>
          <w:p w14:paraId="395963CA">
            <w:pPr>
              <w:widowControl/>
              <w:wordWrap w:val="0"/>
              <w:snapToGrid w:val="0"/>
              <w:jc w:val="center"/>
              <w:textAlignment w:val="center"/>
              <w:rPr>
                <w:rFonts w:ascii="宋体" w:hAnsi="宋体" w:eastAsia="宋体" w:cs="宋体"/>
                <w:b/>
                <w:bCs/>
                <w:color w:val="060A26"/>
                <w:kern w:val="0"/>
                <w:szCs w:val="21"/>
                <w:lang w:bidi="ar"/>
              </w:rPr>
            </w:pPr>
          </w:p>
          <w:p w14:paraId="1F079085">
            <w:pPr>
              <w:widowControl/>
              <w:wordWrap w:val="0"/>
              <w:snapToGrid w:val="0"/>
              <w:jc w:val="center"/>
              <w:textAlignment w:val="center"/>
              <w:rPr>
                <w:rFonts w:ascii="宋体" w:hAnsi="宋体" w:eastAsia="宋体" w:cs="宋体"/>
                <w:b/>
                <w:bCs/>
                <w:color w:val="060A26"/>
                <w:kern w:val="0"/>
                <w:szCs w:val="21"/>
                <w:lang w:bidi="ar"/>
              </w:rPr>
            </w:pPr>
          </w:p>
          <w:p w14:paraId="5A341395">
            <w:pPr>
              <w:widowControl/>
              <w:wordWrap w:val="0"/>
              <w:snapToGrid w:val="0"/>
              <w:jc w:val="center"/>
              <w:textAlignment w:val="center"/>
              <w:rPr>
                <w:rFonts w:ascii="宋体" w:hAnsi="宋体" w:eastAsia="宋体" w:cs="宋体"/>
                <w:b/>
                <w:bCs/>
                <w:color w:val="060A26"/>
                <w:kern w:val="0"/>
                <w:szCs w:val="21"/>
                <w:lang w:bidi="ar"/>
              </w:rPr>
            </w:pPr>
          </w:p>
          <w:p w14:paraId="3873F2C0">
            <w:pPr>
              <w:widowControl/>
              <w:wordWrap w:val="0"/>
              <w:snapToGrid w:val="0"/>
              <w:jc w:val="center"/>
              <w:textAlignment w:val="center"/>
              <w:rPr>
                <w:rFonts w:ascii="宋体" w:hAnsi="宋体" w:eastAsia="宋体" w:cs="宋体"/>
                <w:b/>
                <w:bCs/>
                <w:color w:val="060A26"/>
                <w:kern w:val="0"/>
                <w:szCs w:val="21"/>
                <w:lang w:bidi="ar"/>
              </w:rPr>
            </w:pPr>
          </w:p>
          <w:p w14:paraId="59B6FBD8">
            <w:pPr>
              <w:widowControl/>
              <w:wordWrap w:val="0"/>
              <w:snapToGrid w:val="0"/>
              <w:jc w:val="center"/>
              <w:textAlignment w:val="center"/>
              <w:rPr>
                <w:rFonts w:ascii="宋体" w:eastAsia="宋体"/>
                <w:color w:val="060A26"/>
                <w:szCs w:val="21"/>
              </w:rPr>
            </w:pPr>
            <w:r>
              <w:rPr>
                <w:rFonts w:ascii="宋体" w:hAnsi="宋体" w:eastAsia="宋体" w:cs="宋体"/>
                <w:b/>
                <w:bCs/>
                <w:color w:val="060A26"/>
                <w:kern w:val="0"/>
                <w:szCs w:val="21"/>
                <w:lang w:bidi="ar"/>
              </w:rPr>
              <w:t>4. 平台科室知情同意书系统</w:t>
            </w:r>
          </w:p>
        </w:tc>
        <w:tc>
          <w:tcPr>
            <w:tcW w:w="8146" w:type="dxa"/>
            <w:gridSpan w:val="2"/>
            <w:tcBorders>
              <w:top w:val="single" w:color="auto" w:sz="6" w:space="0"/>
              <w:left w:val="single" w:color="auto" w:sz="6" w:space="0"/>
              <w:bottom w:val="single" w:color="auto" w:sz="6" w:space="0"/>
              <w:right w:val="single" w:color="auto" w:sz="6" w:space="0"/>
            </w:tcBorders>
            <w:shd w:val="clear" w:color="auto" w:fill="auto"/>
            <w:tcMar>
              <w:top w:w="150" w:type="dxa"/>
              <w:left w:w="210" w:type="dxa"/>
              <w:bottom w:w="150" w:type="dxa"/>
              <w:right w:w="210" w:type="dxa"/>
            </w:tcMar>
            <w:vAlign w:val="center"/>
          </w:tcPr>
          <w:p w14:paraId="752C1035">
            <w:pPr>
              <w:widowControl/>
              <w:wordWrap w:val="0"/>
              <w:snapToGrid w:val="0"/>
              <w:jc w:val="left"/>
              <w:textAlignment w:val="center"/>
              <w:rPr>
                <w:rFonts w:ascii="宋体" w:hAnsi="宋体" w:eastAsia="宋体" w:cs="宋体"/>
                <w:b/>
                <w:bCs/>
                <w:color w:val="060A26"/>
                <w:kern w:val="0"/>
                <w:szCs w:val="21"/>
                <w:lang w:bidi="ar"/>
              </w:rPr>
            </w:pPr>
            <w:r>
              <w:rPr>
                <w:rFonts w:hint="eastAsia" w:ascii="宋体" w:hAnsi="宋体" w:cs="宋体"/>
                <w:b/>
                <w:bCs/>
                <w:color w:val="060A26"/>
                <w:kern w:val="0"/>
                <w:szCs w:val="21"/>
                <w:lang w:eastAsia="zh-CN" w:bidi="ar"/>
              </w:rPr>
              <w:t>（</w:t>
            </w:r>
            <w:r>
              <w:rPr>
                <w:rFonts w:hint="eastAsia" w:ascii="宋体" w:hAnsi="宋体" w:cs="宋体"/>
                <w:b/>
                <w:bCs/>
                <w:color w:val="060A26"/>
                <w:kern w:val="0"/>
                <w:szCs w:val="21"/>
                <w:lang w:val="en-US" w:eastAsia="zh-CN" w:bidi="ar"/>
              </w:rPr>
              <w:t>一</w:t>
            </w:r>
            <w:r>
              <w:rPr>
                <w:rFonts w:hint="eastAsia" w:ascii="宋体" w:hAnsi="宋体" w:cs="宋体"/>
                <w:b/>
                <w:bCs/>
                <w:color w:val="060A26"/>
                <w:kern w:val="0"/>
                <w:szCs w:val="21"/>
                <w:lang w:eastAsia="zh-CN" w:bidi="ar"/>
              </w:rPr>
              <w:t>）平台科室知情同意书系统</w:t>
            </w:r>
            <w:r>
              <w:rPr>
                <w:rFonts w:hint="eastAsia" w:ascii="宋体" w:hAnsi="宋体" w:cs="宋体"/>
                <w:b/>
                <w:bCs/>
                <w:color w:val="060A26"/>
                <w:kern w:val="0"/>
                <w:szCs w:val="21"/>
                <w:lang w:val="en-US" w:eastAsia="zh-CN" w:bidi="ar"/>
              </w:rPr>
              <w:t>维护保障</w:t>
            </w:r>
          </w:p>
        </w:tc>
      </w:tr>
      <w:tr w14:paraId="313BB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6" w:hRule="atLeast"/>
          <w:jc w:val="center"/>
        </w:trPr>
        <w:tc>
          <w:tcPr>
            <w:tcW w:w="1433" w:type="dxa"/>
            <w:vMerge w:val="continue"/>
            <w:tcBorders>
              <w:left w:val="single" w:color="auto" w:sz="6" w:space="0"/>
              <w:right w:val="single" w:color="auto" w:sz="6" w:space="0"/>
            </w:tcBorders>
            <w:shd w:val="clear" w:color="auto" w:fill="auto"/>
            <w:tcMar>
              <w:top w:w="150" w:type="dxa"/>
              <w:left w:w="210" w:type="dxa"/>
              <w:bottom w:w="150" w:type="dxa"/>
              <w:right w:w="210" w:type="dxa"/>
            </w:tcMar>
            <w:vAlign w:val="center"/>
          </w:tcPr>
          <w:p w14:paraId="3E10E3AC">
            <w:pPr>
              <w:widowControl/>
              <w:wordWrap w:val="0"/>
              <w:snapToGrid w:val="0"/>
              <w:jc w:val="center"/>
              <w:textAlignment w:val="center"/>
              <w:rPr>
                <w:rFonts w:ascii="宋体" w:eastAsia="宋体"/>
                <w:color w:val="060A26"/>
                <w:szCs w:val="21"/>
              </w:rPr>
            </w:pPr>
          </w:p>
        </w:tc>
        <w:tc>
          <w:tcPr>
            <w:tcW w:w="1886" w:type="dxa"/>
            <w:tcBorders>
              <w:top w:val="single" w:color="auto" w:sz="6" w:space="0"/>
              <w:left w:val="single" w:color="auto" w:sz="6" w:space="0"/>
              <w:bottom w:val="single" w:color="auto" w:sz="6" w:space="0"/>
              <w:right w:val="single" w:color="auto" w:sz="6" w:space="0"/>
            </w:tcBorders>
            <w:shd w:val="clear" w:color="auto" w:fill="auto"/>
            <w:tcMar>
              <w:top w:w="150" w:type="dxa"/>
              <w:left w:w="210" w:type="dxa"/>
              <w:bottom w:w="150" w:type="dxa"/>
              <w:right w:w="210" w:type="dxa"/>
            </w:tcMar>
            <w:vAlign w:val="center"/>
          </w:tcPr>
          <w:p w14:paraId="7BFE5FBA">
            <w:pPr>
              <w:widowControl/>
              <w:wordWrap w:val="0"/>
              <w:snapToGrid w:val="0"/>
              <w:jc w:val="center"/>
              <w:textAlignment w:val="center"/>
              <w:rPr>
                <w:rFonts w:ascii="宋体" w:eastAsia="宋体"/>
                <w:color w:val="060A26"/>
                <w:szCs w:val="21"/>
              </w:rPr>
            </w:pPr>
            <w:r>
              <w:rPr>
                <w:rFonts w:ascii="宋体" w:hAnsi="宋体" w:eastAsia="宋体" w:cs="宋体"/>
                <w:color w:val="060A26"/>
                <w:kern w:val="0"/>
                <w:szCs w:val="21"/>
                <w:lang w:bidi="ar"/>
              </w:rPr>
              <w:t>4.1</w:t>
            </w:r>
          </w:p>
        </w:tc>
        <w:tc>
          <w:tcPr>
            <w:tcW w:w="6260" w:type="dxa"/>
            <w:tcBorders>
              <w:top w:val="single" w:color="auto" w:sz="6" w:space="0"/>
              <w:left w:val="single" w:color="auto" w:sz="6" w:space="0"/>
              <w:bottom w:val="single" w:color="auto" w:sz="6" w:space="0"/>
              <w:right w:val="single" w:color="auto" w:sz="6" w:space="0"/>
            </w:tcBorders>
            <w:shd w:val="clear" w:color="auto" w:fill="auto"/>
            <w:tcMar>
              <w:top w:w="150" w:type="dxa"/>
              <w:left w:w="210" w:type="dxa"/>
              <w:bottom w:w="150" w:type="dxa"/>
              <w:right w:w="210" w:type="dxa"/>
            </w:tcMar>
            <w:vAlign w:val="center"/>
          </w:tcPr>
          <w:p w14:paraId="743E6196">
            <w:pPr>
              <w:widowControl/>
              <w:wordWrap w:val="0"/>
              <w:snapToGrid w:val="0"/>
              <w:jc w:val="left"/>
              <w:textAlignment w:val="center"/>
              <w:rPr>
                <w:rFonts w:ascii="宋体" w:eastAsia="宋体"/>
                <w:color w:val="060A26"/>
                <w:szCs w:val="21"/>
              </w:rPr>
            </w:pPr>
            <w:r>
              <w:rPr>
                <w:rFonts w:ascii="宋体" w:hAnsi="宋体" w:eastAsia="宋体" w:cs="宋体"/>
                <w:b/>
                <w:bCs/>
                <w:color w:val="060A26"/>
                <w:kern w:val="0"/>
                <w:szCs w:val="21"/>
                <w:lang w:bidi="ar"/>
              </w:rPr>
              <w:t>模板库管理</w:t>
            </w:r>
          </w:p>
        </w:tc>
      </w:tr>
      <w:tr w14:paraId="016FA5E6">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1723" w:hRule="atLeast"/>
          <w:jc w:val="center"/>
        </w:trPr>
        <w:tc>
          <w:tcPr>
            <w:tcW w:w="1433" w:type="dxa"/>
            <w:vMerge w:val="continue"/>
            <w:tcBorders>
              <w:left w:val="single" w:color="auto" w:sz="6" w:space="0"/>
              <w:right w:val="single" w:color="auto" w:sz="6" w:space="0"/>
            </w:tcBorders>
            <w:shd w:val="clear" w:color="auto" w:fill="auto"/>
            <w:tcMar>
              <w:top w:w="150" w:type="dxa"/>
              <w:left w:w="210" w:type="dxa"/>
              <w:bottom w:w="150" w:type="dxa"/>
              <w:right w:w="210" w:type="dxa"/>
            </w:tcMar>
            <w:vAlign w:val="center"/>
          </w:tcPr>
          <w:p w14:paraId="669A38F5">
            <w:pPr>
              <w:snapToGrid w:val="0"/>
              <w:jc w:val="center"/>
              <w:rPr>
                <w:rFonts w:ascii="宋体" w:eastAsia="宋体"/>
                <w:color w:val="060A26"/>
                <w:szCs w:val="21"/>
              </w:rPr>
            </w:pPr>
          </w:p>
        </w:tc>
        <w:tc>
          <w:tcPr>
            <w:tcW w:w="1886" w:type="dxa"/>
            <w:tcBorders>
              <w:top w:val="single" w:color="auto" w:sz="6" w:space="0"/>
              <w:left w:val="single" w:color="auto" w:sz="6" w:space="0"/>
              <w:bottom w:val="single" w:color="auto" w:sz="6" w:space="0"/>
              <w:right w:val="single" w:color="auto" w:sz="6" w:space="0"/>
            </w:tcBorders>
            <w:shd w:val="clear" w:color="auto" w:fill="auto"/>
            <w:tcMar>
              <w:top w:w="150" w:type="dxa"/>
              <w:left w:w="210" w:type="dxa"/>
              <w:bottom w:w="150" w:type="dxa"/>
              <w:right w:w="210" w:type="dxa"/>
            </w:tcMar>
            <w:vAlign w:val="center"/>
          </w:tcPr>
          <w:p w14:paraId="7F044BD5">
            <w:pPr>
              <w:widowControl/>
              <w:wordWrap w:val="0"/>
              <w:snapToGrid w:val="0"/>
              <w:jc w:val="center"/>
              <w:textAlignment w:val="center"/>
              <w:rPr>
                <w:rFonts w:ascii="宋体" w:eastAsia="宋体"/>
                <w:color w:val="060A26"/>
                <w:szCs w:val="21"/>
              </w:rPr>
            </w:pPr>
            <w:r>
              <w:rPr>
                <w:rFonts w:ascii="宋体" w:hAnsi="宋体" w:eastAsia="宋体" w:cs="宋体"/>
                <w:color w:val="060A26"/>
                <w:kern w:val="0"/>
                <w:szCs w:val="21"/>
                <w:lang w:bidi="ar"/>
              </w:rPr>
              <w:t>4.1.1 标准模板库</w:t>
            </w:r>
          </w:p>
        </w:tc>
        <w:tc>
          <w:tcPr>
            <w:tcW w:w="6260" w:type="dxa"/>
            <w:tcBorders>
              <w:top w:val="single" w:color="auto" w:sz="6" w:space="0"/>
              <w:left w:val="single" w:color="auto" w:sz="6" w:space="0"/>
              <w:bottom w:val="single" w:color="auto" w:sz="6" w:space="0"/>
              <w:right w:val="single" w:color="auto" w:sz="6" w:space="0"/>
            </w:tcBorders>
            <w:shd w:val="clear" w:color="auto" w:fill="auto"/>
            <w:tcMar>
              <w:top w:w="150" w:type="dxa"/>
              <w:left w:w="210" w:type="dxa"/>
              <w:bottom w:w="150" w:type="dxa"/>
              <w:right w:w="210" w:type="dxa"/>
            </w:tcMar>
            <w:vAlign w:val="center"/>
          </w:tcPr>
          <w:p w14:paraId="07139D43">
            <w:pPr>
              <w:widowControl/>
              <w:wordWrap w:val="0"/>
              <w:snapToGrid w:val="0"/>
              <w:jc w:val="left"/>
              <w:textAlignment w:val="center"/>
              <w:rPr>
                <w:rFonts w:ascii="宋体" w:eastAsia="宋体"/>
                <w:color w:val="060A26"/>
                <w:szCs w:val="21"/>
              </w:rPr>
            </w:pPr>
            <w:r>
              <w:rPr>
                <w:rFonts w:ascii="宋体" w:hAnsi="宋体" w:eastAsia="宋体" w:cs="宋体"/>
                <w:color w:val="060A26"/>
                <w:kern w:val="0"/>
                <w:szCs w:val="21"/>
                <w:lang w:bidi="ar"/>
              </w:rPr>
              <w:t>✓ 内置200+国家/行业标准模板，覆盖：手术类（如腹腔镜胆囊切除术）、操作类（如胃肠镜、腰椎穿刺）、特殊治疗类（如化疗、放疗）、临床试验类等场景。</w:t>
            </w:r>
            <w:r>
              <w:rPr>
                <w:rFonts w:ascii="宋体" w:hAnsi="宋体" w:eastAsia="宋体" w:cs="宋体"/>
                <w:color w:val="060A26"/>
                <w:kern w:val="0"/>
                <w:szCs w:val="21"/>
                <w:lang w:bidi="ar"/>
              </w:rPr>
              <w:br w:type="textWrapping"/>
            </w:r>
            <w:r>
              <w:rPr>
                <w:rFonts w:ascii="宋体" w:hAnsi="宋体" w:eastAsia="宋体" w:cs="宋体"/>
                <w:color w:val="060A26"/>
                <w:kern w:val="0"/>
                <w:szCs w:val="21"/>
                <w:lang w:bidi="ar"/>
              </w:rPr>
              <w:t>✓ 模板字段严格遵循《医疗机构知情同意书规范》，包括：操作名称、目的、方法、替代方案、常见风险（发生率&gt;1%）、罕见风险（发生率&lt;1%）、患者权利、紧急联系人等，均为必填项。</w:t>
            </w:r>
          </w:p>
        </w:tc>
      </w:tr>
      <w:tr w14:paraId="6F563958">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878" w:hRule="atLeast"/>
          <w:jc w:val="center"/>
        </w:trPr>
        <w:tc>
          <w:tcPr>
            <w:tcW w:w="1433" w:type="dxa"/>
            <w:vMerge w:val="continue"/>
            <w:tcBorders>
              <w:left w:val="single" w:color="auto" w:sz="6" w:space="0"/>
              <w:right w:val="single" w:color="auto" w:sz="6" w:space="0"/>
            </w:tcBorders>
            <w:shd w:val="clear" w:color="auto" w:fill="auto"/>
            <w:tcMar>
              <w:top w:w="150" w:type="dxa"/>
              <w:left w:w="210" w:type="dxa"/>
              <w:bottom w:w="150" w:type="dxa"/>
              <w:right w:w="210" w:type="dxa"/>
            </w:tcMar>
            <w:vAlign w:val="center"/>
          </w:tcPr>
          <w:p w14:paraId="5DD5EE37">
            <w:pPr>
              <w:snapToGrid w:val="0"/>
              <w:jc w:val="center"/>
              <w:rPr>
                <w:rFonts w:ascii="宋体" w:eastAsia="宋体"/>
                <w:color w:val="060A26"/>
                <w:szCs w:val="21"/>
              </w:rPr>
            </w:pPr>
          </w:p>
        </w:tc>
        <w:tc>
          <w:tcPr>
            <w:tcW w:w="1886" w:type="dxa"/>
            <w:tcBorders>
              <w:top w:val="single" w:color="auto" w:sz="6" w:space="0"/>
              <w:left w:val="single" w:color="auto" w:sz="6" w:space="0"/>
              <w:bottom w:val="single" w:color="auto" w:sz="6" w:space="0"/>
              <w:right w:val="single" w:color="auto" w:sz="6" w:space="0"/>
            </w:tcBorders>
            <w:shd w:val="clear" w:color="auto" w:fill="auto"/>
            <w:tcMar>
              <w:top w:w="150" w:type="dxa"/>
              <w:left w:w="210" w:type="dxa"/>
              <w:bottom w:w="150" w:type="dxa"/>
              <w:right w:w="210" w:type="dxa"/>
            </w:tcMar>
            <w:vAlign w:val="center"/>
          </w:tcPr>
          <w:p w14:paraId="6467AEE4">
            <w:pPr>
              <w:widowControl/>
              <w:wordWrap w:val="0"/>
              <w:snapToGrid w:val="0"/>
              <w:jc w:val="center"/>
              <w:textAlignment w:val="center"/>
              <w:rPr>
                <w:rFonts w:ascii="宋体" w:eastAsia="宋体"/>
                <w:color w:val="060A26"/>
                <w:szCs w:val="21"/>
              </w:rPr>
            </w:pPr>
            <w:r>
              <w:rPr>
                <w:rFonts w:ascii="宋体" w:hAnsi="宋体" w:eastAsia="宋体" w:cs="宋体"/>
                <w:color w:val="060A26"/>
                <w:kern w:val="0"/>
                <w:szCs w:val="21"/>
                <w:lang w:bidi="ar"/>
              </w:rPr>
              <w:t xml:space="preserve">4.1.2 </w:t>
            </w:r>
            <w:r>
              <w:rPr>
                <w:rFonts w:hint="eastAsia" w:ascii="宋体" w:hAnsi="宋体" w:eastAsia="宋体" w:cs="宋体"/>
                <w:color w:val="060A26"/>
                <w:kern w:val="0"/>
                <w:szCs w:val="21"/>
                <w:lang w:bidi="ar"/>
              </w:rPr>
              <w:t>同意书模板列表</w:t>
            </w:r>
          </w:p>
        </w:tc>
        <w:tc>
          <w:tcPr>
            <w:tcW w:w="6260" w:type="dxa"/>
            <w:tcBorders>
              <w:top w:val="single" w:color="auto" w:sz="6" w:space="0"/>
              <w:left w:val="single" w:color="auto" w:sz="6" w:space="0"/>
              <w:bottom w:val="single" w:color="auto" w:sz="6" w:space="0"/>
              <w:right w:val="single" w:color="auto" w:sz="6" w:space="0"/>
            </w:tcBorders>
            <w:shd w:val="clear" w:color="auto" w:fill="auto"/>
            <w:tcMar>
              <w:top w:w="150" w:type="dxa"/>
              <w:left w:w="210" w:type="dxa"/>
              <w:bottom w:w="150" w:type="dxa"/>
              <w:right w:w="210" w:type="dxa"/>
            </w:tcMar>
            <w:vAlign w:val="center"/>
          </w:tcPr>
          <w:p w14:paraId="6D07677E">
            <w:pPr>
              <w:widowControl/>
              <w:wordWrap w:val="0"/>
              <w:snapToGrid w:val="0"/>
              <w:jc w:val="left"/>
              <w:textAlignment w:val="center"/>
              <w:rPr>
                <w:rFonts w:ascii="宋体" w:hAnsi="宋体" w:eastAsia="宋体" w:cs="宋体"/>
                <w:color w:val="060A26"/>
                <w:kern w:val="0"/>
                <w:szCs w:val="21"/>
                <w:lang w:bidi="ar"/>
              </w:rPr>
            </w:pPr>
            <w:r>
              <w:rPr>
                <w:rFonts w:ascii="宋体" w:hAnsi="宋体" w:eastAsia="宋体" w:cs="宋体"/>
                <w:color w:val="060A26"/>
                <w:kern w:val="0"/>
                <w:szCs w:val="21"/>
                <w:lang w:bidi="ar"/>
              </w:rPr>
              <w:t xml:space="preserve">✓ </w:t>
            </w:r>
            <w:r>
              <w:rPr>
                <w:rFonts w:hint="eastAsia" w:ascii="宋体" w:hAnsi="宋体" w:eastAsia="宋体" w:cs="宋体"/>
                <w:color w:val="060A26"/>
                <w:kern w:val="0"/>
                <w:szCs w:val="21"/>
                <w:lang w:bidi="ar"/>
              </w:rPr>
              <w:t>支持同意书状态修改，可进行查看，复制，删除操作。</w:t>
            </w:r>
          </w:p>
          <w:p w14:paraId="56220BBA">
            <w:pPr>
              <w:widowControl/>
              <w:wordWrap w:val="0"/>
              <w:snapToGrid w:val="0"/>
              <w:jc w:val="left"/>
              <w:textAlignment w:val="center"/>
              <w:rPr>
                <w:rFonts w:ascii="宋体" w:eastAsia="宋体"/>
                <w:color w:val="060A26"/>
                <w:szCs w:val="21"/>
              </w:rPr>
            </w:pPr>
            <w:r>
              <w:rPr>
                <w:rFonts w:ascii="宋体" w:hAnsi="宋体" w:eastAsia="宋体" w:cs="宋体"/>
                <w:color w:val="060A26"/>
                <w:kern w:val="0"/>
                <w:szCs w:val="21"/>
                <w:lang w:bidi="ar"/>
              </w:rPr>
              <w:t>✓</w:t>
            </w:r>
            <w:r>
              <w:rPr>
                <w:rFonts w:hint="eastAsia" w:ascii="宋体" w:hAnsi="宋体" w:eastAsia="宋体" w:cs="宋体"/>
                <w:color w:val="060A26"/>
                <w:kern w:val="0"/>
                <w:szCs w:val="21"/>
                <w:lang w:bidi="ar"/>
              </w:rPr>
              <w:t>可通过同意书名称，状态，所属科室查询</w:t>
            </w:r>
            <w:r>
              <w:rPr>
                <w:rFonts w:ascii="宋体" w:hAnsi="宋体" w:eastAsia="宋体" w:cs="宋体"/>
                <w:color w:val="060A26"/>
                <w:kern w:val="0"/>
                <w:szCs w:val="21"/>
                <w:lang w:bidi="ar"/>
              </w:rPr>
              <w:br w:type="textWrapping"/>
            </w:r>
          </w:p>
        </w:tc>
      </w:tr>
      <w:tr w14:paraId="4A6334EF">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878" w:hRule="atLeast"/>
          <w:jc w:val="center"/>
        </w:trPr>
        <w:tc>
          <w:tcPr>
            <w:tcW w:w="1433" w:type="dxa"/>
            <w:vMerge w:val="continue"/>
            <w:tcBorders>
              <w:left w:val="single" w:color="auto" w:sz="6" w:space="0"/>
              <w:right w:val="single" w:color="auto" w:sz="6" w:space="0"/>
            </w:tcBorders>
            <w:shd w:val="clear" w:color="auto" w:fill="auto"/>
            <w:tcMar>
              <w:top w:w="150" w:type="dxa"/>
              <w:left w:w="210" w:type="dxa"/>
              <w:bottom w:w="150" w:type="dxa"/>
              <w:right w:w="210" w:type="dxa"/>
            </w:tcMar>
            <w:vAlign w:val="center"/>
          </w:tcPr>
          <w:p w14:paraId="78D7F22D">
            <w:pPr>
              <w:snapToGrid w:val="0"/>
              <w:jc w:val="center"/>
              <w:rPr>
                <w:rFonts w:ascii="宋体" w:eastAsia="宋体"/>
                <w:color w:val="060A26"/>
                <w:szCs w:val="21"/>
              </w:rPr>
            </w:pPr>
          </w:p>
        </w:tc>
        <w:tc>
          <w:tcPr>
            <w:tcW w:w="1886" w:type="dxa"/>
            <w:tcBorders>
              <w:top w:val="single" w:color="auto" w:sz="6" w:space="0"/>
              <w:left w:val="single" w:color="auto" w:sz="6" w:space="0"/>
              <w:bottom w:val="single" w:color="auto" w:sz="6" w:space="0"/>
              <w:right w:val="single" w:color="auto" w:sz="6" w:space="0"/>
            </w:tcBorders>
            <w:shd w:val="clear" w:color="auto" w:fill="auto"/>
            <w:tcMar>
              <w:top w:w="150" w:type="dxa"/>
              <w:left w:w="210" w:type="dxa"/>
              <w:bottom w:w="150" w:type="dxa"/>
              <w:right w:w="210" w:type="dxa"/>
            </w:tcMar>
            <w:vAlign w:val="center"/>
          </w:tcPr>
          <w:p w14:paraId="6E2D37F9">
            <w:pPr>
              <w:widowControl/>
              <w:wordWrap w:val="0"/>
              <w:snapToGrid w:val="0"/>
              <w:jc w:val="center"/>
              <w:textAlignment w:val="center"/>
              <w:rPr>
                <w:rFonts w:ascii="宋体" w:hAnsi="宋体" w:eastAsia="宋体" w:cs="宋体"/>
                <w:color w:val="060A26"/>
                <w:kern w:val="0"/>
                <w:szCs w:val="21"/>
                <w:lang w:bidi="ar"/>
              </w:rPr>
            </w:pPr>
            <w:r>
              <w:rPr>
                <w:rFonts w:ascii="宋体" w:hAnsi="宋体" w:eastAsia="宋体" w:cs="宋体"/>
                <w:color w:val="060A26"/>
                <w:kern w:val="0"/>
                <w:szCs w:val="21"/>
                <w:lang w:bidi="ar"/>
              </w:rPr>
              <w:t>4.1.</w:t>
            </w:r>
            <w:r>
              <w:rPr>
                <w:rFonts w:hint="eastAsia" w:ascii="宋体" w:hAnsi="宋体" w:eastAsia="宋体" w:cs="宋体"/>
                <w:color w:val="060A26"/>
                <w:kern w:val="0"/>
                <w:szCs w:val="21"/>
                <w:lang w:bidi="ar"/>
              </w:rPr>
              <w:t>3已签知情同意书列表</w:t>
            </w:r>
          </w:p>
        </w:tc>
        <w:tc>
          <w:tcPr>
            <w:tcW w:w="6260" w:type="dxa"/>
            <w:tcBorders>
              <w:top w:val="single" w:color="auto" w:sz="6" w:space="0"/>
              <w:left w:val="single" w:color="auto" w:sz="6" w:space="0"/>
              <w:bottom w:val="single" w:color="auto" w:sz="6" w:space="0"/>
              <w:right w:val="single" w:color="auto" w:sz="6" w:space="0"/>
            </w:tcBorders>
            <w:shd w:val="clear" w:color="auto" w:fill="auto"/>
            <w:tcMar>
              <w:top w:w="150" w:type="dxa"/>
              <w:left w:w="210" w:type="dxa"/>
              <w:bottom w:w="150" w:type="dxa"/>
              <w:right w:w="210" w:type="dxa"/>
            </w:tcMar>
            <w:vAlign w:val="center"/>
          </w:tcPr>
          <w:p w14:paraId="17C529B7">
            <w:pPr>
              <w:widowControl/>
              <w:wordWrap w:val="0"/>
              <w:snapToGrid w:val="0"/>
              <w:jc w:val="left"/>
              <w:textAlignment w:val="center"/>
              <w:rPr>
                <w:rFonts w:ascii="宋体" w:hAnsi="宋体" w:eastAsia="宋体" w:cs="宋体"/>
                <w:color w:val="060A26"/>
                <w:kern w:val="0"/>
                <w:szCs w:val="21"/>
                <w:lang w:bidi="ar"/>
              </w:rPr>
            </w:pPr>
            <w:r>
              <w:rPr>
                <w:rFonts w:ascii="宋体" w:hAnsi="宋体" w:eastAsia="宋体" w:cs="宋体"/>
                <w:color w:val="060A26"/>
                <w:kern w:val="0"/>
                <w:szCs w:val="21"/>
                <w:lang w:bidi="ar"/>
              </w:rPr>
              <w:t>✓</w:t>
            </w:r>
            <w:r>
              <w:rPr>
                <w:rFonts w:hint="eastAsia" w:ascii="宋体" w:hAnsi="宋体" w:eastAsia="宋体" w:cs="宋体"/>
                <w:color w:val="060A26"/>
                <w:kern w:val="0"/>
                <w:szCs w:val="21"/>
                <w:lang w:bidi="ar"/>
              </w:rPr>
              <w:t>支持通过医保卡/身份证 扫码/刷卡查询，支持通过姓名，就诊卡号，住院号，放射科检查房间，签署状态，签署模板，所属科室，签署时间，签署医护人员姓名查询。</w:t>
            </w:r>
          </w:p>
        </w:tc>
      </w:tr>
      <w:tr w14:paraId="40EC4419">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1089" w:hRule="atLeast"/>
          <w:jc w:val="center"/>
        </w:trPr>
        <w:tc>
          <w:tcPr>
            <w:tcW w:w="1433" w:type="dxa"/>
            <w:vMerge w:val="continue"/>
            <w:tcBorders>
              <w:left w:val="single" w:color="auto" w:sz="6" w:space="0"/>
              <w:right w:val="single" w:color="auto" w:sz="6" w:space="0"/>
            </w:tcBorders>
            <w:shd w:val="clear" w:color="auto" w:fill="auto"/>
            <w:tcMar>
              <w:top w:w="150" w:type="dxa"/>
              <w:left w:w="210" w:type="dxa"/>
              <w:bottom w:w="150" w:type="dxa"/>
              <w:right w:w="210" w:type="dxa"/>
            </w:tcMar>
            <w:vAlign w:val="center"/>
          </w:tcPr>
          <w:p w14:paraId="253EDA0F">
            <w:pPr>
              <w:snapToGrid w:val="0"/>
              <w:jc w:val="center"/>
              <w:rPr>
                <w:rFonts w:ascii="宋体" w:eastAsia="宋体"/>
                <w:color w:val="060A26"/>
                <w:szCs w:val="21"/>
              </w:rPr>
            </w:pPr>
          </w:p>
        </w:tc>
        <w:tc>
          <w:tcPr>
            <w:tcW w:w="1886" w:type="dxa"/>
            <w:tcBorders>
              <w:top w:val="single" w:color="auto" w:sz="6" w:space="0"/>
              <w:left w:val="single" w:color="auto" w:sz="6" w:space="0"/>
              <w:bottom w:val="single" w:color="auto" w:sz="6" w:space="0"/>
              <w:right w:val="single" w:color="auto" w:sz="6" w:space="0"/>
            </w:tcBorders>
            <w:shd w:val="clear" w:color="auto" w:fill="auto"/>
            <w:tcMar>
              <w:top w:w="150" w:type="dxa"/>
              <w:left w:w="210" w:type="dxa"/>
              <w:bottom w:w="150" w:type="dxa"/>
              <w:right w:w="210" w:type="dxa"/>
            </w:tcMar>
            <w:vAlign w:val="center"/>
          </w:tcPr>
          <w:p w14:paraId="330276E3">
            <w:pPr>
              <w:widowControl/>
              <w:wordWrap w:val="0"/>
              <w:snapToGrid w:val="0"/>
              <w:jc w:val="center"/>
              <w:textAlignment w:val="center"/>
              <w:rPr>
                <w:rFonts w:ascii="宋体" w:hAnsi="宋体" w:eastAsia="宋体" w:cs="宋体"/>
                <w:color w:val="060A26"/>
                <w:kern w:val="0"/>
                <w:szCs w:val="21"/>
                <w:lang w:bidi="ar"/>
              </w:rPr>
            </w:pPr>
            <w:r>
              <w:rPr>
                <w:rFonts w:hint="eastAsia" w:ascii="宋体" w:hAnsi="宋体" w:eastAsia="宋体" w:cs="宋体"/>
                <w:color w:val="060A26"/>
                <w:kern w:val="0"/>
                <w:szCs w:val="21"/>
                <w:lang w:bidi="ar"/>
              </w:rPr>
              <w:t>4.1.4 模板科室</w:t>
            </w:r>
          </w:p>
        </w:tc>
        <w:tc>
          <w:tcPr>
            <w:tcW w:w="6260" w:type="dxa"/>
            <w:tcBorders>
              <w:top w:val="single" w:color="auto" w:sz="6" w:space="0"/>
              <w:left w:val="single" w:color="auto" w:sz="6" w:space="0"/>
              <w:bottom w:val="single" w:color="auto" w:sz="6" w:space="0"/>
              <w:right w:val="single" w:color="auto" w:sz="6" w:space="0"/>
            </w:tcBorders>
            <w:shd w:val="clear" w:color="auto" w:fill="auto"/>
            <w:tcMar>
              <w:top w:w="150" w:type="dxa"/>
              <w:left w:w="210" w:type="dxa"/>
              <w:bottom w:w="150" w:type="dxa"/>
              <w:right w:w="210" w:type="dxa"/>
            </w:tcMar>
            <w:vAlign w:val="center"/>
          </w:tcPr>
          <w:p w14:paraId="0751B186">
            <w:pPr>
              <w:widowControl/>
              <w:wordWrap w:val="0"/>
              <w:snapToGrid w:val="0"/>
              <w:jc w:val="left"/>
              <w:textAlignment w:val="center"/>
              <w:rPr>
                <w:rFonts w:ascii="宋体" w:hAnsi="宋体" w:eastAsia="宋体" w:cs="宋体"/>
                <w:color w:val="060A26"/>
                <w:kern w:val="0"/>
                <w:szCs w:val="21"/>
                <w:lang w:bidi="ar"/>
              </w:rPr>
            </w:pPr>
            <w:r>
              <w:rPr>
                <w:rFonts w:ascii="宋体" w:hAnsi="宋体" w:eastAsia="宋体" w:cs="宋体"/>
                <w:color w:val="060A26"/>
                <w:kern w:val="0"/>
                <w:szCs w:val="21"/>
                <w:lang w:bidi="ar"/>
              </w:rPr>
              <w:t>✓</w:t>
            </w:r>
            <w:r>
              <w:rPr>
                <w:rFonts w:hint="eastAsia" w:ascii="宋体" w:hAnsi="宋体" w:eastAsia="宋体" w:cs="宋体"/>
                <w:color w:val="060A26"/>
                <w:kern w:val="0"/>
                <w:szCs w:val="21"/>
                <w:lang w:bidi="ar"/>
              </w:rPr>
              <w:t>支持内镜中心，核医学科，康复科，体检中心，放射科，麻醉评估门诊，心电生理室，耳鼻喉科检查，超声预约列表，放疗科检查申请，皮肤科门诊治疗医嘱，口腔科门诊治疗医疗模块。</w:t>
            </w:r>
          </w:p>
        </w:tc>
      </w:tr>
      <w:tr w14:paraId="22407C31">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456" w:hRule="atLeast"/>
          <w:jc w:val="center"/>
        </w:trPr>
        <w:tc>
          <w:tcPr>
            <w:tcW w:w="1433" w:type="dxa"/>
            <w:vMerge w:val="continue"/>
            <w:tcBorders>
              <w:left w:val="single" w:color="auto" w:sz="6" w:space="0"/>
              <w:right w:val="single" w:color="auto" w:sz="6" w:space="0"/>
            </w:tcBorders>
            <w:shd w:val="clear" w:color="auto" w:fill="auto"/>
            <w:tcMar>
              <w:top w:w="150" w:type="dxa"/>
              <w:left w:w="210" w:type="dxa"/>
              <w:bottom w:w="150" w:type="dxa"/>
              <w:right w:w="210" w:type="dxa"/>
            </w:tcMar>
            <w:vAlign w:val="center"/>
          </w:tcPr>
          <w:p w14:paraId="72C00C85">
            <w:pPr>
              <w:snapToGrid w:val="0"/>
              <w:jc w:val="center"/>
              <w:rPr>
                <w:rFonts w:ascii="宋体" w:eastAsia="宋体"/>
                <w:color w:val="060A26"/>
                <w:szCs w:val="21"/>
              </w:rPr>
            </w:pPr>
          </w:p>
        </w:tc>
        <w:tc>
          <w:tcPr>
            <w:tcW w:w="1886" w:type="dxa"/>
            <w:tcBorders>
              <w:top w:val="single" w:color="auto" w:sz="6" w:space="0"/>
              <w:left w:val="single" w:color="auto" w:sz="6" w:space="0"/>
              <w:bottom w:val="single" w:color="auto" w:sz="6" w:space="0"/>
              <w:right w:val="single" w:color="auto" w:sz="6" w:space="0"/>
            </w:tcBorders>
            <w:shd w:val="clear" w:color="auto" w:fill="auto"/>
            <w:tcMar>
              <w:top w:w="150" w:type="dxa"/>
              <w:left w:w="210" w:type="dxa"/>
              <w:bottom w:w="150" w:type="dxa"/>
              <w:right w:w="210" w:type="dxa"/>
            </w:tcMar>
            <w:vAlign w:val="center"/>
          </w:tcPr>
          <w:p w14:paraId="1BEDAF7F">
            <w:pPr>
              <w:widowControl/>
              <w:wordWrap w:val="0"/>
              <w:snapToGrid w:val="0"/>
              <w:jc w:val="center"/>
              <w:textAlignment w:val="center"/>
              <w:rPr>
                <w:rFonts w:ascii="宋体" w:eastAsia="宋体"/>
                <w:color w:val="060A26"/>
                <w:szCs w:val="21"/>
              </w:rPr>
            </w:pPr>
            <w:r>
              <w:rPr>
                <w:rFonts w:ascii="宋体" w:hAnsi="宋体" w:eastAsia="宋体" w:cs="宋体"/>
                <w:color w:val="060A26"/>
                <w:kern w:val="0"/>
                <w:szCs w:val="21"/>
                <w:lang w:bidi="ar"/>
              </w:rPr>
              <w:t>4.2</w:t>
            </w:r>
          </w:p>
        </w:tc>
        <w:tc>
          <w:tcPr>
            <w:tcW w:w="6260" w:type="dxa"/>
            <w:tcBorders>
              <w:top w:val="single" w:color="auto" w:sz="6" w:space="0"/>
              <w:left w:val="single" w:color="auto" w:sz="6" w:space="0"/>
              <w:bottom w:val="single" w:color="auto" w:sz="6" w:space="0"/>
              <w:right w:val="single" w:color="auto" w:sz="6" w:space="0"/>
            </w:tcBorders>
            <w:shd w:val="clear" w:color="auto" w:fill="auto"/>
            <w:tcMar>
              <w:top w:w="150" w:type="dxa"/>
              <w:left w:w="210" w:type="dxa"/>
              <w:bottom w:w="150" w:type="dxa"/>
              <w:right w:w="210" w:type="dxa"/>
            </w:tcMar>
            <w:vAlign w:val="center"/>
          </w:tcPr>
          <w:p w14:paraId="7F2EB77A">
            <w:pPr>
              <w:widowControl/>
              <w:wordWrap w:val="0"/>
              <w:snapToGrid w:val="0"/>
              <w:jc w:val="left"/>
              <w:textAlignment w:val="center"/>
              <w:rPr>
                <w:rFonts w:ascii="宋体" w:eastAsia="宋体"/>
                <w:color w:val="060A26"/>
                <w:szCs w:val="21"/>
              </w:rPr>
            </w:pPr>
            <w:r>
              <w:rPr>
                <w:rFonts w:hint="eastAsia" w:ascii="宋体" w:hAnsi="宋体" w:eastAsia="宋体" w:cs="宋体"/>
                <w:b/>
                <w:bCs/>
                <w:color w:val="060A26"/>
                <w:kern w:val="0"/>
                <w:szCs w:val="21"/>
                <w:lang w:bidi="ar"/>
              </w:rPr>
              <w:t>自定义知情同意书模板</w:t>
            </w:r>
          </w:p>
        </w:tc>
      </w:tr>
      <w:tr w14:paraId="2E1CABEB">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667" w:hRule="atLeast"/>
          <w:jc w:val="center"/>
        </w:trPr>
        <w:tc>
          <w:tcPr>
            <w:tcW w:w="1433" w:type="dxa"/>
            <w:vMerge w:val="continue"/>
            <w:tcBorders>
              <w:left w:val="single" w:color="auto" w:sz="6" w:space="0"/>
              <w:right w:val="single" w:color="auto" w:sz="6" w:space="0"/>
            </w:tcBorders>
            <w:shd w:val="clear" w:color="auto" w:fill="auto"/>
            <w:tcMar>
              <w:top w:w="150" w:type="dxa"/>
              <w:left w:w="210" w:type="dxa"/>
              <w:bottom w:w="150" w:type="dxa"/>
              <w:right w:w="210" w:type="dxa"/>
            </w:tcMar>
            <w:vAlign w:val="center"/>
          </w:tcPr>
          <w:p w14:paraId="78107450">
            <w:pPr>
              <w:snapToGrid w:val="0"/>
              <w:jc w:val="center"/>
              <w:rPr>
                <w:rFonts w:ascii="宋体" w:eastAsia="宋体"/>
                <w:color w:val="060A26"/>
                <w:szCs w:val="21"/>
              </w:rPr>
            </w:pPr>
          </w:p>
        </w:tc>
        <w:tc>
          <w:tcPr>
            <w:tcW w:w="1886" w:type="dxa"/>
            <w:tcBorders>
              <w:top w:val="single" w:color="auto" w:sz="6" w:space="0"/>
              <w:left w:val="single" w:color="auto" w:sz="6" w:space="0"/>
              <w:bottom w:val="single" w:color="auto" w:sz="6" w:space="0"/>
              <w:right w:val="single" w:color="auto" w:sz="6" w:space="0"/>
            </w:tcBorders>
            <w:shd w:val="clear" w:color="auto" w:fill="auto"/>
            <w:tcMar>
              <w:top w:w="150" w:type="dxa"/>
              <w:left w:w="210" w:type="dxa"/>
              <w:bottom w:w="150" w:type="dxa"/>
              <w:right w:w="210" w:type="dxa"/>
            </w:tcMar>
            <w:vAlign w:val="center"/>
          </w:tcPr>
          <w:p w14:paraId="342DD73B">
            <w:pPr>
              <w:widowControl/>
              <w:wordWrap w:val="0"/>
              <w:snapToGrid w:val="0"/>
              <w:jc w:val="center"/>
              <w:textAlignment w:val="center"/>
              <w:rPr>
                <w:rFonts w:ascii="宋体" w:eastAsia="宋体"/>
                <w:color w:val="060A26"/>
                <w:szCs w:val="21"/>
              </w:rPr>
            </w:pPr>
            <w:r>
              <w:rPr>
                <w:rFonts w:ascii="宋体" w:hAnsi="宋体" w:eastAsia="宋体" w:cs="宋体"/>
                <w:color w:val="060A26"/>
                <w:kern w:val="0"/>
                <w:szCs w:val="21"/>
                <w:lang w:bidi="ar"/>
              </w:rPr>
              <w:t xml:space="preserve">4.2.1 </w:t>
            </w:r>
            <w:r>
              <w:rPr>
                <w:rFonts w:hint="eastAsia" w:ascii="宋体" w:hAnsi="宋体" w:eastAsia="宋体" w:cs="宋体"/>
                <w:color w:val="060A26"/>
                <w:kern w:val="0"/>
                <w:szCs w:val="21"/>
                <w:lang w:bidi="ar"/>
              </w:rPr>
              <w:t>添加知情同意书模板</w:t>
            </w:r>
          </w:p>
        </w:tc>
        <w:tc>
          <w:tcPr>
            <w:tcW w:w="6260" w:type="dxa"/>
            <w:tcBorders>
              <w:top w:val="single" w:color="auto" w:sz="6" w:space="0"/>
              <w:left w:val="single" w:color="auto" w:sz="6" w:space="0"/>
              <w:bottom w:val="single" w:color="auto" w:sz="6" w:space="0"/>
              <w:right w:val="single" w:color="auto" w:sz="6" w:space="0"/>
            </w:tcBorders>
            <w:shd w:val="clear" w:color="auto" w:fill="auto"/>
            <w:tcMar>
              <w:top w:w="150" w:type="dxa"/>
              <w:left w:w="210" w:type="dxa"/>
              <w:bottom w:w="150" w:type="dxa"/>
              <w:right w:w="210" w:type="dxa"/>
            </w:tcMar>
            <w:vAlign w:val="center"/>
          </w:tcPr>
          <w:p w14:paraId="71658253">
            <w:pPr>
              <w:widowControl/>
              <w:wordWrap w:val="0"/>
              <w:snapToGrid w:val="0"/>
              <w:jc w:val="left"/>
              <w:textAlignment w:val="center"/>
              <w:rPr>
                <w:rFonts w:ascii="宋体" w:eastAsia="宋体"/>
                <w:color w:val="060A26"/>
                <w:szCs w:val="21"/>
              </w:rPr>
            </w:pPr>
            <w:r>
              <w:rPr>
                <w:rFonts w:ascii="宋体" w:hAnsi="宋体" w:eastAsia="宋体" w:cs="宋体"/>
                <w:color w:val="060A26"/>
                <w:kern w:val="0"/>
                <w:szCs w:val="21"/>
                <w:lang w:bidi="ar"/>
              </w:rPr>
              <w:t xml:space="preserve">✓ </w:t>
            </w:r>
            <w:r>
              <w:rPr>
                <w:rFonts w:hint="eastAsia" w:ascii="宋体" w:hAnsi="宋体" w:eastAsia="宋体" w:cs="宋体"/>
                <w:color w:val="060A26"/>
                <w:kern w:val="0"/>
                <w:szCs w:val="21"/>
                <w:lang w:bidi="ar"/>
              </w:rPr>
              <w:t>支持同意书模板定制</w:t>
            </w:r>
            <w:r>
              <w:rPr>
                <w:rFonts w:hint="eastAsia" w:ascii="宋体" w:hAnsi="宋体" w:eastAsia="宋体" w:cs="宋体"/>
                <w:color w:val="060A26"/>
                <w:kern w:val="0"/>
                <w:szCs w:val="21"/>
                <w:lang w:eastAsia="zh-CN" w:bidi="ar"/>
              </w:rPr>
              <w:t>，</w:t>
            </w:r>
            <w:r>
              <w:rPr>
                <w:rFonts w:hint="eastAsia" w:asciiTheme="majorEastAsia" w:hAnsiTheme="majorEastAsia" w:eastAsiaTheme="majorEastAsia" w:cstheme="majorEastAsia"/>
                <w:color w:val="060A26"/>
                <w:kern w:val="0"/>
                <w:szCs w:val="21"/>
                <w:lang w:bidi="ar"/>
              </w:rPr>
              <w:t>据临床实际需求，承担文书模板的配置工作，保障文书模板的规范性和适用性。</w:t>
            </w:r>
          </w:p>
        </w:tc>
      </w:tr>
      <w:tr w14:paraId="66F01FBD">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456" w:hRule="atLeast"/>
          <w:jc w:val="center"/>
        </w:trPr>
        <w:tc>
          <w:tcPr>
            <w:tcW w:w="1433" w:type="dxa"/>
            <w:vMerge w:val="continue"/>
            <w:tcBorders>
              <w:left w:val="single" w:color="auto" w:sz="6" w:space="0"/>
              <w:right w:val="single" w:color="auto" w:sz="6" w:space="0"/>
            </w:tcBorders>
            <w:shd w:val="clear" w:color="auto" w:fill="auto"/>
            <w:tcMar>
              <w:top w:w="150" w:type="dxa"/>
              <w:left w:w="210" w:type="dxa"/>
              <w:bottom w:w="150" w:type="dxa"/>
              <w:right w:w="210" w:type="dxa"/>
            </w:tcMar>
            <w:vAlign w:val="center"/>
          </w:tcPr>
          <w:p w14:paraId="46C78014">
            <w:pPr>
              <w:snapToGrid w:val="0"/>
              <w:jc w:val="center"/>
              <w:rPr>
                <w:rFonts w:ascii="宋体" w:eastAsia="宋体"/>
                <w:color w:val="060A26"/>
                <w:szCs w:val="21"/>
              </w:rPr>
            </w:pPr>
          </w:p>
        </w:tc>
        <w:tc>
          <w:tcPr>
            <w:tcW w:w="1886" w:type="dxa"/>
            <w:tcBorders>
              <w:top w:val="single" w:color="auto" w:sz="6" w:space="0"/>
              <w:left w:val="single" w:color="auto" w:sz="6" w:space="0"/>
              <w:bottom w:val="single" w:color="auto" w:sz="6" w:space="0"/>
              <w:right w:val="single" w:color="auto" w:sz="6" w:space="0"/>
            </w:tcBorders>
            <w:shd w:val="clear" w:color="auto" w:fill="auto"/>
            <w:tcMar>
              <w:top w:w="150" w:type="dxa"/>
              <w:left w:w="210" w:type="dxa"/>
              <w:bottom w:w="150" w:type="dxa"/>
              <w:right w:w="210" w:type="dxa"/>
            </w:tcMar>
            <w:vAlign w:val="center"/>
          </w:tcPr>
          <w:p w14:paraId="400911A2">
            <w:pPr>
              <w:widowControl/>
              <w:wordWrap w:val="0"/>
              <w:snapToGrid w:val="0"/>
              <w:jc w:val="center"/>
              <w:textAlignment w:val="center"/>
              <w:rPr>
                <w:rFonts w:ascii="宋体" w:eastAsia="宋体"/>
                <w:color w:val="060A26"/>
                <w:szCs w:val="21"/>
              </w:rPr>
            </w:pPr>
            <w:r>
              <w:rPr>
                <w:rFonts w:ascii="宋体" w:hAnsi="宋体" w:eastAsia="宋体" w:cs="宋体"/>
                <w:color w:val="060A26"/>
                <w:kern w:val="0"/>
                <w:szCs w:val="21"/>
                <w:lang w:bidi="ar"/>
              </w:rPr>
              <w:t>4.3</w:t>
            </w:r>
          </w:p>
        </w:tc>
        <w:tc>
          <w:tcPr>
            <w:tcW w:w="6260" w:type="dxa"/>
            <w:tcBorders>
              <w:top w:val="single" w:color="auto" w:sz="6" w:space="0"/>
              <w:left w:val="single" w:color="auto" w:sz="6" w:space="0"/>
              <w:bottom w:val="single" w:color="auto" w:sz="6" w:space="0"/>
              <w:right w:val="single" w:color="auto" w:sz="6" w:space="0"/>
            </w:tcBorders>
            <w:shd w:val="clear" w:color="auto" w:fill="auto"/>
            <w:tcMar>
              <w:top w:w="150" w:type="dxa"/>
              <w:left w:w="210" w:type="dxa"/>
              <w:bottom w:w="150" w:type="dxa"/>
              <w:right w:w="210" w:type="dxa"/>
            </w:tcMar>
            <w:vAlign w:val="center"/>
          </w:tcPr>
          <w:p w14:paraId="4E42AD00">
            <w:pPr>
              <w:widowControl/>
              <w:wordWrap w:val="0"/>
              <w:snapToGrid w:val="0"/>
              <w:jc w:val="left"/>
              <w:textAlignment w:val="center"/>
              <w:rPr>
                <w:rFonts w:ascii="宋体" w:eastAsia="宋体"/>
                <w:color w:val="060A26"/>
                <w:szCs w:val="21"/>
              </w:rPr>
            </w:pPr>
            <w:r>
              <w:rPr>
                <w:rFonts w:hint="eastAsia" w:ascii="宋体" w:hAnsi="宋体" w:eastAsia="宋体" w:cs="宋体"/>
                <w:b/>
                <w:bCs/>
                <w:color w:val="060A26"/>
                <w:kern w:val="0"/>
                <w:szCs w:val="21"/>
                <w:lang w:bidi="ar"/>
              </w:rPr>
              <w:t>用户</w:t>
            </w:r>
            <w:r>
              <w:rPr>
                <w:rFonts w:hint="eastAsia" w:ascii="宋体" w:hAnsi="宋体" w:eastAsia="宋体" w:cs="宋体"/>
                <w:b/>
                <w:bCs/>
                <w:color w:val="060A26"/>
                <w:kern w:val="0"/>
                <w:szCs w:val="21"/>
                <w:lang w:val="en-US" w:eastAsia="zh-CN" w:bidi="ar"/>
              </w:rPr>
              <w:t>/</w:t>
            </w:r>
            <w:r>
              <w:rPr>
                <w:rFonts w:hint="eastAsia" w:ascii="宋体" w:hAnsi="宋体" w:eastAsia="宋体" w:cs="宋体"/>
                <w:b/>
                <w:bCs/>
                <w:color w:val="060A26"/>
                <w:kern w:val="0"/>
                <w:szCs w:val="21"/>
                <w:lang w:bidi="ar"/>
              </w:rPr>
              <w:t>角色管理</w:t>
            </w:r>
          </w:p>
        </w:tc>
      </w:tr>
      <w:tr w14:paraId="5BA95CBC">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667" w:hRule="atLeast"/>
          <w:jc w:val="center"/>
        </w:trPr>
        <w:tc>
          <w:tcPr>
            <w:tcW w:w="1433" w:type="dxa"/>
            <w:vMerge w:val="continue"/>
            <w:tcBorders>
              <w:left w:val="single" w:color="auto" w:sz="6" w:space="0"/>
              <w:right w:val="single" w:color="auto" w:sz="6" w:space="0"/>
            </w:tcBorders>
            <w:shd w:val="clear" w:color="auto" w:fill="auto"/>
            <w:tcMar>
              <w:top w:w="150" w:type="dxa"/>
              <w:left w:w="210" w:type="dxa"/>
              <w:bottom w:w="150" w:type="dxa"/>
              <w:right w:w="210" w:type="dxa"/>
            </w:tcMar>
            <w:vAlign w:val="center"/>
          </w:tcPr>
          <w:p w14:paraId="1FCF3A9A">
            <w:pPr>
              <w:snapToGrid w:val="0"/>
              <w:jc w:val="center"/>
              <w:rPr>
                <w:rFonts w:ascii="宋体" w:eastAsia="宋体"/>
                <w:color w:val="060A26"/>
                <w:szCs w:val="21"/>
              </w:rPr>
            </w:pPr>
          </w:p>
        </w:tc>
        <w:tc>
          <w:tcPr>
            <w:tcW w:w="1886" w:type="dxa"/>
            <w:tcBorders>
              <w:top w:val="single" w:color="auto" w:sz="6" w:space="0"/>
              <w:left w:val="single" w:color="auto" w:sz="6" w:space="0"/>
              <w:bottom w:val="single" w:color="auto" w:sz="6" w:space="0"/>
              <w:right w:val="single" w:color="auto" w:sz="6" w:space="0"/>
            </w:tcBorders>
            <w:shd w:val="clear" w:color="auto" w:fill="auto"/>
            <w:tcMar>
              <w:top w:w="150" w:type="dxa"/>
              <w:left w:w="210" w:type="dxa"/>
              <w:bottom w:w="150" w:type="dxa"/>
              <w:right w:w="210" w:type="dxa"/>
            </w:tcMar>
            <w:vAlign w:val="center"/>
          </w:tcPr>
          <w:p w14:paraId="619ED255">
            <w:pPr>
              <w:widowControl/>
              <w:wordWrap w:val="0"/>
              <w:snapToGrid w:val="0"/>
              <w:jc w:val="center"/>
              <w:textAlignment w:val="center"/>
              <w:rPr>
                <w:rFonts w:ascii="宋体" w:eastAsia="宋体"/>
                <w:color w:val="060A26"/>
                <w:szCs w:val="21"/>
              </w:rPr>
            </w:pPr>
            <w:r>
              <w:rPr>
                <w:rFonts w:ascii="宋体" w:hAnsi="宋体" w:eastAsia="宋体" w:cs="宋体"/>
                <w:color w:val="060A26"/>
                <w:kern w:val="0"/>
                <w:szCs w:val="21"/>
                <w:lang w:bidi="ar"/>
              </w:rPr>
              <w:t xml:space="preserve">4.3.1 </w:t>
            </w:r>
            <w:r>
              <w:rPr>
                <w:rFonts w:hint="eastAsia" w:ascii="宋体" w:hAnsi="宋体" w:eastAsia="宋体" w:cs="宋体"/>
                <w:color w:val="060A26"/>
                <w:kern w:val="0"/>
                <w:szCs w:val="21"/>
                <w:lang w:bidi="ar"/>
              </w:rPr>
              <w:t>用户管理</w:t>
            </w:r>
          </w:p>
        </w:tc>
        <w:tc>
          <w:tcPr>
            <w:tcW w:w="6260" w:type="dxa"/>
            <w:tcBorders>
              <w:top w:val="single" w:color="auto" w:sz="6" w:space="0"/>
              <w:left w:val="single" w:color="auto" w:sz="6" w:space="0"/>
              <w:bottom w:val="single" w:color="auto" w:sz="6" w:space="0"/>
              <w:right w:val="single" w:color="auto" w:sz="6" w:space="0"/>
            </w:tcBorders>
            <w:shd w:val="clear" w:color="auto" w:fill="auto"/>
            <w:tcMar>
              <w:top w:w="150" w:type="dxa"/>
              <w:left w:w="210" w:type="dxa"/>
              <w:bottom w:w="150" w:type="dxa"/>
              <w:right w:w="210" w:type="dxa"/>
            </w:tcMar>
            <w:vAlign w:val="center"/>
          </w:tcPr>
          <w:p w14:paraId="7ECD65DF">
            <w:pPr>
              <w:widowControl/>
              <w:wordWrap w:val="0"/>
              <w:snapToGrid w:val="0"/>
              <w:jc w:val="left"/>
              <w:textAlignment w:val="center"/>
              <w:rPr>
                <w:rFonts w:ascii="宋体" w:eastAsia="宋体"/>
                <w:color w:val="060A26"/>
                <w:szCs w:val="21"/>
              </w:rPr>
            </w:pPr>
            <w:r>
              <w:rPr>
                <w:rFonts w:ascii="宋体" w:hAnsi="宋体" w:eastAsia="宋体" w:cs="宋体"/>
                <w:color w:val="060A26"/>
                <w:kern w:val="0"/>
                <w:szCs w:val="21"/>
                <w:lang w:bidi="ar"/>
              </w:rPr>
              <w:t xml:space="preserve">✓ </w:t>
            </w:r>
            <w:r>
              <w:rPr>
                <w:rFonts w:hint="eastAsia" w:ascii="宋体" w:hAnsi="宋体" w:eastAsia="宋体" w:cs="宋体"/>
                <w:color w:val="060A26"/>
                <w:kern w:val="0"/>
                <w:szCs w:val="21"/>
                <w:lang w:bidi="ar"/>
              </w:rPr>
              <w:t>支持修改用户角色</w:t>
            </w:r>
          </w:p>
        </w:tc>
      </w:tr>
      <w:tr w14:paraId="2A32434C">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667" w:hRule="atLeast"/>
          <w:jc w:val="center"/>
        </w:trPr>
        <w:tc>
          <w:tcPr>
            <w:tcW w:w="1433" w:type="dxa"/>
            <w:vMerge w:val="continue"/>
            <w:tcBorders>
              <w:left w:val="single" w:color="auto" w:sz="6" w:space="0"/>
              <w:right w:val="single" w:color="auto" w:sz="6" w:space="0"/>
            </w:tcBorders>
            <w:shd w:val="clear" w:color="auto" w:fill="auto"/>
            <w:tcMar>
              <w:top w:w="150" w:type="dxa"/>
              <w:left w:w="210" w:type="dxa"/>
              <w:bottom w:w="150" w:type="dxa"/>
              <w:right w:w="210" w:type="dxa"/>
            </w:tcMar>
            <w:vAlign w:val="center"/>
          </w:tcPr>
          <w:p w14:paraId="0E2E587A">
            <w:pPr>
              <w:snapToGrid w:val="0"/>
              <w:jc w:val="center"/>
              <w:rPr>
                <w:rFonts w:ascii="宋体" w:eastAsia="宋体"/>
                <w:color w:val="060A26"/>
                <w:szCs w:val="21"/>
              </w:rPr>
            </w:pPr>
          </w:p>
        </w:tc>
        <w:tc>
          <w:tcPr>
            <w:tcW w:w="1886" w:type="dxa"/>
            <w:tcBorders>
              <w:top w:val="single" w:color="auto" w:sz="6" w:space="0"/>
              <w:left w:val="single" w:color="auto" w:sz="6" w:space="0"/>
              <w:bottom w:val="single" w:color="auto" w:sz="6" w:space="0"/>
              <w:right w:val="single" w:color="auto" w:sz="6" w:space="0"/>
            </w:tcBorders>
            <w:shd w:val="clear" w:color="auto" w:fill="auto"/>
            <w:tcMar>
              <w:top w:w="150" w:type="dxa"/>
              <w:left w:w="210" w:type="dxa"/>
              <w:bottom w:w="150" w:type="dxa"/>
              <w:right w:w="210" w:type="dxa"/>
            </w:tcMar>
            <w:vAlign w:val="center"/>
          </w:tcPr>
          <w:p w14:paraId="477E3310">
            <w:pPr>
              <w:widowControl/>
              <w:wordWrap w:val="0"/>
              <w:snapToGrid w:val="0"/>
              <w:jc w:val="center"/>
              <w:textAlignment w:val="center"/>
              <w:rPr>
                <w:rFonts w:ascii="宋体" w:eastAsia="宋体"/>
                <w:color w:val="060A26"/>
                <w:szCs w:val="21"/>
              </w:rPr>
            </w:pPr>
            <w:r>
              <w:rPr>
                <w:rFonts w:ascii="宋体" w:hAnsi="宋体" w:eastAsia="宋体" w:cs="宋体"/>
                <w:color w:val="060A26"/>
                <w:kern w:val="0"/>
                <w:szCs w:val="21"/>
                <w:lang w:bidi="ar"/>
              </w:rPr>
              <w:t xml:space="preserve">4.3.2 </w:t>
            </w:r>
            <w:r>
              <w:rPr>
                <w:rFonts w:hint="eastAsia" w:ascii="宋体" w:hAnsi="宋体" w:eastAsia="宋体" w:cs="宋体"/>
                <w:color w:val="060A26"/>
                <w:kern w:val="0"/>
                <w:szCs w:val="21"/>
                <w:lang w:bidi="ar"/>
              </w:rPr>
              <w:t>角色管理</w:t>
            </w:r>
          </w:p>
        </w:tc>
        <w:tc>
          <w:tcPr>
            <w:tcW w:w="6260" w:type="dxa"/>
            <w:tcBorders>
              <w:top w:val="single" w:color="auto" w:sz="6" w:space="0"/>
              <w:left w:val="single" w:color="auto" w:sz="6" w:space="0"/>
              <w:bottom w:val="single" w:color="auto" w:sz="6" w:space="0"/>
              <w:right w:val="single" w:color="auto" w:sz="6" w:space="0"/>
            </w:tcBorders>
            <w:shd w:val="clear" w:color="auto" w:fill="auto"/>
            <w:tcMar>
              <w:top w:w="150" w:type="dxa"/>
              <w:left w:w="210" w:type="dxa"/>
              <w:bottom w:w="150" w:type="dxa"/>
              <w:right w:w="210" w:type="dxa"/>
            </w:tcMar>
            <w:vAlign w:val="center"/>
          </w:tcPr>
          <w:p w14:paraId="3D5426EE">
            <w:pPr>
              <w:widowControl/>
              <w:wordWrap w:val="0"/>
              <w:snapToGrid w:val="0"/>
              <w:jc w:val="left"/>
              <w:textAlignment w:val="center"/>
              <w:rPr>
                <w:rFonts w:ascii="宋体" w:eastAsia="宋体"/>
                <w:color w:val="060A26"/>
                <w:szCs w:val="21"/>
              </w:rPr>
            </w:pPr>
            <w:r>
              <w:rPr>
                <w:rFonts w:ascii="宋体" w:hAnsi="宋体" w:eastAsia="宋体" w:cs="宋体"/>
                <w:color w:val="060A26"/>
                <w:kern w:val="0"/>
                <w:szCs w:val="21"/>
                <w:lang w:bidi="ar"/>
              </w:rPr>
              <w:t xml:space="preserve">✓ </w:t>
            </w:r>
            <w:r>
              <w:rPr>
                <w:rFonts w:hint="eastAsia" w:ascii="宋体" w:hAnsi="宋体" w:eastAsia="宋体" w:cs="宋体"/>
                <w:color w:val="060A26"/>
                <w:kern w:val="0"/>
                <w:szCs w:val="21"/>
                <w:lang w:bidi="ar"/>
              </w:rPr>
              <w:t>支持修改角色页面权限，数据权限</w:t>
            </w:r>
          </w:p>
        </w:tc>
      </w:tr>
      <w:tr w14:paraId="4206A640">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456" w:hRule="atLeast"/>
          <w:jc w:val="center"/>
        </w:trPr>
        <w:tc>
          <w:tcPr>
            <w:tcW w:w="1433" w:type="dxa"/>
            <w:tcBorders>
              <w:left w:val="single" w:color="auto" w:sz="6" w:space="0"/>
              <w:right w:val="single" w:color="auto" w:sz="6" w:space="0"/>
            </w:tcBorders>
            <w:shd w:val="clear" w:color="auto" w:fill="auto"/>
            <w:tcMar>
              <w:top w:w="150" w:type="dxa"/>
              <w:left w:w="210" w:type="dxa"/>
              <w:bottom w:w="150" w:type="dxa"/>
              <w:right w:w="210" w:type="dxa"/>
            </w:tcMar>
            <w:vAlign w:val="center"/>
          </w:tcPr>
          <w:p w14:paraId="00C50E25">
            <w:pPr>
              <w:snapToGrid w:val="0"/>
              <w:jc w:val="center"/>
              <w:rPr>
                <w:rFonts w:ascii="宋体" w:eastAsia="宋体"/>
                <w:color w:val="060A26"/>
                <w:szCs w:val="21"/>
              </w:rPr>
            </w:pPr>
          </w:p>
        </w:tc>
        <w:tc>
          <w:tcPr>
            <w:tcW w:w="1886" w:type="dxa"/>
            <w:tcBorders>
              <w:top w:val="single" w:color="auto" w:sz="6" w:space="0"/>
              <w:left w:val="single" w:color="auto" w:sz="6" w:space="0"/>
              <w:bottom w:val="single" w:color="auto" w:sz="6" w:space="0"/>
              <w:right w:val="single" w:color="auto" w:sz="6" w:space="0"/>
            </w:tcBorders>
            <w:shd w:val="clear" w:color="auto" w:fill="auto"/>
            <w:tcMar>
              <w:top w:w="150" w:type="dxa"/>
              <w:left w:w="210" w:type="dxa"/>
              <w:bottom w:w="150" w:type="dxa"/>
              <w:right w:w="210" w:type="dxa"/>
            </w:tcMar>
            <w:vAlign w:val="center"/>
          </w:tcPr>
          <w:p w14:paraId="0F03352E">
            <w:pPr>
              <w:widowControl/>
              <w:wordWrap w:val="0"/>
              <w:snapToGrid w:val="0"/>
              <w:jc w:val="center"/>
              <w:textAlignment w:val="center"/>
              <w:rPr>
                <w:rFonts w:ascii="宋体" w:hAnsi="宋体" w:eastAsia="宋体" w:cs="宋体"/>
                <w:color w:val="060A26"/>
                <w:kern w:val="0"/>
                <w:szCs w:val="21"/>
                <w:lang w:bidi="ar"/>
              </w:rPr>
            </w:pPr>
            <w:r>
              <w:rPr>
                <w:rFonts w:hint="eastAsia" w:ascii="宋体" w:hAnsi="宋体" w:eastAsia="宋体" w:cs="宋体"/>
                <w:color w:val="060A26"/>
                <w:kern w:val="0"/>
                <w:szCs w:val="21"/>
                <w:lang w:bidi="ar"/>
              </w:rPr>
              <w:t>4.4</w:t>
            </w:r>
          </w:p>
        </w:tc>
        <w:tc>
          <w:tcPr>
            <w:tcW w:w="6260" w:type="dxa"/>
            <w:tcBorders>
              <w:top w:val="single" w:color="auto" w:sz="6" w:space="0"/>
              <w:left w:val="single" w:color="auto" w:sz="6" w:space="0"/>
              <w:bottom w:val="single" w:color="auto" w:sz="6" w:space="0"/>
              <w:right w:val="single" w:color="auto" w:sz="6" w:space="0"/>
            </w:tcBorders>
            <w:shd w:val="clear" w:color="auto" w:fill="auto"/>
            <w:tcMar>
              <w:top w:w="150" w:type="dxa"/>
              <w:left w:w="210" w:type="dxa"/>
              <w:bottom w:w="150" w:type="dxa"/>
              <w:right w:w="210" w:type="dxa"/>
            </w:tcMar>
            <w:vAlign w:val="center"/>
          </w:tcPr>
          <w:p w14:paraId="1566D9B1">
            <w:pPr>
              <w:widowControl/>
              <w:wordWrap w:val="0"/>
              <w:snapToGrid w:val="0"/>
              <w:jc w:val="left"/>
              <w:textAlignment w:val="center"/>
              <w:rPr>
                <w:rFonts w:ascii="宋体" w:hAnsi="宋体" w:eastAsia="宋体" w:cs="宋体"/>
                <w:color w:val="060A26"/>
                <w:kern w:val="0"/>
                <w:szCs w:val="21"/>
                <w:lang w:bidi="ar"/>
              </w:rPr>
            </w:pPr>
            <w:r>
              <w:rPr>
                <w:rFonts w:hint="eastAsia" w:ascii="宋体" w:hAnsi="宋体" w:eastAsia="宋体" w:cs="宋体"/>
                <w:b/>
                <w:bCs/>
                <w:color w:val="060A26"/>
                <w:kern w:val="0"/>
                <w:szCs w:val="21"/>
                <w:lang w:bidi="ar"/>
              </w:rPr>
              <w:t>科室检查</w:t>
            </w:r>
          </w:p>
        </w:tc>
      </w:tr>
      <w:tr w14:paraId="306A82DC">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878" w:hRule="atLeast"/>
          <w:jc w:val="center"/>
        </w:trPr>
        <w:tc>
          <w:tcPr>
            <w:tcW w:w="1433" w:type="dxa"/>
            <w:tcBorders>
              <w:left w:val="single" w:color="auto" w:sz="6" w:space="0"/>
              <w:right w:val="single" w:color="auto" w:sz="6" w:space="0"/>
            </w:tcBorders>
            <w:shd w:val="clear" w:color="auto" w:fill="auto"/>
            <w:tcMar>
              <w:top w:w="150" w:type="dxa"/>
              <w:left w:w="210" w:type="dxa"/>
              <w:bottom w:w="150" w:type="dxa"/>
              <w:right w:w="210" w:type="dxa"/>
            </w:tcMar>
            <w:vAlign w:val="center"/>
          </w:tcPr>
          <w:p w14:paraId="1FC2FDEC">
            <w:pPr>
              <w:snapToGrid w:val="0"/>
              <w:jc w:val="center"/>
              <w:rPr>
                <w:rFonts w:ascii="宋体" w:eastAsia="宋体"/>
                <w:color w:val="060A26"/>
                <w:szCs w:val="21"/>
              </w:rPr>
            </w:pPr>
          </w:p>
        </w:tc>
        <w:tc>
          <w:tcPr>
            <w:tcW w:w="1886" w:type="dxa"/>
            <w:tcBorders>
              <w:top w:val="single" w:color="auto" w:sz="6" w:space="0"/>
              <w:left w:val="single" w:color="auto" w:sz="6" w:space="0"/>
              <w:bottom w:val="single" w:color="auto" w:sz="6" w:space="0"/>
              <w:right w:val="single" w:color="auto" w:sz="6" w:space="0"/>
            </w:tcBorders>
            <w:shd w:val="clear" w:color="auto" w:fill="auto"/>
            <w:tcMar>
              <w:top w:w="150" w:type="dxa"/>
              <w:left w:w="210" w:type="dxa"/>
              <w:bottom w:w="150" w:type="dxa"/>
              <w:right w:w="210" w:type="dxa"/>
            </w:tcMar>
            <w:vAlign w:val="center"/>
          </w:tcPr>
          <w:p w14:paraId="4D585901">
            <w:pPr>
              <w:widowControl/>
              <w:wordWrap w:val="0"/>
              <w:snapToGrid w:val="0"/>
              <w:jc w:val="center"/>
              <w:textAlignment w:val="center"/>
              <w:rPr>
                <w:rFonts w:ascii="宋体" w:hAnsi="宋体" w:eastAsia="宋体" w:cs="宋体"/>
                <w:color w:val="060A26"/>
                <w:kern w:val="0"/>
                <w:szCs w:val="21"/>
                <w:lang w:bidi="ar"/>
              </w:rPr>
            </w:pPr>
            <w:r>
              <w:rPr>
                <w:rFonts w:hint="eastAsia" w:ascii="宋体" w:hAnsi="宋体" w:eastAsia="宋体" w:cs="宋体"/>
                <w:color w:val="060A26"/>
                <w:kern w:val="0"/>
                <w:szCs w:val="21"/>
                <w:lang w:bidi="ar"/>
              </w:rPr>
              <w:t>4.4.1 科室检查</w:t>
            </w:r>
          </w:p>
        </w:tc>
        <w:tc>
          <w:tcPr>
            <w:tcW w:w="6260" w:type="dxa"/>
            <w:tcBorders>
              <w:top w:val="single" w:color="auto" w:sz="6" w:space="0"/>
              <w:left w:val="single" w:color="auto" w:sz="6" w:space="0"/>
              <w:bottom w:val="single" w:color="auto" w:sz="6" w:space="0"/>
              <w:right w:val="single" w:color="auto" w:sz="6" w:space="0"/>
            </w:tcBorders>
            <w:shd w:val="clear" w:color="auto" w:fill="auto"/>
            <w:tcMar>
              <w:top w:w="150" w:type="dxa"/>
              <w:left w:w="210" w:type="dxa"/>
              <w:bottom w:w="150" w:type="dxa"/>
              <w:right w:w="210" w:type="dxa"/>
            </w:tcMar>
            <w:vAlign w:val="center"/>
          </w:tcPr>
          <w:p w14:paraId="4EEC13A0">
            <w:pPr>
              <w:widowControl/>
              <w:wordWrap w:val="0"/>
              <w:snapToGrid w:val="0"/>
              <w:jc w:val="left"/>
              <w:textAlignment w:val="center"/>
              <w:rPr>
                <w:rFonts w:ascii="宋体" w:hAnsi="宋体" w:eastAsia="宋体" w:cs="宋体"/>
                <w:color w:val="060A26"/>
                <w:kern w:val="0"/>
                <w:szCs w:val="21"/>
                <w:lang w:bidi="ar"/>
              </w:rPr>
            </w:pPr>
            <w:r>
              <w:rPr>
                <w:rFonts w:ascii="宋体" w:hAnsi="宋体" w:eastAsia="宋体" w:cs="宋体"/>
                <w:color w:val="060A26"/>
                <w:kern w:val="0"/>
                <w:szCs w:val="21"/>
                <w:lang w:bidi="ar"/>
              </w:rPr>
              <w:t xml:space="preserve">✓ </w:t>
            </w:r>
            <w:r>
              <w:rPr>
                <w:rFonts w:hint="eastAsia" w:ascii="宋体" w:hAnsi="宋体" w:eastAsia="宋体" w:cs="宋体"/>
                <w:color w:val="060A26"/>
                <w:kern w:val="0"/>
                <w:szCs w:val="21"/>
                <w:lang w:bidi="ar"/>
              </w:rPr>
              <w:t>支持开单时间，刷卡/码，患者信息查询</w:t>
            </w:r>
          </w:p>
          <w:p w14:paraId="6D48453C">
            <w:pPr>
              <w:widowControl/>
              <w:wordWrap w:val="0"/>
              <w:snapToGrid w:val="0"/>
              <w:jc w:val="left"/>
              <w:textAlignment w:val="center"/>
              <w:rPr>
                <w:rFonts w:ascii="宋体" w:hAnsi="宋体" w:eastAsia="宋体" w:cs="宋体"/>
                <w:color w:val="060A26"/>
                <w:kern w:val="0"/>
                <w:szCs w:val="21"/>
                <w:lang w:bidi="ar"/>
              </w:rPr>
            </w:pPr>
            <w:r>
              <w:rPr>
                <w:rFonts w:ascii="宋体" w:hAnsi="宋体" w:eastAsia="宋体" w:cs="宋体"/>
                <w:color w:val="060A26"/>
                <w:kern w:val="0"/>
                <w:szCs w:val="21"/>
                <w:lang w:bidi="ar"/>
              </w:rPr>
              <w:t xml:space="preserve">✓ </w:t>
            </w:r>
            <w:r>
              <w:rPr>
                <w:rFonts w:hint="eastAsia" w:ascii="宋体" w:hAnsi="宋体" w:eastAsia="宋体" w:cs="宋体"/>
                <w:color w:val="060A26"/>
                <w:kern w:val="0"/>
                <w:szCs w:val="21"/>
                <w:lang w:bidi="ar"/>
              </w:rPr>
              <w:t>页面显示ID，就诊卡号，患者姓名，性别，联系方式，诊疗类别，检查项目，开单科室，开单时间，状体内容。</w:t>
            </w:r>
          </w:p>
        </w:tc>
      </w:tr>
      <w:tr w14:paraId="01DF26EB">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456" w:hRule="atLeast"/>
          <w:jc w:val="center"/>
        </w:trPr>
        <w:tc>
          <w:tcPr>
            <w:tcW w:w="1433" w:type="dxa"/>
            <w:tcBorders>
              <w:left w:val="single" w:color="auto" w:sz="6" w:space="0"/>
              <w:right w:val="single" w:color="auto" w:sz="6" w:space="0"/>
            </w:tcBorders>
            <w:shd w:val="clear" w:color="auto" w:fill="auto"/>
            <w:tcMar>
              <w:top w:w="150" w:type="dxa"/>
              <w:left w:w="210" w:type="dxa"/>
              <w:bottom w:w="150" w:type="dxa"/>
              <w:right w:w="210" w:type="dxa"/>
            </w:tcMar>
            <w:vAlign w:val="center"/>
          </w:tcPr>
          <w:p w14:paraId="04E364EF">
            <w:pPr>
              <w:snapToGrid w:val="0"/>
              <w:jc w:val="center"/>
              <w:rPr>
                <w:rFonts w:ascii="宋体" w:eastAsia="宋体"/>
                <w:color w:val="060A26"/>
                <w:szCs w:val="21"/>
              </w:rPr>
            </w:pPr>
          </w:p>
        </w:tc>
        <w:tc>
          <w:tcPr>
            <w:tcW w:w="8146" w:type="dxa"/>
            <w:gridSpan w:val="2"/>
            <w:tcBorders>
              <w:top w:val="single" w:color="auto" w:sz="6" w:space="0"/>
              <w:left w:val="single" w:color="auto" w:sz="6" w:space="0"/>
              <w:bottom w:val="single" w:color="auto" w:sz="6" w:space="0"/>
              <w:right w:val="single" w:color="auto" w:sz="6" w:space="0"/>
            </w:tcBorders>
            <w:shd w:val="clear" w:color="auto" w:fill="auto"/>
            <w:tcMar>
              <w:top w:w="150" w:type="dxa"/>
              <w:left w:w="210" w:type="dxa"/>
              <w:bottom w:w="150" w:type="dxa"/>
              <w:right w:w="210" w:type="dxa"/>
            </w:tcMar>
            <w:vAlign w:val="center"/>
          </w:tcPr>
          <w:p w14:paraId="4FF179DD">
            <w:pPr>
              <w:widowControl/>
              <w:wordWrap w:val="0"/>
              <w:snapToGrid w:val="0"/>
              <w:jc w:val="left"/>
              <w:textAlignment w:val="center"/>
              <w:rPr>
                <w:rFonts w:ascii="宋体" w:hAnsi="宋体" w:eastAsia="宋体" w:cs="宋体"/>
                <w:color w:val="060A26"/>
                <w:kern w:val="0"/>
                <w:szCs w:val="21"/>
                <w:lang w:bidi="ar"/>
              </w:rPr>
            </w:pPr>
            <w:r>
              <w:rPr>
                <w:rFonts w:hint="eastAsia" w:ascii="宋体" w:hAnsi="宋体" w:cs="宋体"/>
                <w:b/>
                <w:bCs/>
                <w:color w:val="060A26"/>
                <w:kern w:val="0"/>
                <w:szCs w:val="21"/>
                <w:lang w:eastAsia="zh-CN" w:bidi="ar"/>
              </w:rPr>
              <w:t>（</w:t>
            </w:r>
            <w:r>
              <w:rPr>
                <w:rFonts w:hint="eastAsia" w:ascii="宋体" w:hAnsi="宋体" w:cs="宋体"/>
                <w:b/>
                <w:bCs/>
                <w:color w:val="060A26"/>
                <w:kern w:val="0"/>
                <w:szCs w:val="21"/>
                <w:lang w:val="en-US" w:eastAsia="zh-CN" w:bidi="ar"/>
              </w:rPr>
              <w:t>二</w:t>
            </w:r>
            <w:r>
              <w:rPr>
                <w:rFonts w:hint="eastAsia" w:ascii="宋体" w:hAnsi="宋体" w:cs="宋体"/>
                <w:b/>
                <w:bCs/>
                <w:color w:val="060A26"/>
                <w:kern w:val="0"/>
                <w:szCs w:val="21"/>
                <w:lang w:eastAsia="zh-CN" w:bidi="ar"/>
              </w:rPr>
              <w:t>）</w:t>
            </w:r>
            <w:r>
              <w:rPr>
                <w:rFonts w:hint="eastAsia" w:ascii="宋体" w:hAnsi="宋体" w:eastAsia="宋体" w:cs="宋体"/>
                <w:b/>
                <w:bCs/>
                <w:color w:val="060A26"/>
                <w:kern w:val="0"/>
                <w:szCs w:val="21"/>
                <w:lang w:bidi="ar"/>
              </w:rPr>
              <w:t>新增功能需求</w:t>
            </w:r>
          </w:p>
        </w:tc>
      </w:tr>
      <w:tr w14:paraId="4BF40A55">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1300" w:hRule="atLeast"/>
          <w:jc w:val="center"/>
        </w:trPr>
        <w:tc>
          <w:tcPr>
            <w:tcW w:w="1433" w:type="dxa"/>
            <w:tcBorders>
              <w:left w:val="single" w:color="auto" w:sz="6" w:space="0"/>
              <w:right w:val="single" w:color="auto" w:sz="6" w:space="0"/>
            </w:tcBorders>
            <w:shd w:val="clear" w:color="auto" w:fill="auto"/>
            <w:tcMar>
              <w:top w:w="150" w:type="dxa"/>
              <w:left w:w="210" w:type="dxa"/>
              <w:bottom w:w="150" w:type="dxa"/>
              <w:right w:w="210" w:type="dxa"/>
            </w:tcMar>
            <w:vAlign w:val="center"/>
          </w:tcPr>
          <w:p w14:paraId="4CDD674C">
            <w:pPr>
              <w:snapToGrid w:val="0"/>
              <w:jc w:val="center"/>
              <w:rPr>
                <w:rFonts w:ascii="宋体" w:eastAsia="宋体"/>
                <w:color w:val="060A26"/>
                <w:szCs w:val="21"/>
              </w:rPr>
            </w:pPr>
          </w:p>
        </w:tc>
        <w:tc>
          <w:tcPr>
            <w:tcW w:w="1886" w:type="dxa"/>
            <w:tcBorders>
              <w:top w:val="single" w:color="auto" w:sz="6" w:space="0"/>
              <w:left w:val="single" w:color="auto" w:sz="6" w:space="0"/>
              <w:bottom w:val="single" w:color="auto" w:sz="6" w:space="0"/>
              <w:right w:val="single" w:color="auto" w:sz="6" w:space="0"/>
            </w:tcBorders>
            <w:shd w:val="clear" w:color="auto" w:fill="auto"/>
            <w:tcMar>
              <w:top w:w="150" w:type="dxa"/>
              <w:left w:w="210" w:type="dxa"/>
              <w:bottom w:w="150" w:type="dxa"/>
              <w:right w:w="210" w:type="dxa"/>
            </w:tcMar>
            <w:vAlign w:val="center"/>
          </w:tcPr>
          <w:p w14:paraId="5409C3FE">
            <w:pPr>
              <w:widowControl/>
              <w:wordWrap w:val="0"/>
              <w:snapToGrid w:val="0"/>
              <w:jc w:val="center"/>
              <w:textAlignment w:val="center"/>
              <w:rPr>
                <w:rFonts w:ascii="宋体" w:hAnsi="宋体" w:eastAsia="宋体" w:cs="宋体"/>
                <w:color w:val="060A26"/>
                <w:kern w:val="0"/>
                <w:szCs w:val="21"/>
                <w:lang w:bidi="ar"/>
              </w:rPr>
            </w:pPr>
            <w:r>
              <w:rPr>
                <w:rFonts w:hint="eastAsia" w:ascii="宋体" w:hAnsi="宋体" w:eastAsia="宋体" w:cs="宋体"/>
                <w:color w:val="060A26"/>
                <w:kern w:val="0"/>
                <w:szCs w:val="21"/>
                <w:lang w:bidi="ar"/>
              </w:rPr>
              <w:t>4.5.1数据统计管理</w:t>
            </w:r>
          </w:p>
        </w:tc>
        <w:tc>
          <w:tcPr>
            <w:tcW w:w="6260" w:type="dxa"/>
            <w:tcBorders>
              <w:top w:val="single" w:color="auto" w:sz="6" w:space="0"/>
              <w:left w:val="single" w:color="auto" w:sz="6" w:space="0"/>
              <w:bottom w:val="single" w:color="auto" w:sz="6" w:space="0"/>
              <w:right w:val="single" w:color="auto" w:sz="6" w:space="0"/>
            </w:tcBorders>
            <w:shd w:val="clear" w:color="auto" w:fill="auto"/>
            <w:tcMar>
              <w:top w:w="150" w:type="dxa"/>
              <w:left w:w="210" w:type="dxa"/>
              <w:bottom w:w="150" w:type="dxa"/>
              <w:right w:w="210" w:type="dxa"/>
            </w:tcMar>
            <w:vAlign w:val="center"/>
          </w:tcPr>
          <w:p w14:paraId="26F214F5">
            <w:pPr>
              <w:widowControl/>
              <w:wordWrap w:val="0"/>
              <w:snapToGrid w:val="0"/>
              <w:jc w:val="left"/>
              <w:textAlignment w:val="center"/>
              <w:rPr>
                <w:rFonts w:ascii="宋体" w:hAnsi="宋体" w:eastAsia="宋体" w:cs="宋体"/>
                <w:color w:val="060A26"/>
                <w:kern w:val="0"/>
                <w:szCs w:val="21"/>
                <w:lang w:bidi="ar"/>
              </w:rPr>
            </w:pPr>
            <w:r>
              <w:rPr>
                <w:rFonts w:ascii="宋体" w:hAnsi="宋体" w:eastAsia="宋体" w:cs="宋体"/>
                <w:color w:val="060A26"/>
                <w:kern w:val="0"/>
                <w:szCs w:val="21"/>
                <w:lang w:bidi="ar"/>
              </w:rPr>
              <w:t>✓</w:t>
            </w:r>
            <w:r>
              <w:rPr>
                <w:rFonts w:hint="eastAsia" w:ascii="宋体" w:hAnsi="宋体" w:eastAsia="宋体" w:cs="宋体"/>
                <w:color w:val="060A26"/>
                <w:kern w:val="0"/>
                <w:szCs w:val="21"/>
                <w:lang w:bidi="ar"/>
              </w:rPr>
              <w:t xml:space="preserve"> </w:t>
            </w:r>
            <w:r>
              <w:rPr>
                <w:rFonts w:ascii="宋体" w:hAnsi="宋体" w:eastAsia="宋体" w:cs="宋体"/>
                <w:color w:val="060A26"/>
                <w:kern w:val="0"/>
                <w:szCs w:val="21"/>
                <w:lang w:bidi="ar"/>
              </w:rPr>
              <w:t>新增文书检索功能，支持按照文书签署时间、同意书名称及同意书所属字段进行检索；检索条件涵盖但不限于性别、年龄、体重、ASA 分级、科室、住院号、拟行诊疗方式等，支持基于文书内部字段的多条件组合</w:t>
            </w:r>
            <w:r>
              <w:rPr>
                <w:rFonts w:hint="eastAsia" w:ascii="宋体" w:hAnsi="宋体" w:eastAsia="宋体" w:cs="宋体"/>
                <w:color w:val="060A26"/>
                <w:kern w:val="0"/>
                <w:szCs w:val="21"/>
                <w:lang w:bidi="ar"/>
              </w:rPr>
              <w:t>（或/并且）的高级</w:t>
            </w:r>
            <w:r>
              <w:rPr>
                <w:rFonts w:ascii="宋体" w:hAnsi="宋体" w:eastAsia="宋体" w:cs="宋体"/>
                <w:color w:val="060A26"/>
                <w:kern w:val="0"/>
                <w:szCs w:val="21"/>
                <w:lang w:bidi="ar"/>
              </w:rPr>
              <w:t>检索。</w:t>
            </w:r>
          </w:p>
        </w:tc>
      </w:tr>
      <w:tr w14:paraId="147C6784">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878" w:hRule="atLeast"/>
          <w:jc w:val="center"/>
        </w:trPr>
        <w:tc>
          <w:tcPr>
            <w:tcW w:w="1433" w:type="dxa"/>
            <w:tcBorders>
              <w:left w:val="single" w:color="auto" w:sz="6" w:space="0"/>
              <w:right w:val="single" w:color="auto" w:sz="6" w:space="0"/>
            </w:tcBorders>
            <w:shd w:val="clear" w:color="auto" w:fill="auto"/>
            <w:tcMar>
              <w:top w:w="150" w:type="dxa"/>
              <w:left w:w="210" w:type="dxa"/>
              <w:bottom w:w="150" w:type="dxa"/>
              <w:right w:w="210" w:type="dxa"/>
            </w:tcMar>
            <w:vAlign w:val="center"/>
          </w:tcPr>
          <w:p w14:paraId="611FD585">
            <w:pPr>
              <w:snapToGrid w:val="0"/>
              <w:jc w:val="center"/>
              <w:rPr>
                <w:rFonts w:ascii="宋体" w:eastAsia="宋体"/>
                <w:color w:val="060A26"/>
                <w:szCs w:val="21"/>
              </w:rPr>
            </w:pPr>
          </w:p>
        </w:tc>
        <w:tc>
          <w:tcPr>
            <w:tcW w:w="1886" w:type="dxa"/>
            <w:tcBorders>
              <w:top w:val="single" w:color="auto" w:sz="6" w:space="0"/>
              <w:left w:val="single" w:color="auto" w:sz="6" w:space="0"/>
              <w:bottom w:val="single" w:color="auto" w:sz="6" w:space="0"/>
              <w:right w:val="single" w:color="auto" w:sz="6" w:space="0"/>
            </w:tcBorders>
            <w:shd w:val="clear" w:color="auto" w:fill="auto"/>
            <w:tcMar>
              <w:top w:w="150" w:type="dxa"/>
              <w:left w:w="210" w:type="dxa"/>
              <w:bottom w:w="150" w:type="dxa"/>
              <w:right w:w="210" w:type="dxa"/>
            </w:tcMar>
            <w:vAlign w:val="center"/>
          </w:tcPr>
          <w:p w14:paraId="1DD619ED">
            <w:pPr>
              <w:widowControl/>
              <w:wordWrap w:val="0"/>
              <w:snapToGrid w:val="0"/>
              <w:jc w:val="center"/>
              <w:textAlignment w:val="center"/>
              <w:rPr>
                <w:rFonts w:ascii="宋体" w:hAnsi="宋体" w:eastAsia="宋体" w:cs="宋体"/>
                <w:color w:val="060A26"/>
                <w:kern w:val="0"/>
                <w:szCs w:val="21"/>
                <w:lang w:bidi="ar"/>
              </w:rPr>
            </w:pPr>
            <w:r>
              <w:rPr>
                <w:rFonts w:hint="eastAsia" w:ascii="宋体" w:hAnsi="宋体" w:eastAsia="宋体" w:cs="宋体"/>
                <w:color w:val="060A26"/>
                <w:kern w:val="0"/>
                <w:szCs w:val="21"/>
                <w:lang w:bidi="ar"/>
              </w:rPr>
              <w:t>4.5.2修改痕迹管理</w:t>
            </w:r>
          </w:p>
        </w:tc>
        <w:tc>
          <w:tcPr>
            <w:tcW w:w="6260" w:type="dxa"/>
            <w:tcBorders>
              <w:top w:val="single" w:color="auto" w:sz="6" w:space="0"/>
              <w:left w:val="single" w:color="auto" w:sz="6" w:space="0"/>
              <w:bottom w:val="single" w:color="auto" w:sz="6" w:space="0"/>
              <w:right w:val="single" w:color="auto" w:sz="6" w:space="0"/>
            </w:tcBorders>
            <w:shd w:val="clear" w:color="auto" w:fill="auto"/>
            <w:tcMar>
              <w:top w:w="150" w:type="dxa"/>
              <w:left w:w="210" w:type="dxa"/>
              <w:bottom w:w="150" w:type="dxa"/>
              <w:right w:w="210" w:type="dxa"/>
            </w:tcMar>
            <w:vAlign w:val="center"/>
          </w:tcPr>
          <w:p w14:paraId="6CA91BAB">
            <w:pPr>
              <w:widowControl/>
              <w:wordWrap w:val="0"/>
              <w:snapToGrid w:val="0"/>
              <w:jc w:val="left"/>
              <w:textAlignment w:val="center"/>
              <w:rPr>
                <w:rFonts w:ascii="宋体" w:hAnsi="宋体" w:eastAsia="宋体" w:cs="宋体"/>
                <w:color w:val="060A26"/>
                <w:kern w:val="0"/>
                <w:szCs w:val="21"/>
                <w:lang w:bidi="ar"/>
              </w:rPr>
            </w:pPr>
            <w:r>
              <w:rPr>
                <w:rFonts w:ascii="宋体" w:hAnsi="宋体" w:eastAsia="宋体" w:cs="宋体"/>
                <w:color w:val="060A26"/>
                <w:kern w:val="0"/>
                <w:szCs w:val="21"/>
                <w:lang w:bidi="ar"/>
              </w:rPr>
              <w:t>✓</w:t>
            </w:r>
            <w:r>
              <w:rPr>
                <w:rFonts w:hint="eastAsia" w:ascii="宋体" w:hAnsi="宋体" w:eastAsia="宋体" w:cs="宋体"/>
                <w:color w:val="060A26"/>
                <w:kern w:val="0"/>
                <w:szCs w:val="21"/>
                <w:lang w:bidi="ar"/>
              </w:rPr>
              <w:t xml:space="preserve"> </w:t>
            </w:r>
            <w:r>
              <w:rPr>
                <w:rFonts w:ascii="宋体" w:hAnsi="宋体" w:eastAsia="宋体" w:cs="宋体"/>
                <w:color w:val="060A26"/>
                <w:kern w:val="0"/>
                <w:szCs w:val="21"/>
                <w:lang w:bidi="ar"/>
              </w:rPr>
              <w:t>新增同意书修改痕迹功能，对同意书的新增、修改等操作进行全流程留痕记录，支持查看历史版本及修改内容。</w:t>
            </w:r>
          </w:p>
        </w:tc>
      </w:tr>
      <w:tr w14:paraId="508A27B9">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1380" w:hRule="atLeast"/>
          <w:jc w:val="center"/>
        </w:trPr>
        <w:tc>
          <w:tcPr>
            <w:tcW w:w="1433" w:type="dxa"/>
            <w:tcBorders>
              <w:left w:val="single" w:color="auto" w:sz="6" w:space="0"/>
              <w:right w:val="single" w:color="auto" w:sz="6" w:space="0"/>
            </w:tcBorders>
            <w:shd w:val="clear" w:color="auto" w:fill="auto"/>
            <w:tcMar>
              <w:top w:w="150" w:type="dxa"/>
              <w:left w:w="210" w:type="dxa"/>
              <w:bottom w:w="150" w:type="dxa"/>
              <w:right w:w="210" w:type="dxa"/>
            </w:tcMar>
            <w:vAlign w:val="center"/>
          </w:tcPr>
          <w:p w14:paraId="3CC8CB34">
            <w:pPr>
              <w:snapToGrid w:val="0"/>
              <w:jc w:val="center"/>
              <w:rPr>
                <w:rFonts w:ascii="宋体" w:eastAsia="宋体"/>
                <w:color w:val="060A26"/>
                <w:szCs w:val="21"/>
              </w:rPr>
            </w:pPr>
          </w:p>
        </w:tc>
        <w:tc>
          <w:tcPr>
            <w:tcW w:w="1886" w:type="dxa"/>
            <w:tcBorders>
              <w:top w:val="single" w:color="auto" w:sz="6" w:space="0"/>
              <w:left w:val="single" w:color="auto" w:sz="6" w:space="0"/>
              <w:bottom w:val="single" w:color="auto" w:sz="6" w:space="0"/>
              <w:right w:val="single" w:color="auto" w:sz="6" w:space="0"/>
            </w:tcBorders>
            <w:shd w:val="clear" w:color="auto" w:fill="auto"/>
            <w:tcMar>
              <w:top w:w="150" w:type="dxa"/>
              <w:left w:w="210" w:type="dxa"/>
              <w:bottom w:w="150" w:type="dxa"/>
              <w:right w:w="210" w:type="dxa"/>
            </w:tcMar>
            <w:vAlign w:val="center"/>
          </w:tcPr>
          <w:p w14:paraId="6B26072D">
            <w:pPr>
              <w:widowControl/>
              <w:wordWrap w:val="0"/>
              <w:snapToGrid w:val="0"/>
              <w:jc w:val="center"/>
              <w:textAlignment w:val="center"/>
              <w:rPr>
                <w:rFonts w:ascii="宋体" w:hAnsi="宋体" w:eastAsia="宋体" w:cs="宋体"/>
                <w:color w:val="060A26"/>
                <w:kern w:val="0"/>
                <w:szCs w:val="21"/>
                <w:lang w:bidi="ar"/>
              </w:rPr>
            </w:pPr>
            <w:r>
              <w:rPr>
                <w:rFonts w:hint="eastAsia" w:ascii="宋体" w:hAnsi="宋体" w:eastAsia="宋体" w:cs="宋体"/>
                <w:color w:val="060A26"/>
                <w:kern w:val="0"/>
                <w:szCs w:val="21"/>
                <w:lang w:bidi="ar"/>
              </w:rPr>
              <w:t>4.5.3对接需求</w:t>
            </w:r>
          </w:p>
        </w:tc>
        <w:tc>
          <w:tcPr>
            <w:tcW w:w="6260" w:type="dxa"/>
            <w:tcBorders>
              <w:top w:val="single" w:color="auto" w:sz="6" w:space="0"/>
              <w:left w:val="single" w:color="auto" w:sz="6" w:space="0"/>
              <w:bottom w:val="single" w:color="auto" w:sz="6" w:space="0"/>
              <w:right w:val="single" w:color="auto" w:sz="6" w:space="0"/>
            </w:tcBorders>
            <w:shd w:val="clear" w:color="auto" w:fill="auto"/>
            <w:tcMar>
              <w:top w:w="150" w:type="dxa"/>
              <w:left w:w="210" w:type="dxa"/>
              <w:bottom w:w="150" w:type="dxa"/>
              <w:right w:w="210" w:type="dxa"/>
            </w:tcMar>
            <w:vAlign w:val="center"/>
          </w:tcPr>
          <w:p w14:paraId="3DCF2FDA">
            <w:pPr>
              <w:widowControl/>
              <w:wordWrap w:val="0"/>
              <w:snapToGrid w:val="0"/>
              <w:jc w:val="left"/>
              <w:textAlignment w:val="center"/>
              <w:rPr>
                <w:rFonts w:ascii="宋体" w:hAnsi="宋体" w:eastAsia="宋体" w:cs="宋体"/>
                <w:color w:val="060A26"/>
                <w:kern w:val="0"/>
                <w:szCs w:val="21"/>
                <w:lang w:bidi="ar"/>
              </w:rPr>
            </w:pPr>
            <w:r>
              <w:rPr>
                <w:rFonts w:ascii="宋体" w:hAnsi="宋体" w:eastAsia="宋体" w:cs="宋体"/>
                <w:color w:val="060A26"/>
                <w:kern w:val="0"/>
                <w:szCs w:val="21"/>
                <w:lang w:bidi="ar"/>
              </w:rPr>
              <w:t>✓</w:t>
            </w:r>
            <w:r>
              <w:rPr>
                <w:rFonts w:hint="eastAsia" w:ascii="宋体" w:hAnsi="宋体" w:eastAsia="宋体" w:cs="宋体"/>
                <w:color w:val="060A26"/>
                <w:kern w:val="0"/>
                <w:szCs w:val="21"/>
                <w:lang w:bidi="ar"/>
              </w:rPr>
              <w:t xml:space="preserve"> </w:t>
            </w:r>
            <w:r>
              <w:rPr>
                <w:rFonts w:ascii="宋体" w:hAnsi="宋体" w:eastAsia="宋体" w:cs="宋体"/>
                <w:color w:val="060A26"/>
                <w:kern w:val="0"/>
                <w:szCs w:val="21"/>
                <w:lang w:bidi="ar"/>
              </w:rPr>
              <w:t>配合HIS系统改造，完成相关系统接口开发、对接及页面改造工作</w:t>
            </w:r>
            <w:r>
              <w:rPr>
                <w:rFonts w:hint="eastAsia" w:ascii="宋体" w:hAnsi="宋体" w:eastAsia="宋体" w:cs="宋体"/>
                <w:color w:val="060A26"/>
                <w:kern w:val="0"/>
                <w:szCs w:val="21"/>
                <w:lang w:bidi="ar"/>
              </w:rPr>
              <w:t>。</w:t>
            </w:r>
          </w:p>
          <w:p w14:paraId="27264178">
            <w:pPr>
              <w:widowControl/>
              <w:wordWrap w:val="0"/>
              <w:snapToGrid w:val="0"/>
              <w:jc w:val="left"/>
              <w:textAlignment w:val="center"/>
              <w:rPr>
                <w:rFonts w:ascii="宋体" w:hAnsi="宋体" w:eastAsia="宋体" w:cs="宋体"/>
                <w:color w:val="060A26"/>
                <w:kern w:val="0"/>
                <w:szCs w:val="21"/>
                <w:lang w:bidi="ar"/>
              </w:rPr>
            </w:pPr>
            <w:r>
              <w:rPr>
                <w:rFonts w:hint="eastAsia" w:ascii="微软雅黑" w:hAnsi="微软雅黑" w:eastAsia="微软雅黑" w:cs="微软雅黑"/>
                <w:color w:val="060A26"/>
                <w:kern w:val="0"/>
                <w:szCs w:val="21"/>
                <w:lang w:bidi="ar"/>
              </w:rPr>
              <w:t>✓</w:t>
            </w:r>
            <w:r>
              <w:rPr>
                <w:rFonts w:hint="eastAsia" w:asciiTheme="majorEastAsia" w:hAnsiTheme="majorEastAsia" w:eastAsiaTheme="majorEastAsia" w:cstheme="majorEastAsia"/>
                <w:color w:val="060A26"/>
                <w:kern w:val="0"/>
                <w:szCs w:val="21"/>
                <w:lang w:bidi="ar"/>
              </w:rPr>
              <w:t xml:space="preserve"> 患者主索引接口：对接集成平台患者主索引信息，包括患者唯一标识、基本信息等，支持调取集成平台的患者身份标识，实现各业务系统间患者信息的共享和关联。</w:t>
            </w:r>
          </w:p>
        </w:tc>
      </w:tr>
      <w:tr w14:paraId="727691B8">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90" w:hRule="atLeast"/>
          <w:jc w:val="center"/>
        </w:trPr>
        <w:tc>
          <w:tcPr>
            <w:tcW w:w="1433" w:type="dxa"/>
            <w:tcBorders>
              <w:left w:val="single" w:color="auto" w:sz="6" w:space="0"/>
              <w:right w:val="single" w:color="auto" w:sz="6" w:space="0"/>
            </w:tcBorders>
            <w:shd w:val="clear" w:color="auto" w:fill="auto"/>
            <w:tcMar>
              <w:top w:w="150" w:type="dxa"/>
              <w:left w:w="210" w:type="dxa"/>
              <w:bottom w:w="150" w:type="dxa"/>
              <w:right w:w="210" w:type="dxa"/>
            </w:tcMar>
            <w:vAlign w:val="center"/>
          </w:tcPr>
          <w:p w14:paraId="679C82DC">
            <w:pPr>
              <w:snapToGrid w:val="0"/>
              <w:jc w:val="center"/>
              <w:rPr>
                <w:rFonts w:ascii="宋体" w:eastAsia="宋体"/>
                <w:color w:val="060A26"/>
                <w:szCs w:val="21"/>
              </w:rPr>
            </w:pPr>
          </w:p>
        </w:tc>
        <w:tc>
          <w:tcPr>
            <w:tcW w:w="1886"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7ED99551">
            <w:pPr>
              <w:widowControl/>
              <w:wordWrap w:val="0"/>
              <w:snapToGrid w:val="0"/>
              <w:jc w:val="left"/>
              <w:textAlignment w:val="center"/>
              <w:rPr>
                <w:rFonts w:hint="eastAsia" w:ascii="微软雅黑" w:hAnsi="微软雅黑" w:eastAsia="微软雅黑" w:cs="微软雅黑"/>
                <w:color w:val="060A26"/>
                <w:kern w:val="0"/>
                <w:sz w:val="21"/>
                <w:szCs w:val="21"/>
                <w:lang w:val="en-US" w:eastAsia="zh-CN" w:bidi="ar"/>
              </w:rPr>
            </w:pPr>
            <w:r>
              <w:rPr>
                <w:rFonts w:hint="eastAsia" w:ascii="微软雅黑" w:hAnsi="微软雅黑" w:eastAsia="微软雅黑" w:cs="微软雅黑"/>
                <w:color w:val="060A26"/>
                <w:kern w:val="0"/>
                <w:szCs w:val="21"/>
                <w:lang w:val="en-US" w:eastAsia="zh-CN" w:bidi="ar"/>
              </w:rPr>
              <w:t>4.5.4</w:t>
            </w:r>
            <w:r>
              <w:rPr>
                <w:rFonts w:hint="default" w:ascii="微软雅黑" w:hAnsi="微软雅黑" w:eastAsia="微软雅黑" w:cs="微软雅黑"/>
                <w:color w:val="060A26"/>
                <w:kern w:val="0"/>
                <w:szCs w:val="21"/>
                <w:lang w:val="en-US" w:eastAsia="zh-CN" w:bidi="ar"/>
              </w:rPr>
              <w:t>业务发展需求</w:t>
            </w:r>
          </w:p>
        </w:tc>
        <w:tc>
          <w:tcPr>
            <w:tcW w:w="6260"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566CC176">
            <w:pPr>
              <w:widowControl/>
              <w:wordWrap w:val="0"/>
              <w:snapToGrid w:val="0"/>
              <w:jc w:val="left"/>
              <w:textAlignment w:val="center"/>
              <w:rPr>
                <w:rFonts w:hint="eastAsia" w:ascii="微软雅黑" w:hAnsi="微软雅黑" w:eastAsia="微软雅黑" w:cs="微软雅黑"/>
                <w:color w:val="060A26"/>
                <w:kern w:val="0"/>
                <w:sz w:val="21"/>
                <w:szCs w:val="21"/>
                <w:lang w:val="en-US" w:eastAsia="zh-CN" w:bidi="ar"/>
              </w:rPr>
            </w:pPr>
            <w:r>
              <w:rPr>
                <w:rFonts w:hint="eastAsia" w:ascii="微软雅黑" w:hAnsi="微软雅黑" w:eastAsia="微软雅黑" w:cs="微软雅黑"/>
                <w:color w:val="060A26"/>
                <w:kern w:val="0"/>
                <w:szCs w:val="21"/>
                <w:lang w:val="en-US" w:eastAsia="zh-CN" w:bidi="ar"/>
              </w:rPr>
              <w:t>根据</w:t>
            </w:r>
            <w:r>
              <w:rPr>
                <w:rFonts w:hint="default" w:ascii="微软雅黑" w:hAnsi="微软雅黑" w:eastAsia="微软雅黑" w:cs="微软雅黑"/>
                <w:color w:val="060A26"/>
                <w:kern w:val="0"/>
                <w:szCs w:val="21"/>
                <w:lang w:val="en-US" w:eastAsia="zh-CN" w:bidi="ar"/>
              </w:rPr>
              <w:t>上级政策要求、医院管理制度及业务流程优化需要，完成相应功能的优化与改造。</w:t>
            </w:r>
          </w:p>
        </w:tc>
      </w:tr>
    </w:tbl>
    <w:p w14:paraId="52689780"/>
    <w:p w14:paraId="042C4630"/>
    <w:p w14:paraId="7C0E1CB9">
      <w:pPr>
        <w:pStyle w:val="3"/>
        <w:bidi w:val="0"/>
      </w:pPr>
      <w:bookmarkStart w:id="265" w:name="_Toc15452"/>
      <w:bookmarkStart w:id="266" w:name="_Toc24611"/>
      <w:bookmarkStart w:id="267" w:name="_Toc27491"/>
      <w:bookmarkStart w:id="268" w:name="_Toc1876"/>
      <w:bookmarkStart w:id="269" w:name="_Toc15135"/>
      <w:r>
        <w:t>治疗工作站</w:t>
      </w:r>
      <w:bookmarkEnd w:id="265"/>
      <w:bookmarkEnd w:id="266"/>
      <w:bookmarkEnd w:id="267"/>
      <w:bookmarkEnd w:id="268"/>
      <w:bookmarkEnd w:id="269"/>
    </w:p>
    <w:tbl>
      <w:tblPr>
        <w:tblStyle w:val="46"/>
        <w:tblW w:w="9638" w:type="dxa"/>
        <w:jc w:val="center"/>
        <w:tblBorders>
          <w:top w:val="single" w:color="auto" w:sz="6" w:space="0"/>
          <w:left w:val="single" w:color="auto" w:sz="2" w:space="0"/>
          <w:bottom w:val="single" w:color="auto" w:sz="2" w:space="0"/>
          <w:right w:val="single" w:color="auto" w:sz="2" w:space="0"/>
          <w:insideH w:val="none" w:color="auto" w:sz="0" w:space="0"/>
          <w:insideV w:val="none" w:color="auto" w:sz="0" w:space="0"/>
        </w:tblBorders>
        <w:tblLayout w:type="autofit"/>
        <w:tblCellMar>
          <w:top w:w="15" w:type="dxa"/>
          <w:left w:w="15" w:type="dxa"/>
          <w:bottom w:w="15" w:type="dxa"/>
          <w:right w:w="15" w:type="dxa"/>
        </w:tblCellMar>
      </w:tblPr>
      <w:tblGrid>
        <w:gridCol w:w="1696"/>
        <w:gridCol w:w="1436"/>
        <w:gridCol w:w="6506"/>
      </w:tblGrid>
      <w:tr w14:paraId="3A713669">
        <w:tblPrEx>
          <w:tblBorders>
            <w:top w:val="single" w:color="auto" w:sz="6"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315" w:hRule="atLeast"/>
          <w:tblHeader/>
          <w:jc w:val="center"/>
        </w:trPr>
        <w:tc>
          <w:tcPr>
            <w:tcW w:w="1696" w:type="dxa"/>
            <w:tcBorders>
              <w:top w:val="single" w:color="auto" w:sz="6" w:space="0"/>
              <w:left w:val="single" w:color="auto" w:sz="6" w:space="0"/>
              <w:bottom w:val="single" w:color="auto" w:sz="6" w:space="0"/>
              <w:right w:val="single" w:color="auto" w:sz="6" w:space="0"/>
            </w:tcBorders>
            <w:shd w:val="clear" w:color="auto" w:fill="auto"/>
            <w:noWrap/>
            <w:tcMar>
              <w:top w:w="150" w:type="dxa"/>
              <w:left w:w="210" w:type="dxa"/>
              <w:bottom w:w="150" w:type="dxa"/>
              <w:right w:w="210" w:type="dxa"/>
            </w:tcMar>
            <w:vAlign w:val="center"/>
          </w:tcPr>
          <w:p w14:paraId="53AD5B4C">
            <w:pPr>
              <w:widowControl/>
              <w:snapToGrid w:val="0"/>
              <w:jc w:val="center"/>
              <w:rPr>
                <w:rFonts w:ascii="宋体" w:eastAsia="宋体"/>
                <w:b/>
                <w:bCs/>
                <w:color w:val="060A26"/>
                <w:szCs w:val="21"/>
              </w:rPr>
            </w:pPr>
            <w:r>
              <w:rPr>
                <w:rFonts w:ascii="宋体" w:hAnsi="宋体" w:eastAsia="宋体" w:cs="宋体"/>
                <w:b/>
                <w:bCs/>
                <w:color w:val="060A26"/>
                <w:kern w:val="0"/>
                <w:szCs w:val="21"/>
                <w:lang w:bidi="ar"/>
              </w:rPr>
              <w:t>需求名称</w:t>
            </w:r>
          </w:p>
        </w:tc>
        <w:tc>
          <w:tcPr>
            <w:tcW w:w="1436" w:type="dxa"/>
            <w:tcBorders>
              <w:top w:val="single" w:color="auto" w:sz="6" w:space="0"/>
              <w:left w:val="single" w:color="auto" w:sz="6" w:space="0"/>
              <w:bottom w:val="single" w:color="auto" w:sz="6" w:space="0"/>
              <w:right w:val="single" w:color="auto" w:sz="6" w:space="0"/>
            </w:tcBorders>
            <w:shd w:val="clear" w:color="auto" w:fill="auto"/>
            <w:noWrap/>
            <w:tcMar>
              <w:top w:w="150" w:type="dxa"/>
              <w:left w:w="210" w:type="dxa"/>
              <w:bottom w:w="150" w:type="dxa"/>
              <w:right w:w="210" w:type="dxa"/>
            </w:tcMar>
            <w:vAlign w:val="center"/>
          </w:tcPr>
          <w:p w14:paraId="01C8A0CD">
            <w:pPr>
              <w:widowControl/>
              <w:snapToGrid w:val="0"/>
              <w:jc w:val="center"/>
              <w:rPr>
                <w:rFonts w:ascii="宋体" w:eastAsia="宋体"/>
                <w:b/>
                <w:bCs/>
                <w:color w:val="060A26"/>
                <w:szCs w:val="21"/>
              </w:rPr>
            </w:pPr>
            <w:r>
              <w:rPr>
                <w:rFonts w:ascii="宋体" w:hAnsi="宋体" w:eastAsia="宋体" w:cs="宋体"/>
                <w:b/>
                <w:bCs/>
                <w:color w:val="060A26"/>
                <w:kern w:val="0"/>
                <w:szCs w:val="21"/>
                <w:lang w:bidi="ar"/>
              </w:rPr>
              <w:t>序号</w:t>
            </w:r>
          </w:p>
        </w:tc>
        <w:tc>
          <w:tcPr>
            <w:tcW w:w="6506" w:type="dxa"/>
            <w:tcBorders>
              <w:top w:val="single" w:color="auto" w:sz="6" w:space="0"/>
              <w:left w:val="single" w:color="auto" w:sz="6" w:space="0"/>
              <w:bottom w:val="single" w:color="auto" w:sz="6" w:space="0"/>
              <w:right w:val="single" w:color="auto" w:sz="6" w:space="0"/>
            </w:tcBorders>
            <w:shd w:val="clear" w:color="auto" w:fill="auto"/>
            <w:noWrap/>
            <w:tcMar>
              <w:top w:w="150" w:type="dxa"/>
              <w:left w:w="210" w:type="dxa"/>
              <w:bottom w:w="150" w:type="dxa"/>
              <w:right w:w="210" w:type="dxa"/>
            </w:tcMar>
            <w:vAlign w:val="center"/>
          </w:tcPr>
          <w:p w14:paraId="6132D52D">
            <w:pPr>
              <w:widowControl/>
              <w:snapToGrid w:val="0"/>
              <w:jc w:val="center"/>
              <w:rPr>
                <w:rFonts w:ascii="宋体" w:eastAsia="宋体"/>
                <w:b/>
                <w:bCs/>
                <w:color w:val="060A26"/>
                <w:szCs w:val="21"/>
              </w:rPr>
            </w:pPr>
            <w:r>
              <w:rPr>
                <w:rFonts w:ascii="宋体" w:hAnsi="宋体" w:eastAsia="宋体" w:cs="宋体"/>
                <w:b/>
                <w:bCs/>
                <w:color w:val="060A26"/>
                <w:kern w:val="0"/>
                <w:szCs w:val="21"/>
                <w:lang w:bidi="ar"/>
              </w:rPr>
              <w:t>需求描述</w:t>
            </w:r>
          </w:p>
        </w:tc>
      </w:tr>
      <w:tr w14:paraId="0E74E7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5" w:hRule="atLeast"/>
          <w:jc w:val="center"/>
        </w:trPr>
        <w:tc>
          <w:tcPr>
            <w:tcW w:w="1696" w:type="dxa"/>
            <w:vMerge w:val="restart"/>
            <w:tcBorders>
              <w:top w:val="single" w:color="auto" w:sz="6" w:space="0"/>
              <w:left w:val="single" w:color="auto" w:sz="6" w:space="0"/>
              <w:right w:val="single" w:color="auto" w:sz="6" w:space="0"/>
            </w:tcBorders>
            <w:shd w:val="clear" w:color="auto" w:fill="auto"/>
            <w:tcMar>
              <w:top w:w="150" w:type="dxa"/>
              <w:left w:w="210" w:type="dxa"/>
              <w:bottom w:w="150" w:type="dxa"/>
              <w:right w:w="210" w:type="dxa"/>
            </w:tcMar>
            <w:vAlign w:val="center"/>
          </w:tcPr>
          <w:p w14:paraId="0DABE033">
            <w:pPr>
              <w:widowControl/>
              <w:wordWrap w:val="0"/>
              <w:snapToGrid w:val="0"/>
              <w:jc w:val="center"/>
              <w:textAlignment w:val="center"/>
              <w:rPr>
                <w:rFonts w:ascii="宋体" w:eastAsia="宋体"/>
                <w:color w:val="060A26"/>
                <w:szCs w:val="21"/>
              </w:rPr>
            </w:pPr>
            <w:r>
              <w:rPr>
                <w:rFonts w:ascii="宋体" w:hAnsi="宋体" w:eastAsia="宋体" w:cs="宋体"/>
                <w:b/>
                <w:bCs/>
                <w:color w:val="060A26"/>
                <w:kern w:val="0"/>
                <w:szCs w:val="21"/>
                <w:lang w:bidi="ar"/>
              </w:rPr>
              <w:t>5. 治疗工作站系统</w:t>
            </w:r>
          </w:p>
        </w:tc>
        <w:tc>
          <w:tcPr>
            <w:tcW w:w="7942" w:type="dxa"/>
            <w:gridSpan w:val="2"/>
            <w:tcBorders>
              <w:top w:val="single" w:color="auto" w:sz="6" w:space="0"/>
              <w:left w:val="single" w:color="auto" w:sz="6" w:space="0"/>
              <w:bottom w:val="single" w:color="auto" w:sz="6" w:space="0"/>
              <w:right w:val="single" w:color="auto" w:sz="6" w:space="0"/>
            </w:tcBorders>
            <w:shd w:val="clear" w:color="auto" w:fill="auto"/>
            <w:tcMar>
              <w:top w:w="150" w:type="dxa"/>
              <w:left w:w="210" w:type="dxa"/>
              <w:bottom w:w="150" w:type="dxa"/>
              <w:right w:w="210" w:type="dxa"/>
            </w:tcMar>
            <w:vAlign w:val="center"/>
          </w:tcPr>
          <w:p w14:paraId="2E8EB32E">
            <w:pPr>
              <w:widowControl/>
              <w:wordWrap w:val="0"/>
              <w:snapToGrid w:val="0"/>
              <w:textAlignment w:val="center"/>
              <w:rPr>
                <w:rFonts w:hint="default" w:ascii="宋体" w:hAnsi="宋体" w:eastAsia="宋体" w:cs="宋体"/>
                <w:b/>
                <w:bCs/>
                <w:color w:val="060A26"/>
                <w:kern w:val="0"/>
                <w:szCs w:val="21"/>
                <w:lang w:val="en-US" w:eastAsia="zh-CN" w:bidi="ar"/>
              </w:rPr>
            </w:pPr>
            <w:r>
              <w:rPr>
                <w:rFonts w:hint="eastAsia" w:ascii="宋体" w:hAnsi="宋体" w:cs="宋体"/>
                <w:b/>
                <w:bCs/>
                <w:color w:val="060A26"/>
                <w:kern w:val="0"/>
                <w:szCs w:val="21"/>
                <w:lang w:eastAsia="zh-CN" w:bidi="ar"/>
              </w:rPr>
              <w:t>（</w:t>
            </w:r>
            <w:r>
              <w:rPr>
                <w:rFonts w:hint="eastAsia" w:ascii="宋体" w:hAnsi="宋体" w:cs="宋体"/>
                <w:b/>
                <w:bCs/>
                <w:color w:val="060A26"/>
                <w:kern w:val="0"/>
                <w:szCs w:val="21"/>
                <w:lang w:val="en-US" w:eastAsia="zh-CN" w:bidi="ar"/>
              </w:rPr>
              <w:t>一</w:t>
            </w:r>
            <w:r>
              <w:rPr>
                <w:rFonts w:hint="eastAsia" w:ascii="宋体" w:hAnsi="宋体" w:cs="宋体"/>
                <w:b/>
                <w:bCs/>
                <w:color w:val="060A26"/>
                <w:kern w:val="0"/>
                <w:szCs w:val="21"/>
                <w:lang w:eastAsia="zh-CN" w:bidi="ar"/>
              </w:rPr>
              <w:t>）</w:t>
            </w:r>
            <w:r>
              <w:rPr>
                <w:rFonts w:ascii="宋体" w:hAnsi="宋体" w:eastAsia="宋体" w:cs="宋体"/>
                <w:b/>
                <w:bCs/>
                <w:color w:val="060A26"/>
                <w:kern w:val="0"/>
                <w:szCs w:val="21"/>
                <w:lang w:bidi="ar"/>
              </w:rPr>
              <w:t>治疗工作站系统</w:t>
            </w:r>
            <w:r>
              <w:rPr>
                <w:rFonts w:hint="eastAsia" w:ascii="宋体" w:hAnsi="宋体" w:cs="宋体"/>
                <w:b/>
                <w:bCs/>
                <w:color w:val="060A26"/>
                <w:kern w:val="0"/>
                <w:szCs w:val="21"/>
                <w:lang w:val="en-US" w:eastAsia="zh-CN" w:bidi="ar"/>
              </w:rPr>
              <w:t>维护保障</w:t>
            </w:r>
          </w:p>
        </w:tc>
      </w:tr>
      <w:tr w14:paraId="55A726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5" w:hRule="atLeast"/>
          <w:jc w:val="center"/>
        </w:trPr>
        <w:tc>
          <w:tcPr>
            <w:tcW w:w="1696" w:type="dxa"/>
            <w:vMerge w:val="continue"/>
            <w:tcBorders>
              <w:left w:val="single" w:color="auto" w:sz="6" w:space="0"/>
              <w:right w:val="single" w:color="auto" w:sz="6" w:space="0"/>
            </w:tcBorders>
            <w:shd w:val="clear" w:color="auto" w:fill="auto"/>
            <w:tcMar>
              <w:top w:w="150" w:type="dxa"/>
              <w:left w:w="210" w:type="dxa"/>
              <w:bottom w:w="150" w:type="dxa"/>
              <w:right w:w="210" w:type="dxa"/>
            </w:tcMar>
            <w:vAlign w:val="center"/>
          </w:tcPr>
          <w:p w14:paraId="24C85122">
            <w:pPr>
              <w:widowControl/>
              <w:wordWrap w:val="0"/>
              <w:snapToGrid w:val="0"/>
              <w:jc w:val="center"/>
              <w:textAlignment w:val="center"/>
              <w:rPr>
                <w:rFonts w:ascii="宋体" w:eastAsia="宋体"/>
                <w:color w:val="060A26"/>
                <w:szCs w:val="21"/>
              </w:rPr>
            </w:pPr>
          </w:p>
        </w:tc>
        <w:tc>
          <w:tcPr>
            <w:tcW w:w="1436" w:type="dxa"/>
            <w:tcBorders>
              <w:top w:val="single" w:color="auto" w:sz="6" w:space="0"/>
              <w:left w:val="single" w:color="auto" w:sz="6" w:space="0"/>
              <w:bottom w:val="single" w:color="auto" w:sz="6" w:space="0"/>
              <w:right w:val="single" w:color="auto" w:sz="6" w:space="0"/>
            </w:tcBorders>
            <w:shd w:val="clear" w:color="auto" w:fill="auto"/>
            <w:tcMar>
              <w:top w:w="150" w:type="dxa"/>
              <w:left w:w="210" w:type="dxa"/>
              <w:bottom w:w="150" w:type="dxa"/>
              <w:right w:w="210" w:type="dxa"/>
            </w:tcMar>
            <w:vAlign w:val="center"/>
          </w:tcPr>
          <w:p w14:paraId="6BDC0F7B">
            <w:pPr>
              <w:widowControl/>
              <w:wordWrap w:val="0"/>
              <w:snapToGrid w:val="0"/>
              <w:jc w:val="center"/>
              <w:textAlignment w:val="center"/>
              <w:rPr>
                <w:rFonts w:ascii="宋体" w:eastAsia="宋体"/>
                <w:color w:val="060A26"/>
                <w:szCs w:val="21"/>
              </w:rPr>
            </w:pPr>
            <w:r>
              <w:rPr>
                <w:rFonts w:ascii="宋体" w:hAnsi="宋体" w:eastAsia="宋体" w:cs="宋体"/>
                <w:color w:val="060A26"/>
                <w:kern w:val="0"/>
                <w:szCs w:val="21"/>
                <w:lang w:bidi="ar"/>
              </w:rPr>
              <w:t>5.1</w:t>
            </w:r>
          </w:p>
        </w:tc>
        <w:tc>
          <w:tcPr>
            <w:tcW w:w="6506" w:type="dxa"/>
            <w:tcBorders>
              <w:top w:val="single" w:color="auto" w:sz="6" w:space="0"/>
              <w:left w:val="single" w:color="auto" w:sz="6" w:space="0"/>
              <w:bottom w:val="single" w:color="auto" w:sz="6" w:space="0"/>
              <w:right w:val="single" w:color="auto" w:sz="6" w:space="0"/>
            </w:tcBorders>
            <w:shd w:val="clear" w:color="auto" w:fill="auto"/>
            <w:tcMar>
              <w:top w:w="150" w:type="dxa"/>
              <w:left w:w="210" w:type="dxa"/>
              <w:bottom w:w="150" w:type="dxa"/>
              <w:right w:w="210" w:type="dxa"/>
            </w:tcMar>
            <w:vAlign w:val="center"/>
          </w:tcPr>
          <w:p w14:paraId="38448E80">
            <w:pPr>
              <w:widowControl/>
              <w:wordWrap w:val="0"/>
              <w:snapToGrid w:val="0"/>
              <w:textAlignment w:val="center"/>
              <w:rPr>
                <w:rFonts w:ascii="宋体" w:eastAsia="宋体"/>
                <w:color w:val="060A26"/>
                <w:szCs w:val="21"/>
              </w:rPr>
            </w:pPr>
            <w:r>
              <w:rPr>
                <w:rFonts w:ascii="宋体" w:hAnsi="宋体" w:eastAsia="宋体" w:cs="宋体"/>
                <w:b/>
                <w:bCs/>
                <w:color w:val="060A26"/>
                <w:kern w:val="0"/>
                <w:szCs w:val="21"/>
                <w:lang w:bidi="ar"/>
              </w:rPr>
              <w:t>治疗</w:t>
            </w:r>
            <w:r>
              <w:rPr>
                <w:rFonts w:hint="eastAsia" w:ascii="宋体" w:hAnsi="宋体" w:eastAsia="宋体" w:cs="宋体"/>
                <w:b/>
                <w:bCs/>
                <w:color w:val="060A26"/>
                <w:kern w:val="0"/>
                <w:szCs w:val="21"/>
                <w:lang w:bidi="ar"/>
              </w:rPr>
              <w:t>申请单查询界面</w:t>
            </w:r>
          </w:p>
        </w:tc>
      </w:tr>
      <w:tr w14:paraId="072045E9">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606" w:hRule="atLeast"/>
          <w:jc w:val="center"/>
        </w:trPr>
        <w:tc>
          <w:tcPr>
            <w:tcW w:w="1696" w:type="dxa"/>
            <w:vMerge w:val="continue"/>
            <w:tcBorders>
              <w:left w:val="single" w:color="auto" w:sz="6" w:space="0"/>
              <w:right w:val="single" w:color="auto" w:sz="6" w:space="0"/>
            </w:tcBorders>
            <w:shd w:val="clear" w:color="auto" w:fill="auto"/>
            <w:tcMar>
              <w:top w:w="150" w:type="dxa"/>
              <w:left w:w="210" w:type="dxa"/>
              <w:bottom w:w="150" w:type="dxa"/>
              <w:right w:w="210" w:type="dxa"/>
            </w:tcMar>
            <w:vAlign w:val="center"/>
          </w:tcPr>
          <w:p w14:paraId="3969CE25">
            <w:pPr>
              <w:snapToGrid w:val="0"/>
              <w:jc w:val="center"/>
              <w:rPr>
                <w:rFonts w:ascii="宋体" w:eastAsia="宋体"/>
                <w:color w:val="060A26"/>
                <w:szCs w:val="21"/>
              </w:rPr>
            </w:pPr>
          </w:p>
        </w:tc>
        <w:tc>
          <w:tcPr>
            <w:tcW w:w="1436" w:type="dxa"/>
            <w:tcBorders>
              <w:top w:val="single" w:color="auto" w:sz="6" w:space="0"/>
              <w:left w:val="single" w:color="auto" w:sz="6" w:space="0"/>
              <w:bottom w:val="single" w:color="auto" w:sz="6" w:space="0"/>
              <w:right w:val="single" w:color="auto" w:sz="6" w:space="0"/>
            </w:tcBorders>
            <w:shd w:val="clear" w:color="auto" w:fill="auto"/>
            <w:tcMar>
              <w:top w:w="150" w:type="dxa"/>
              <w:left w:w="210" w:type="dxa"/>
              <w:bottom w:w="150" w:type="dxa"/>
              <w:right w:w="210" w:type="dxa"/>
            </w:tcMar>
            <w:vAlign w:val="center"/>
          </w:tcPr>
          <w:p w14:paraId="5E7FB2F4">
            <w:pPr>
              <w:widowControl/>
              <w:wordWrap w:val="0"/>
              <w:snapToGrid w:val="0"/>
              <w:jc w:val="center"/>
              <w:textAlignment w:val="center"/>
              <w:rPr>
                <w:rFonts w:ascii="宋体" w:eastAsia="宋体"/>
                <w:color w:val="060A26"/>
                <w:szCs w:val="21"/>
              </w:rPr>
            </w:pPr>
            <w:r>
              <w:rPr>
                <w:rFonts w:ascii="宋体" w:hAnsi="宋体" w:eastAsia="宋体" w:cs="宋体"/>
                <w:color w:val="060A26"/>
                <w:kern w:val="0"/>
                <w:szCs w:val="21"/>
                <w:lang w:bidi="ar"/>
              </w:rPr>
              <w:t xml:space="preserve">5.1.1 </w:t>
            </w:r>
            <w:r>
              <w:rPr>
                <w:rFonts w:hint="eastAsia" w:ascii="宋体" w:hAnsi="宋体" w:eastAsia="宋体" w:cs="宋体"/>
                <w:color w:val="060A26"/>
                <w:kern w:val="0"/>
                <w:szCs w:val="21"/>
                <w:lang w:bidi="ar"/>
              </w:rPr>
              <w:t>治疗申请单列表</w:t>
            </w:r>
          </w:p>
        </w:tc>
        <w:tc>
          <w:tcPr>
            <w:tcW w:w="6506" w:type="dxa"/>
            <w:tcBorders>
              <w:top w:val="single" w:color="auto" w:sz="6" w:space="0"/>
              <w:left w:val="single" w:color="auto" w:sz="6" w:space="0"/>
              <w:bottom w:val="single" w:color="auto" w:sz="6" w:space="0"/>
              <w:right w:val="single" w:color="auto" w:sz="6" w:space="0"/>
            </w:tcBorders>
            <w:shd w:val="clear" w:color="auto" w:fill="auto"/>
            <w:tcMar>
              <w:top w:w="150" w:type="dxa"/>
              <w:left w:w="210" w:type="dxa"/>
              <w:bottom w:w="150" w:type="dxa"/>
              <w:right w:w="210" w:type="dxa"/>
            </w:tcMar>
            <w:vAlign w:val="center"/>
          </w:tcPr>
          <w:p w14:paraId="27410908">
            <w:pPr>
              <w:widowControl/>
              <w:wordWrap w:val="0"/>
              <w:snapToGrid w:val="0"/>
              <w:textAlignment w:val="center"/>
              <w:rPr>
                <w:rFonts w:ascii="宋体" w:eastAsia="宋体"/>
                <w:color w:val="060A26"/>
                <w:szCs w:val="21"/>
              </w:rPr>
            </w:pPr>
            <w:r>
              <w:rPr>
                <w:rFonts w:ascii="宋体" w:hAnsi="宋体" w:eastAsia="宋体" w:cs="宋体"/>
                <w:color w:val="060A26"/>
                <w:kern w:val="0"/>
                <w:szCs w:val="21"/>
                <w:lang w:bidi="ar"/>
              </w:rPr>
              <w:t xml:space="preserve">✓ </w:t>
            </w:r>
            <w:r>
              <w:rPr>
                <w:rFonts w:hint="eastAsia" w:ascii="宋体" w:hAnsi="宋体" w:eastAsia="宋体" w:cs="宋体"/>
                <w:color w:val="060A26"/>
                <w:kern w:val="0"/>
                <w:szCs w:val="21"/>
                <w:lang w:bidi="ar"/>
              </w:rPr>
              <w:t>提供申请日期，姓名，住院号/门诊号，病人编号，诊疗类别，开单医生，项目名称，门诊申请单号，状态查询。</w:t>
            </w:r>
          </w:p>
        </w:tc>
      </w:tr>
      <w:tr w14:paraId="24B4D90E">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606" w:hRule="atLeast"/>
          <w:jc w:val="center"/>
        </w:trPr>
        <w:tc>
          <w:tcPr>
            <w:tcW w:w="1696" w:type="dxa"/>
            <w:vMerge w:val="continue"/>
            <w:tcBorders>
              <w:left w:val="single" w:color="auto" w:sz="6" w:space="0"/>
              <w:right w:val="single" w:color="auto" w:sz="6" w:space="0"/>
            </w:tcBorders>
            <w:shd w:val="clear" w:color="auto" w:fill="auto"/>
            <w:tcMar>
              <w:top w:w="150" w:type="dxa"/>
              <w:left w:w="210" w:type="dxa"/>
              <w:bottom w:w="150" w:type="dxa"/>
              <w:right w:w="210" w:type="dxa"/>
            </w:tcMar>
            <w:vAlign w:val="center"/>
          </w:tcPr>
          <w:p w14:paraId="0088602F">
            <w:pPr>
              <w:snapToGrid w:val="0"/>
              <w:jc w:val="center"/>
              <w:rPr>
                <w:rFonts w:ascii="宋体" w:eastAsia="宋体"/>
                <w:color w:val="060A26"/>
                <w:szCs w:val="21"/>
              </w:rPr>
            </w:pPr>
          </w:p>
        </w:tc>
        <w:tc>
          <w:tcPr>
            <w:tcW w:w="1436" w:type="dxa"/>
            <w:tcBorders>
              <w:top w:val="single" w:color="auto" w:sz="6" w:space="0"/>
              <w:left w:val="single" w:color="auto" w:sz="6" w:space="0"/>
              <w:bottom w:val="single" w:color="auto" w:sz="6" w:space="0"/>
              <w:right w:val="single" w:color="auto" w:sz="6" w:space="0"/>
            </w:tcBorders>
            <w:shd w:val="clear" w:color="auto" w:fill="auto"/>
            <w:tcMar>
              <w:top w:w="150" w:type="dxa"/>
              <w:left w:w="210" w:type="dxa"/>
              <w:bottom w:w="150" w:type="dxa"/>
              <w:right w:w="210" w:type="dxa"/>
            </w:tcMar>
            <w:vAlign w:val="center"/>
          </w:tcPr>
          <w:p w14:paraId="2F92A5A2">
            <w:pPr>
              <w:widowControl/>
              <w:wordWrap w:val="0"/>
              <w:snapToGrid w:val="0"/>
              <w:jc w:val="center"/>
              <w:textAlignment w:val="center"/>
              <w:rPr>
                <w:rFonts w:ascii="宋体" w:hAnsi="宋体" w:eastAsia="宋体" w:cs="宋体"/>
                <w:color w:val="060A26"/>
                <w:kern w:val="0"/>
                <w:szCs w:val="21"/>
                <w:lang w:bidi="ar"/>
              </w:rPr>
            </w:pPr>
            <w:r>
              <w:rPr>
                <w:rFonts w:hint="eastAsia" w:ascii="宋体" w:hAnsi="宋体" w:eastAsia="宋体" w:cs="宋体"/>
                <w:color w:val="060A26"/>
                <w:kern w:val="0"/>
                <w:szCs w:val="21"/>
                <w:lang w:bidi="ar"/>
              </w:rPr>
              <w:t>5.1.2治疗患者信息</w:t>
            </w:r>
          </w:p>
        </w:tc>
        <w:tc>
          <w:tcPr>
            <w:tcW w:w="6506" w:type="dxa"/>
            <w:tcBorders>
              <w:top w:val="single" w:color="auto" w:sz="6" w:space="0"/>
              <w:left w:val="single" w:color="auto" w:sz="6" w:space="0"/>
              <w:bottom w:val="single" w:color="auto" w:sz="6" w:space="0"/>
              <w:right w:val="single" w:color="auto" w:sz="6" w:space="0"/>
            </w:tcBorders>
            <w:shd w:val="clear" w:color="auto" w:fill="auto"/>
            <w:tcMar>
              <w:top w:w="150" w:type="dxa"/>
              <w:left w:w="210" w:type="dxa"/>
              <w:bottom w:w="150" w:type="dxa"/>
              <w:right w:w="210" w:type="dxa"/>
            </w:tcMar>
            <w:vAlign w:val="center"/>
          </w:tcPr>
          <w:p w14:paraId="78DFF154">
            <w:pPr>
              <w:widowControl/>
              <w:wordWrap w:val="0"/>
              <w:snapToGrid w:val="0"/>
              <w:textAlignment w:val="center"/>
              <w:rPr>
                <w:rFonts w:ascii="宋体" w:hAnsi="宋体" w:eastAsia="宋体" w:cs="宋体"/>
                <w:color w:val="060A26"/>
                <w:kern w:val="0"/>
                <w:szCs w:val="21"/>
                <w:lang w:bidi="ar"/>
              </w:rPr>
            </w:pPr>
            <w:r>
              <w:rPr>
                <w:rFonts w:ascii="宋体" w:hAnsi="宋体" w:eastAsia="宋体" w:cs="宋体"/>
                <w:color w:val="060A26"/>
                <w:kern w:val="0"/>
                <w:szCs w:val="21"/>
                <w:lang w:bidi="ar"/>
              </w:rPr>
              <w:t xml:space="preserve">✓ </w:t>
            </w:r>
            <w:r>
              <w:rPr>
                <w:rFonts w:hint="eastAsia" w:ascii="宋体" w:hAnsi="宋体" w:eastAsia="宋体" w:cs="宋体"/>
                <w:color w:val="060A26"/>
                <w:kern w:val="0"/>
                <w:szCs w:val="21"/>
                <w:lang w:bidi="ar"/>
              </w:rPr>
              <w:t>支持查看患者信息，诊断，治疗项目名称，数量，费用，情况说明，申请医生，申请时间内容。</w:t>
            </w:r>
          </w:p>
        </w:tc>
      </w:tr>
      <w:tr w14:paraId="5E8924A5">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897" w:hRule="atLeast"/>
          <w:jc w:val="center"/>
        </w:trPr>
        <w:tc>
          <w:tcPr>
            <w:tcW w:w="1696" w:type="dxa"/>
            <w:vMerge w:val="continue"/>
            <w:tcBorders>
              <w:left w:val="single" w:color="auto" w:sz="6" w:space="0"/>
              <w:right w:val="single" w:color="auto" w:sz="6" w:space="0"/>
            </w:tcBorders>
            <w:shd w:val="clear" w:color="auto" w:fill="auto"/>
            <w:tcMar>
              <w:top w:w="150" w:type="dxa"/>
              <w:left w:w="210" w:type="dxa"/>
              <w:bottom w:w="150" w:type="dxa"/>
              <w:right w:w="210" w:type="dxa"/>
            </w:tcMar>
            <w:vAlign w:val="center"/>
          </w:tcPr>
          <w:p w14:paraId="084A0D46">
            <w:pPr>
              <w:snapToGrid w:val="0"/>
              <w:jc w:val="center"/>
              <w:rPr>
                <w:rFonts w:ascii="宋体" w:eastAsia="宋体"/>
                <w:color w:val="060A26"/>
                <w:szCs w:val="21"/>
              </w:rPr>
            </w:pPr>
          </w:p>
        </w:tc>
        <w:tc>
          <w:tcPr>
            <w:tcW w:w="1436" w:type="dxa"/>
            <w:tcBorders>
              <w:top w:val="single" w:color="auto" w:sz="6" w:space="0"/>
              <w:left w:val="single" w:color="auto" w:sz="6" w:space="0"/>
              <w:bottom w:val="single" w:color="auto" w:sz="6" w:space="0"/>
              <w:right w:val="single" w:color="auto" w:sz="6" w:space="0"/>
            </w:tcBorders>
            <w:shd w:val="clear" w:color="auto" w:fill="auto"/>
            <w:tcMar>
              <w:top w:w="150" w:type="dxa"/>
              <w:left w:w="210" w:type="dxa"/>
              <w:bottom w:w="150" w:type="dxa"/>
              <w:right w:w="210" w:type="dxa"/>
            </w:tcMar>
            <w:vAlign w:val="center"/>
          </w:tcPr>
          <w:p w14:paraId="5DD65D82">
            <w:pPr>
              <w:widowControl/>
              <w:wordWrap w:val="0"/>
              <w:snapToGrid w:val="0"/>
              <w:jc w:val="center"/>
              <w:textAlignment w:val="center"/>
              <w:rPr>
                <w:rFonts w:ascii="宋体" w:hAnsi="宋体" w:eastAsia="宋体" w:cs="宋体"/>
                <w:color w:val="060A26"/>
                <w:kern w:val="0"/>
                <w:szCs w:val="21"/>
                <w:lang w:bidi="ar"/>
              </w:rPr>
            </w:pPr>
            <w:r>
              <w:rPr>
                <w:rFonts w:hint="eastAsia" w:ascii="宋体" w:hAnsi="宋体" w:eastAsia="宋体" w:cs="宋体"/>
                <w:color w:val="060A26"/>
                <w:kern w:val="0"/>
                <w:szCs w:val="21"/>
                <w:lang w:bidi="ar"/>
              </w:rPr>
              <w:t>5.1.3治疗处理添加记录</w:t>
            </w:r>
          </w:p>
        </w:tc>
        <w:tc>
          <w:tcPr>
            <w:tcW w:w="6506" w:type="dxa"/>
            <w:tcBorders>
              <w:top w:val="single" w:color="auto" w:sz="6" w:space="0"/>
              <w:left w:val="single" w:color="auto" w:sz="6" w:space="0"/>
              <w:bottom w:val="single" w:color="auto" w:sz="6" w:space="0"/>
              <w:right w:val="single" w:color="auto" w:sz="6" w:space="0"/>
            </w:tcBorders>
            <w:shd w:val="clear" w:color="auto" w:fill="auto"/>
            <w:tcMar>
              <w:top w:w="150" w:type="dxa"/>
              <w:left w:w="210" w:type="dxa"/>
              <w:bottom w:w="150" w:type="dxa"/>
              <w:right w:w="210" w:type="dxa"/>
            </w:tcMar>
            <w:vAlign w:val="center"/>
          </w:tcPr>
          <w:p w14:paraId="5B809403">
            <w:pPr>
              <w:widowControl/>
              <w:snapToGrid w:val="0"/>
              <w:jc w:val="left"/>
              <w:textAlignment w:val="center"/>
              <w:rPr>
                <w:rFonts w:ascii="宋体" w:hAnsi="宋体" w:eastAsia="宋体" w:cs="宋体"/>
                <w:color w:val="060A26"/>
                <w:kern w:val="0"/>
                <w:szCs w:val="21"/>
                <w:lang w:bidi="ar"/>
              </w:rPr>
            </w:pPr>
            <w:r>
              <w:rPr>
                <w:rFonts w:ascii="宋体" w:hAnsi="宋体" w:eastAsia="宋体" w:cs="宋体"/>
                <w:color w:val="060A26"/>
                <w:kern w:val="0"/>
                <w:szCs w:val="21"/>
                <w:lang w:bidi="ar"/>
              </w:rPr>
              <w:t xml:space="preserve">✓ </w:t>
            </w:r>
            <w:r>
              <w:rPr>
                <w:rFonts w:hint="eastAsia" w:ascii="宋体" w:hAnsi="宋体" w:eastAsia="宋体" w:cs="宋体"/>
                <w:color w:val="060A26"/>
                <w:kern w:val="0"/>
                <w:szCs w:val="21"/>
                <w:lang w:bidi="ar"/>
              </w:rPr>
              <w:t>可选择申请单进行添加记录处理情况，提供通用模板</w:t>
            </w:r>
            <w:r>
              <w:rPr>
                <w:rFonts w:ascii="宋体" w:hAnsi="宋体" w:eastAsia="宋体" w:cs="宋体"/>
                <w:color w:val="060A26"/>
                <w:kern w:val="0"/>
                <w:szCs w:val="21"/>
                <w:lang w:bidi="ar"/>
              </w:rPr>
              <w:t>。</w:t>
            </w:r>
          </w:p>
          <w:p w14:paraId="3B999072">
            <w:pPr>
              <w:widowControl/>
              <w:wordWrap w:val="0"/>
              <w:snapToGrid w:val="0"/>
              <w:textAlignment w:val="center"/>
              <w:rPr>
                <w:rFonts w:ascii="宋体" w:hAnsi="宋体" w:eastAsia="宋体" w:cs="宋体"/>
                <w:color w:val="060A26"/>
                <w:kern w:val="0"/>
                <w:szCs w:val="21"/>
                <w:lang w:bidi="ar"/>
              </w:rPr>
            </w:pPr>
            <w:r>
              <w:rPr>
                <w:rFonts w:ascii="宋体" w:hAnsi="宋体" w:eastAsia="宋体" w:cs="宋体"/>
                <w:color w:val="060A26"/>
                <w:kern w:val="0"/>
                <w:szCs w:val="21"/>
                <w:lang w:bidi="ar"/>
              </w:rPr>
              <w:t xml:space="preserve">✓ </w:t>
            </w:r>
            <w:r>
              <w:rPr>
                <w:rFonts w:hint="eastAsia" w:ascii="宋体" w:hAnsi="宋体" w:eastAsia="宋体" w:cs="宋体"/>
                <w:color w:val="060A26"/>
                <w:kern w:val="0"/>
                <w:szCs w:val="21"/>
                <w:lang w:bidi="ar"/>
              </w:rPr>
              <w:t>新增治疗记录显示患者信息，执行项目可填写执行数量，执行人，治疗记录可填写治疗名称，治疗记录，治疗起止时间，治疗反应，治疗效果，记录创建人，记录创建时间，最后更新人，最后更新时间。可保存为模板</w:t>
            </w:r>
          </w:p>
        </w:tc>
      </w:tr>
      <w:tr w14:paraId="6565E560">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1043" w:hRule="atLeast"/>
          <w:jc w:val="center"/>
        </w:trPr>
        <w:tc>
          <w:tcPr>
            <w:tcW w:w="1696" w:type="dxa"/>
            <w:vMerge w:val="continue"/>
            <w:tcBorders>
              <w:left w:val="single" w:color="auto" w:sz="6" w:space="0"/>
              <w:right w:val="single" w:color="auto" w:sz="6" w:space="0"/>
            </w:tcBorders>
            <w:shd w:val="clear" w:color="auto" w:fill="auto"/>
            <w:tcMar>
              <w:top w:w="150" w:type="dxa"/>
              <w:left w:w="210" w:type="dxa"/>
              <w:bottom w:w="150" w:type="dxa"/>
              <w:right w:w="210" w:type="dxa"/>
            </w:tcMar>
            <w:vAlign w:val="center"/>
          </w:tcPr>
          <w:p w14:paraId="7C13D512">
            <w:pPr>
              <w:snapToGrid w:val="0"/>
              <w:jc w:val="center"/>
              <w:rPr>
                <w:rFonts w:ascii="宋体" w:eastAsia="宋体"/>
                <w:color w:val="060A26"/>
                <w:szCs w:val="21"/>
              </w:rPr>
            </w:pPr>
          </w:p>
        </w:tc>
        <w:tc>
          <w:tcPr>
            <w:tcW w:w="1436" w:type="dxa"/>
            <w:tcBorders>
              <w:top w:val="single" w:color="auto" w:sz="6" w:space="0"/>
              <w:left w:val="single" w:color="auto" w:sz="6" w:space="0"/>
              <w:bottom w:val="single" w:color="auto" w:sz="6" w:space="0"/>
              <w:right w:val="single" w:color="auto" w:sz="6" w:space="0"/>
            </w:tcBorders>
            <w:shd w:val="clear" w:color="auto" w:fill="auto"/>
            <w:tcMar>
              <w:top w:w="150" w:type="dxa"/>
              <w:left w:w="210" w:type="dxa"/>
              <w:bottom w:w="150" w:type="dxa"/>
              <w:right w:w="210" w:type="dxa"/>
            </w:tcMar>
            <w:vAlign w:val="center"/>
          </w:tcPr>
          <w:p w14:paraId="1C8F0248">
            <w:pPr>
              <w:widowControl/>
              <w:wordWrap w:val="0"/>
              <w:snapToGrid w:val="0"/>
              <w:jc w:val="center"/>
              <w:textAlignment w:val="center"/>
              <w:rPr>
                <w:rFonts w:ascii="宋体" w:hAnsi="宋体" w:eastAsia="宋体" w:cs="宋体"/>
                <w:color w:val="060A26"/>
                <w:kern w:val="0"/>
                <w:szCs w:val="21"/>
                <w:lang w:bidi="ar"/>
              </w:rPr>
            </w:pPr>
            <w:r>
              <w:rPr>
                <w:rFonts w:hint="eastAsia" w:ascii="宋体" w:hAnsi="宋体" w:eastAsia="宋体" w:cs="宋体"/>
                <w:color w:val="060A26"/>
                <w:kern w:val="0"/>
                <w:szCs w:val="21"/>
                <w:lang w:bidi="ar"/>
              </w:rPr>
              <w:t>5.1.4添加治疗评估</w:t>
            </w:r>
          </w:p>
        </w:tc>
        <w:tc>
          <w:tcPr>
            <w:tcW w:w="6506" w:type="dxa"/>
            <w:tcBorders>
              <w:top w:val="single" w:color="auto" w:sz="6" w:space="0"/>
              <w:left w:val="single" w:color="auto" w:sz="6" w:space="0"/>
              <w:bottom w:val="single" w:color="auto" w:sz="6" w:space="0"/>
              <w:right w:val="single" w:color="auto" w:sz="6" w:space="0"/>
            </w:tcBorders>
            <w:shd w:val="clear" w:color="auto" w:fill="auto"/>
            <w:tcMar>
              <w:top w:w="150" w:type="dxa"/>
              <w:left w:w="210" w:type="dxa"/>
              <w:bottom w:w="150" w:type="dxa"/>
              <w:right w:w="210" w:type="dxa"/>
            </w:tcMar>
            <w:vAlign w:val="center"/>
          </w:tcPr>
          <w:p w14:paraId="5FA86AB0">
            <w:pPr>
              <w:widowControl/>
              <w:wordWrap w:val="0"/>
              <w:snapToGrid w:val="0"/>
              <w:textAlignment w:val="center"/>
              <w:rPr>
                <w:rFonts w:ascii="宋体" w:hAnsi="宋体" w:eastAsia="宋体" w:cs="宋体"/>
                <w:color w:val="060A26"/>
                <w:kern w:val="0"/>
                <w:szCs w:val="21"/>
                <w:lang w:bidi="ar"/>
              </w:rPr>
            </w:pPr>
            <w:r>
              <w:rPr>
                <w:rFonts w:ascii="宋体" w:hAnsi="宋体" w:eastAsia="宋体" w:cs="宋体"/>
                <w:color w:val="060A26"/>
                <w:kern w:val="0"/>
                <w:szCs w:val="21"/>
                <w:lang w:bidi="ar"/>
              </w:rPr>
              <w:t>✓</w:t>
            </w:r>
            <w:r>
              <w:rPr>
                <w:rFonts w:hint="eastAsia" w:ascii="宋体" w:hAnsi="宋体" w:eastAsia="宋体" w:cs="宋体"/>
                <w:color w:val="060A26"/>
                <w:kern w:val="0"/>
                <w:szCs w:val="21"/>
                <w:lang w:bidi="ar"/>
              </w:rPr>
              <w:t xml:space="preserve"> </w:t>
            </w:r>
            <w:r>
              <w:rPr>
                <w:rFonts w:ascii="宋体" w:hAnsi="宋体" w:eastAsia="宋体" w:cs="宋体"/>
                <w:color w:val="060A26"/>
                <w:kern w:val="0"/>
                <w:szCs w:val="21"/>
                <w:lang w:bidi="ar"/>
              </w:rPr>
              <w:t xml:space="preserve"> </w:t>
            </w:r>
            <w:r>
              <w:rPr>
                <w:rFonts w:hint="eastAsia" w:ascii="宋体" w:hAnsi="宋体" w:eastAsia="宋体" w:cs="宋体"/>
                <w:color w:val="060A26"/>
                <w:kern w:val="0"/>
                <w:szCs w:val="21"/>
                <w:lang w:bidi="ar"/>
              </w:rPr>
              <w:t>可选择申请单进行治疗评估，记录治疗效果，自动添加治疗前评估时间，治疗中评估人员，治疗中评估时间，治疗后评估人员，治疗后评估时间信息，提供通用模板</w:t>
            </w:r>
          </w:p>
          <w:p w14:paraId="66FB35D5">
            <w:pPr>
              <w:widowControl/>
              <w:wordWrap w:val="0"/>
              <w:snapToGrid w:val="0"/>
              <w:textAlignment w:val="center"/>
              <w:rPr>
                <w:rFonts w:ascii="宋体" w:hAnsi="宋体" w:eastAsia="宋体" w:cs="宋体"/>
                <w:color w:val="060A26"/>
                <w:kern w:val="0"/>
                <w:szCs w:val="21"/>
                <w:lang w:bidi="ar"/>
              </w:rPr>
            </w:pPr>
            <w:r>
              <w:rPr>
                <w:rFonts w:ascii="宋体" w:hAnsi="宋体" w:eastAsia="宋体" w:cs="宋体"/>
                <w:color w:val="060A26"/>
                <w:kern w:val="0"/>
                <w:szCs w:val="21"/>
                <w:lang w:bidi="ar"/>
              </w:rPr>
              <w:t>✓</w:t>
            </w:r>
            <w:r>
              <w:rPr>
                <w:rFonts w:hint="eastAsia" w:ascii="宋体" w:hAnsi="宋体" w:eastAsia="宋体" w:cs="宋体"/>
                <w:color w:val="060A26"/>
                <w:kern w:val="0"/>
                <w:szCs w:val="21"/>
                <w:lang w:bidi="ar"/>
              </w:rPr>
              <w:t>新增评估单可填写治疗前评估：信息核对，治疗禁忌症，告知情况，物品准备，其他，可填写治疗中评估：仪器运行状态，患者配合情况，有无不适主诉，其他。</w:t>
            </w:r>
          </w:p>
        </w:tc>
      </w:tr>
      <w:tr w14:paraId="2D55BA1E">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606" w:hRule="atLeast"/>
          <w:jc w:val="center"/>
        </w:trPr>
        <w:tc>
          <w:tcPr>
            <w:tcW w:w="1696" w:type="dxa"/>
            <w:vMerge w:val="continue"/>
            <w:tcBorders>
              <w:left w:val="single" w:color="auto" w:sz="6" w:space="0"/>
              <w:right w:val="single" w:color="auto" w:sz="6" w:space="0"/>
            </w:tcBorders>
            <w:shd w:val="clear" w:color="auto" w:fill="auto"/>
            <w:tcMar>
              <w:top w:w="150" w:type="dxa"/>
              <w:left w:w="210" w:type="dxa"/>
              <w:bottom w:w="150" w:type="dxa"/>
              <w:right w:w="210" w:type="dxa"/>
            </w:tcMar>
            <w:vAlign w:val="center"/>
          </w:tcPr>
          <w:p w14:paraId="0174DA36">
            <w:pPr>
              <w:snapToGrid w:val="0"/>
              <w:jc w:val="center"/>
              <w:rPr>
                <w:rFonts w:ascii="宋体" w:eastAsia="宋体"/>
                <w:color w:val="060A26"/>
                <w:szCs w:val="21"/>
              </w:rPr>
            </w:pPr>
          </w:p>
        </w:tc>
        <w:tc>
          <w:tcPr>
            <w:tcW w:w="1436" w:type="dxa"/>
            <w:tcBorders>
              <w:top w:val="single" w:color="auto" w:sz="6" w:space="0"/>
              <w:left w:val="single" w:color="auto" w:sz="6" w:space="0"/>
              <w:bottom w:val="single" w:color="auto" w:sz="6" w:space="0"/>
              <w:right w:val="single" w:color="auto" w:sz="6" w:space="0"/>
            </w:tcBorders>
            <w:shd w:val="clear" w:color="auto" w:fill="auto"/>
            <w:tcMar>
              <w:top w:w="150" w:type="dxa"/>
              <w:left w:w="210" w:type="dxa"/>
              <w:bottom w:w="150" w:type="dxa"/>
              <w:right w:w="210" w:type="dxa"/>
            </w:tcMar>
            <w:vAlign w:val="center"/>
          </w:tcPr>
          <w:p w14:paraId="781CA469">
            <w:pPr>
              <w:widowControl/>
              <w:wordWrap w:val="0"/>
              <w:snapToGrid w:val="0"/>
              <w:jc w:val="center"/>
              <w:textAlignment w:val="center"/>
              <w:rPr>
                <w:rFonts w:ascii="宋体" w:hAnsi="宋体" w:eastAsia="宋体" w:cs="宋体"/>
                <w:color w:val="060A26"/>
                <w:kern w:val="0"/>
                <w:szCs w:val="21"/>
                <w:lang w:bidi="ar"/>
              </w:rPr>
            </w:pPr>
            <w:r>
              <w:rPr>
                <w:rFonts w:hint="eastAsia" w:ascii="宋体" w:hAnsi="宋体" w:eastAsia="宋体" w:cs="宋体"/>
                <w:color w:val="060A26"/>
                <w:kern w:val="0"/>
                <w:szCs w:val="21"/>
                <w:lang w:bidi="ar"/>
              </w:rPr>
              <w:t>5.1.5添加病程</w:t>
            </w:r>
          </w:p>
        </w:tc>
        <w:tc>
          <w:tcPr>
            <w:tcW w:w="6506" w:type="dxa"/>
            <w:tcBorders>
              <w:top w:val="single" w:color="auto" w:sz="6" w:space="0"/>
              <w:left w:val="single" w:color="auto" w:sz="6" w:space="0"/>
              <w:bottom w:val="single" w:color="auto" w:sz="6" w:space="0"/>
              <w:right w:val="single" w:color="auto" w:sz="6" w:space="0"/>
            </w:tcBorders>
            <w:shd w:val="clear" w:color="auto" w:fill="auto"/>
            <w:tcMar>
              <w:top w:w="150" w:type="dxa"/>
              <w:left w:w="210" w:type="dxa"/>
              <w:bottom w:w="150" w:type="dxa"/>
              <w:right w:w="210" w:type="dxa"/>
            </w:tcMar>
            <w:vAlign w:val="center"/>
          </w:tcPr>
          <w:p w14:paraId="6BBBCCBE">
            <w:pPr>
              <w:widowControl/>
              <w:snapToGrid w:val="0"/>
              <w:jc w:val="left"/>
              <w:textAlignment w:val="center"/>
              <w:rPr>
                <w:rFonts w:ascii="宋体" w:hAnsi="宋体" w:eastAsia="宋体" w:cs="宋体"/>
                <w:color w:val="060A26"/>
                <w:kern w:val="0"/>
                <w:szCs w:val="21"/>
                <w:lang w:bidi="ar"/>
              </w:rPr>
            </w:pPr>
            <w:r>
              <w:rPr>
                <w:rFonts w:ascii="宋体" w:hAnsi="宋体" w:eastAsia="宋体" w:cs="宋体"/>
                <w:color w:val="060A26"/>
                <w:kern w:val="0"/>
                <w:szCs w:val="21"/>
                <w:lang w:bidi="ar"/>
              </w:rPr>
              <w:t xml:space="preserve">✓ </w:t>
            </w:r>
            <w:r>
              <w:rPr>
                <w:rFonts w:hint="eastAsia" w:ascii="宋体" w:hAnsi="宋体" w:eastAsia="宋体" w:cs="宋体"/>
                <w:color w:val="060A26"/>
                <w:kern w:val="0"/>
                <w:szCs w:val="21"/>
                <w:lang w:bidi="ar"/>
              </w:rPr>
              <w:t>可选择申请单添加病程，病程记录显示患者信息，可填写病程记录，可引用首次病程记录内容，可进行医师签名，签名时间。</w:t>
            </w:r>
          </w:p>
        </w:tc>
      </w:tr>
      <w:tr w14:paraId="4E001629">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315" w:hRule="atLeast"/>
          <w:jc w:val="center"/>
        </w:trPr>
        <w:tc>
          <w:tcPr>
            <w:tcW w:w="1696" w:type="dxa"/>
            <w:vMerge w:val="continue"/>
            <w:tcBorders>
              <w:left w:val="single" w:color="auto" w:sz="6" w:space="0"/>
              <w:right w:val="single" w:color="auto" w:sz="6" w:space="0"/>
            </w:tcBorders>
            <w:shd w:val="clear" w:color="auto" w:fill="auto"/>
            <w:tcMar>
              <w:top w:w="150" w:type="dxa"/>
              <w:left w:w="210" w:type="dxa"/>
              <w:bottom w:w="150" w:type="dxa"/>
              <w:right w:w="210" w:type="dxa"/>
            </w:tcMar>
            <w:vAlign w:val="center"/>
          </w:tcPr>
          <w:p w14:paraId="1396BC72">
            <w:pPr>
              <w:snapToGrid w:val="0"/>
              <w:jc w:val="center"/>
              <w:rPr>
                <w:rFonts w:ascii="宋体" w:eastAsia="宋体"/>
                <w:color w:val="060A26"/>
                <w:szCs w:val="21"/>
              </w:rPr>
            </w:pPr>
          </w:p>
        </w:tc>
        <w:tc>
          <w:tcPr>
            <w:tcW w:w="1436" w:type="dxa"/>
            <w:tcBorders>
              <w:top w:val="single" w:color="auto" w:sz="6" w:space="0"/>
              <w:left w:val="single" w:color="auto" w:sz="6" w:space="0"/>
              <w:bottom w:val="single" w:color="auto" w:sz="6" w:space="0"/>
              <w:right w:val="single" w:color="auto" w:sz="6" w:space="0"/>
            </w:tcBorders>
            <w:shd w:val="clear" w:color="auto" w:fill="auto"/>
            <w:tcMar>
              <w:top w:w="150" w:type="dxa"/>
              <w:left w:w="210" w:type="dxa"/>
              <w:bottom w:w="150" w:type="dxa"/>
              <w:right w:w="210" w:type="dxa"/>
            </w:tcMar>
            <w:vAlign w:val="center"/>
          </w:tcPr>
          <w:p w14:paraId="455F7094">
            <w:pPr>
              <w:widowControl/>
              <w:wordWrap w:val="0"/>
              <w:snapToGrid w:val="0"/>
              <w:jc w:val="center"/>
              <w:textAlignment w:val="center"/>
              <w:rPr>
                <w:rFonts w:ascii="宋体" w:hAnsi="宋体" w:eastAsia="宋体" w:cs="宋体"/>
                <w:color w:val="060A26"/>
                <w:kern w:val="0"/>
                <w:szCs w:val="21"/>
                <w:lang w:bidi="ar"/>
              </w:rPr>
            </w:pPr>
            <w:r>
              <w:rPr>
                <w:rFonts w:hint="eastAsia" w:ascii="宋体" w:hAnsi="宋体" w:eastAsia="宋体" w:cs="宋体"/>
                <w:color w:val="060A26"/>
                <w:kern w:val="0"/>
                <w:szCs w:val="21"/>
                <w:lang w:bidi="ar"/>
              </w:rPr>
              <w:t>5.2</w:t>
            </w:r>
          </w:p>
        </w:tc>
        <w:tc>
          <w:tcPr>
            <w:tcW w:w="6506" w:type="dxa"/>
            <w:tcBorders>
              <w:top w:val="single" w:color="auto" w:sz="6" w:space="0"/>
              <w:left w:val="single" w:color="auto" w:sz="6" w:space="0"/>
              <w:bottom w:val="single" w:color="auto" w:sz="6" w:space="0"/>
              <w:right w:val="single" w:color="auto" w:sz="6" w:space="0"/>
            </w:tcBorders>
            <w:shd w:val="clear" w:color="auto" w:fill="auto"/>
            <w:tcMar>
              <w:top w:w="150" w:type="dxa"/>
              <w:left w:w="210" w:type="dxa"/>
              <w:bottom w:w="150" w:type="dxa"/>
              <w:right w:w="210" w:type="dxa"/>
            </w:tcMar>
            <w:vAlign w:val="center"/>
          </w:tcPr>
          <w:p w14:paraId="6B1A7D4D">
            <w:pPr>
              <w:widowControl/>
              <w:wordWrap w:val="0"/>
              <w:snapToGrid w:val="0"/>
              <w:textAlignment w:val="center"/>
              <w:rPr>
                <w:rFonts w:ascii="宋体" w:hAnsi="宋体" w:eastAsia="宋体" w:cs="宋体"/>
                <w:color w:val="060A26"/>
                <w:kern w:val="0"/>
                <w:szCs w:val="21"/>
                <w:lang w:bidi="ar"/>
              </w:rPr>
            </w:pPr>
            <w:r>
              <w:rPr>
                <w:rFonts w:hint="eastAsia" w:ascii="宋体" w:hAnsi="宋体" w:eastAsia="宋体" w:cs="宋体"/>
                <w:b/>
                <w:bCs/>
                <w:color w:val="060A26"/>
                <w:kern w:val="0"/>
                <w:szCs w:val="21"/>
                <w:lang w:bidi="ar"/>
              </w:rPr>
              <w:t>治疗结果查询统计</w:t>
            </w:r>
          </w:p>
        </w:tc>
      </w:tr>
      <w:tr w14:paraId="17EA37AD">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897" w:hRule="atLeast"/>
          <w:jc w:val="center"/>
        </w:trPr>
        <w:tc>
          <w:tcPr>
            <w:tcW w:w="1696" w:type="dxa"/>
            <w:vMerge w:val="continue"/>
            <w:tcBorders>
              <w:left w:val="single" w:color="auto" w:sz="6" w:space="0"/>
              <w:right w:val="single" w:color="auto" w:sz="6" w:space="0"/>
            </w:tcBorders>
            <w:shd w:val="clear" w:color="auto" w:fill="auto"/>
            <w:tcMar>
              <w:top w:w="150" w:type="dxa"/>
              <w:left w:w="210" w:type="dxa"/>
              <w:bottom w:w="150" w:type="dxa"/>
              <w:right w:w="210" w:type="dxa"/>
            </w:tcMar>
            <w:vAlign w:val="center"/>
          </w:tcPr>
          <w:p w14:paraId="25A12B33">
            <w:pPr>
              <w:snapToGrid w:val="0"/>
              <w:jc w:val="center"/>
              <w:rPr>
                <w:rFonts w:ascii="宋体" w:eastAsia="宋体"/>
                <w:color w:val="060A26"/>
                <w:szCs w:val="21"/>
              </w:rPr>
            </w:pPr>
          </w:p>
        </w:tc>
        <w:tc>
          <w:tcPr>
            <w:tcW w:w="1436" w:type="dxa"/>
            <w:tcBorders>
              <w:top w:val="single" w:color="auto" w:sz="6" w:space="0"/>
              <w:left w:val="single" w:color="auto" w:sz="6" w:space="0"/>
              <w:bottom w:val="single" w:color="auto" w:sz="6" w:space="0"/>
              <w:right w:val="single" w:color="auto" w:sz="6" w:space="0"/>
            </w:tcBorders>
            <w:shd w:val="clear" w:color="auto" w:fill="auto"/>
            <w:tcMar>
              <w:top w:w="150" w:type="dxa"/>
              <w:left w:w="210" w:type="dxa"/>
              <w:bottom w:w="150" w:type="dxa"/>
              <w:right w:w="210" w:type="dxa"/>
            </w:tcMar>
            <w:vAlign w:val="center"/>
          </w:tcPr>
          <w:p w14:paraId="3739D5AA">
            <w:pPr>
              <w:widowControl/>
              <w:wordWrap w:val="0"/>
              <w:snapToGrid w:val="0"/>
              <w:jc w:val="center"/>
              <w:textAlignment w:val="center"/>
              <w:rPr>
                <w:rFonts w:ascii="宋体" w:eastAsia="宋体"/>
                <w:color w:val="060A26"/>
                <w:szCs w:val="21"/>
              </w:rPr>
            </w:pPr>
            <w:r>
              <w:rPr>
                <w:rFonts w:ascii="宋体" w:hAnsi="宋体" w:eastAsia="宋体" w:cs="宋体"/>
                <w:color w:val="060A26"/>
                <w:kern w:val="0"/>
                <w:szCs w:val="21"/>
                <w:lang w:bidi="ar"/>
              </w:rPr>
              <w:t>5.</w:t>
            </w:r>
            <w:r>
              <w:rPr>
                <w:rFonts w:hint="eastAsia" w:ascii="宋体" w:hAnsi="宋体" w:eastAsia="宋体" w:cs="宋体"/>
                <w:color w:val="060A26"/>
                <w:kern w:val="0"/>
                <w:szCs w:val="21"/>
                <w:lang w:bidi="ar"/>
              </w:rPr>
              <w:t>2</w:t>
            </w:r>
            <w:r>
              <w:rPr>
                <w:rFonts w:ascii="宋体" w:hAnsi="宋体" w:eastAsia="宋体" w:cs="宋体"/>
                <w:color w:val="060A26"/>
                <w:kern w:val="0"/>
                <w:szCs w:val="21"/>
                <w:lang w:bidi="ar"/>
              </w:rPr>
              <w:t>.</w:t>
            </w:r>
            <w:r>
              <w:rPr>
                <w:rFonts w:hint="eastAsia" w:ascii="宋体" w:hAnsi="宋体" w:eastAsia="宋体" w:cs="宋体"/>
                <w:color w:val="060A26"/>
                <w:kern w:val="0"/>
                <w:szCs w:val="21"/>
                <w:lang w:bidi="ar"/>
              </w:rPr>
              <w:t>1治疗处理记录</w:t>
            </w:r>
          </w:p>
        </w:tc>
        <w:tc>
          <w:tcPr>
            <w:tcW w:w="6506" w:type="dxa"/>
            <w:tcBorders>
              <w:top w:val="single" w:color="auto" w:sz="6" w:space="0"/>
              <w:left w:val="single" w:color="auto" w:sz="6" w:space="0"/>
              <w:bottom w:val="single" w:color="auto" w:sz="6" w:space="0"/>
              <w:right w:val="single" w:color="auto" w:sz="6" w:space="0"/>
            </w:tcBorders>
            <w:shd w:val="clear" w:color="auto" w:fill="auto"/>
            <w:tcMar>
              <w:top w:w="150" w:type="dxa"/>
              <w:left w:w="210" w:type="dxa"/>
              <w:bottom w:w="150" w:type="dxa"/>
              <w:right w:w="210" w:type="dxa"/>
            </w:tcMar>
            <w:vAlign w:val="center"/>
          </w:tcPr>
          <w:p w14:paraId="525EC369">
            <w:pPr>
              <w:widowControl/>
              <w:snapToGrid w:val="0"/>
              <w:jc w:val="left"/>
              <w:textAlignment w:val="center"/>
              <w:rPr>
                <w:rFonts w:ascii="宋体" w:hAnsi="宋体" w:eastAsia="宋体" w:cs="宋体"/>
                <w:color w:val="060A26"/>
                <w:kern w:val="0"/>
                <w:szCs w:val="21"/>
                <w:lang w:bidi="ar"/>
              </w:rPr>
            </w:pPr>
            <w:r>
              <w:rPr>
                <w:rFonts w:ascii="宋体" w:hAnsi="宋体" w:eastAsia="宋体" w:cs="宋体"/>
                <w:color w:val="060A26"/>
                <w:kern w:val="0"/>
                <w:szCs w:val="21"/>
                <w:lang w:bidi="ar"/>
              </w:rPr>
              <w:t>✓</w:t>
            </w:r>
            <w:r>
              <w:rPr>
                <w:rFonts w:hint="eastAsia" w:ascii="宋体" w:hAnsi="宋体" w:eastAsia="宋体" w:cs="宋体"/>
                <w:color w:val="060A26"/>
                <w:kern w:val="0"/>
                <w:szCs w:val="21"/>
                <w:lang w:bidi="ar"/>
              </w:rPr>
              <w:t>提供诊疗类别，日期，病人信息进行查询</w:t>
            </w:r>
          </w:p>
          <w:p w14:paraId="4F501E71">
            <w:pPr>
              <w:widowControl/>
              <w:snapToGrid w:val="0"/>
              <w:jc w:val="left"/>
              <w:textAlignment w:val="center"/>
              <w:rPr>
                <w:rFonts w:ascii="宋体" w:hAnsi="宋体" w:eastAsia="宋体" w:cs="宋体"/>
                <w:color w:val="060A26"/>
                <w:kern w:val="0"/>
                <w:szCs w:val="21"/>
                <w:lang w:bidi="ar"/>
              </w:rPr>
            </w:pPr>
            <w:r>
              <w:rPr>
                <w:rFonts w:ascii="宋体" w:hAnsi="宋体" w:eastAsia="宋体" w:cs="宋体"/>
                <w:color w:val="060A26"/>
                <w:kern w:val="0"/>
                <w:szCs w:val="21"/>
                <w:lang w:bidi="ar"/>
              </w:rPr>
              <w:t>✓</w:t>
            </w:r>
            <w:r>
              <w:rPr>
                <w:rFonts w:hint="eastAsia" w:ascii="宋体" w:hAnsi="宋体" w:eastAsia="宋体" w:cs="宋体"/>
                <w:color w:val="060A26"/>
                <w:kern w:val="0"/>
                <w:szCs w:val="21"/>
                <w:lang w:bidi="ar"/>
              </w:rPr>
              <w:t>提供患者信息，项目名称，治疗名称，时间，治疗结果内容，治疗反应，治疗效果等信息。</w:t>
            </w:r>
          </w:p>
          <w:p w14:paraId="1CD1A0C0">
            <w:pPr>
              <w:widowControl/>
              <w:snapToGrid w:val="0"/>
              <w:jc w:val="left"/>
              <w:textAlignment w:val="center"/>
              <w:rPr>
                <w:rFonts w:ascii="宋体" w:hAnsi="宋体" w:eastAsia="宋体" w:cs="宋体"/>
                <w:color w:val="060A26"/>
                <w:kern w:val="0"/>
                <w:szCs w:val="21"/>
                <w:lang w:bidi="ar"/>
              </w:rPr>
            </w:pPr>
            <w:r>
              <w:rPr>
                <w:rFonts w:ascii="宋体" w:hAnsi="宋体" w:eastAsia="宋体" w:cs="宋体"/>
                <w:color w:val="060A26"/>
                <w:kern w:val="0"/>
                <w:szCs w:val="21"/>
                <w:lang w:bidi="ar"/>
              </w:rPr>
              <w:t>✓</w:t>
            </w:r>
            <w:r>
              <w:rPr>
                <w:rFonts w:hint="eastAsia" w:ascii="宋体" w:hAnsi="宋体" w:eastAsia="宋体" w:cs="宋体"/>
                <w:color w:val="060A26"/>
                <w:kern w:val="0"/>
                <w:szCs w:val="21"/>
                <w:lang w:bidi="ar"/>
              </w:rPr>
              <w:t>支持点击姓名跳转360全息视图。支持点击治疗记录名称跳转治疗记录详情，可查看治疗记录单。</w:t>
            </w:r>
          </w:p>
        </w:tc>
      </w:tr>
      <w:tr w14:paraId="6130B81C">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1043" w:hRule="atLeast"/>
          <w:jc w:val="center"/>
        </w:trPr>
        <w:tc>
          <w:tcPr>
            <w:tcW w:w="1696" w:type="dxa"/>
            <w:vMerge w:val="continue"/>
            <w:tcBorders>
              <w:left w:val="single" w:color="auto" w:sz="6" w:space="0"/>
              <w:right w:val="single" w:color="auto" w:sz="6" w:space="0"/>
            </w:tcBorders>
            <w:shd w:val="clear" w:color="auto" w:fill="auto"/>
            <w:tcMar>
              <w:top w:w="150" w:type="dxa"/>
              <w:left w:w="210" w:type="dxa"/>
              <w:bottom w:w="150" w:type="dxa"/>
              <w:right w:w="210" w:type="dxa"/>
            </w:tcMar>
            <w:vAlign w:val="center"/>
          </w:tcPr>
          <w:p w14:paraId="47074390">
            <w:pPr>
              <w:snapToGrid w:val="0"/>
              <w:jc w:val="center"/>
              <w:rPr>
                <w:rFonts w:ascii="宋体" w:eastAsia="宋体"/>
                <w:color w:val="060A26"/>
                <w:szCs w:val="21"/>
              </w:rPr>
            </w:pPr>
          </w:p>
        </w:tc>
        <w:tc>
          <w:tcPr>
            <w:tcW w:w="1436" w:type="dxa"/>
            <w:tcBorders>
              <w:top w:val="single" w:color="auto" w:sz="6" w:space="0"/>
              <w:left w:val="single" w:color="auto" w:sz="6" w:space="0"/>
              <w:bottom w:val="single" w:color="auto" w:sz="6" w:space="0"/>
              <w:right w:val="single" w:color="auto" w:sz="6" w:space="0"/>
            </w:tcBorders>
            <w:shd w:val="clear" w:color="auto" w:fill="auto"/>
            <w:tcMar>
              <w:top w:w="150" w:type="dxa"/>
              <w:left w:w="210" w:type="dxa"/>
              <w:bottom w:w="150" w:type="dxa"/>
              <w:right w:w="210" w:type="dxa"/>
            </w:tcMar>
            <w:vAlign w:val="center"/>
          </w:tcPr>
          <w:p w14:paraId="7994DD03">
            <w:pPr>
              <w:widowControl/>
              <w:wordWrap w:val="0"/>
              <w:snapToGrid w:val="0"/>
              <w:jc w:val="center"/>
              <w:textAlignment w:val="center"/>
              <w:rPr>
                <w:rFonts w:ascii="宋体" w:eastAsia="宋体"/>
                <w:color w:val="060A26"/>
                <w:szCs w:val="21"/>
              </w:rPr>
            </w:pPr>
            <w:r>
              <w:rPr>
                <w:rFonts w:ascii="宋体" w:hAnsi="宋体" w:eastAsia="宋体" w:cs="宋体"/>
                <w:color w:val="060A26"/>
                <w:kern w:val="0"/>
                <w:szCs w:val="21"/>
                <w:lang w:bidi="ar"/>
              </w:rPr>
              <w:t>5.</w:t>
            </w:r>
            <w:r>
              <w:rPr>
                <w:rFonts w:hint="eastAsia" w:ascii="宋体" w:hAnsi="宋体" w:eastAsia="宋体" w:cs="宋体"/>
                <w:color w:val="060A26"/>
                <w:kern w:val="0"/>
                <w:szCs w:val="21"/>
                <w:lang w:bidi="ar"/>
              </w:rPr>
              <w:t>2.2 治疗评估记录</w:t>
            </w:r>
          </w:p>
        </w:tc>
        <w:tc>
          <w:tcPr>
            <w:tcW w:w="6506" w:type="dxa"/>
            <w:tcBorders>
              <w:top w:val="single" w:color="auto" w:sz="6" w:space="0"/>
              <w:left w:val="single" w:color="auto" w:sz="6" w:space="0"/>
              <w:bottom w:val="single" w:color="auto" w:sz="6" w:space="0"/>
              <w:right w:val="single" w:color="auto" w:sz="6" w:space="0"/>
            </w:tcBorders>
            <w:shd w:val="clear" w:color="auto" w:fill="auto"/>
            <w:tcMar>
              <w:top w:w="150" w:type="dxa"/>
              <w:left w:w="210" w:type="dxa"/>
              <w:bottom w:w="150" w:type="dxa"/>
              <w:right w:w="210" w:type="dxa"/>
            </w:tcMar>
            <w:vAlign w:val="center"/>
          </w:tcPr>
          <w:p w14:paraId="5BADE671">
            <w:pPr>
              <w:widowControl/>
              <w:wordWrap w:val="0"/>
              <w:snapToGrid w:val="0"/>
              <w:textAlignment w:val="center"/>
              <w:rPr>
                <w:rFonts w:ascii="宋体" w:hAnsi="宋体" w:eastAsia="宋体" w:cs="宋体"/>
                <w:color w:val="060A26"/>
                <w:kern w:val="0"/>
                <w:szCs w:val="21"/>
                <w:lang w:bidi="ar"/>
              </w:rPr>
            </w:pPr>
            <w:r>
              <w:rPr>
                <w:rFonts w:ascii="宋体" w:hAnsi="宋体" w:eastAsia="宋体" w:cs="宋体"/>
                <w:color w:val="060A26"/>
                <w:kern w:val="0"/>
                <w:szCs w:val="21"/>
                <w:lang w:bidi="ar"/>
              </w:rPr>
              <w:t>✓</w:t>
            </w:r>
            <w:r>
              <w:rPr>
                <w:rFonts w:hint="eastAsia" w:ascii="宋体" w:hAnsi="宋体" w:eastAsia="宋体" w:cs="宋体"/>
                <w:color w:val="060A26"/>
                <w:kern w:val="0"/>
                <w:szCs w:val="21"/>
                <w:lang w:bidi="ar"/>
              </w:rPr>
              <w:t>支持通过时间，患者信息，项目名称查询。</w:t>
            </w:r>
          </w:p>
          <w:p w14:paraId="3C145AA9">
            <w:pPr>
              <w:widowControl/>
              <w:wordWrap w:val="0"/>
              <w:snapToGrid w:val="0"/>
              <w:textAlignment w:val="center"/>
              <w:rPr>
                <w:rFonts w:ascii="宋体" w:hAnsi="宋体" w:eastAsia="宋体" w:cs="宋体"/>
                <w:color w:val="060A26"/>
                <w:kern w:val="0"/>
                <w:szCs w:val="21"/>
                <w:lang w:bidi="ar"/>
              </w:rPr>
            </w:pPr>
            <w:r>
              <w:rPr>
                <w:rFonts w:ascii="宋体" w:hAnsi="宋体" w:eastAsia="宋体" w:cs="宋体"/>
                <w:color w:val="060A26"/>
                <w:kern w:val="0"/>
                <w:szCs w:val="21"/>
                <w:lang w:bidi="ar"/>
              </w:rPr>
              <w:t>✓</w:t>
            </w:r>
            <w:r>
              <w:rPr>
                <w:rFonts w:hint="eastAsia" w:ascii="宋体" w:hAnsi="宋体" w:eastAsia="宋体" w:cs="宋体"/>
                <w:color w:val="060A26"/>
                <w:kern w:val="0"/>
                <w:szCs w:val="21"/>
                <w:lang w:bidi="ar"/>
              </w:rPr>
              <w:t>支持点击姓名跳转360全息视图。支持点击项目名称跳转治疗评估详情，治疗评估详情提供患者信息，项目名称，可填写治疗前评估，治疗中评估，治疗后评估，自带医生签名，时间。可填写治疗后评估：告知情况，整理，治疗效果，其他。可保存为模板。</w:t>
            </w:r>
          </w:p>
        </w:tc>
      </w:tr>
      <w:tr w14:paraId="4A2F38B3">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629" w:hRule="atLeast"/>
          <w:jc w:val="center"/>
        </w:trPr>
        <w:tc>
          <w:tcPr>
            <w:tcW w:w="1696" w:type="dxa"/>
            <w:vMerge w:val="continue"/>
            <w:tcBorders>
              <w:left w:val="single" w:color="auto" w:sz="6" w:space="0"/>
              <w:right w:val="single" w:color="auto" w:sz="6" w:space="0"/>
            </w:tcBorders>
            <w:shd w:val="clear" w:color="auto" w:fill="auto"/>
            <w:tcMar>
              <w:top w:w="150" w:type="dxa"/>
              <w:left w:w="210" w:type="dxa"/>
              <w:bottom w:w="150" w:type="dxa"/>
              <w:right w:w="210" w:type="dxa"/>
            </w:tcMar>
            <w:vAlign w:val="center"/>
          </w:tcPr>
          <w:p w14:paraId="4CC85885">
            <w:pPr>
              <w:snapToGrid w:val="0"/>
              <w:jc w:val="center"/>
              <w:rPr>
                <w:rFonts w:ascii="宋体" w:eastAsia="宋体"/>
                <w:color w:val="060A26"/>
                <w:szCs w:val="21"/>
              </w:rPr>
            </w:pPr>
          </w:p>
        </w:tc>
        <w:tc>
          <w:tcPr>
            <w:tcW w:w="1436" w:type="dxa"/>
            <w:vMerge w:val="restart"/>
            <w:tcBorders>
              <w:top w:val="single" w:color="auto" w:sz="6" w:space="0"/>
              <w:left w:val="single" w:color="auto" w:sz="6" w:space="0"/>
              <w:right w:val="single" w:color="auto" w:sz="6" w:space="0"/>
            </w:tcBorders>
            <w:shd w:val="clear" w:color="auto" w:fill="auto"/>
            <w:tcMar>
              <w:top w:w="150" w:type="dxa"/>
              <w:left w:w="210" w:type="dxa"/>
              <w:bottom w:w="150" w:type="dxa"/>
              <w:right w:w="210" w:type="dxa"/>
            </w:tcMar>
            <w:vAlign w:val="center"/>
          </w:tcPr>
          <w:p w14:paraId="39285910">
            <w:pPr>
              <w:widowControl/>
              <w:wordWrap w:val="0"/>
              <w:snapToGrid w:val="0"/>
              <w:jc w:val="center"/>
              <w:textAlignment w:val="center"/>
              <w:rPr>
                <w:rFonts w:ascii="宋体" w:eastAsia="宋体"/>
                <w:color w:val="060A26"/>
                <w:szCs w:val="21"/>
              </w:rPr>
            </w:pPr>
            <w:r>
              <w:rPr>
                <w:rFonts w:ascii="宋体" w:hAnsi="宋体" w:eastAsia="宋体" w:cs="宋体"/>
                <w:color w:val="060A26"/>
                <w:kern w:val="0"/>
                <w:szCs w:val="21"/>
                <w:lang w:bidi="ar"/>
              </w:rPr>
              <w:t>5.2.</w:t>
            </w:r>
            <w:r>
              <w:rPr>
                <w:rFonts w:hint="eastAsia" w:ascii="宋体" w:hAnsi="宋体" w:eastAsia="宋体" w:cs="宋体"/>
                <w:color w:val="060A26"/>
                <w:kern w:val="0"/>
                <w:szCs w:val="21"/>
                <w:lang w:bidi="ar"/>
              </w:rPr>
              <w:t>3病程记录</w:t>
            </w:r>
          </w:p>
          <w:p w14:paraId="7A9E61EE">
            <w:pPr>
              <w:widowControl/>
              <w:snapToGrid w:val="0"/>
              <w:jc w:val="left"/>
              <w:textAlignment w:val="center"/>
              <w:rPr>
                <w:rFonts w:ascii="宋体" w:eastAsia="宋体"/>
                <w:color w:val="060A26"/>
                <w:szCs w:val="21"/>
              </w:rPr>
            </w:pPr>
          </w:p>
        </w:tc>
        <w:tc>
          <w:tcPr>
            <w:tcW w:w="6506" w:type="dxa"/>
            <w:vMerge w:val="restart"/>
            <w:tcBorders>
              <w:top w:val="single" w:color="auto" w:sz="6" w:space="0"/>
              <w:left w:val="single" w:color="auto" w:sz="6" w:space="0"/>
              <w:right w:val="single" w:color="auto" w:sz="6" w:space="0"/>
            </w:tcBorders>
            <w:shd w:val="clear" w:color="auto" w:fill="auto"/>
            <w:tcMar>
              <w:top w:w="150" w:type="dxa"/>
              <w:left w:w="210" w:type="dxa"/>
              <w:bottom w:w="150" w:type="dxa"/>
              <w:right w:w="210" w:type="dxa"/>
            </w:tcMar>
            <w:vAlign w:val="center"/>
          </w:tcPr>
          <w:p w14:paraId="2141D646">
            <w:pPr>
              <w:widowControl/>
              <w:snapToGrid w:val="0"/>
              <w:jc w:val="left"/>
              <w:textAlignment w:val="center"/>
              <w:rPr>
                <w:rFonts w:ascii="宋体" w:hAnsi="宋体" w:eastAsia="宋体" w:cs="宋体"/>
                <w:color w:val="060A26"/>
                <w:kern w:val="0"/>
                <w:szCs w:val="21"/>
                <w:lang w:bidi="ar"/>
              </w:rPr>
            </w:pPr>
            <w:r>
              <w:rPr>
                <w:rFonts w:ascii="宋体" w:hAnsi="宋体" w:eastAsia="宋体" w:cs="宋体"/>
                <w:color w:val="060A26"/>
                <w:kern w:val="0"/>
                <w:szCs w:val="21"/>
                <w:lang w:bidi="ar"/>
              </w:rPr>
              <w:t>✓</w:t>
            </w:r>
            <w:r>
              <w:rPr>
                <w:rFonts w:hint="eastAsia" w:ascii="宋体" w:hAnsi="宋体" w:eastAsia="宋体" w:cs="宋体"/>
                <w:color w:val="060A26"/>
                <w:kern w:val="0"/>
                <w:szCs w:val="21"/>
                <w:lang w:bidi="ar"/>
              </w:rPr>
              <w:t xml:space="preserve"> 页面提供患者信息，病程内容，修改时间，修改人，最后修改时间，最后修改人。</w:t>
            </w:r>
          </w:p>
          <w:p w14:paraId="49779354">
            <w:pPr>
              <w:widowControl/>
              <w:snapToGrid w:val="0"/>
              <w:jc w:val="left"/>
              <w:textAlignment w:val="center"/>
              <w:rPr>
                <w:rFonts w:ascii="宋体" w:hAnsi="宋体" w:eastAsia="宋体" w:cs="宋体"/>
                <w:color w:val="060A26"/>
                <w:kern w:val="0"/>
                <w:szCs w:val="21"/>
                <w:lang w:bidi="ar"/>
              </w:rPr>
            </w:pPr>
            <w:r>
              <w:rPr>
                <w:rFonts w:ascii="宋体" w:hAnsi="宋体" w:eastAsia="宋体" w:cs="宋体"/>
                <w:color w:val="060A26"/>
                <w:kern w:val="0"/>
                <w:szCs w:val="21"/>
                <w:lang w:bidi="ar"/>
              </w:rPr>
              <w:t xml:space="preserve">✓ </w:t>
            </w:r>
            <w:r>
              <w:rPr>
                <w:rFonts w:hint="eastAsia" w:ascii="宋体" w:hAnsi="宋体" w:eastAsia="宋体" w:cs="宋体"/>
                <w:color w:val="060A26"/>
                <w:kern w:val="0"/>
                <w:szCs w:val="21"/>
                <w:lang w:bidi="ar"/>
              </w:rPr>
              <w:t>支持时间，患者信息，项目名称查询。</w:t>
            </w:r>
          </w:p>
          <w:p w14:paraId="219E0074">
            <w:pPr>
              <w:widowControl/>
              <w:snapToGrid w:val="0"/>
              <w:jc w:val="left"/>
              <w:textAlignment w:val="center"/>
              <w:rPr>
                <w:rFonts w:ascii="宋体" w:hAnsi="宋体" w:eastAsia="宋体" w:cs="宋体"/>
                <w:color w:val="060A26"/>
                <w:kern w:val="0"/>
                <w:szCs w:val="21"/>
                <w:lang w:bidi="ar"/>
              </w:rPr>
            </w:pPr>
            <w:r>
              <w:rPr>
                <w:rFonts w:ascii="宋体" w:hAnsi="宋体" w:eastAsia="宋体" w:cs="宋体"/>
                <w:color w:val="060A26"/>
                <w:kern w:val="0"/>
                <w:szCs w:val="21"/>
                <w:lang w:bidi="ar"/>
              </w:rPr>
              <w:t xml:space="preserve">✓ </w:t>
            </w:r>
            <w:r>
              <w:rPr>
                <w:rFonts w:hint="eastAsia" w:ascii="宋体" w:hAnsi="宋体" w:eastAsia="宋体" w:cs="宋体"/>
                <w:color w:val="060A26"/>
                <w:kern w:val="0"/>
                <w:szCs w:val="21"/>
                <w:lang w:bidi="ar"/>
              </w:rPr>
              <w:t>支持点击姓名跳转360全息视图。支持点击项目名称跳转病程详情，显示患者信息，病程记录。</w:t>
            </w:r>
          </w:p>
        </w:tc>
      </w:tr>
      <w:tr w14:paraId="040BEED2">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307" w:hRule="atLeast"/>
          <w:jc w:val="center"/>
        </w:trPr>
        <w:tc>
          <w:tcPr>
            <w:tcW w:w="1696" w:type="dxa"/>
            <w:tcBorders>
              <w:left w:val="single" w:color="auto" w:sz="6" w:space="0"/>
              <w:right w:val="single" w:color="auto" w:sz="6" w:space="0"/>
            </w:tcBorders>
            <w:shd w:val="clear" w:color="auto" w:fill="auto"/>
            <w:tcMar>
              <w:top w:w="150" w:type="dxa"/>
              <w:left w:w="210" w:type="dxa"/>
              <w:bottom w:w="150" w:type="dxa"/>
              <w:right w:w="210" w:type="dxa"/>
            </w:tcMar>
            <w:vAlign w:val="center"/>
          </w:tcPr>
          <w:p w14:paraId="1214EC44">
            <w:pPr>
              <w:snapToGrid w:val="0"/>
              <w:jc w:val="center"/>
              <w:rPr>
                <w:rFonts w:ascii="宋体" w:eastAsia="宋体"/>
                <w:color w:val="060A26"/>
                <w:szCs w:val="21"/>
              </w:rPr>
            </w:pPr>
          </w:p>
        </w:tc>
        <w:tc>
          <w:tcPr>
            <w:tcW w:w="1436" w:type="dxa"/>
            <w:vMerge w:val="continue"/>
            <w:tcBorders>
              <w:left w:val="single" w:color="auto" w:sz="6" w:space="0"/>
              <w:right w:val="single" w:color="auto" w:sz="6" w:space="0"/>
            </w:tcBorders>
            <w:shd w:val="clear" w:color="auto" w:fill="auto"/>
            <w:tcMar>
              <w:top w:w="150" w:type="dxa"/>
              <w:left w:w="210" w:type="dxa"/>
              <w:bottom w:w="150" w:type="dxa"/>
              <w:right w:w="210" w:type="dxa"/>
            </w:tcMar>
            <w:vAlign w:val="center"/>
          </w:tcPr>
          <w:p w14:paraId="7BE79CA9">
            <w:pPr>
              <w:widowControl/>
              <w:snapToGrid w:val="0"/>
              <w:jc w:val="left"/>
              <w:textAlignment w:val="center"/>
              <w:rPr>
                <w:rFonts w:ascii="宋体" w:eastAsia="宋体"/>
                <w:color w:val="060A26"/>
                <w:szCs w:val="21"/>
              </w:rPr>
            </w:pPr>
          </w:p>
        </w:tc>
        <w:tc>
          <w:tcPr>
            <w:tcW w:w="6506" w:type="dxa"/>
            <w:vMerge w:val="continue"/>
            <w:tcBorders>
              <w:left w:val="single" w:color="auto" w:sz="6" w:space="0"/>
              <w:right w:val="single" w:color="auto" w:sz="6" w:space="0"/>
            </w:tcBorders>
            <w:shd w:val="clear" w:color="auto" w:fill="auto"/>
            <w:tcMar>
              <w:top w:w="150" w:type="dxa"/>
              <w:left w:w="210" w:type="dxa"/>
              <w:bottom w:w="150" w:type="dxa"/>
              <w:right w:w="210" w:type="dxa"/>
            </w:tcMar>
            <w:vAlign w:val="center"/>
          </w:tcPr>
          <w:p w14:paraId="55325F17">
            <w:pPr>
              <w:widowControl/>
              <w:snapToGrid w:val="0"/>
              <w:jc w:val="left"/>
              <w:textAlignment w:val="center"/>
              <w:rPr>
                <w:rFonts w:ascii="宋体" w:hAnsi="宋体" w:eastAsia="宋体" w:cs="宋体"/>
                <w:color w:val="060A26"/>
                <w:kern w:val="0"/>
                <w:szCs w:val="21"/>
                <w:lang w:bidi="ar"/>
              </w:rPr>
            </w:pPr>
          </w:p>
        </w:tc>
      </w:tr>
      <w:tr w14:paraId="46872872">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307" w:hRule="atLeast"/>
          <w:jc w:val="center"/>
        </w:trPr>
        <w:tc>
          <w:tcPr>
            <w:tcW w:w="1696" w:type="dxa"/>
            <w:tcBorders>
              <w:left w:val="single" w:color="auto" w:sz="6" w:space="0"/>
              <w:right w:val="single" w:color="auto" w:sz="6" w:space="0"/>
            </w:tcBorders>
            <w:shd w:val="clear" w:color="auto" w:fill="auto"/>
            <w:tcMar>
              <w:top w:w="150" w:type="dxa"/>
              <w:left w:w="210" w:type="dxa"/>
              <w:bottom w:w="150" w:type="dxa"/>
              <w:right w:w="210" w:type="dxa"/>
            </w:tcMar>
            <w:vAlign w:val="center"/>
          </w:tcPr>
          <w:p w14:paraId="0BC76695">
            <w:pPr>
              <w:snapToGrid w:val="0"/>
              <w:jc w:val="center"/>
              <w:rPr>
                <w:rFonts w:ascii="宋体" w:eastAsia="宋体"/>
                <w:color w:val="060A26"/>
                <w:szCs w:val="21"/>
              </w:rPr>
            </w:pPr>
          </w:p>
        </w:tc>
        <w:tc>
          <w:tcPr>
            <w:tcW w:w="7942" w:type="dxa"/>
            <w:gridSpan w:val="2"/>
            <w:tcBorders>
              <w:left w:val="single" w:color="auto" w:sz="6" w:space="0"/>
              <w:right w:val="single" w:color="auto" w:sz="6" w:space="0"/>
            </w:tcBorders>
            <w:shd w:val="clear" w:color="auto" w:fill="auto"/>
            <w:tcMar>
              <w:top w:w="150" w:type="dxa"/>
              <w:left w:w="210" w:type="dxa"/>
              <w:bottom w:w="150" w:type="dxa"/>
              <w:right w:w="210" w:type="dxa"/>
            </w:tcMar>
            <w:vAlign w:val="center"/>
          </w:tcPr>
          <w:p w14:paraId="3B638FF9">
            <w:pPr>
              <w:widowControl/>
              <w:snapToGrid w:val="0"/>
              <w:jc w:val="left"/>
              <w:textAlignment w:val="center"/>
              <w:rPr>
                <w:rFonts w:ascii="宋体" w:hAnsi="宋体" w:eastAsia="宋体" w:cs="宋体"/>
                <w:color w:val="060A26"/>
                <w:kern w:val="0"/>
                <w:szCs w:val="21"/>
                <w:lang w:bidi="ar"/>
              </w:rPr>
            </w:pPr>
            <w:r>
              <w:rPr>
                <w:rFonts w:hint="eastAsia" w:ascii="宋体"/>
                <w:b/>
                <w:bCs/>
                <w:color w:val="060A26"/>
                <w:szCs w:val="21"/>
                <w:lang w:eastAsia="zh-CN"/>
              </w:rPr>
              <w:t>（</w:t>
            </w:r>
            <w:r>
              <w:rPr>
                <w:rFonts w:hint="eastAsia" w:ascii="宋体"/>
                <w:b/>
                <w:bCs/>
                <w:color w:val="060A26"/>
                <w:szCs w:val="21"/>
                <w:lang w:val="en-US" w:eastAsia="zh-CN"/>
              </w:rPr>
              <w:t>二</w:t>
            </w:r>
            <w:r>
              <w:rPr>
                <w:rFonts w:hint="eastAsia" w:ascii="宋体"/>
                <w:b/>
                <w:bCs/>
                <w:color w:val="060A26"/>
                <w:szCs w:val="21"/>
                <w:lang w:eastAsia="zh-CN"/>
              </w:rPr>
              <w:t>）</w:t>
            </w:r>
            <w:r>
              <w:rPr>
                <w:rFonts w:hint="eastAsia" w:ascii="宋体" w:hAnsi="宋体" w:eastAsia="宋体" w:cs="宋体"/>
                <w:b/>
                <w:bCs/>
                <w:color w:val="060A26"/>
                <w:kern w:val="0"/>
                <w:szCs w:val="21"/>
                <w:lang w:bidi="ar"/>
              </w:rPr>
              <w:t>新增功能需求</w:t>
            </w:r>
          </w:p>
        </w:tc>
      </w:tr>
      <w:tr w14:paraId="785FF77B">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744" w:hRule="atLeast"/>
          <w:jc w:val="center"/>
        </w:trPr>
        <w:tc>
          <w:tcPr>
            <w:tcW w:w="1696" w:type="dxa"/>
            <w:tcBorders>
              <w:left w:val="single" w:color="auto" w:sz="6" w:space="0"/>
              <w:right w:val="single" w:color="auto" w:sz="6" w:space="0"/>
            </w:tcBorders>
            <w:shd w:val="clear" w:color="auto" w:fill="auto"/>
            <w:tcMar>
              <w:top w:w="150" w:type="dxa"/>
              <w:left w:w="210" w:type="dxa"/>
              <w:bottom w:w="150" w:type="dxa"/>
              <w:right w:w="210" w:type="dxa"/>
            </w:tcMar>
            <w:vAlign w:val="center"/>
          </w:tcPr>
          <w:p w14:paraId="61E121D1">
            <w:pPr>
              <w:snapToGrid w:val="0"/>
              <w:jc w:val="center"/>
              <w:rPr>
                <w:rFonts w:ascii="宋体" w:eastAsia="宋体"/>
                <w:color w:val="060A26"/>
                <w:szCs w:val="21"/>
              </w:rPr>
            </w:pPr>
          </w:p>
        </w:tc>
        <w:tc>
          <w:tcPr>
            <w:tcW w:w="1436" w:type="dxa"/>
            <w:tcBorders>
              <w:left w:val="single" w:color="auto" w:sz="6" w:space="0"/>
              <w:right w:val="single" w:color="auto" w:sz="6" w:space="0"/>
            </w:tcBorders>
            <w:shd w:val="clear" w:color="auto" w:fill="auto"/>
            <w:tcMar>
              <w:top w:w="150" w:type="dxa"/>
              <w:left w:w="210" w:type="dxa"/>
              <w:bottom w:w="150" w:type="dxa"/>
              <w:right w:w="210" w:type="dxa"/>
            </w:tcMar>
            <w:vAlign w:val="center"/>
          </w:tcPr>
          <w:p w14:paraId="7C90627E">
            <w:pPr>
              <w:widowControl/>
              <w:snapToGrid w:val="0"/>
              <w:jc w:val="left"/>
              <w:textAlignment w:val="center"/>
              <w:rPr>
                <w:rFonts w:ascii="宋体" w:eastAsia="宋体"/>
                <w:color w:val="060A26"/>
                <w:szCs w:val="21"/>
              </w:rPr>
            </w:pPr>
            <w:r>
              <w:rPr>
                <w:rFonts w:hint="eastAsia" w:ascii="宋体" w:eastAsia="宋体"/>
                <w:color w:val="060A26"/>
                <w:szCs w:val="21"/>
              </w:rPr>
              <w:t>5.3.1治疗模板</w:t>
            </w:r>
          </w:p>
        </w:tc>
        <w:tc>
          <w:tcPr>
            <w:tcW w:w="6506" w:type="dxa"/>
            <w:tcBorders>
              <w:left w:val="single" w:color="auto" w:sz="6" w:space="0"/>
              <w:right w:val="single" w:color="auto" w:sz="6" w:space="0"/>
            </w:tcBorders>
            <w:shd w:val="clear" w:color="auto" w:fill="auto"/>
            <w:tcMar>
              <w:top w:w="150" w:type="dxa"/>
              <w:left w:w="210" w:type="dxa"/>
              <w:bottom w:w="150" w:type="dxa"/>
              <w:right w:w="210" w:type="dxa"/>
            </w:tcMar>
            <w:vAlign w:val="center"/>
          </w:tcPr>
          <w:p w14:paraId="2D48331D">
            <w:pPr>
              <w:widowControl/>
              <w:snapToGrid w:val="0"/>
              <w:jc w:val="left"/>
              <w:textAlignment w:val="center"/>
              <w:rPr>
                <w:rFonts w:ascii="宋体" w:hAnsi="宋体" w:eastAsia="宋体" w:cs="宋体"/>
                <w:color w:val="060A26"/>
                <w:kern w:val="0"/>
                <w:szCs w:val="21"/>
                <w:lang w:bidi="ar"/>
              </w:rPr>
            </w:pPr>
            <w:r>
              <w:rPr>
                <w:rFonts w:ascii="宋体" w:hAnsi="宋体" w:eastAsia="宋体" w:cs="宋体"/>
                <w:color w:val="060A26"/>
                <w:kern w:val="0"/>
                <w:szCs w:val="21"/>
                <w:lang w:bidi="ar"/>
              </w:rPr>
              <w:t>✓</w:t>
            </w:r>
            <w:r>
              <w:rPr>
                <w:rFonts w:hint="eastAsia" w:ascii="宋体" w:hAnsi="宋体" w:eastAsia="宋体" w:cs="宋体"/>
                <w:color w:val="060A26"/>
                <w:kern w:val="0"/>
                <w:szCs w:val="21"/>
                <w:lang w:bidi="ar"/>
              </w:rPr>
              <w:t xml:space="preserve"> 根据科室提供的文书模板</w:t>
            </w:r>
            <w:r>
              <w:rPr>
                <w:rFonts w:ascii="宋体" w:hAnsi="宋体" w:eastAsia="宋体" w:cs="宋体"/>
                <w:color w:val="060A26"/>
                <w:kern w:val="0"/>
                <w:szCs w:val="21"/>
                <w:lang w:bidi="ar"/>
              </w:rPr>
              <w:t>开发皮肤科治疗记录功能页面</w:t>
            </w:r>
            <w:r>
              <w:rPr>
                <w:rFonts w:hint="eastAsia" w:ascii="宋体" w:hAnsi="宋体" w:eastAsia="宋体" w:cs="宋体"/>
                <w:color w:val="060A26"/>
                <w:kern w:val="0"/>
                <w:szCs w:val="21"/>
                <w:lang w:bidi="ar"/>
              </w:rPr>
              <w:t>，包括：</w:t>
            </w:r>
            <w:r>
              <w:rPr>
                <w:rFonts w:ascii="宋体" w:hAnsi="宋体" w:eastAsia="宋体" w:cs="宋体"/>
                <w:color w:val="060A26"/>
                <w:kern w:val="0"/>
                <w:szCs w:val="21"/>
                <w:lang w:bidi="ar"/>
              </w:rPr>
              <w:t>肉毒素治疗记录、美容注射治疗记录、激光治疗记录及视频治疗记录功能</w:t>
            </w:r>
            <w:r>
              <w:rPr>
                <w:rFonts w:hint="eastAsia" w:ascii="宋体" w:hAnsi="宋体" w:eastAsia="宋体" w:cs="宋体"/>
                <w:color w:val="060A26"/>
                <w:kern w:val="0"/>
                <w:szCs w:val="21"/>
                <w:lang w:bidi="ar"/>
              </w:rPr>
              <w:t>。相关治疗记录数据需与患者360系统进行对接，实现患者治疗信息的统一展示与查询。</w:t>
            </w:r>
          </w:p>
        </w:tc>
      </w:tr>
      <w:tr w14:paraId="3074A38D">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233" w:hRule="atLeast"/>
          <w:jc w:val="center"/>
        </w:trPr>
        <w:tc>
          <w:tcPr>
            <w:tcW w:w="1696" w:type="dxa"/>
            <w:tcBorders>
              <w:left w:val="single" w:color="auto" w:sz="6" w:space="0"/>
              <w:right w:val="single" w:color="auto" w:sz="6" w:space="0"/>
            </w:tcBorders>
            <w:shd w:val="clear" w:color="auto" w:fill="auto"/>
            <w:tcMar>
              <w:top w:w="150" w:type="dxa"/>
              <w:left w:w="210" w:type="dxa"/>
              <w:bottom w:w="150" w:type="dxa"/>
              <w:right w:w="210" w:type="dxa"/>
            </w:tcMar>
            <w:vAlign w:val="center"/>
          </w:tcPr>
          <w:p w14:paraId="289B64FB">
            <w:pPr>
              <w:snapToGrid w:val="0"/>
              <w:jc w:val="center"/>
              <w:rPr>
                <w:rFonts w:ascii="宋体" w:eastAsia="宋体"/>
                <w:color w:val="060A26"/>
                <w:szCs w:val="21"/>
              </w:rPr>
            </w:pPr>
          </w:p>
        </w:tc>
        <w:tc>
          <w:tcPr>
            <w:tcW w:w="1436" w:type="dxa"/>
            <w:tcBorders>
              <w:left w:val="single" w:color="auto" w:sz="6" w:space="0"/>
              <w:right w:val="single" w:color="auto" w:sz="6" w:space="0"/>
            </w:tcBorders>
            <w:shd w:val="clear" w:color="auto" w:fill="auto"/>
            <w:tcMar>
              <w:top w:w="150" w:type="dxa"/>
              <w:left w:w="210" w:type="dxa"/>
              <w:bottom w:w="150" w:type="dxa"/>
              <w:right w:w="210" w:type="dxa"/>
            </w:tcMar>
            <w:vAlign w:val="center"/>
          </w:tcPr>
          <w:p w14:paraId="5BF5F792">
            <w:pPr>
              <w:widowControl/>
              <w:snapToGrid w:val="0"/>
              <w:jc w:val="left"/>
              <w:textAlignment w:val="center"/>
              <w:rPr>
                <w:rFonts w:ascii="宋体" w:eastAsia="宋体"/>
                <w:color w:val="060A26"/>
                <w:szCs w:val="21"/>
              </w:rPr>
            </w:pPr>
            <w:r>
              <w:rPr>
                <w:rFonts w:hint="eastAsia" w:ascii="宋体" w:eastAsia="宋体"/>
                <w:color w:val="060A26"/>
                <w:szCs w:val="21"/>
              </w:rPr>
              <w:t>5.3.2对接需求</w:t>
            </w:r>
          </w:p>
        </w:tc>
        <w:tc>
          <w:tcPr>
            <w:tcW w:w="6506" w:type="dxa"/>
            <w:tcBorders>
              <w:left w:val="single" w:color="auto" w:sz="6" w:space="0"/>
              <w:right w:val="single" w:color="auto" w:sz="6" w:space="0"/>
            </w:tcBorders>
            <w:shd w:val="clear" w:color="auto" w:fill="auto"/>
            <w:tcMar>
              <w:top w:w="150" w:type="dxa"/>
              <w:left w:w="210" w:type="dxa"/>
              <w:bottom w:w="150" w:type="dxa"/>
              <w:right w:w="210" w:type="dxa"/>
            </w:tcMar>
            <w:vAlign w:val="center"/>
          </w:tcPr>
          <w:p w14:paraId="78A2DCF4">
            <w:pPr>
              <w:widowControl/>
              <w:snapToGrid w:val="0"/>
              <w:jc w:val="left"/>
              <w:textAlignment w:val="center"/>
              <w:rPr>
                <w:rFonts w:ascii="宋体" w:hAnsi="宋体" w:eastAsia="宋体" w:cs="宋体"/>
                <w:color w:val="060A26"/>
                <w:kern w:val="0"/>
                <w:szCs w:val="21"/>
                <w:lang w:bidi="ar"/>
              </w:rPr>
            </w:pPr>
            <w:r>
              <w:rPr>
                <w:rFonts w:ascii="宋体" w:hAnsi="宋体" w:eastAsia="宋体" w:cs="宋体"/>
                <w:color w:val="060A26"/>
                <w:kern w:val="0"/>
                <w:szCs w:val="21"/>
                <w:lang w:bidi="ar"/>
              </w:rPr>
              <w:t>✓</w:t>
            </w:r>
            <w:r>
              <w:rPr>
                <w:rFonts w:hint="eastAsia" w:ascii="宋体" w:hAnsi="宋体" w:eastAsia="宋体" w:cs="宋体"/>
                <w:color w:val="060A26"/>
                <w:kern w:val="0"/>
                <w:szCs w:val="21"/>
                <w:lang w:bidi="ar"/>
              </w:rPr>
              <w:t xml:space="preserve"> </w:t>
            </w:r>
            <w:r>
              <w:rPr>
                <w:rFonts w:ascii="宋体" w:hAnsi="宋体" w:eastAsia="宋体" w:cs="宋体"/>
                <w:color w:val="060A26"/>
                <w:kern w:val="0"/>
                <w:szCs w:val="21"/>
                <w:lang w:bidi="ar"/>
              </w:rPr>
              <w:t>配合HIS系统改造，完成相关系统接口开发、对接及页面改造工作</w:t>
            </w:r>
            <w:r>
              <w:rPr>
                <w:rFonts w:hint="eastAsia" w:ascii="宋体" w:hAnsi="宋体" w:eastAsia="宋体" w:cs="宋体"/>
                <w:color w:val="060A26"/>
                <w:kern w:val="0"/>
                <w:szCs w:val="21"/>
                <w:lang w:bidi="ar"/>
              </w:rPr>
              <w:t>。</w:t>
            </w:r>
          </w:p>
          <w:p w14:paraId="7BA657AB">
            <w:pPr>
              <w:widowControl/>
              <w:snapToGrid w:val="0"/>
              <w:jc w:val="left"/>
              <w:textAlignment w:val="center"/>
              <w:rPr>
                <w:rFonts w:ascii="宋体" w:hAnsi="宋体" w:eastAsia="宋体" w:cs="宋体"/>
                <w:color w:val="060A26"/>
                <w:kern w:val="0"/>
                <w:szCs w:val="21"/>
                <w:lang w:bidi="ar"/>
              </w:rPr>
            </w:pPr>
            <w:r>
              <w:rPr>
                <w:rFonts w:hint="eastAsia" w:ascii="微软雅黑" w:hAnsi="微软雅黑" w:eastAsia="微软雅黑" w:cs="微软雅黑"/>
                <w:color w:val="060A26"/>
                <w:kern w:val="0"/>
                <w:szCs w:val="21"/>
                <w:lang w:bidi="ar"/>
              </w:rPr>
              <w:t>✓</w:t>
            </w:r>
            <w:r>
              <w:rPr>
                <w:rFonts w:hint="eastAsia" w:asciiTheme="majorEastAsia" w:hAnsiTheme="majorEastAsia" w:eastAsiaTheme="majorEastAsia" w:cstheme="majorEastAsia"/>
                <w:color w:val="060A26"/>
                <w:kern w:val="0"/>
                <w:szCs w:val="21"/>
                <w:lang w:bidi="ar"/>
              </w:rPr>
              <w:t xml:space="preserve"> 患者主索引接口：对接集成平台患者主索引信息，包括患者唯一标识、基本信息等，支持调取集成平台的患者身份标识，实现各业务系统间患者信息的共享和关联。</w:t>
            </w:r>
          </w:p>
        </w:tc>
      </w:tr>
      <w:tr w14:paraId="1691EF66">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233" w:hRule="atLeast"/>
          <w:jc w:val="center"/>
        </w:trPr>
        <w:tc>
          <w:tcPr>
            <w:tcW w:w="1696" w:type="dxa"/>
            <w:tcBorders>
              <w:left w:val="single" w:color="auto" w:sz="6" w:space="0"/>
              <w:right w:val="single" w:color="auto" w:sz="6" w:space="0"/>
            </w:tcBorders>
            <w:shd w:val="clear" w:color="auto" w:fill="auto"/>
            <w:tcMar>
              <w:top w:w="150" w:type="dxa"/>
              <w:left w:w="210" w:type="dxa"/>
              <w:bottom w:w="150" w:type="dxa"/>
              <w:right w:w="210" w:type="dxa"/>
            </w:tcMar>
            <w:vAlign w:val="center"/>
          </w:tcPr>
          <w:p w14:paraId="53E2CC16">
            <w:pPr>
              <w:snapToGrid w:val="0"/>
              <w:jc w:val="center"/>
              <w:rPr>
                <w:rFonts w:ascii="宋体" w:eastAsia="宋体"/>
                <w:color w:val="060A26"/>
                <w:szCs w:val="21"/>
              </w:rPr>
            </w:pPr>
          </w:p>
        </w:tc>
        <w:tc>
          <w:tcPr>
            <w:tcW w:w="1436" w:type="dxa"/>
            <w:tcBorders>
              <w:left w:val="single" w:color="auto" w:sz="6" w:space="0"/>
              <w:right w:val="single" w:color="auto" w:sz="6" w:space="0"/>
            </w:tcBorders>
            <w:shd w:val="clear" w:color="auto" w:fill="auto"/>
            <w:tcMar>
              <w:top w:w="150" w:type="dxa"/>
              <w:left w:w="210" w:type="dxa"/>
              <w:bottom w:w="150" w:type="dxa"/>
              <w:right w:w="210" w:type="dxa"/>
            </w:tcMar>
            <w:vAlign w:val="center"/>
          </w:tcPr>
          <w:p w14:paraId="273F2250">
            <w:pPr>
              <w:widowControl/>
              <w:snapToGrid w:val="0"/>
              <w:jc w:val="left"/>
              <w:textAlignment w:val="center"/>
              <w:rPr>
                <w:rFonts w:hint="eastAsia" w:ascii="宋体" w:eastAsia="宋体"/>
                <w:color w:val="060A26"/>
                <w:szCs w:val="21"/>
              </w:rPr>
            </w:pPr>
            <w:r>
              <w:rPr>
                <w:rFonts w:hint="eastAsia" w:ascii="微软雅黑" w:hAnsi="微软雅黑" w:eastAsia="微软雅黑" w:cs="微软雅黑"/>
                <w:color w:val="060A26"/>
                <w:kern w:val="0"/>
                <w:szCs w:val="21"/>
                <w:lang w:val="en-US" w:eastAsia="zh-CN" w:bidi="ar"/>
              </w:rPr>
              <w:t>5.3.3申请单列表</w:t>
            </w:r>
          </w:p>
        </w:tc>
        <w:tc>
          <w:tcPr>
            <w:tcW w:w="6506" w:type="dxa"/>
            <w:tcBorders>
              <w:left w:val="single" w:color="auto" w:sz="6" w:space="0"/>
              <w:right w:val="single" w:color="auto" w:sz="6" w:space="0"/>
            </w:tcBorders>
            <w:shd w:val="clear" w:color="auto" w:fill="auto"/>
            <w:tcMar>
              <w:top w:w="150" w:type="dxa"/>
              <w:left w:w="210" w:type="dxa"/>
              <w:bottom w:w="150" w:type="dxa"/>
              <w:right w:w="210" w:type="dxa"/>
            </w:tcMar>
            <w:vAlign w:val="center"/>
          </w:tcPr>
          <w:p w14:paraId="6B90383F">
            <w:pPr>
              <w:widowControl/>
              <w:snapToGrid w:val="0"/>
              <w:jc w:val="left"/>
              <w:textAlignment w:val="center"/>
              <w:rPr>
                <w:rFonts w:hint="eastAsia" w:ascii="微软雅黑" w:hAnsi="微软雅黑" w:eastAsia="微软雅黑" w:cs="微软雅黑"/>
                <w:color w:val="060A26"/>
                <w:kern w:val="0"/>
                <w:szCs w:val="21"/>
                <w:lang w:bidi="ar"/>
              </w:rPr>
            </w:pPr>
            <w:r>
              <w:rPr>
                <w:rFonts w:hint="eastAsia" w:ascii="微软雅黑" w:hAnsi="微软雅黑" w:eastAsia="微软雅黑" w:cs="微软雅黑"/>
                <w:color w:val="060A26"/>
                <w:kern w:val="0"/>
                <w:szCs w:val="21"/>
                <w:lang w:bidi="ar"/>
              </w:rPr>
              <w:t>1、现门诊患者一旦退费重新开单后，会导致原有的治疗记录全部消失，要实现治疗记录的永久保存。</w:t>
            </w:r>
          </w:p>
          <w:p w14:paraId="4EDF05AD">
            <w:pPr>
              <w:widowControl/>
              <w:snapToGrid w:val="0"/>
              <w:jc w:val="left"/>
              <w:textAlignment w:val="center"/>
              <w:rPr>
                <w:rFonts w:hint="eastAsia" w:ascii="微软雅黑" w:hAnsi="微软雅黑" w:eastAsia="微软雅黑" w:cs="微软雅黑"/>
                <w:color w:val="060A26"/>
                <w:kern w:val="0"/>
                <w:szCs w:val="21"/>
                <w:lang w:bidi="ar"/>
              </w:rPr>
            </w:pPr>
            <w:r>
              <w:rPr>
                <w:rFonts w:hint="eastAsia" w:ascii="微软雅黑" w:hAnsi="微软雅黑" w:eastAsia="微软雅黑" w:cs="微软雅黑"/>
                <w:color w:val="060A26"/>
                <w:kern w:val="0"/>
                <w:szCs w:val="21"/>
                <w:lang w:bidi="ar"/>
              </w:rPr>
              <w:t>2、增加一个自行添加患者功能，方便添加住院患者与使用不同就诊卡的门诊患者。患者的信息可以实现抓取和手打改动。</w:t>
            </w:r>
          </w:p>
          <w:p w14:paraId="31CE8628">
            <w:pPr>
              <w:widowControl/>
              <w:snapToGrid w:val="0"/>
              <w:jc w:val="left"/>
              <w:textAlignment w:val="center"/>
              <w:rPr>
                <w:rFonts w:hint="eastAsia" w:ascii="微软雅黑" w:hAnsi="微软雅黑" w:eastAsia="微软雅黑" w:cs="微软雅黑"/>
                <w:color w:val="060A26"/>
                <w:kern w:val="0"/>
                <w:szCs w:val="21"/>
                <w:lang w:bidi="ar"/>
              </w:rPr>
            </w:pPr>
            <w:r>
              <w:rPr>
                <w:rFonts w:hint="eastAsia" w:ascii="微软雅黑" w:hAnsi="微软雅黑" w:eastAsia="微软雅黑" w:cs="微软雅黑"/>
                <w:color w:val="060A26"/>
                <w:kern w:val="0"/>
                <w:szCs w:val="21"/>
                <w:lang w:bidi="ar"/>
              </w:rPr>
              <w:t>3、患者新建治疗记录中，只能选择50条开舱记录，改成按日期检索选择。</w:t>
            </w:r>
          </w:p>
          <w:p w14:paraId="53E1269B">
            <w:pPr>
              <w:widowControl/>
              <w:snapToGrid w:val="0"/>
              <w:jc w:val="left"/>
              <w:textAlignment w:val="center"/>
              <w:rPr>
                <w:rFonts w:hint="eastAsia" w:ascii="微软雅黑" w:hAnsi="微软雅黑" w:eastAsia="微软雅黑" w:cs="微软雅黑"/>
                <w:color w:val="060A26"/>
                <w:kern w:val="0"/>
                <w:szCs w:val="21"/>
                <w:lang w:bidi="ar"/>
              </w:rPr>
            </w:pPr>
            <w:r>
              <w:rPr>
                <w:rFonts w:hint="eastAsia" w:ascii="微软雅黑" w:hAnsi="微软雅黑" w:eastAsia="微软雅黑" w:cs="微软雅黑"/>
                <w:color w:val="060A26"/>
                <w:kern w:val="0"/>
                <w:szCs w:val="21"/>
                <w:lang w:bidi="ar"/>
              </w:rPr>
              <w:t>4、患者申请单列表中患者的治疗处理和治疗评估最多只能显示10条记录，超出10条无法显示完全。</w:t>
            </w:r>
          </w:p>
        </w:tc>
      </w:tr>
      <w:tr w14:paraId="611328CB">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233" w:hRule="atLeast"/>
          <w:jc w:val="center"/>
        </w:trPr>
        <w:tc>
          <w:tcPr>
            <w:tcW w:w="1696" w:type="dxa"/>
            <w:tcBorders>
              <w:left w:val="single" w:color="auto" w:sz="6" w:space="0"/>
              <w:right w:val="single" w:color="auto" w:sz="6" w:space="0"/>
            </w:tcBorders>
            <w:shd w:val="clear" w:color="auto" w:fill="auto"/>
            <w:tcMar>
              <w:top w:w="150" w:type="dxa"/>
              <w:left w:w="210" w:type="dxa"/>
              <w:bottom w:w="150" w:type="dxa"/>
              <w:right w:w="210" w:type="dxa"/>
            </w:tcMar>
            <w:vAlign w:val="center"/>
          </w:tcPr>
          <w:p w14:paraId="77FECFA7">
            <w:pPr>
              <w:snapToGrid w:val="0"/>
              <w:jc w:val="center"/>
              <w:rPr>
                <w:rFonts w:ascii="宋体" w:eastAsia="宋体"/>
                <w:color w:val="060A26"/>
                <w:szCs w:val="21"/>
              </w:rPr>
            </w:pPr>
          </w:p>
        </w:tc>
        <w:tc>
          <w:tcPr>
            <w:tcW w:w="1436" w:type="dxa"/>
            <w:tcBorders>
              <w:left w:val="single" w:color="auto" w:sz="6" w:space="0"/>
              <w:right w:val="single" w:color="auto" w:sz="6" w:space="0"/>
            </w:tcBorders>
            <w:shd w:val="clear" w:color="auto" w:fill="auto"/>
            <w:tcMar>
              <w:top w:w="150" w:type="dxa"/>
              <w:left w:w="210" w:type="dxa"/>
              <w:bottom w:w="150" w:type="dxa"/>
              <w:right w:w="210" w:type="dxa"/>
            </w:tcMar>
            <w:vAlign w:val="center"/>
          </w:tcPr>
          <w:p w14:paraId="75494554">
            <w:pPr>
              <w:widowControl/>
              <w:snapToGrid w:val="0"/>
              <w:jc w:val="left"/>
              <w:textAlignment w:val="center"/>
              <w:rPr>
                <w:rFonts w:hint="default" w:ascii="宋体" w:eastAsia="宋体"/>
                <w:color w:val="060A26"/>
                <w:szCs w:val="21"/>
                <w:lang w:val="en-US" w:eastAsia="zh-CN"/>
              </w:rPr>
            </w:pPr>
            <w:r>
              <w:rPr>
                <w:rFonts w:hint="eastAsia" w:ascii="宋体"/>
                <w:color w:val="060A26"/>
                <w:szCs w:val="21"/>
                <w:lang w:val="en-US" w:eastAsia="zh-CN"/>
              </w:rPr>
              <w:t>5.3.4设备开舱记录</w:t>
            </w:r>
          </w:p>
        </w:tc>
        <w:tc>
          <w:tcPr>
            <w:tcW w:w="6506" w:type="dxa"/>
            <w:tcBorders>
              <w:left w:val="single" w:color="auto" w:sz="6" w:space="0"/>
              <w:right w:val="single" w:color="auto" w:sz="6" w:space="0"/>
            </w:tcBorders>
            <w:shd w:val="clear" w:color="auto" w:fill="auto"/>
            <w:tcMar>
              <w:top w:w="150" w:type="dxa"/>
              <w:left w:w="210" w:type="dxa"/>
              <w:bottom w:w="150" w:type="dxa"/>
              <w:right w:w="210" w:type="dxa"/>
            </w:tcMar>
            <w:vAlign w:val="center"/>
          </w:tcPr>
          <w:p w14:paraId="6370D7E2">
            <w:pPr>
              <w:widowControl/>
              <w:snapToGrid w:val="0"/>
              <w:jc w:val="left"/>
              <w:textAlignment w:val="center"/>
              <w:rPr>
                <w:rFonts w:hint="eastAsia" w:ascii="微软雅黑" w:hAnsi="微软雅黑" w:eastAsia="微软雅黑" w:cs="微软雅黑"/>
                <w:color w:val="060A26"/>
                <w:kern w:val="0"/>
                <w:szCs w:val="21"/>
                <w:lang w:bidi="ar"/>
              </w:rPr>
            </w:pPr>
            <w:r>
              <w:rPr>
                <w:rFonts w:hint="eastAsia" w:ascii="微软雅黑" w:hAnsi="微软雅黑" w:eastAsia="微软雅黑" w:cs="微软雅黑"/>
                <w:color w:val="060A26"/>
                <w:kern w:val="0"/>
                <w:szCs w:val="21"/>
                <w:lang w:bidi="ar"/>
              </w:rPr>
              <w:t>1、目前开舱记录顺序乱，无规则；且查询功能丢失，无法实现精准查询。修改顺序和更新查询功能。</w:t>
            </w:r>
          </w:p>
          <w:p w14:paraId="3CF5D07A">
            <w:pPr>
              <w:widowControl/>
              <w:snapToGrid w:val="0"/>
              <w:jc w:val="left"/>
              <w:textAlignment w:val="center"/>
              <w:rPr>
                <w:rFonts w:hint="eastAsia" w:ascii="微软雅黑" w:hAnsi="微软雅黑" w:eastAsia="微软雅黑" w:cs="微软雅黑"/>
                <w:color w:val="060A26"/>
                <w:kern w:val="0"/>
                <w:szCs w:val="21"/>
                <w:lang w:bidi="ar"/>
              </w:rPr>
            </w:pPr>
            <w:r>
              <w:rPr>
                <w:rFonts w:hint="eastAsia" w:ascii="微软雅黑" w:hAnsi="微软雅黑" w:eastAsia="微软雅黑" w:cs="微软雅黑"/>
                <w:color w:val="060A26"/>
                <w:kern w:val="0"/>
                <w:szCs w:val="21"/>
                <w:lang w:bidi="ar"/>
              </w:rPr>
              <w:t>2、在设备开舱记录中增加设备运行前记录（增加内容如图，对应设置下拉选项，打开/关闭、归零/未归零、正常/异常、完好/受损）</w:t>
            </w:r>
          </w:p>
        </w:tc>
      </w:tr>
      <w:tr w14:paraId="228823C1">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894" w:hRule="atLeast"/>
          <w:jc w:val="center"/>
        </w:trPr>
        <w:tc>
          <w:tcPr>
            <w:tcW w:w="1696" w:type="dxa"/>
            <w:tcBorders>
              <w:left w:val="single" w:color="auto" w:sz="6" w:space="0"/>
              <w:right w:val="single" w:color="auto" w:sz="6" w:space="0"/>
            </w:tcBorders>
            <w:shd w:val="clear" w:color="auto" w:fill="auto"/>
            <w:tcMar>
              <w:top w:w="150" w:type="dxa"/>
              <w:left w:w="210" w:type="dxa"/>
              <w:bottom w:w="150" w:type="dxa"/>
              <w:right w:w="210" w:type="dxa"/>
            </w:tcMar>
            <w:vAlign w:val="center"/>
          </w:tcPr>
          <w:p w14:paraId="64DC29FB">
            <w:pPr>
              <w:snapToGrid w:val="0"/>
              <w:jc w:val="center"/>
              <w:rPr>
                <w:rFonts w:ascii="宋体" w:eastAsia="宋体"/>
                <w:color w:val="060A26"/>
                <w:szCs w:val="21"/>
              </w:rPr>
            </w:pPr>
          </w:p>
        </w:tc>
        <w:tc>
          <w:tcPr>
            <w:tcW w:w="1436" w:type="dxa"/>
            <w:tcBorders>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48980463">
            <w:pPr>
              <w:widowControl/>
              <w:wordWrap w:val="0"/>
              <w:snapToGrid w:val="0"/>
              <w:jc w:val="left"/>
              <w:textAlignment w:val="center"/>
              <w:rPr>
                <w:rFonts w:hint="eastAsia" w:ascii="微软雅黑" w:hAnsi="微软雅黑" w:eastAsia="微软雅黑" w:cs="微软雅黑"/>
                <w:color w:val="060A26"/>
                <w:kern w:val="0"/>
                <w:sz w:val="21"/>
                <w:szCs w:val="21"/>
                <w:lang w:val="en-US" w:eastAsia="zh-CN" w:bidi="ar"/>
              </w:rPr>
            </w:pPr>
            <w:r>
              <w:rPr>
                <w:rFonts w:hint="eastAsia" w:ascii="微软雅黑" w:hAnsi="微软雅黑" w:eastAsia="微软雅黑" w:cs="微软雅黑"/>
                <w:color w:val="060A26"/>
                <w:kern w:val="0"/>
                <w:szCs w:val="21"/>
                <w:lang w:val="en-US" w:eastAsia="zh-CN" w:bidi="ar"/>
              </w:rPr>
              <w:t>5.3.5</w:t>
            </w:r>
            <w:r>
              <w:rPr>
                <w:rFonts w:hint="default" w:ascii="微软雅黑" w:hAnsi="微软雅黑" w:eastAsia="微软雅黑" w:cs="微软雅黑"/>
                <w:color w:val="060A26"/>
                <w:kern w:val="0"/>
                <w:szCs w:val="21"/>
                <w:lang w:val="en-US" w:eastAsia="zh-CN" w:bidi="ar"/>
              </w:rPr>
              <w:t>业务发展需求</w:t>
            </w:r>
          </w:p>
        </w:tc>
        <w:tc>
          <w:tcPr>
            <w:tcW w:w="6506" w:type="dxa"/>
            <w:tcBorders>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53498BA6">
            <w:pPr>
              <w:widowControl/>
              <w:wordWrap w:val="0"/>
              <w:snapToGrid w:val="0"/>
              <w:jc w:val="left"/>
              <w:textAlignment w:val="center"/>
              <w:rPr>
                <w:rFonts w:hint="eastAsia" w:ascii="微软雅黑" w:hAnsi="微软雅黑" w:eastAsia="微软雅黑" w:cs="微软雅黑"/>
                <w:color w:val="060A26"/>
                <w:kern w:val="0"/>
                <w:sz w:val="21"/>
                <w:szCs w:val="21"/>
                <w:lang w:val="en-US" w:eastAsia="zh-CN" w:bidi="ar"/>
              </w:rPr>
            </w:pPr>
            <w:r>
              <w:rPr>
                <w:rFonts w:hint="eastAsia" w:ascii="微软雅黑" w:hAnsi="微软雅黑" w:eastAsia="微软雅黑" w:cs="微软雅黑"/>
                <w:color w:val="060A26"/>
                <w:kern w:val="0"/>
                <w:szCs w:val="21"/>
                <w:lang w:val="en-US" w:eastAsia="zh-CN" w:bidi="ar"/>
              </w:rPr>
              <w:t>根据</w:t>
            </w:r>
            <w:r>
              <w:rPr>
                <w:rFonts w:hint="default" w:ascii="微软雅黑" w:hAnsi="微软雅黑" w:eastAsia="微软雅黑" w:cs="微软雅黑"/>
                <w:color w:val="060A26"/>
                <w:kern w:val="0"/>
                <w:szCs w:val="21"/>
                <w:lang w:val="en-US" w:eastAsia="zh-CN" w:bidi="ar"/>
              </w:rPr>
              <w:t>上级政策要求、医院管理制度及业务流程优化需要，完成相应功能的优化与改造。</w:t>
            </w:r>
          </w:p>
        </w:tc>
      </w:tr>
    </w:tbl>
    <w:p w14:paraId="61AB2D58"/>
    <w:p w14:paraId="19222C3B"/>
    <w:p w14:paraId="07D4BEDE">
      <w:pPr>
        <w:pStyle w:val="3"/>
        <w:bidi w:val="0"/>
      </w:pPr>
      <w:bookmarkStart w:id="270" w:name="_Toc18264"/>
      <w:bookmarkStart w:id="271" w:name="_Toc17792"/>
      <w:bookmarkStart w:id="272" w:name="_Toc16897"/>
      <w:bookmarkStart w:id="273" w:name="_Toc29480"/>
      <w:bookmarkStart w:id="274" w:name="_Toc22958"/>
      <w:r>
        <w:rPr>
          <w:rFonts w:hint="eastAsia"/>
        </w:rPr>
        <w:t>医生电子交接班系统</w:t>
      </w:r>
      <w:bookmarkEnd w:id="270"/>
      <w:bookmarkEnd w:id="271"/>
      <w:bookmarkEnd w:id="272"/>
      <w:bookmarkEnd w:id="273"/>
      <w:bookmarkEnd w:id="274"/>
    </w:p>
    <w:tbl>
      <w:tblPr>
        <w:tblStyle w:val="46"/>
        <w:tblW w:w="9778" w:type="dxa"/>
        <w:jc w:val="center"/>
        <w:tblBorders>
          <w:top w:val="single" w:color="auto" w:sz="6" w:space="0"/>
          <w:left w:val="single" w:color="auto" w:sz="2" w:space="0"/>
          <w:bottom w:val="single" w:color="auto" w:sz="2" w:space="0"/>
          <w:right w:val="single" w:color="auto" w:sz="2" w:space="0"/>
          <w:insideH w:val="none" w:color="auto" w:sz="0" w:space="0"/>
          <w:insideV w:val="none" w:color="auto" w:sz="0" w:space="0"/>
        </w:tblBorders>
        <w:shd w:val="clear" w:color="auto" w:fill="FFFFFF"/>
        <w:tblLayout w:type="fixed"/>
        <w:tblCellMar>
          <w:top w:w="15" w:type="dxa"/>
          <w:left w:w="15" w:type="dxa"/>
          <w:bottom w:w="15" w:type="dxa"/>
          <w:right w:w="15" w:type="dxa"/>
        </w:tblCellMar>
      </w:tblPr>
      <w:tblGrid>
        <w:gridCol w:w="1664"/>
        <w:gridCol w:w="1818"/>
        <w:gridCol w:w="6296"/>
      </w:tblGrid>
      <w:tr w14:paraId="4733EC5A">
        <w:tblPrEx>
          <w:tblBorders>
            <w:top w:val="single" w:color="auto" w:sz="6"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553" w:hRule="atLeast"/>
          <w:tblHeader/>
          <w:jc w:val="center"/>
        </w:trPr>
        <w:tc>
          <w:tcPr>
            <w:tcW w:w="1664" w:type="dxa"/>
            <w:tcBorders>
              <w:top w:val="single" w:color="auto" w:sz="6" w:space="0"/>
              <w:left w:val="single" w:color="auto" w:sz="6" w:space="0"/>
              <w:bottom w:val="single" w:color="auto" w:sz="6" w:space="0"/>
              <w:right w:val="single" w:color="auto" w:sz="6" w:space="0"/>
            </w:tcBorders>
            <w:shd w:val="clear" w:color="auto" w:fill="FFFFFF"/>
            <w:noWrap/>
            <w:tcMar>
              <w:top w:w="150" w:type="dxa"/>
              <w:left w:w="210" w:type="dxa"/>
              <w:bottom w:w="150" w:type="dxa"/>
              <w:right w:w="210" w:type="dxa"/>
            </w:tcMar>
            <w:vAlign w:val="center"/>
          </w:tcPr>
          <w:p w14:paraId="3AC0BBC0">
            <w:pPr>
              <w:widowControl/>
              <w:snapToGrid w:val="0"/>
              <w:jc w:val="center"/>
              <w:rPr>
                <w:rFonts w:ascii="微软雅黑" w:hAnsi="微软雅黑" w:eastAsia="微软雅黑" w:cs="微软雅黑"/>
                <w:b/>
                <w:bCs/>
                <w:color w:val="060A26"/>
                <w:szCs w:val="21"/>
              </w:rPr>
            </w:pPr>
            <w:r>
              <w:rPr>
                <w:rFonts w:hint="eastAsia" w:ascii="微软雅黑" w:hAnsi="微软雅黑" w:eastAsia="微软雅黑" w:cs="微软雅黑"/>
                <w:b/>
                <w:bCs/>
                <w:color w:val="060A26"/>
                <w:kern w:val="0"/>
                <w:szCs w:val="21"/>
                <w:lang w:bidi="ar"/>
              </w:rPr>
              <w:t>需求名称</w:t>
            </w:r>
          </w:p>
        </w:tc>
        <w:tc>
          <w:tcPr>
            <w:tcW w:w="1818" w:type="dxa"/>
            <w:tcBorders>
              <w:top w:val="single" w:color="auto" w:sz="6" w:space="0"/>
              <w:left w:val="single" w:color="auto" w:sz="6" w:space="0"/>
              <w:bottom w:val="single" w:color="auto" w:sz="6" w:space="0"/>
              <w:right w:val="single" w:color="auto" w:sz="6" w:space="0"/>
            </w:tcBorders>
            <w:shd w:val="clear" w:color="auto" w:fill="FFFFFF"/>
            <w:noWrap/>
            <w:tcMar>
              <w:top w:w="150" w:type="dxa"/>
              <w:left w:w="210" w:type="dxa"/>
              <w:bottom w:w="150" w:type="dxa"/>
              <w:right w:w="210" w:type="dxa"/>
            </w:tcMar>
            <w:vAlign w:val="center"/>
          </w:tcPr>
          <w:p w14:paraId="352CD15B">
            <w:pPr>
              <w:widowControl/>
              <w:snapToGrid w:val="0"/>
              <w:jc w:val="center"/>
              <w:rPr>
                <w:rFonts w:ascii="微软雅黑" w:hAnsi="微软雅黑" w:eastAsia="微软雅黑" w:cs="微软雅黑"/>
                <w:b/>
                <w:bCs/>
                <w:color w:val="060A26"/>
                <w:szCs w:val="21"/>
              </w:rPr>
            </w:pPr>
            <w:r>
              <w:rPr>
                <w:rFonts w:hint="eastAsia" w:ascii="微软雅黑" w:hAnsi="微软雅黑" w:eastAsia="微软雅黑" w:cs="微软雅黑"/>
                <w:b/>
                <w:bCs/>
                <w:color w:val="060A26"/>
                <w:kern w:val="0"/>
                <w:szCs w:val="21"/>
                <w:lang w:bidi="ar"/>
              </w:rPr>
              <w:t>序号</w:t>
            </w:r>
          </w:p>
        </w:tc>
        <w:tc>
          <w:tcPr>
            <w:tcW w:w="6296" w:type="dxa"/>
            <w:tcBorders>
              <w:top w:val="single" w:color="auto" w:sz="6" w:space="0"/>
              <w:left w:val="single" w:color="auto" w:sz="6" w:space="0"/>
              <w:bottom w:val="single" w:color="auto" w:sz="6" w:space="0"/>
              <w:right w:val="single" w:color="auto" w:sz="6" w:space="0"/>
            </w:tcBorders>
            <w:shd w:val="clear" w:color="auto" w:fill="FFFFFF"/>
            <w:noWrap/>
            <w:tcMar>
              <w:top w:w="150" w:type="dxa"/>
              <w:left w:w="210" w:type="dxa"/>
              <w:bottom w:w="150" w:type="dxa"/>
              <w:right w:w="210" w:type="dxa"/>
            </w:tcMar>
            <w:vAlign w:val="center"/>
          </w:tcPr>
          <w:p w14:paraId="30FAE080">
            <w:pPr>
              <w:widowControl/>
              <w:snapToGrid w:val="0"/>
              <w:jc w:val="center"/>
              <w:rPr>
                <w:rFonts w:ascii="微软雅黑" w:hAnsi="微软雅黑" w:eastAsia="微软雅黑" w:cs="微软雅黑"/>
                <w:b/>
                <w:bCs/>
                <w:color w:val="060A26"/>
                <w:szCs w:val="21"/>
              </w:rPr>
            </w:pPr>
            <w:r>
              <w:rPr>
                <w:rFonts w:hint="eastAsia" w:ascii="微软雅黑" w:hAnsi="微软雅黑" w:eastAsia="微软雅黑" w:cs="微软雅黑"/>
                <w:b/>
                <w:bCs/>
                <w:color w:val="060A26"/>
                <w:kern w:val="0"/>
                <w:szCs w:val="21"/>
                <w:lang w:bidi="ar"/>
              </w:rPr>
              <w:t>需求描述</w:t>
            </w:r>
          </w:p>
        </w:tc>
      </w:tr>
      <w:tr w14:paraId="6355E0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53" w:hRule="atLeast"/>
          <w:jc w:val="center"/>
        </w:trPr>
        <w:tc>
          <w:tcPr>
            <w:tcW w:w="1664" w:type="dxa"/>
            <w:vMerge w:val="restart"/>
            <w:tcBorders>
              <w:top w:val="single" w:color="auto" w:sz="6" w:space="0"/>
              <w:left w:val="single" w:color="auto" w:sz="6" w:space="0"/>
              <w:right w:val="single" w:color="auto" w:sz="6" w:space="0"/>
            </w:tcBorders>
            <w:shd w:val="clear" w:color="auto" w:fill="FFFFFF"/>
            <w:tcMar>
              <w:top w:w="150" w:type="dxa"/>
              <w:left w:w="210" w:type="dxa"/>
              <w:bottom w:w="150" w:type="dxa"/>
              <w:right w:w="210" w:type="dxa"/>
            </w:tcMar>
            <w:vAlign w:val="center"/>
          </w:tcPr>
          <w:p w14:paraId="41AD557C">
            <w:pPr>
              <w:widowControl/>
              <w:wordWrap w:val="0"/>
              <w:snapToGrid w:val="0"/>
              <w:jc w:val="center"/>
              <w:textAlignment w:val="center"/>
              <w:rPr>
                <w:rFonts w:ascii="微软雅黑" w:hAnsi="微软雅黑" w:eastAsia="微软雅黑" w:cs="微软雅黑"/>
                <w:color w:val="060A26"/>
                <w:szCs w:val="21"/>
              </w:rPr>
            </w:pPr>
            <w:r>
              <w:rPr>
                <w:rFonts w:hint="eastAsia" w:ascii="微软雅黑" w:hAnsi="微软雅黑" w:eastAsia="微软雅黑" w:cs="微软雅黑"/>
                <w:b/>
                <w:bCs/>
                <w:color w:val="060A26"/>
                <w:kern w:val="0"/>
                <w:szCs w:val="21"/>
                <w:lang w:bidi="ar"/>
              </w:rPr>
              <w:t>6. 医生电子交接班系统</w:t>
            </w:r>
          </w:p>
        </w:tc>
        <w:tc>
          <w:tcPr>
            <w:tcW w:w="8114" w:type="dxa"/>
            <w:gridSpan w:val="2"/>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328FFD5C">
            <w:pPr>
              <w:widowControl/>
              <w:wordWrap w:val="0"/>
              <w:snapToGrid w:val="0"/>
              <w:jc w:val="left"/>
              <w:textAlignment w:val="center"/>
              <w:rPr>
                <w:rFonts w:hint="eastAsia" w:ascii="微软雅黑" w:hAnsi="微软雅黑" w:eastAsia="微软雅黑" w:cs="微软雅黑"/>
                <w:b/>
                <w:bCs/>
                <w:color w:val="060A26"/>
                <w:kern w:val="0"/>
                <w:szCs w:val="21"/>
                <w:lang w:eastAsia="zh-CN" w:bidi="ar"/>
              </w:rPr>
            </w:pPr>
            <w:r>
              <w:rPr>
                <w:rFonts w:hint="eastAsia" w:ascii="微软雅黑" w:hAnsi="微软雅黑" w:eastAsia="微软雅黑" w:cs="微软雅黑"/>
                <w:b/>
                <w:bCs/>
                <w:color w:val="060A26"/>
                <w:kern w:val="0"/>
                <w:szCs w:val="21"/>
                <w:lang w:eastAsia="zh-CN" w:bidi="ar"/>
              </w:rPr>
              <w:t>（</w:t>
            </w:r>
            <w:r>
              <w:rPr>
                <w:rFonts w:hint="eastAsia" w:ascii="微软雅黑" w:hAnsi="微软雅黑" w:eastAsia="微软雅黑" w:cs="微软雅黑"/>
                <w:b/>
                <w:bCs/>
                <w:color w:val="060A26"/>
                <w:kern w:val="0"/>
                <w:szCs w:val="21"/>
                <w:lang w:val="en-US" w:eastAsia="zh-CN" w:bidi="ar"/>
              </w:rPr>
              <w:t>一</w:t>
            </w:r>
            <w:r>
              <w:rPr>
                <w:rFonts w:hint="eastAsia" w:ascii="微软雅黑" w:hAnsi="微软雅黑" w:eastAsia="微软雅黑" w:cs="微软雅黑"/>
                <w:b/>
                <w:bCs/>
                <w:color w:val="060A26"/>
                <w:kern w:val="0"/>
                <w:szCs w:val="21"/>
                <w:lang w:eastAsia="zh-CN" w:bidi="ar"/>
              </w:rPr>
              <w:t>）</w:t>
            </w:r>
            <w:r>
              <w:rPr>
                <w:rFonts w:hint="eastAsia" w:ascii="微软雅黑" w:hAnsi="微软雅黑" w:eastAsia="微软雅黑" w:cs="微软雅黑"/>
                <w:b/>
                <w:bCs/>
                <w:color w:val="060A26"/>
                <w:kern w:val="0"/>
                <w:szCs w:val="21"/>
                <w:lang w:bidi="ar"/>
              </w:rPr>
              <w:t>医生电子交接班系统</w:t>
            </w:r>
          </w:p>
        </w:tc>
      </w:tr>
      <w:tr w14:paraId="0DBF88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53" w:hRule="atLeast"/>
          <w:jc w:val="center"/>
        </w:trPr>
        <w:tc>
          <w:tcPr>
            <w:tcW w:w="1664" w:type="dxa"/>
            <w:vMerge w:val="continue"/>
            <w:tcBorders>
              <w:left w:val="single" w:color="auto" w:sz="6" w:space="0"/>
              <w:right w:val="single" w:color="auto" w:sz="6" w:space="0"/>
            </w:tcBorders>
            <w:shd w:val="clear" w:color="auto" w:fill="FFFFFF"/>
            <w:tcMar>
              <w:top w:w="150" w:type="dxa"/>
              <w:left w:w="210" w:type="dxa"/>
              <w:bottom w:w="150" w:type="dxa"/>
              <w:right w:w="210" w:type="dxa"/>
            </w:tcMar>
            <w:vAlign w:val="center"/>
          </w:tcPr>
          <w:p w14:paraId="25AEA086">
            <w:pPr>
              <w:widowControl/>
              <w:wordWrap w:val="0"/>
              <w:snapToGrid w:val="0"/>
              <w:jc w:val="center"/>
              <w:textAlignment w:val="center"/>
              <w:rPr>
                <w:rFonts w:ascii="微软雅黑" w:hAnsi="微软雅黑" w:eastAsia="微软雅黑" w:cs="微软雅黑"/>
                <w:color w:val="060A26"/>
                <w:szCs w:val="21"/>
              </w:rPr>
            </w:pPr>
          </w:p>
        </w:tc>
        <w:tc>
          <w:tcPr>
            <w:tcW w:w="1818"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3AA2F5AF">
            <w:pPr>
              <w:widowControl/>
              <w:wordWrap w:val="0"/>
              <w:snapToGrid w:val="0"/>
              <w:jc w:val="center"/>
              <w:textAlignment w:val="center"/>
              <w:rPr>
                <w:rFonts w:ascii="微软雅黑" w:hAnsi="微软雅黑" w:eastAsia="微软雅黑" w:cs="微软雅黑"/>
                <w:color w:val="060A26"/>
                <w:szCs w:val="21"/>
              </w:rPr>
            </w:pPr>
            <w:r>
              <w:rPr>
                <w:rFonts w:hint="eastAsia" w:ascii="微软雅黑" w:hAnsi="微软雅黑" w:eastAsia="微软雅黑" w:cs="微软雅黑"/>
                <w:color w:val="060A26"/>
                <w:kern w:val="0"/>
                <w:szCs w:val="21"/>
                <w:lang w:bidi="ar"/>
              </w:rPr>
              <w:t>6.1</w:t>
            </w:r>
          </w:p>
        </w:tc>
        <w:tc>
          <w:tcPr>
            <w:tcW w:w="6296"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3810F6BC">
            <w:pPr>
              <w:widowControl/>
              <w:wordWrap w:val="0"/>
              <w:snapToGrid w:val="0"/>
              <w:jc w:val="left"/>
              <w:textAlignment w:val="center"/>
              <w:rPr>
                <w:rFonts w:ascii="微软雅黑" w:hAnsi="微软雅黑" w:eastAsia="微软雅黑" w:cs="微软雅黑"/>
                <w:color w:val="060A26"/>
                <w:szCs w:val="21"/>
              </w:rPr>
            </w:pPr>
            <w:r>
              <w:rPr>
                <w:rFonts w:hint="eastAsia" w:ascii="微软雅黑" w:hAnsi="微软雅黑" w:eastAsia="微软雅黑" w:cs="微软雅黑"/>
                <w:b/>
                <w:bCs/>
                <w:color w:val="060A26"/>
                <w:kern w:val="0"/>
                <w:szCs w:val="21"/>
                <w:lang w:bidi="ar"/>
              </w:rPr>
              <w:t>交接班登记</w:t>
            </w:r>
          </w:p>
        </w:tc>
      </w:tr>
      <w:tr w14:paraId="780304FF">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1142" w:hRule="atLeast"/>
          <w:jc w:val="center"/>
        </w:trPr>
        <w:tc>
          <w:tcPr>
            <w:tcW w:w="1664" w:type="dxa"/>
            <w:vMerge w:val="continue"/>
            <w:tcBorders>
              <w:left w:val="single" w:color="auto" w:sz="6" w:space="0"/>
              <w:right w:val="single" w:color="auto" w:sz="6" w:space="0"/>
            </w:tcBorders>
            <w:shd w:val="clear" w:color="auto" w:fill="FFFFFF"/>
            <w:tcMar>
              <w:top w:w="150" w:type="dxa"/>
              <w:left w:w="210" w:type="dxa"/>
              <w:bottom w:w="150" w:type="dxa"/>
              <w:right w:w="210" w:type="dxa"/>
            </w:tcMar>
            <w:vAlign w:val="center"/>
          </w:tcPr>
          <w:p w14:paraId="5386F978">
            <w:pPr>
              <w:snapToGrid w:val="0"/>
              <w:jc w:val="center"/>
              <w:rPr>
                <w:rFonts w:ascii="微软雅黑" w:hAnsi="微软雅黑" w:eastAsia="微软雅黑" w:cs="微软雅黑"/>
                <w:color w:val="060A26"/>
                <w:szCs w:val="21"/>
              </w:rPr>
            </w:pPr>
          </w:p>
        </w:tc>
        <w:tc>
          <w:tcPr>
            <w:tcW w:w="1818"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46C9BE83">
            <w:pPr>
              <w:widowControl/>
              <w:wordWrap w:val="0"/>
              <w:snapToGrid w:val="0"/>
              <w:jc w:val="center"/>
              <w:textAlignment w:val="center"/>
              <w:rPr>
                <w:rFonts w:ascii="微软雅黑" w:hAnsi="微软雅黑" w:eastAsia="微软雅黑" w:cs="微软雅黑"/>
                <w:color w:val="060A26"/>
                <w:szCs w:val="21"/>
              </w:rPr>
            </w:pPr>
            <w:r>
              <w:rPr>
                <w:rFonts w:hint="eastAsia" w:ascii="微软雅黑" w:hAnsi="微软雅黑" w:eastAsia="微软雅黑" w:cs="微软雅黑"/>
                <w:color w:val="060A26"/>
                <w:kern w:val="0"/>
                <w:szCs w:val="21"/>
                <w:lang w:bidi="ar"/>
              </w:rPr>
              <w:t>6.1.1 结构化模板</w:t>
            </w:r>
          </w:p>
        </w:tc>
        <w:tc>
          <w:tcPr>
            <w:tcW w:w="6296"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7DD2BE35">
            <w:pPr>
              <w:widowControl/>
              <w:wordWrap w:val="0"/>
              <w:snapToGrid w:val="0"/>
              <w:jc w:val="left"/>
              <w:textAlignment w:val="center"/>
              <w:rPr>
                <w:rFonts w:ascii="微软雅黑" w:hAnsi="微软雅黑" w:eastAsia="微软雅黑" w:cs="微软雅黑"/>
                <w:color w:val="060A26"/>
                <w:szCs w:val="21"/>
              </w:rPr>
            </w:pPr>
            <w:r>
              <w:rPr>
                <w:rFonts w:hint="eastAsia" w:ascii="微软雅黑" w:hAnsi="微软雅黑" w:eastAsia="微软雅黑" w:cs="微软雅黑"/>
                <w:color w:val="060A26"/>
                <w:kern w:val="0"/>
                <w:szCs w:val="21"/>
                <w:lang w:bidi="ar"/>
              </w:rPr>
              <w:t>✓ 提供标准化交接班模板，可查看患者信息，状态（危重），新收，急诊，当天手术，入院时间，主要诊断，主诉，科室，床位，昨日，今日内容。</w:t>
            </w:r>
          </w:p>
        </w:tc>
      </w:tr>
      <w:tr w14:paraId="23A75881">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847" w:hRule="atLeast"/>
          <w:jc w:val="center"/>
        </w:trPr>
        <w:tc>
          <w:tcPr>
            <w:tcW w:w="1664" w:type="dxa"/>
            <w:vMerge w:val="continue"/>
            <w:tcBorders>
              <w:left w:val="single" w:color="auto" w:sz="6" w:space="0"/>
              <w:right w:val="single" w:color="auto" w:sz="6" w:space="0"/>
            </w:tcBorders>
            <w:shd w:val="clear" w:color="auto" w:fill="FFFFFF"/>
            <w:tcMar>
              <w:top w:w="150" w:type="dxa"/>
              <w:left w:w="210" w:type="dxa"/>
              <w:bottom w:w="150" w:type="dxa"/>
              <w:right w:w="210" w:type="dxa"/>
            </w:tcMar>
            <w:vAlign w:val="center"/>
          </w:tcPr>
          <w:p w14:paraId="6B0B4DD5">
            <w:pPr>
              <w:snapToGrid w:val="0"/>
              <w:jc w:val="center"/>
              <w:rPr>
                <w:rFonts w:ascii="微软雅黑" w:hAnsi="微软雅黑" w:eastAsia="微软雅黑" w:cs="微软雅黑"/>
                <w:color w:val="060A26"/>
                <w:szCs w:val="21"/>
              </w:rPr>
            </w:pPr>
          </w:p>
        </w:tc>
        <w:tc>
          <w:tcPr>
            <w:tcW w:w="1818"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1FA5416B">
            <w:pPr>
              <w:widowControl/>
              <w:wordWrap w:val="0"/>
              <w:snapToGrid w:val="0"/>
              <w:jc w:val="center"/>
              <w:textAlignment w:val="center"/>
              <w:rPr>
                <w:rFonts w:ascii="微软雅黑" w:hAnsi="微软雅黑" w:eastAsia="微软雅黑" w:cs="微软雅黑"/>
                <w:color w:val="060A26"/>
                <w:kern w:val="0"/>
                <w:szCs w:val="21"/>
                <w:lang w:bidi="ar"/>
              </w:rPr>
            </w:pPr>
            <w:r>
              <w:rPr>
                <w:rFonts w:hint="eastAsia" w:ascii="微软雅黑" w:hAnsi="微软雅黑" w:eastAsia="微软雅黑" w:cs="微软雅黑"/>
                <w:color w:val="060A26"/>
                <w:kern w:val="0"/>
                <w:szCs w:val="21"/>
                <w:lang w:bidi="ar"/>
              </w:rPr>
              <w:t>6.1.2 交接班操作</w:t>
            </w:r>
          </w:p>
        </w:tc>
        <w:tc>
          <w:tcPr>
            <w:tcW w:w="6296"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4A66B9FC">
            <w:pPr>
              <w:widowControl/>
              <w:wordWrap w:val="0"/>
              <w:snapToGrid w:val="0"/>
              <w:jc w:val="left"/>
              <w:textAlignment w:val="center"/>
              <w:rPr>
                <w:rFonts w:ascii="微软雅黑" w:hAnsi="微软雅黑" w:eastAsia="微软雅黑" w:cs="微软雅黑"/>
                <w:color w:val="060A26"/>
                <w:kern w:val="0"/>
                <w:szCs w:val="21"/>
                <w:lang w:bidi="ar"/>
              </w:rPr>
            </w:pPr>
            <w:r>
              <w:rPr>
                <w:rFonts w:hint="eastAsia" w:ascii="微软雅黑" w:hAnsi="微软雅黑" w:eastAsia="微软雅黑" w:cs="微软雅黑"/>
                <w:color w:val="060A26"/>
                <w:kern w:val="0"/>
                <w:szCs w:val="21"/>
                <w:lang w:bidi="ar"/>
              </w:rPr>
              <w:t>✓可查看体温记录，出入量记录，手术记录，交接登记，患者360视图，交接暂存记录。</w:t>
            </w:r>
          </w:p>
        </w:tc>
      </w:tr>
      <w:tr w14:paraId="079784BC">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847" w:hRule="atLeast"/>
          <w:jc w:val="center"/>
        </w:trPr>
        <w:tc>
          <w:tcPr>
            <w:tcW w:w="1664" w:type="dxa"/>
            <w:vMerge w:val="continue"/>
            <w:tcBorders>
              <w:left w:val="single" w:color="auto" w:sz="6" w:space="0"/>
              <w:right w:val="single" w:color="auto" w:sz="6" w:space="0"/>
            </w:tcBorders>
            <w:shd w:val="clear" w:color="auto" w:fill="FFFFFF"/>
            <w:tcMar>
              <w:top w:w="150" w:type="dxa"/>
              <w:left w:w="210" w:type="dxa"/>
              <w:bottom w:w="150" w:type="dxa"/>
              <w:right w:w="210" w:type="dxa"/>
            </w:tcMar>
            <w:vAlign w:val="center"/>
          </w:tcPr>
          <w:p w14:paraId="26D6871A">
            <w:pPr>
              <w:snapToGrid w:val="0"/>
              <w:jc w:val="center"/>
              <w:rPr>
                <w:rFonts w:ascii="微软雅黑" w:hAnsi="微软雅黑" w:eastAsia="微软雅黑" w:cs="微软雅黑"/>
                <w:color w:val="060A26"/>
                <w:szCs w:val="21"/>
              </w:rPr>
            </w:pPr>
          </w:p>
        </w:tc>
        <w:tc>
          <w:tcPr>
            <w:tcW w:w="1818"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3F3A9D4F">
            <w:pPr>
              <w:widowControl/>
              <w:wordWrap w:val="0"/>
              <w:snapToGrid w:val="0"/>
              <w:jc w:val="center"/>
              <w:textAlignment w:val="center"/>
              <w:rPr>
                <w:rFonts w:ascii="微软雅黑" w:hAnsi="微软雅黑" w:eastAsia="微软雅黑" w:cs="微软雅黑"/>
                <w:color w:val="060A26"/>
                <w:szCs w:val="21"/>
              </w:rPr>
            </w:pPr>
            <w:r>
              <w:rPr>
                <w:rFonts w:hint="eastAsia" w:ascii="微软雅黑" w:hAnsi="微软雅黑" w:eastAsia="微软雅黑" w:cs="微软雅黑"/>
                <w:color w:val="060A26"/>
                <w:kern w:val="0"/>
                <w:szCs w:val="21"/>
                <w:lang w:bidi="ar"/>
              </w:rPr>
              <w:t>6.1.3 患者查询</w:t>
            </w:r>
          </w:p>
        </w:tc>
        <w:tc>
          <w:tcPr>
            <w:tcW w:w="6296"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127266F7">
            <w:pPr>
              <w:widowControl/>
              <w:wordWrap w:val="0"/>
              <w:snapToGrid w:val="0"/>
              <w:jc w:val="left"/>
              <w:textAlignment w:val="center"/>
              <w:rPr>
                <w:rFonts w:ascii="微软雅黑" w:hAnsi="微软雅黑" w:eastAsia="微软雅黑" w:cs="微软雅黑"/>
                <w:color w:val="060A26"/>
                <w:kern w:val="0"/>
                <w:szCs w:val="21"/>
                <w:lang w:bidi="ar"/>
              </w:rPr>
            </w:pPr>
            <w:r>
              <w:rPr>
                <w:rFonts w:hint="eastAsia" w:ascii="微软雅黑" w:hAnsi="微软雅黑" w:eastAsia="微软雅黑" w:cs="微软雅黑"/>
                <w:color w:val="060A26"/>
                <w:kern w:val="0"/>
                <w:szCs w:val="21"/>
                <w:lang w:bidi="ar"/>
              </w:rPr>
              <w:t>✓ 提供科室，住院号，患者姓名查询。</w:t>
            </w:r>
          </w:p>
        </w:tc>
      </w:tr>
      <w:tr w14:paraId="399E0411">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847" w:hRule="atLeast"/>
          <w:jc w:val="center"/>
        </w:trPr>
        <w:tc>
          <w:tcPr>
            <w:tcW w:w="1664" w:type="dxa"/>
            <w:vMerge w:val="continue"/>
            <w:tcBorders>
              <w:left w:val="single" w:color="auto" w:sz="6" w:space="0"/>
              <w:right w:val="single" w:color="auto" w:sz="6" w:space="0"/>
            </w:tcBorders>
            <w:shd w:val="clear" w:color="auto" w:fill="FFFFFF"/>
            <w:tcMar>
              <w:top w:w="150" w:type="dxa"/>
              <w:left w:w="210" w:type="dxa"/>
              <w:bottom w:w="150" w:type="dxa"/>
              <w:right w:w="210" w:type="dxa"/>
            </w:tcMar>
            <w:vAlign w:val="center"/>
          </w:tcPr>
          <w:p w14:paraId="765D8C18">
            <w:pPr>
              <w:snapToGrid w:val="0"/>
              <w:jc w:val="center"/>
              <w:rPr>
                <w:rFonts w:ascii="微软雅黑" w:hAnsi="微软雅黑" w:eastAsia="微软雅黑" w:cs="微软雅黑"/>
                <w:color w:val="060A26"/>
                <w:szCs w:val="21"/>
              </w:rPr>
            </w:pPr>
          </w:p>
        </w:tc>
        <w:tc>
          <w:tcPr>
            <w:tcW w:w="1818"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2B673C91">
            <w:pPr>
              <w:widowControl/>
              <w:wordWrap w:val="0"/>
              <w:snapToGrid w:val="0"/>
              <w:jc w:val="center"/>
              <w:textAlignment w:val="center"/>
              <w:rPr>
                <w:rFonts w:ascii="微软雅黑" w:hAnsi="微软雅黑" w:eastAsia="微软雅黑" w:cs="微软雅黑"/>
                <w:color w:val="060A26"/>
                <w:szCs w:val="21"/>
              </w:rPr>
            </w:pPr>
            <w:r>
              <w:rPr>
                <w:rFonts w:hint="eastAsia" w:ascii="微软雅黑" w:hAnsi="微软雅黑" w:eastAsia="微软雅黑" w:cs="微软雅黑"/>
                <w:color w:val="060A26"/>
                <w:kern w:val="0"/>
                <w:szCs w:val="21"/>
                <w:lang w:bidi="ar"/>
              </w:rPr>
              <w:t>6.1.4 交班情况</w:t>
            </w:r>
          </w:p>
        </w:tc>
        <w:tc>
          <w:tcPr>
            <w:tcW w:w="6296"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303948F0">
            <w:pPr>
              <w:widowControl/>
              <w:wordWrap w:val="0"/>
              <w:snapToGrid w:val="0"/>
              <w:jc w:val="left"/>
              <w:textAlignment w:val="center"/>
              <w:rPr>
                <w:rFonts w:ascii="微软雅黑" w:hAnsi="微软雅黑" w:eastAsia="微软雅黑" w:cs="微软雅黑"/>
                <w:color w:val="060A26"/>
                <w:szCs w:val="21"/>
              </w:rPr>
            </w:pPr>
            <w:r>
              <w:rPr>
                <w:rFonts w:hint="eastAsia" w:ascii="微软雅黑" w:hAnsi="微软雅黑" w:eastAsia="微软雅黑" w:cs="微软雅黑"/>
                <w:color w:val="060A26"/>
                <w:kern w:val="0"/>
                <w:szCs w:val="21"/>
                <w:lang w:bidi="ar"/>
              </w:rPr>
              <w:t>✓提供快速交班功能</w:t>
            </w:r>
          </w:p>
        </w:tc>
      </w:tr>
      <w:tr w14:paraId="18A3E189">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847" w:hRule="atLeast"/>
          <w:jc w:val="center"/>
        </w:trPr>
        <w:tc>
          <w:tcPr>
            <w:tcW w:w="1664" w:type="dxa"/>
            <w:vMerge w:val="continue"/>
            <w:tcBorders>
              <w:left w:val="single" w:color="auto" w:sz="6" w:space="0"/>
              <w:right w:val="single" w:color="auto" w:sz="6" w:space="0"/>
            </w:tcBorders>
            <w:shd w:val="clear" w:color="auto" w:fill="FFFFFF"/>
            <w:tcMar>
              <w:top w:w="150" w:type="dxa"/>
              <w:left w:w="210" w:type="dxa"/>
              <w:bottom w:w="150" w:type="dxa"/>
              <w:right w:w="210" w:type="dxa"/>
            </w:tcMar>
            <w:vAlign w:val="center"/>
          </w:tcPr>
          <w:p w14:paraId="35BD0ADA">
            <w:pPr>
              <w:snapToGrid w:val="0"/>
              <w:jc w:val="center"/>
              <w:rPr>
                <w:rFonts w:ascii="微软雅黑" w:hAnsi="微软雅黑" w:eastAsia="微软雅黑" w:cs="微软雅黑"/>
                <w:color w:val="060A26"/>
                <w:szCs w:val="21"/>
              </w:rPr>
            </w:pPr>
          </w:p>
        </w:tc>
        <w:tc>
          <w:tcPr>
            <w:tcW w:w="1818"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3C1901D0">
            <w:pPr>
              <w:widowControl/>
              <w:wordWrap w:val="0"/>
              <w:snapToGrid w:val="0"/>
              <w:jc w:val="center"/>
              <w:textAlignment w:val="center"/>
              <w:rPr>
                <w:rFonts w:ascii="微软雅黑" w:hAnsi="微软雅黑" w:eastAsia="微软雅黑" w:cs="微软雅黑"/>
                <w:color w:val="060A26"/>
                <w:kern w:val="0"/>
                <w:szCs w:val="21"/>
                <w:lang w:bidi="ar"/>
              </w:rPr>
            </w:pPr>
            <w:r>
              <w:rPr>
                <w:rFonts w:hint="eastAsia" w:ascii="微软雅黑" w:hAnsi="微软雅黑" w:eastAsia="微软雅黑" w:cs="微软雅黑"/>
                <w:color w:val="060A26"/>
                <w:kern w:val="0"/>
                <w:szCs w:val="21"/>
                <w:lang w:bidi="ar"/>
              </w:rPr>
              <w:t>6.1.5</w:t>
            </w:r>
          </w:p>
        </w:tc>
        <w:tc>
          <w:tcPr>
            <w:tcW w:w="6296"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483880DE">
            <w:pPr>
              <w:widowControl/>
              <w:wordWrap w:val="0"/>
              <w:snapToGrid w:val="0"/>
              <w:jc w:val="left"/>
              <w:textAlignment w:val="center"/>
              <w:rPr>
                <w:rFonts w:ascii="微软雅黑" w:hAnsi="微软雅黑" w:eastAsia="微软雅黑" w:cs="微软雅黑"/>
                <w:color w:val="060A26"/>
                <w:kern w:val="0"/>
                <w:szCs w:val="21"/>
                <w:lang w:bidi="ar"/>
              </w:rPr>
            </w:pPr>
            <w:r>
              <w:rPr>
                <w:rFonts w:hint="eastAsia" w:ascii="微软雅黑" w:hAnsi="微软雅黑" w:eastAsia="微软雅黑" w:cs="微软雅黑"/>
                <w:color w:val="060A26"/>
                <w:kern w:val="0"/>
                <w:szCs w:val="21"/>
                <w:lang w:bidi="ar"/>
              </w:rPr>
              <w:t>✓ 提供转出专科患者查询。</w:t>
            </w:r>
          </w:p>
          <w:p w14:paraId="12BF1CA1">
            <w:pPr>
              <w:widowControl/>
              <w:wordWrap w:val="0"/>
              <w:snapToGrid w:val="0"/>
              <w:jc w:val="left"/>
              <w:textAlignment w:val="center"/>
              <w:rPr>
                <w:rFonts w:ascii="微软雅黑" w:hAnsi="微软雅黑" w:eastAsia="微软雅黑" w:cs="微软雅黑"/>
                <w:color w:val="060A26"/>
                <w:kern w:val="0"/>
                <w:szCs w:val="21"/>
                <w:lang w:bidi="ar"/>
              </w:rPr>
            </w:pPr>
            <w:r>
              <w:rPr>
                <w:rFonts w:hint="eastAsia" w:ascii="微软雅黑" w:hAnsi="微软雅黑" w:eastAsia="微软雅黑" w:cs="微软雅黑"/>
                <w:color w:val="060A26"/>
                <w:kern w:val="0"/>
                <w:szCs w:val="21"/>
                <w:lang w:bidi="ar"/>
              </w:rPr>
              <w:t>✓ 提供已出院患者查询。</w:t>
            </w:r>
          </w:p>
        </w:tc>
      </w:tr>
      <w:tr w14:paraId="02B78615">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553" w:hRule="atLeast"/>
          <w:jc w:val="center"/>
        </w:trPr>
        <w:tc>
          <w:tcPr>
            <w:tcW w:w="1664" w:type="dxa"/>
            <w:vMerge w:val="continue"/>
            <w:tcBorders>
              <w:left w:val="single" w:color="auto" w:sz="6" w:space="0"/>
              <w:right w:val="single" w:color="auto" w:sz="6" w:space="0"/>
            </w:tcBorders>
            <w:shd w:val="clear" w:color="auto" w:fill="FFFFFF"/>
            <w:tcMar>
              <w:top w:w="150" w:type="dxa"/>
              <w:left w:w="210" w:type="dxa"/>
              <w:bottom w:w="150" w:type="dxa"/>
              <w:right w:w="210" w:type="dxa"/>
            </w:tcMar>
            <w:vAlign w:val="center"/>
          </w:tcPr>
          <w:p w14:paraId="1F2AC9D1">
            <w:pPr>
              <w:snapToGrid w:val="0"/>
              <w:jc w:val="center"/>
              <w:rPr>
                <w:rFonts w:ascii="微软雅黑" w:hAnsi="微软雅黑" w:eastAsia="微软雅黑" w:cs="微软雅黑"/>
                <w:color w:val="060A26"/>
                <w:szCs w:val="21"/>
              </w:rPr>
            </w:pPr>
          </w:p>
        </w:tc>
        <w:tc>
          <w:tcPr>
            <w:tcW w:w="1818"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398DE5A3">
            <w:pPr>
              <w:widowControl/>
              <w:wordWrap w:val="0"/>
              <w:snapToGrid w:val="0"/>
              <w:jc w:val="center"/>
              <w:textAlignment w:val="center"/>
              <w:rPr>
                <w:rFonts w:ascii="微软雅黑" w:hAnsi="微软雅黑" w:eastAsia="微软雅黑" w:cs="微软雅黑"/>
                <w:color w:val="060A26"/>
                <w:szCs w:val="21"/>
              </w:rPr>
            </w:pPr>
            <w:r>
              <w:rPr>
                <w:rFonts w:hint="eastAsia" w:ascii="微软雅黑" w:hAnsi="微软雅黑" w:eastAsia="微软雅黑" w:cs="微软雅黑"/>
                <w:color w:val="060A26"/>
                <w:kern w:val="0"/>
                <w:szCs w:val="21"/>
                <w:lang w:bidi="ar"/>
              </w:rPr>
              <w:t>6.3</w:t>
            </w:r>
          </w:p>
        </w:tc>
        <w:tc>
          <w:tcPr>
            <w:tcW w:w="6296"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5CA9DFF9">
            <w:pPr>
              <w:widowControl/>
              <w:wordWrap w:val="0"/>
              <w:snapToGrid w:val="0"/>
              <w:jc w:val="left"/>
              <w:textAlignment w:val="center"/>
              <w:rPr>
                <w:rFonts w:ascii="微软雅黑" w:hAnsi="微软雅黑" w:eastAsia="微软雅黑" w:cs="微软雅黑"/>
                <w:color w:val="060A26"/>
                <w:szCs w:val="21"/>
              </w:rPr>
            </w:pPr>
            <w:r>
              <w:rPr>
                <w:rFonts w:hint="eastAsia" w:ascii="微软雅黑" w:hAnsi="微软雅黑" w:eastAsia="微软雅黑" w:cs="微软雅黑"/>
                <w:b/>
                <w:bCs/>
                <w:color w:val="060A26"/>
                <w:kern w:val="0"/>
                <w:szCs w:val="21"/>
                <w:lang w:bidi="ar"/>
              </w:rPr>
              <w:t>导出交接班记录</w:t>
            </w:r>
          </w:p>
        </w:tc>
      </w:tr>
      <w:tr w14:paraId="7DAB3042">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847" w:hRule="atLeast"/>
          <w:jc w:val="center"/>
        </w:trPr>
        <w:tc>
          <w:tcPr>
            <w:tcW w:w="1664" w:type="dxa"/>
            <w:vMerge w:val="continue"/>
            <w:tcBorders>
              <w:left w:val="single" w:color="auto" w:sz="6" w:space="0"/>
              <w:right w:val="single" w:color="auto" w:sz="6" w:space="0"/>
            </w:tcBorders>
            <w:shd w:val="clear" w:color="auto" w:fill="FFFFFF"/>
            <w:tcMar>
              <w:top w:w="150" w:type="dxa"/>
              <w:left w:w="210" w:type="dxa"/>
              <w:bottom w:w="150" w:type="dxa"/>
              <w:right w:w="210" w:type="dxa"/>
            </w:tcMar>
            <w:vAlign w:val="center"/>
          </w:tcPr>
          <w:p w14:paraId="65540263">
            <w:pPr>
              <w:snapToGrid w:val="0"/>
              <w:jc w:val="center"/>
              <w:rPr>
                <w:rFonts w:ascii="微软雅黑" w:hAnsi="微软雅黑" w:eastAsia="微软雅黑" w:cs="微软雅黑"/>
                <w:color w:val="060A26"/>
                <w:szCs w:val="21"/>
              </w:rPr>
            </w:pPr>
          </w:p>
        </w:tc>
        <w:tc>
          <w:tcPr>
            <w:tcW w:w="1818"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71B7858B">
            <w:pPr>
              <w:widowControl/>
              <w:wordWrap w:val="0"/>
              <w:snapToGrid w:val="0"/>
              <w:jc w:val="center"/>
              <w:textAlignment w:val="center"/>
              <w:rPr>
                <w:rFonts w:ascii="微软雅黑" w:hAnsi="微软雅黑" w:eastAsia="微软雅黑" w:cs="微软雅黑"/>
                <w:color w:val="060A26"/>
                <w:szCs w:val="21"/>
              </w:rPr>
            </w:pPr>
            <w:r>
              <w:rPr>
                <w:rFonts w:hint="eastAsia" w:ascii="微软雅黑" w:hAnsi="微软雅黑" w:eastAsia="微软雅黑" w:cs="微软雅黑"/>
                <w:color w:val="060A26"/>
                <w:kern w:val="0"/>
                <w:szCs w:val="21"/>
                <w:lang w:bidi="ar"/>
              </w:rPr>
              <w:t>6.3.1 交接班记录查询</w:t>
            </w:r>
          </w:p>
        </w:tc>
        <w:tc>
          <w:tcPr>
            <w:tcW w:w="6296"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5B913058">
            <w:pPr>
              <w:widowControl/>
              <w:wordWrap w:val="0"/>
              <w:snapToGrid w:val="0"/>
              <w:jc w:val="left"/>
              <w:textAlignment w:val="center"/>
              <w:rPr>
                <w:rFonts w:ascii="微软雅黑" w:hAnsi="微软雅黑" w:eastAsia="微软雅黑" w:cs="微软雅黑"/>
                <w:color w:val="060A26"/>
                <w:szCs w:val="21"/>
              </w:rPr>
            </w:pPr>
            <w:r>
              <w:rPr>
                <w:rFonts w:hint="eastAsia" w:ascii="微软雅黑" w:hAnsi="微软雅黑" w:eastAsia="微软雅黑" w:cs="微软雅黑"/>
                <w:color w:val="060A26"/>
                <w:kern w:val="0"/>
                <w:szCs w:val="21"/>
                <w:lang w:bidi="ar"/>
              </w:rPr>
              <w:t>✓ 可根据科室，患者姓名，交班日期，优先排序查询</w:t>
            </w:r>
          </w:p>
        </w:tc>
      </w:tr>
      <w:tr w14:paraId="201DA98A">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1142" w:hRule="atLeast"/>
          <w:jc w:val="center"/>
        </w:trPr>
        <w:tc>
          <w:tcPr>
            <w:tcW w:w="1664" w:type="dxa"/>
            <w:vMerge w:val="continue"/>
            <w:tcBorders>
              <w:left w:val="single" w:color="auto" w:sz="6" w:space="0"/>
              <w:right w:val="single" w:color="auto" w:sz="6" w:space="0"/>
            </w:tcBorders>
            <w:shd w:val="clear" w:color="auto" w:fill="FFFFFF"/>
            <w:tcMar>
              <w:top w:w="150" w:type="dxa"/>
              <w:left w:w="210" w:type="dxa"/>
              <w:bottom w:w="150" w:type="dxa"/>
              <w:right w:w="210" w:type="dxa"/>
            </w:tcMar>
            <w:vAlign w:val="center"/>
          </w:tcPr>
          <w:p w14:paraId="206583CA">
            <w:pPr>
              <w:snapToGrid w:val="0"/>
              <w:jc w:val="center"/>
              <w:rPr>
                <w:rFonts w:ascii="微软雅黑" w:hAnsi="微软雅黑" w:eastAsia="微软雅黑" w:cs="微软雅黑"/>
                <w:color w:val="060A26"/>
                <w:szCs w:val="21"/>
              </w:rPr>
            </w:pPr>
          </w:p>
        </w:tc>
        <w:tc>
          <w:tcPr>
            <w:tcW w:w="1818"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7CAD8CBE">
            <w:pPr>
              <w:widowControl/>
              <w:wordWrap w:val="0"/>
              <w:snapToGrid w:val="0"/>
              <w:jc w:val="center"/>
              <w:textAlignment w:val="center"/>
              <w:rPr>
                <w:rFonts w:ascii="微软雅黑" w:hAnsi="微软雅黑" w:eastAsia="微软雅黑" w:cs="微软雅黑"/>
                <w:color w:val="060A26"/>
                <w:szCs w:val="21"/>
              </w:rPr>
            </w:pPr>
            <w:r>
              <w:rPr>
                <w:rFonts w:hint="eastAsia" w:ascii="微软雅黑" w:hAnsi="微软雅黑" w:eastAsia="微软雅黑" w:cs="微软雅黑"/>
                <w:color w:val="060A26"/>
                <w:szCs w:val="21"/>
              </w:rPr>
              <w:t>6.3.2交接班内容</w:t>
            </w:r>
          </w:p>
        </w:tc>
        <w:tc>
          <w:tcPr>
            <w:tcW w:w="6296"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6E855FAB">
            <w:pPr>
              <w:widowControl/>
              <w:wordWrap w:val="0"/>
              <w:snapToGrid w:val="0"/>
              <w:jc w:val="left"/>
              <w:textAlignment w:val="center"/>
              <w:rPr>
                <w:rFonts w:ascii="微软雅黑" w:hAnsi="微软雅黑" w:eastAsia="微软雅黑" w:cs="微软雅黑"/>
                <w:color w:val="060A26"/>
                <w:kern w:val="0"/>
                <w:szCs w:val="21"/>
                <w:lang w:bidi="ar"/>
              </w:rPr>
            </w:pPr>
            <w:r>
              <w:rPr>
                <w:rFonts w:hint="eastAsia" w:ascii="微软雅黑" w:hAnsi="微软雅黑" w:eastAsia="微软雅黑" w:cs="微软雅黑"/>
                <w:color w:val="060A26"/>
                <w:kern w:val="0"/>
                <w:szCs w:val="21"/>
                <w:lang w:bidi="ar"/>
              </w:rPr>
              <w:t>✓ 显示专科、新收、出院、转入、转出、术前、术后、重病、抢救、危急值、交班病人、急诊、四级手术人数。</w:t>
            </w:r>
          </w:p>
          <w:p w14:paraId="54F88D3A">
            <w:pPr>
              <w:widowControl/>
              <w:wordWrap w:val="0"/>
              <w:snapToGrid w:val="0"/>
              <w:jc w:val="left"/>
              <w:textAlignment w:val="center"/>
              <w:rPr>
                <w:rFonts w:ascii="微软雅黑" w:hAnsi="微软雅黑" w:eastAsia="微软雅黑" w:cs="微软雅黑"/>
                <w:color w:val="060A26"/>
                <w:kern w:val="0"/>
                <w:szCs w:val="21"/>
                <w:lang w:bidi="ar"/>
              </w:rPr>
            </w:pPr>
            <w:r>
              <w:rPr>
                <w:rFonts w:hint="eastAsia" w:ascii="微软雅黑" w:hAnsi="微软雅黑" w:eastAsia="微软雅黑" w:cs="微软雅黑"/>
                <w:color w:val="060A26"/>
                <w:kern w:val="0"/>
                <w:szCs w:val="21"/>
                <w:lang w:bidi="ar"/>
              </w:rPr>
              <w:t>✓ 显示交班内容，交班时间，医生签名。</w:t>
            </w:r>
          </w:p>
        </w:tc>
      </w:tr>
      <w:tr w14:paraId="0F082C3A">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553" w:hRule="atLeast"/>
          <w:jc w:val="center"/>
        </w:trPr>
        <w:tc>
          <w:tcPr>
            <w:tcW w:w="1664" w:type="dxa"/>
            <w:vMerge w:val="continue"/>
            <w:tcBorders>
              <w:left w:val="single" w:color="auto" w:sz="6" w:space="0"/>
              <w:right w:val="single" w:color="auto" w:sz="6" w:space="0"/>
            </w:tcBorders>
            <w:shd w:val="clear" w:color="auto" w:fill="FFFFFF"/>
            <w:tcMar>
              <w:top w:w="150" w:type="dxa"/>
              <w:left w:w="210" w:type="dxa"/>
              <w:bottom w:w="150" w:type="dxa"/>
              <w:right w:w="210" w:type="dxa"/>
            </w:tcMar>
            <w:vAlign w:val="center"/>
          </w:tcPr>
          <w:p w14:paraId="63F5076E">
            <w:pPr>
              <w:snapToGrid w:val="0"/>
              <w:jc w:val="center"/>
              <w:rPr>
                <w:rFonts w:ascii="微软雅黑" w:hAnsi="微软雅黑" w:eastAsia="微软雅黑" w:cs="微软雅黑"/>
                <w:color w:val="060A26"/>
                <w:szCs w:val="21"/>
              </w:rPr>
            </w:pPr>
          </w:p>
        </w:tc>
        <w:tc>
          <w:tcPr>
            <w:tcW w:w="1818"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72FDA3DC">
            <w:pPr>
              <w:widowControl/>
              <w:wordWrap w:val="0"/>
              <w:snapToGrid w:val="0"/>
              <w:jc w:val="center"/>
              <w:textAlignment w:val="center"/>
              <w:rPr>
                <w:rFonts w:ascii="微软雅黑" w:hAnsi="微软雅黑" w:eastAsia="微软雅黑" w:cs="微软雅黑"/>
                <w:color w:val="060A26"/>
                <w:szCs w:val="21"/>
              </w:rPr>
            </w:pPr>
            <w:r>
              <w:rPr>
                <w:rFonts w:hint="eastAsia" w:ascii="微软雅黑" w:hAnsi="微软雅黑" w:eastAsia="微软雅黑" w:cs="微软雅黑"/>
                <w:color w:val="060A26"/>
                <w:szCs w:val="21"/>
              </w:rPr>
              <w:t>6.3.3</w:t>
            </w:r>
          </w:p>
        </w:tc>
        <w:tc>
          <w:tcPr>
            <w:tcW w:w="6296"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363A6FDA">
            <w:pPr>
              <w:widowControl/>
              <w:wordWrap w:val="0"/>
              <w:snapToGrid w:val="0"/>
              <w:jc w:val="left"/>
              <w:textAlignment w:val="center"/>
              <w:rPr>
                <w:rFonts w:ascii="微软雅黑" w:hAnsi="微软雅黑" w:eastAsia="微软雅黑" w:cs="微软雅黑"/>
                <w:color w:val="060A26"/>
                <w:szCs w:val="21"/>
              </w:rPr>
            </w:pPr>
            <w:r>
              <w:rPr>
                <w:rFonts w:hint="eastAsia" w:ascii="微软雅黑" w:hAnsi="微软雅黑" w:eastAsia="微软雅黑" w:cs="微软雅黑"/>
                <w:color w:val="060A26"/>
                <w:kern w:val="0"/>
                <w:szCs w:val="21"/>
                <w:lang w:bidi="ar"/>
              </w:rPr>
              <w:t>✓支持导出，打印功能</w:t>
            </w:r>
          </w:p>
        </w:tc>
      </w:tr>
      <w:tr w14:paraId="18970159">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553" w:hRule="atLeast"/>
          <w:jc w:val="center"/>
        </w:trPr>
        <w:tc>
          <w:tcPr>
            <w:tcW w:w="1664" w:type="dxa"/>
            <w:vMerge w:val="continue"/>
            <w:tcBorders>
              <w:left w:val="single" w:color="auto" w:sz="6" w:space="0"/>
              <w:right w:val="single" w:color="auto" w:sz="6" w:space="0"/>
            </w:tcBorders>
            <w:shd w:val="clear" w:color="auto" w:fill="FFFFFF"/>
            <w:tcMar>
              <w:top w:w="150" w:type="dxa"/>
              <w:left w:w="210" w:type="dxa"/>
              <w:bottom w:w="150" w:type="dxa"/>
              <w:right w:w="210" w:type="dxa"/>
            </w:tcMar>
            <w:vAlign w:val="center"/>
          </w:tcPr>
          <w:p w14:paraId="6CF16AB5">
            <w:pPr>
              <w:snapToGrid w:val="0"/>
              <w:jc w:val="center"/>
              <w:rPr>
                <w:rFonts w:ascii="微软雅黑" w:hAnsi="微软雅黑" w:eastAsia="微软雅黑" w:cs="微软雅黑"/>
                <w:color w:val="060A26"/>
                <w:szCs w:val="21"/>
              </w:rPr>
            </w:pPr>
          </w:p>
        </w:tc>
        <w:tc>
          <w:tcPr>
            <w:tcW w:w="8114" w:type="dxa"/>
            <w:gridSpan w:val="2"/>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22272776">
            <w:pPr>
              <w:widowControl/>
              <w:wordWrap w:val="0"/>
              <w:snapToGrid w:val="0"/>
              <w:jc w:val="left"/>
              <w:textAlignment w:val="center"/>
              <w:rPr>
                <w:rFonts w:ascii="微软雅黑" w:hAnsi="微软雅黑" w:eastAsia="微软雅黑" w:cs="微软雅黑"/>
                <w:color w:val="060A26"/>
                <w:szCs w:val="21"/>
              </w:rPr>
            </w:pPr>
            <w:r>
              <w:rPr>
                <w:rFonts w:hint="eastAsia" w:ascii="微软雅黑" w:hAnsi="微软雅黑" w:eastAsia="微软雅黑" w:cs="微软雅黑"/>
                <w:b/>
                <w:bCs/>
                <w:color w:val="060A26"/>
                <w:szCs w:val="21"/>
                <w:lang w:eastAsia="zh-CN"/>
              </w:rPr>
              <w:t>（</w:t>
            </w:r>
            <w:r>
              <w:rPr>
                <w:rFonts w:hint="eastAsia" w:ascii="微软雅黑" w:hAnsi="微软雅黑" w:eastAsia="微软雅黑" w:cs="微软雅黑"/>
                <w:b/>
                <w:bCs/>
                <w:color w:val="060A26"/>
                <w:szCs w:val="21"/>
                <w:lang w:val="en-US" w:eastAsia="zh-CN"/>
              </w:rPr>
              <w:t>二</w:t>
            </w:r>
            <w:r>
              <w:rPr>
                <w:rFonts w:hint="eastAsia" w:ascii="微软雅黑" w:hAnsi="微软雅黑" w:eastAsia="微软雅黑" w:cs="微软雅黑"/>
                <w:b/>
                <w:bCs/>
                <w:color w:val="060A26"/>
                <w:szCs w:val="21"/>
                <w:lang w:eastAsia="zh-CN"/>
              </w:rPr>
              <w:t>）</w:t>
            </w:r>
            <w:r>
              <w:rPr>
                <w:rFonts w:hint="eastAsia" w:ascii="微软雅黑" w:hAnsi="微软雅黑" w:eastAsia="微软雅黑" w:cs="微软雅黑"/>
                <w:b/>
                <w:bCs/>
                <w:color w:val="060A26"/>
                <w:szCs w:val="21"/>
              </w:rPr>
              <w:t>新增功能需求</w:t>
            </w:r>
          </w:p>
        </w:tc>
      </w:tr>
      <w:tr w14:paraId="1E273567">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1744" w:hRule="atLeast"/>
          <w:jc w:val="center"/>
        </w:trPr>
        <w:tc>
          <w:tcPr>
            <w:tcW w:w="1664" w:type="dxa"/>
            <w:tcBorders>
              <w:left w:val="single" w:color="auto" w:sz="6" w:space="0"/>
              <w:right w:val="single" w:color="auto" w:sz="6" w:space="0"/>
            </w:tcBorders>
            <w:shd w:val="clear" w:color="auto" w:fill="FFFFFF"/>
            <w:tcMar>
              <w:top w:w="150" w:type="dxa"/>
              <w:left w:w="210" w:type="dxa"/>
              <w:bottom w:w="150" w:type="dxa"/>
              <w:right w:w="210" w:type="dxa"/>
            </w:tcMar>
            <w:vAlign w:val="center"/>
          </w:tcPr>
          <w:p w14:paraId="32005331">
            <w:pPr>
              <w:snapToGrid w:val="0"/>
              <w:jc w:val="center"/>
              <w:rPr>
                <w:rFonts w:ascii="微软雅黑" w:hAnsi="微软雅黑" w:eastAsia="微软雅黑" w:cs="微软雅黑"/>
                <w:color w:val="060A26"/>
                <w:szCs w:val="21"/>
              </w:rPr>
            </w:pPr>
          </w:p>
        </w:tc>
        <w:tc>
          <w:tcPr>
            <w:tcW w:w="1818"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6415C820">
            <w:pPr>
              <w:widowControl/>
              <w:wordWrap w:val="0"/>
              <w:snapToGrid w:val="0"/>
              <w:jc w:val="center"/>
              <w:textAlignment w:val="center"/>
              <w:rPr>
                <w:rFonts w:ascii="微软雅黑" w:hAnsi="微软雅黑" w:eastAsia="微软雅黑" w:cs="微软雅黑"/>
                <w:color w:val="060A26"/>
                <w:szCs w:val="21"/>
              </w:rPr>
            </w:pPr>
            <w:r>
              <w:rPr>
                <w:rFonts w:hint="eastAsia" w:ascii="微软雅黑" w:hAnsi="微软雅黑" w:eastAsia="微软雅黑" w:cs="微软雅黑"/>
                <w:color w:val="060A26"/>
                <w:szCs w:val="21"/>
              </w:rPr>
              <w:t>6.4.1对接需求</w:t>
            </w:r>
          </w:p>
        </w:tc>
        <w:tc>
          <w:tcPr>
            <w:tcW w:w="6296"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19EE2996">
            <w:pPr>
              <w:widowControl/>
              <w:wordWrap w:val="0"/>
              <w:snapToGrid w:val="0"/>
              <w:jc w:val="left"/>
              <w:textAlignment w:val="center"/>
              <w:rPr>
                <w:rFonts w:ascii="微软雅黑" w:hAnsi="微软雅黑" w:eastAsia="微软雅黑" w:cs="微软雅黑"/>
                <w:color w:val="060A26"/>
                <w:kern w:val="0"/>
                <w:szCs w:val="21"/>
                <w:lang w:bidi="ar"/>
              </w:rPr>
            </w:pPr>
            <w:r>
              <w:rPr>
                <w:rFonts w:ascii="宋体" w:hAnsi="宋体" w:eastAsia="宋体" w:cs="宋体"/>
                <w:color w:val="060A26"/>
                <w:kern w:val="0"/>
                <w:szCs w:val="21"/>
                <w:lang w:bidi="ar"/>
              </w:rPr>
              <w:t>✓</w:t>
            </w:r>
            <w:r>
              <w:rPr>
                <w:rFonts w:hint="eastAsia" w:ascii="宋体" w:hAnsi="宋体" w:eastAsia="宋体" w:cs="宋体"/>
                <w:color w:val="060A26"/>
                <w:kern w:val="0"/>
                <w:szCs w:val="21"/>
                <w:lang w:bidi="ar"/>
              </w:rPr>
              <w:t xml:space="preserve"> </w:t>
            </w:r>
            <w:r>
              <w:rPr>
                <w:rFonts w:hint="eastAsia" w:ascii="微软雅黑" w:hAnsi="微软雅黑" w:eastAsia="微软雅黑" w:cs="微软雅黑"/>
                <w:color w:val="060A26"/>
                <w:kern w:val="0"/>
                <w:szCs w:val="21"/>
                <w:lang w:bidi="ar"/>
              </w:rPr>
              <w:t>配合HIS系统改造，完成相关系统接口开发、对接及页面改造工作。</w:t>
            </w:r>
          </w:p>
          <w:p w14:paraId="12851F23">
            <w:pPr>
              <w:widowControl/>
              <w:wordWrap w:val="0"/>
              <w:snapToGrid w:val="0"/>
              <w:jc w:val="left"/>
              <w:textAlignment w:val="center"/>
              <w:rPr>
                <w:rFonts w:ascii="微软雅黑" w:hAnsi="微软雅黑" w:eastAsia="微软雅黑" w:cs="微软雅黑"/>
                <w:color w:val="060A26"/>
                <w:kern w:val="0"/>
                <w:szCs w:val="21"/>
                <w:lang w:bidi="ar"/>
              </w:rPr>
            </w:pPr>
            <w:r>
              <w:rPr>
                <w:rFonts w:hint="eastAsia" w:ascii="微软雅黑" w:hAnsi="微软雅黑" w:eastAsia="微软雅黑" w:cs="微软雅黑"/>
                <w:color w:val="060A26"/>
                <w:kern w:val="0"/>
                <w:szCs w:val="21"/>
                <w:lang w:bidi="ar"/>
              </w:rPr>
              <w:t>✓ 患者主索引接口：对接集成平台患者主索引信息，包括患者唯一标识、基本信息等，支持调取集成平台的患者身份标识，实现各业务系统间患者信息的共享和关联。</w:t>
            </w:r>
          </w:p>
        </w:tc>
      </w:tr>
      <w:tr w14:paraId="52944894">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645" w:hRule="atLeast"/>
          <w:jc w:val="center"/>
        </w:trPr>
        <w:tc>
          <w:tcPr>
            <w:tcW w:w="1664" w:type="dxa"/>
            <w:tcBorders>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7D2831E3">
            <w:pPr>
              <w:snapToGrid w:val="0"/>
              <w:jc w:val="center"/>
              <w:rPr>
                <w:rFonts w:ascii="微软雅黑" w:hAnsi="微软雅黑" w:eastAsia="微软雅黑" w:cs="微软雅黑"/>
                <w:color w:val="060A26"/>
                <w:szCs w:val="21"/>
              </w:rPr>
            </w:pPr>
          </w:p>
        </w:tc>
        <w:tc>
          <w:tcPr>
            <w:tcW w:w="1818"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3B6205D4">
            <w:pPr>
              <w:widowControl/>
              <w:wordWrap w:val="0"/>
              <w:snapToGrid w:val="0"/>
              <w:jc w:val="left"/>
              <w:textAlignment w:val="center"/>
              <w:rPr>
                <w:rFonts w:hint="eastAsia" w:ascii="微软雅黑" w:hAnsi="微软雅黑" w:eastAsia="微软雅黑" w:cs="微软雅黑"/>
                <w:color w:val="060A26"/>
                <w:kern w:val="0"/>
                <w:sz w:val="21"/>
                <w:szCs w:val="21"/>
                <w:lang w:val="en-US" w:eastAsia="zh-CN" w:bidi="ar"/>
              </w:rPr>
            </w:pPr>
            <w:r>
              <w:rPr>
                <w:rFonts w:hint="eastAsia" w:ascii="微软雅黑" w:hAnsi="微软雅黑" w:eastAsia="微软雅黑" w:cs="微软雅黑"/>
                <w:color w:val="060A26"/>
                <w:kern w:val="0"/>
                <w:szCs w:val="21"/>
                <w:lang w:val="en-US" w:eastAsia="zh-CN" w:bidi="ar"/>
              </w:rPr>
              <w:t>6.4.2</w:t>
            </w:r>
            <w:r>
              <w:rPr>
                <w:rFonts w:hint="default" w:ascii="微软雅黑" w:hAnsi="微软雅黑" w:eastAsia="微软雅黑" w:cs="微软雅黑"/>
                <w:color w:val="060A26"/>
                <w:kern w:val="0"/>
                <w:szCs w:val="21"/>
                <w:lang w:val="en-US" w:eastAsia="zh-CN" w:bidi="ar"/>
              </w:rPr>
              <w:t>业务发展需求</w:t>
            </w:r>
          </w:p>
        </w:tc>
        <w:tc>
          <w:tcPr>
            <w:tcW w:w="6296"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2D25C618">
            <w:pPr>
              <w:widowControl/>
              <w:wordWrap w:val="0"/>
              <w:snapToGrid w:val="0"/>
              <w:jc w:val="left"/>
              <w:textAlignment w:val="center"/>
              <w:rPr>
                <w:rFonts w:hint="eastAsia" w:ascii="微软雅黑" w:hAnsi="微软雅黑" w:eastAsia="微软雅黑" w:cs="微软雅黑"/>
                <w:color w:val="060A26"/>
                <w:kern w:val="0"/>
                <w:sz w:val="21"/>
                <w:szCs w:val="21"/>
                <w:lang w:val="en-US" w:eastAsia="zh-CN" w:bidi="ar"/>
              </w:rPr>
            </w:pPr>
            <w:r>
              <w:rPr>
                <w:rFonts w:hint="eastAsia" w:ascii="微软雅黑" w:hAnsi="微软雅黑" w:eastAsia="微软雅黑" w:cs="微软雅黑"/>
                <w:color w:val="060A26"/>
                <w:kern w:val="0"/>
                <w:szCs w:val="21"/>
                <w:lang w:val="en-US" w:eastAsia="zh-CN" w:bidi="ar"/>
              </w:rPr>
              <w:t>根据</w:t>
            </w:r>
            <w:r>
              <w:rPr>
                <w:rFonts w:hint="default" w:ascii="微软雅黑" w:hAnsi="微软雅黑" w:eastAsia="微软雅黑" w:cs="微软雅黑"/>
                <w:color w:val="060A26"/>
                <w:kern w:val="0"/>
                <w:szCs w:val="21"/>
                <w:lang w:val="en-US" w:eastAsia="zh-CN" w:bidi="ar"/>
              </w:rPr>
              <w:t>上级政策要求、医院管理制度及业务流程优化需要，完成相应功能的优化与改造。</w:t>
            </w:r>
          </w:p>
        </w:tc>
      </w:tr>
    </w:tbl>
    <w:p w14:paraId="029439D8"/>
    <w:p w14:paraId="6CF38287">
      <w:pPr>
        <w:rPr>
          <w:rFonts w:hint="eastAsia"/>
          <w:lang w:val="en-US" w:eastAsia="zh-CN"/>
        </w:rPr>
      </w:pPr>
      <w:r>
        <w:rPr>
          <w:rFonts w:hint="eastAsia"/>
          <w:lang w:val="en-US" w:eastAsia="zh-CN"/>
        </w:rPr>
        <w:t>附件1：</w:t>
      </w:r>
    </w:p>
    <w:p w14:paraId="0662B9B2">
      <w:pPr>
        <w:rPr>
          <w:rFonts w:hint="default"/>
          <w:lang w:val="en-US" w:eastAsia="zh-CN"/>
        </w:rPr>
      </w:pPr>
      <w:r>
        <w:rPr>
          <w:rFonts w:hint="eastAsia"/>
          <w:lang w:val="en-US" w:eastAsia="zh-CN"/>
        </w:rPr>
        <w:t>1、病历拍摄界面</w:t>
      </w:r>
    </w:p>
    <w:p w14:paraId="24075B2D">
      <w:r>
        <w:drawing>
          <wp:inline distT="0" distB="0" distL="114300" distR="114300">
            <wp:extent cx="5267960" cy="2778760"/>
            <wp:effectExtent l="9525" t="9525" r="18415" b="1206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5267960" cy="2778760"/>
                    </a:xfrm>
                    <a:prstGeom prst="rect">
                      <a:avLst/>
                    </a:prstGeom>
                    <a:noFill/>
                    <a:ln>
                      <a:solidFill>
                        <a:srgbClr val="0000FF"/>
                      </a:solidFill>
                    </a:ln>
                  </pic:spPr>
                </pic:pic>
              </a:graphicData>
            </a:graphic>
          </wp:inline>
        </w:drawing>
      </w:r>
    </w:p>
    <w:p w14:paraId="09101677">
      <w:pPr>
        <w:rPr>
          <w:rFonts w:hint="default"/>
          <w:lang w:val="en-US" w:eastAsia="zh-CN"/>
        </w:rPr>
      </w:pPr>
      <w:r>
        <w:rPr>
          <w:rFonts w:hint="eastAsia"/>
          <w:lang w:val="en-US" w:eastAsia="zh-CN"/>
        </w:rPr>
        <w:t>2、质控信息查询界面</w:t>
      </w:r>
    </w:p>
    <w:p w14:paraId="0128525C">
      <w:pPr>
        <w:rPr>
          <w:rFonts w:hint="default"/>
          <w:lang w:val="en-US" w:eastAsia="zh-CN"/>
        </w:rPr>
      </w:pPr>
      <w:r>
        <w:drawing>
          <wp:inline distT="0" distB="0" distL="114300" distR="114300">
            <wp:extent cx="5259705" cy="2784475"/>
            <wp:effectExtent l="0" t="0" r="17145" b="158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5259705" cy="2784475"/>
                    </a:xfrm>
                    <a:prstGeom prst="rect">
                      <a:avLst/>
                    </a:prstGeom>
                    <a:noFill/>
                    <a:ln>
                      <a:noFill/>
                    </a:ln>
                  </pic:spPr>
                </pic:pic>
              </a:graphicData>
            </a:graphic>
          </wp:inline>
        </w:drawing>
      </w:r>
    </w:p>
    <w:p w14:paraId="23E49B81"/>
    <w:p w14:paraId="6FFBFC93"/>
    <w:p w14:paraId="27CCC575">
      <w:pPr>
        <w:pStyle w:val="3"/>
        <w:bidi w:val="0"/>
      </w:pPr>
      <w:bookmarkStart w:id="275" w:name="_Toc21201"/>
      <w:bookmarkStart w:id="276" w:name="_Toc25304"/>
      <w:bookmarkStart w:id="277" w:name="_Toc15686"/>
      <w:bookmarkStart w:id="278" w:name="_Toc25571"/>
      <w:bookmarkStart w:id="279" w:name="_Toc18842"/>
      <w:bookmarkStart w:id="280" w:name="合同协议书"/>
      <w:r>
        <w:rPr>
          <w:rFonts w:hint="eastAsia"/>
          <w:lang w:val="en-US" w:eastAsia="zh-CN"/>
        </w:rPr>
        <w:t>床位动态管理系统</w:t>
      </w:r>
      <w:bookmarkEnd w:id="275"/>
      <w:bookmarkEnd w:id="276"/>
      <w:bookmarkEnd w:id="277"/>
    </w:p>
    <w:bookmarkEnd w:id="278"/>
    <w:bookmarkEnd w:id="279"/>
    <w:tbl>
      <w:tblPr>
        <w:tblStyle w:val="46"/>
        <w:tblW w:w="4995" w:type="pct"/>
        <w:tblInd w:w="0" w:type="dxa"/>
        <w:tblLayout w:type="fixed"/>
        <w:tblCellMar>
          <w:top w:w="0" w:type="dxa"/>
          <w:left w:w="108" w:type="dxa"/>
          <w:bottom w:w="0" w:type="dxa"/>
          <w:right w:w="108" w:type="dxa"/>
        </w:tblCellMar>
      </w:tblPr>
      <w:tblGrid>
        <w:gridCol w:w="692"/>
        <w:gridCol w:w="1173"/>
        <w:gridCol w:w="1412"/>
        <w:gridCol w:w="1737"/>
        <w:gridCol w:w="4741"/>
      </w:tblGrid>
      <w:tr w14:paraId="38C65D14">
        <w:tblPrEx>
          <w:tblCellMar>
            <w:top w:w="0" w:type="dxa"/>
            <w:left w:w="108" w:type="dxa"/>
            <w:bottom w:w="0" w:type="dxa"/>
            <w:right w:w="108" w:type="dxa"/>
          </w:tblCellMar>
        </w:tblPrEx>
        <w:tc>
          <w:tcPr>
            <w:tcW w:w="5000" w:type="pct"/>
            <w:gridSpan w:val="5"/>
            <w:tcBorders>
              <w:top w:val="single" w:color="auto" w:sz="4" w:space="0"/>
              <w:left w:val="single" w:color="auto" w:sz="4" w:space="0"/>
              <w:bottom w:val="nil"/>
              <w:right w:val="single" w:color="auto" w:sz="4" w:space="0"/>
            </w:tcBorders>
            <w:shd w:val="clear" w:color="auto" w:fill="auto"/>
            <w:noWrap/>
            <w:vAlign w:val="center"/>
          </w:tcPr>
          <w:p w14:paraId="19FE198D">
            <w:pPr>
              <w:widowControl/>
              <w:jc w:val="center"/>
              <w:textAlignment w:val="center"/>
              <w:rPr>
                <w:rFonts w:hint="default" w:asciiTheme="minorEastAsia" w:hAnsiTheme="minorEastAsia" w:eastAsiaTheme="minorEastAsia" w:cstheme="minorEastAsia"/>
                <w:b/>
                <w:color w:val="auto"/>
                <w:kern w:val="0"/>
                <w:sz w:val="24"/>
                <w:szCs w:val="24"/>
                <w:highlight w:val="none"/>
                <w:lang w:val="en-US" w:eastAsia="zh-CN" w:bidi="ar"/>
              </w:rPr>
            </w:pPr>
            <w:r>
              <w:rPr>
                <w:rFonts w:hint="eastAsia" w:asciiTheme="minorEastAsia" w:hAnsiTheme="minorEastAsia" w:eastAsiaTheme="minorEastAsia" w:cstheme="minorEastAsia"/>
                <w:b/>
                <w:color w:val="auto"/>
                <w:kern w:val="0"/>
                <w:sz w:val="28"/>
                <w:szCs w:val="28"/>
                <w:highlight w:val="none"/>
                <w:lang w:eastAsia="zh-CN" w:bidi="ar"/>
              </w:rPr>
              <w:t>床位动态管理系统（</w:t>
            </w:r>
            <w:r>
              <w:rPr>
                <w:rFonts w:hint="eastAsia" w:asciiTheme="minorEastAsia" w:hAnsiTheme="minorEastAsia" w:eastAsiaTheme="minorEastAsia" w:cstheme="minorEastAsia"/>
                <w:b/>
                <w:color w:val="auto"/>
                <w:kern w:val="0"/>
                <w:sz w:val="28"/>
                <w:szCs w:val="28"/>
                <w:highlight w:val="none"/>
                <w:lang w:val="en-US" w:eastAsia="zh-CN" w:bidi="ar"/>
              </w:rPr>
              <w:t>前端</w:t>
            </w:r>
            <w:r>
              <w:rPr>
                <w:rFonts w:hint="eastAsia" w:asciiTheme="minorEastAsia" w:hAnsiTheme="minorEastAsia" w:eastAsiaTheme="minorEastAsia" w:cstheme="minorEastAsia"/>
                <w:b/>
                <w:color w:val="auto"/>
                <w:kern w:val="0"/>
                <w:sz w:val="28"/>
                <w:szCs w:val="28"/>
                <w:highlight w:val="none"/>
                <w:lang w:eastAsia="zh-CN" w:bidi="ar"/>
              </w:rPr>
              <w:t>）</w:t>
            </w:r>
            <w:r>
              <w:rPr>
                <w:rFonts w:hint="eastAsia" w:asciiTheme="minorEastAsia" w:hAnsiTheme="minorEastAsia" w:eastAsiaTheme="minorEastAsia" w:cstheme="minorEastAsia"/>
                <w:b/>
                <w:color w:val="auto"/>
                <w:kern w:val="0"/>
                <w:sz w:val="28"/>
                <w:szCs w:val="28"/>
                <w:highlight w:val="none"/>
                <w:lang w:val="en-US" w:eastAsia="zh-CN" w:bidi="ar"/>
              </w:rPr>
              <w:t>维护保障</w:t>
            </w:r>
          </w:p>
        </w:tc>
      </w:tr>
      <w:tr w14:paraId="558EDEE2">
        <w:tblPrEx>
          <w:tblCellMar>
            <w:top w:w="0" w:type="dxa"/>
            <w:left w:w="108" w:type="dxa"/>
            <w:bottom w:w="0" w:type="dxa"/>
            <w:right w:w="108" w:type="dxa"/>
          </w:tblCellMar>
        </w:tblPrEx>
        <w:tc>
          <w:tcPr>
            <w:tcW w:w="354" w:type="pct"/>
            <w:tcBorders>
              <w:top w:val="single" w:color="auto" w:sz="4" w:space="0"/>
              <w:left w:val="single" w:color="auto" w:sz="4" w:space="0"/>
              <w:bottom w:val="nil"/>
              <w:right w:val="single" w:color="auto" w:sz="4" w:space="0"/>
            </w:tcBorders>
            <w:shd w:val="clear" w:color="auto" w:fill="auto"/>
            <w:noWrap/>
            <w:vAlign w:val="center"/>
          </w:tcPr>
          <w:p w14:paraId="6C254027">
            <w:pPr>
              <w:widowControl/>
              <w:jc w:val="left"/>
              <w:textAlignment w:val="center"/>
              <w:rPr>
                <w:rFonts w:hint="eastAsia" w:asciiTheme="minorEastAsia" w:hAnsiTheme="minorEastAsia" w:eastAsiaTheme="minorEastAsia" w:cstheme="minorEastAsia"/>
                <w:b/>
                <w:color w:val="auto"/>
                <w:kern w:val="0"/>
                <w:sz w:val="24"/>
                <w:szCs w:val="24"/>
                <w:highlight w:val="none"/>
                <w:lang w:bidi="ar"/>
              </w:rPr>
            </w:pPr>
            <w:r>
              <w:rPr>
                <w:rFonts w:hint="eastAsia" w:asciiTheme="minorEastAsia" w:hAnsiTheme="minorEastAsia" w:eastAsiaTheme="minorEastAsia" w:cstheme="minorEastAsia"/>
                <w:b/>
                <w:color w:val="auto"/>
                <w:kern w:val="0"/>
                <w:sz w:val="24"/>
                <w:szCs w:val="24"/>
                <w:highlight w:val="none"/>
                <w:lang w:bidi="ar"/>
              </w:rPr>
              <w:t>序号</w:t>
            </w:r>
          </w:p>
        </w:tc>
        <w:tc>
          <w:tcPr>
            <w:tcW w:w="601" w:type="pct"/>
            <w:tcBorders>
              <w:top w:val="single" w:color="auto" w:sz="4" w:space="0"/>
              <w:left w:val="nil"/>
              <w:bottom w:val="nil"/>
              <w:right w:val="single" w:color="auto" w:sz="4" w:space="0"/>
            </w:tcBorders>
            <w:shd w:val="clear" w:color="auto" w:fill="auto"/>
            <w:noWrap/>
            <w:vAlign w:val="center"/>
          </w:tcPr>
          <w:p w14:paraId="69C78146">
            <w:pPr>
              <w:widowControl/>
              <w:jc w:val="left"/>
              <w:textAlignment w:val="center"/>
              <w:rPr>
                <w:rFonts w:hint="eastAsia" w:asciiTheme="minorEastAsia" w:hAnsiTheme="minorEastAsia" w:eastAsiaTheme="minorEastAsia" w:cstheme="minorEastAsia"/>
                <w:b/>
                <w:color w:val="auto"/>
                <w:kern w:val="0"/>
                <w:sz w:val="24"/>
                <w:szCs w:val="24"/>
                <w:highlight w:val="none"/>
                <w:lang w:bidi="ar"/>
              </w:rPr>
            </w:pPr>
            <w:r>
              <w:rPr>
                <w:rFonts w:hint="eastAsia" w:asciiTheme="minorEastAsia" w:hAnsiTheme="minorEastAsia" w:eastAsiaTheme="minorEastAsia" w:cstheme="minorEastAsia"/>
                <w:b/>
                <w:color w:val="auto"/>
                <w:kern w:val="0"/>
                <w:sz w:val="24"/>
                <w:szCs w:val="24"/>
                <w:highlight w:val="none"/>
                <w:lang w:eastAsia="zh-CN" w:bidi="ar"/>
              </w:rPr>
              <w:t>需求</w:t>
            </w:r>
            <w:r>
              <w:rPr>
                <w:rFonts w:hint="eastAsia" w:asciiTheme="minorEastAsia" w:hAnsiTheme="minorEastAsia" w:eastAsiaTheme="minorEastAsia" w:cstheme="minorEastAsia"/>
                <w:b/>
                <w:color w:val="auto"/>
                <w:kern w:val="0"/>
                <w:sz w:val="24"/>
                <w:szCs w:val="24"/>
                <w:highlight w:val="none"/>
                <w:lang w:bidi="ar"/>
              </w:rPr>
              <w:t>模块</w:t>
            </w:r>
          </w:p>
        </w:tc>
        <w:tc>
          <w:tcPr>
            <w:tcW w:w="723" w:type="pct"/>
            <w:tcBorders>
              <w:top w:val="single" w:color="auto" w:sz="4" w:space="0"/>
              <w:left w:val="nil"/>
              <w:bottom w:val="nil"/>
              <w:right w:val="single" w:color="auto" w:sz="4" w:space="0"/>
            </w:tcBorders>
            <w:shd w:val="clear" w:color="auto" w:fill="auto"/>
            <w:noWrap/>
            <w:vAlign w:val="center"/>
          </w:tcPr>
          <w:p w14:paraId="481B494E">
            <w:pPr>
              <w:widowControl/>
              <w:jc w:val="left"/>
              <w:textAlignment w:val="center"/>
              <w:rPr>
                <w:rFonts w:hint="eastAsia" w:asciiTheme="minorEastAsia" w:hAnsiTheme="minorEastAsia" w:eastAsiaTheme="minorEastAsia" w:cstheme="minorEastAsia"/>
                <w:b/>
                <w:color w:val="auto"/>
                <w:kern w:val="0"/>
                <w:sz w:val="24"/>
                <w:szCs w:val="24"/>
                <w:highlight w:val="none"/>
                <w:lang w:bidi="ar"/>
              </w:rPr>
            </w:pPr>
            <w:r>
              <w:rPr>
                <w:rFonts w:hint="eastAsia" w:asciiTheme="minorEastAsia" w:hAnsiTheme="minorEastAsia" w:eastAsiaTheme="minorEastAsia" w:cstheme="minorEastAsia"/>
                <w:b/>
                <w:color w:val="auto"/>
                <w:kern w:val="0"/>
                <w:sz w:val="24"/>
                <w:szCs w:val="24"/>
                <w:highlight w:val="none"/>
                <w:lang w:bidi="ar"/>
              </w:rPr>
              <w:t>子模块</w:t>
            </w:r>
          </w:p>
        </w:tc>
        <w:tc>
          <w:tcPr>
            <w:tcW w:w="890" w:type="pct"/>
            <w:tcBorders>
              <w:top w:val="single" w:color="auto" w:sz="4" w:space="0"/>
              <w:left w:val="nil"/>
              <w:bottom w:val="nil"/>
              <w:right w:val="single" w:color="auto" w:sz="4" w:space="0"/>
            </w:tcBorders>
            <w:shd w:val="clear" w:color="auto" w:fill="auto"/>
            <w:vAlign w:val="center"/>
          </w:tcPr>
          <w:p w14:paraId="25525B75">
            <w:pPr>
              <w:widowControl/>
              <w:jc w:val="left"/>
              <w:textAlignment w:val="center"/>
              <w:rPr>
                <w:rFonts w:hint="eastAsia" w:asciiTheme="minorEastAsia" w:hAnsiTheme="minorEastAsia" w:eastAsiaTheme="minorEastAsia" w:cstheme="minorEastAsia"/>
                <w:b/>
                <w:color w:val="auto"/>
                <w:kern w:val="0"/>
                <w:sz w:val="24"/>
                <w:szCs w:val="24"/>
                <w:highlight w:val="none"/>
                <w:lang w:bidi="ar"/>
              </w:rPr>
            </w:pPr>
            <w:r>
              <w:rPr>
                <w:rFonts w:hint="eastAsia" w:asciiTheme="minorEastAsia" w:hAnsiTheme="minorEastAsia" w:eastAsiaTheme="minorEastAsia" w:cstheme="minorEastAsia"/>
                <w:b/>
                <w:color w:val="auto"/>
                <w:kern w:val="0"/>
                <w:sz w:val="24"/>
                <w:szCs w:val="24"/>
                <w:highlight w:val="none"/>
                <w:lang w:eastAsia="zh-CN" w:bidi="ar"/>
              </w:rPr>
              <w:t>需求</w:t>
            </w:r>
            <w:r>
              <w:rPr>
                <w:rFonts w:hint="eastAsia" w:asciiTheme="minorEastAsia" w:hAnsiTheme="minorEastAsia" w:eastAsiaTheme="minorEastAsia" w:cstheme="minorEastAsia"/>
                <w:b/>
                <w:color w:val="auto"/>
                <w:kern w:val="0"/>
                <w:sz w:val="24"/>
                <w:szCs w:val="24"/>
                <w:highlight w:val="none"/>
                <w:lang w:bidi="ar"/>
              </w:rPr>
              <w:t>功能点</w:t>
            </w:r>
          </w:p>
        </w:tc>
        <w:tc>
          <w:tcPr>
            <w:tcW w:w="2430" w:type="pct"/>
            <w:tcBorders>
              <w:top w:val="single" w:color="auto" w:sz="4" w:space="0"/>
              <w:left w:val="nil"/>
              <w:bottom w:val="nil"/>
              <w:right w:val="single" w:color="auto" w:sz="4" w:space="0"/>
            </w:tcBorders>
            <w:shd w:val="clear" w:color="auto" w:fill="auto"/>
            <w:vAlign w:val="center"/>
          </w:tcPr>
          <w:p w14:paraId="21F52F25">
            <w:pPr>
              <w:widowControl/>
              <w:jc w:val="left"/>
              <w:textAlignment w:val="center"/>
              <w:rPr>
                <w:rFonts w:hint="eastAsia" w:asciiTheme="minorEastAsia" w:hAnsiTheme="minorEastAsia" w:eastAsiaTheme="minorEastAsia" w:cstheme="minorEastAsia"/>
                <w:b/>
                <w:color w:val="auto"/>
                <w:kern w:val="0"/>
                <w:sz w:val="24"/>
                <w:szCs w:val="24"/>
                <w:highlight w:val="none"/>
                <w:lang w:bidi="ar"/>
              </w:rPr>
            </w:pPr>
            <w:r>
              <w:rPr>
                <w:rFonts w:hint="eastAsia" w:asciiTheme="minorEastAsia" w:hAnsiTheme="minorEastAsia" w:eastAsiaTheme="minorEastAsia" w:cstheme="minorEastAsia"/>
                <w:b/>
                <w:color w:val="auto"/>
                <w:kern w:val="0"/>
                <w:sz w:val="24"/>
                <w:szCs w:val="24"/>
                <w:highlight w:val="none"/>
                <w:lang w:eastAsia="zh-CN" w:bidi="ar"/>
              </w:rPr>
              <w:t>需求</w:t>
            </w:r>
            <w:r>
              <w:rPr>
                <w:rFonts w:hint="eastAsia" w:asciiTheme="minorEastAsia" w:hAnsiTheme="minorEastAsia" w:eastAsiaTheme="minorEastAsia" w:cstheme="minorEastAsia"/>
                <w:b/>
                <w:color w:val="auto"/>
                <w:kern w:val="0"/>
                <w:sz w:val="24"/>
                <w:szCs w:val="24"/>
                <w:highlight w:val="none"/>
                <w:lang w:bidi="ar"/>
              </w:rPr>
              <w:t>功能描述</w:t>
            </w:r>
          </w:p>
        </w:tc>
      </w:tr>
      <w:tr w14:paraId="2CDCB847">
        <w:tblPrEx>
          <w:tblCellMar>
            <w:top w:w="0" w:type="dxa"/>
            <w:left w:w="108" w:type="dxa"/>
            <w:bottom w:w="0" w:type="dxa"/>
            <w:right w:w="108" w:type="dxa"/>
          </w:tblCellMar>
        </w:tblPrEx>
        <w:tc>
          <w:tcPr>
            <w:tcW w:w="35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D55BA78">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1</w:t>
            </w:r>
          </w:p>
        </w:tc>
        <w:tc>
          <w:tcPr>
            <w:tcW w:w="601" w:type="pct"/>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14:paraId="455E1857">
            <w:pPr>
              <w:widowControl/>
              <w:jc w:val="lef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医生工作站</w:t>
            </w:r>
          </w:p>
        </w:tc>
        <w:tc>
          <w:tcPr>
            <w:tcW w:w="723" w:type="pct"/>
            <w:tcBorders>
              <w:top w:val="single" w:color="auto" w:sz="4" w:space="0"/>
              <w:left w:val="nil"/>
              <w:bottom w:val="single" w:color="auto" w:sz="4" w:space="0"/>
              <w:right w:val="single" w:color="auto" w:sz="4" w:space="0"/>
            </w:tcBorders>
            <w:shd w:val="clear" w:color="auto" w:fill="auto"/>
            <w:vAlign w:val="center"/>
          </w:tcPr>
          <w:p w14:paraId="67D3CF66">
            <w:pPr>
              <w:widowControl/>
              <w:jc w:val="lef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补录入院申请单</w:t>
            </w:r>
          </w:p>
        </w:tc>
        <w:tc>
          <w:tcPr>
            <w:tcW w:w="890" w:type="pct"/>
            <w:tcBorders>
              <w:top w:val="single" w:color="auto" w:sz="4" w:space="0"/>
              <w:left w:val="nil"/>
              <w:bottom w:val="single" w:color="auto" w:sz="4" w:space="0"/>
              <w:right w:val="single" w:color="auto" w:sz="4" w:space="0"/>
            </w:tcBorders>
            <w:shd w:val="clear" w:color="auto" w:fill="auto"/>
            <w:vAlign w:val="center"/>
          </w:tcPr>
          <w:p w14:paraId="4C7353C8">
            <w:pPr>
              <w:widowControl/>
              <w:spacing w:line="300" w:lineRule="exact"/>
              <w:jc w:val="lef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kern w:val="0"/>
                <w:sz w:val="22"/>
                <w:highlight w:val="none"/>
                <w:lang w:bidi="ar"/>
              </w:rPr>
              <w:t>补录入院申请单</w:t>
            </w:r>
          </w:p>
        </w:tc>
        <w:tc>
          <w:tcPr>
            <w:tcW w:w="2430" w:type="pct"/>
            <w:tcBorders>
              <w:top w:val="single" w:color="auto" w:sz="4" w:space="0"/>
              <w:left w:val="nil"/>
              <w:bottom w:val="single" w:color="auto" w:sz="4" w:space="0"/>
              <w:right w:val="single" w:color="auto" w:sz="4" w:space="0"/>
            </w:tcBorders>
            <w:shd w:val="clear" w:color="auto" w:fill="auto"/>
            <w:vAlign w:val="center"/>
          </w:tcPr>
          <w:p w14:paraId="24C2D6CF">
            <w:pPr>
              <w:widowControl/>
              <w:spacing w:line="300" w:lineRule="exact"/>
              <w:jc w:val="lef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医生为患者开具入院申请单，填写患者基本信息、入院病情、床位调配信息（病情分类、是否监护床、是否隔离、入院病区、申请床号、入院医疗组、跨区原因、收治选择、择期入院、备注）</w:t>
            </w:r>
          </w:p>
        </w:tc>
      </w:tr>
      <w:tr w14:paraId="7C78F151">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6E3DF60E">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2</w:t>
            </w:r>
          </w:p>
        </w:tc>
        <w:tc>
          <w:tcPr>
            <w:tcW w:w="601" w:type="pct"/>
            <w:vMerge w:val="continue"/>
            <w:tcBorders>
              <w:top w:val="single" w:color="auto" w:sz="4" w:space="0"/>
              <w:left w:val="single" w:color="auto" w:sz="4" w:space="0"/>
              <w:bottom w:val="single" w:color="000000" w:sz="4" w:space="0"/>
              <w:right w:val="single" w:color="auto" w:sz="4" w:space="0"/>
            </w:tcBorders>
            <w:vAlign w:val="center"/>
          </w:tcPr>
          <w:p w14:paraId="65C479C8">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restart"/>
            <w:tcBorders>
              <w:top w:val="nil"/>
              <w:left w:val="single" w:color="auto" w:sz="4" w:space="0"/>
              <w:bottom w:val="single" w:color="000000" w:sz="4" w:space="0"/>
              <w:right w:val="single" w:color="auto" w:sz="4" w:space="0"/>
            </w:tcBorders>
            <w:shd w:val="clear" w:color="auto" w:fill="auto"/>
            <w:noWrap/>
            <w:vAlign w:val="center"/>
          </w:tcPr>
          <w:p w14:paraId="57C9F8F3">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入院申请查询</w:t>
            </w:r>
          </w:p>
        </w:tc>
        <w:tc>
          <w:tcPr>
            <w:tcW w:w="890" w:type="pct"/>
            <w:tcBorders>
              <w:top w:val="nil"/>
              <w:left w:val="nil"/>
              <w:bottom w:val="single" w:color="auto" w:sz="4" w:space="0"/>
              <w:right w:val="single" w:color="auto" w:sz="4" w:space="0"/>
            </w:tcBorders>
            <w:shd w:val="clear" w:color="auto" w:fill="auto"/>
            <w:vAlign w:val="center"/>
          </w:tcPr>
          <w:p w14:paraId="5E9CAC76">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kern w:val="0"/>
                <w:sz w:val="22"/>
                <w:highlight w:val="none"/>
                <w:lang w:bidi="ar"/>
              </w:rPr>
              <w:t>修改入院申请</w:t>
            </w:r>
          </w:p>
        </w:tc>
        <w:tc>
          <w:tcPr>
            <w:tcW w:w="2430" w:type="pct"/>
            <w:tcBorders>
              <w:top w:val="nil"/>
              <w:left w:val="nil"/>
              <w:bottom w:val="single" w:color="auto" w:sz="4" w:space="0"/>
              <w:right w:val="single" w:color="auto" w:sz="4" w:space="0"/>
            </w:tcBorders>
            <w:shd w:val="clear" w:color="auto" w:fill="auto"/>
            <w:vAlign w:val="center"/>
          </w:tcPr>
          <w:p w14:paraId="7B1CCFE0">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修改入院申请单详情，点击某一“序号”，可修改入院申请单患者基本信息、入院信息、床位调配信息，如已分配床位则显示床位分配信息</w:t>
            </w:r>
          </w:p>
        </w:tc>
      </w:tr>
      <w:tr w14:paraId="4AC97551">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03DCC9FB">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3</w:t>
            </w:r>
          </w:p>
        </w:tc>
        <w:tc>
          <w:tcPr>
            <w:tcW w:w="601" w:type="pct"/>
            <w:vMerge w:val="continue"/>
            <w:tcBorders>
              <w:top w:val="single" w:color="auto" w:sz="4" w:space="0"/>
              <w:left w:val="single" w:color="auto" w:sz="4" w:space="0"/>
              <w:bottom w:val="single" w:color="000000" w:sz="4" w:space="0"/>
              <w:right w:val="single" w:color="auto" w:sz="4" w:space="0"/>
            </w:tcBorders>
            <w:vAlign w:val="center"/>
          </w:tcPr>
          <w:p w14:paraId="4C06E451">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continue"/>
            <w:tcBorders>
              <w:top w:val="nil"/>
              <w:left w:val="single" w:color="auto" w:sz="4" w:space="0"/>
              <w:bottom w:val="single" w:color="000000" w:sz="4" w:space="0"/>
              <w:right w:val="single" w:color="auto" w:sz="4" w:space="0"/>
            </w:tcBorders>
            <w:vAlign w:val="center"/>
          </w:tcPr>
          <w:p w14:paraId="3889CC8F">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890" w:type="pct"/>
            <w:tcBorders>
              <w:top w:val="nil"/>
              <w:left w:val="nil"/>
              <w:bottom w:val="single" w:color="auto" w:sz="4" w:space="0"/>
              <w:right w:val="single" w:color="auto" w:sz="4" w:space="0"/>
            </w:tcBorders>
            <w:shd w:val="clear" w:color="auto" w:fill="auto"/>
            <w:vAlign w:val="center"/>
          </w:tcPr>
          <w:p w14:paraId="27228D05">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kern w:val="0"/>
                <w:sz w:val="22"/>
                <w:highlight w:val="none"/>
                <w:lang w:bidi="ar"/>
              </w:rPr>
              <w:t>查询</w:t>
            </w:r>
          </w:p>
        </w:tc>
        <w:tc>
          <w:tcPr>
            <w:tcW w:w="2430" w:type="pct"/>
            <w:tcBorders>
              <w:top w:val="nil"/>
              <w:left w:val="nil"/>
              <w:bottom w:val="single" w:color="auto" w:sz="4" w:space="0"/>
              <w:right w:val="single" w:color="auto" w:sz="4" w:space="0"/>
            </w:tcBorders>
            <w:shd w:val="clear" w:color="auto" w:fill="auto"/>
            <w:vAlign w:val="center"/>
          </w:tcPr>
          <w:p w14:paraId="178E3E04">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查询本用户新建 “入院申请单”的记录，可以进行申请信息修改</w:t>
            </w:r>
          </w:p>
        </w:tc>
      </w:tr>
      <w:tr w14:paraId="57399522">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329FDE33">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4</w:t>
            </w:r>
          </w:p>
        </w:tc>
        <w:tc>
          <w:tcPr>
            <w:tcW w:w="601" w:type="pct"/>
            <w:vMerge w:val="restart"/>
            <w:tcBorders>
              <w:top w:val="nil"/>
              <w:left w:val="single" w:color="auto" w:sz="4" w:space="0"/>
              <w:bottom w:val="single" w:color="000000" w:sz="4" w:space="0"/>
              <w:right w:val="single" w:color="auto" w:sz="4" w:space="0"/>
            </w:tcBorders>
            <w:shd w:val="clear" w:color="auto" w:fill="auto"/>
            <w:noWrap/>
            <w:vAlign w:val="center"/>
          </w:tcPr>
          <w:p w14:paraId="320D3296">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床位中心</w:t>
            </w:r>
          </w:p>
          <w:p w14:paraId="59E6FA0A">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p w14:paraId="3A7D8C52">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p w14:paraId="6BA595AB">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p w14:paraId="6BFFFF09">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p w14:paraId="4FCDE32B">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p w14:paraId="6FA3A75C">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p w14:paraId="695CF5C1">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p w14:paraId="57C450B3">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p w14:paraId="53EE89A9">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p w14:paraId="6E5FA73A">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p w14:paraId="3343636D">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p w14:paraId="25202447">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p w14:paraId="6CDCD2B2">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p w14:paraId="02C2664F">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restart"/>
            <w:tcBorders>
              <w:top w:val="nil"/>
              <w:left w:val="single" w:color="auto" w:sz="4" w:space="0"/>
              <w:bottom w:val="single" w:color="auto" w:sz="4" w:space="0"/>
              <w:right w:val="single" w:color="auto" w:sz="4" w:space="0"/>
            </w:tcBorders>
            <w:shd w:val="clear" w:color="auto" w:fill="auto"/>
            <w:noWrap/>
            <w:vAlign w:val="center"/>
          </w:tcPr>
          <w:p w14:paraId="46B1156E">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入院查询</w:t>
            </w:r>
          </w:p>
        </w:tc>
        <w:tc>
          <w:tcPr>
            <w:tcW w:w="890" w:type="pct"/>
            <w:tcBorders>
              <w:top w:val="nil"/>
              <w:left w:val="nil"/>
              <w:bottom w:val="single" w:color="auto" w:sz="4" w:space="0"/>
              <w:right w:val="single" w:color="auto" w:sz="4" w:space="0"/>
            </w:tcBorders>
            <w:shd w:val="clear" w:color="auto" w:fill="auto"/>
            <w:vAlign w:val="center"/>
          </w:tcPr>
          <w:p w14:paraId="07BE7B61">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kern w:val="0"/>
                <w:sz w:val="22"/>
                <w:highlight w:val="none"/>
                <w:lang w:bidi="ar"/>
              </w:rPr>
              <w:t>入院查询</w:t>
            </w:r>
          </w:p>
        </w:tc>
        <w:tc>
          <w:tcPr>
            <w:tcW w:w="2430" w:type="pct"/>
            <w:tcBorders>
              <w:top w:val="nil"/>
              <w:left w:val="nil"/>
              <w:bottom w:val="single" w:color="auto" w:sz="4" w:space="0"/>
              <w:right w:val="single" w:color="auto" w:sz="4" w:space="0"/>
            </w:tcBorders>
            <w:shd w:val="clear" w:color="auto" w:fill="auto"/>
            <w:vAlign w:val="center"/>
          </w:tcPr>
          <w:p w14:paraId="3FF3384E">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根据查询条件可以进行过滤，查询全部入院申请列表（医生开出入院申请单）</w:t>
            </w:r>
          </w:p>
        </w:tc>
      </w:tr>
      <w:tr w14:paraId="67E7435C">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3A2042B8">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5</w:t>
            </w:r>
          </w:p>
        </w:tc>
        <w:tc>
          <w:tcPr>
            <w:tcW w:w="601" w:type="pct"/>
            <w:vMerge w:val="continue"/>
            <w:tcBorders>
              <w:top w:val="nil"/>
              <w:left w:val="single" w:color="auto" w:sz="4" w:space="0"/>
              <w:bottom w:val="single" w:color="000000" w:sz="4" w:space="0"/>
              <w:right w:val="single" w:color="auto" w:sz="4" w:space="0"/>
            </w:tcBorders>
            <w:vAlign w:val="center"/>
          </w:tcPr>
          <w:p w14:paraId="66CDC5B0">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continue"/>
            <w:tcBorders>
              <w:top w:val="nil"/>
              <w:left w:val="single" w:color="auto" w:sz="4" w:space="0"/>
              <w:bottom w:val="single" w:color="auto" w:sz="4" w:space="0"/>
              <w:right w:val="single" w:color="auto" w:sz="4" w:space="0"/>
            </w:tcBorders>
            <w:vAlign w:val="center"/>
          </w:tcPr>
          <w:p w14:paraId="762E69F2">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890" w:type="pct"/>
            <w:tcBorders>
              <w:top w:val="nil"/>
              <w:left w:val="nil"/>
              <w:bottom w:val="single" w:color="auto" w:sz="4" w:space="0"/>
              <w:right w:val="single" w:color="auto" w:sz="4" w:space="0"/>
            </w:tcBorders>
            <w:shd w:val="clear" w:color="auto" w:fill="auto"/>
            <w:vAlign w:val="center"/>
          </w:tcPr>
          <w:p w14:paraId="1E9C56A2">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kern w:val="0"/>
                <w:sz w:val="22"/>
                <w:highlight w:val="none"/>
                <w:lang w:bidi="ar"/>
              </w:rPr>
              <w:t>查询入院申请</w:t>
            </w:r>
          </w:p>
        </w:tc>
        <w:tc>
          <w:tcPr>
            <w:tcW w:w="2430" w:type="pct"/>
            <w:tcBorders>
              <w:top w:val="nil"/>
              <w:left w:val="nil"/>
              <w:bottom w:val="single" w:color="auto" w:sz="4" w:space="0"/>
              <w:right w:val="single" w:color="auto" w:sz="4" w:space="0"/>
            </w:tcBorders>
            <w:shd w:val="clear" w:color="auto" w:fill="auto"/>
            <w:vAlign w:val="center"/>
          </w:tcPr>
          <w:p w14:paraId="1161FF07">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查询入院申请单患者基本信息、入院信息、床位调配信息，如已分配床位则显示床位分配信息</w:t>
            </w:r>
          </w:p>
        </w:tc>
      </w:tr>
      <w:tr w14:paraId="6685C365">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647C4CB3">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6</w:t>
            </w:r>
          </w:p>
        </w:tc>
        <w:tc>
          <w:tcPr>
            <w:tcW w:w="601" w:type="pct"/>
            <w:vMerge w:val="continue"/>
            <w:tcBorders>
              <w:top w:val="nil"/>
              <w:left w:val="single" w:color="auto" w:sz="4" w:space="0"/>
              <w:bottom w:val="single" w:color="000000" w:sz="4" w:space="0"/>
              <w:right w:val="single" w:color="auto" w:sz="4" w:space="0"/>
            </w:tcBorders>
            <w:vAlign w:val="center"/>
          </w:tcPr>
          <w:p w14:paraId="1FBDAF86">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continue"/>
            <w:tcBorders>
              <w:top w:val="nil"/>
              <w:left w:val="single" w:color="auto" w:sz="4" w:space="0"/>
              <w:bottom w:val="single" w:color="auto" w:sz="4" w:space="0"/>
              <w:right w:val="single" w:color="auto" w:sz="4" w:space="0"/>
            </w:tcBorders>
            <w:vAlign w:val="center"/>
          </w:tcPr>
          <w:p w14:paraId="7D350E63">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890" w:type="pct"/>
            <w:tcBorders>
              <w:top w:val="nil"/>
              <w:left w:val="nil"/>
              <w:bottom w:val="single" w:color="auto" w:sz="4" w:space="0"/>
              <w:right w:val="single" w:color="auto" w:sz="4" w:space="0"/>
            </w:tcBorders>
            <w:shd w:val="clear" w:color="auto" w:fill="auto"/>
            <w:vAlign w:val="center"/>
          </w:tcPr>
          <w:p w14:paraId="56E31BE1">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kern w:val="0"/>
                <w:sz w:val="22"/>
                <w:highlight w:val="none"/>
                <w:lang w:bidi="ar"/>
              </w:rPr>
              <w:t>修改入院申请</w:t>
            </w:r>
          </w:p>
        </w:tc>
        <w:tc>
          <w:tcPr>
            <w:tcW w:w="2430" w:type="pct"/>
            <w:tcBorders>
              <w:top w:val="nil"/>
              <w:left w:val="nil"/>
              <w:bottom w:val="single" w:color="auto" w:sz="4" w:space="0"/>
              <w:right w:val="single" w:color="auto" w:sz="4" w:space="0"/>
            </w:tcBorders>
            <w:shd w:val="clear" w:color="auto" w:fill="auto"/>
            <w:vAlign w:val="center"/>
          </w:tcPr>
          <w:p w14:paraId="70CFDA7F">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修改入院申请单详情，点击某一“序号”，可修改入院申请单患者基本信息、入院信息、床位调配信息，如已分配床位则显示床位分配信息</w:t>
            </w:r>
          </w:p>
        </w:tc>
      </w:tr>
      <w:tr w14:paraId="12A4A18D">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31EF2D12">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7</w:t>
            </w:r>
          </w:p>
        </w:tc>
        <w:tc>
          <w:tcPr>
            <w:tcW w:w="601" w:type="pct"/>
            <w:vMerge w:val="continue"/>
            <w:tcBorders>
              <w:top w:val="nil"/>
              <w:left w:val="single" w:color="auto" w:sz="4" w:space="0"/>
              <w:bottom w:val="single" w:color="000000" w:sz="4" w:space="0"/>
              <w:right w:val="single" w:color="auto" w:sz="4" w:space="0"/>
            </w:tcBorders>
            <w:vAlign w:val="center"/>
          </w:tcPr>
          <w:p w14:paraId="5B5280F6">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continue"/>
            <w:tcBorders>
              <w:top w:val="nil"/>
              <w:left w:val="single" w:color="auto" w:sz="4" w:space="0"/>
              <w:bottom w:val="single" w:color="auto" w:sz="4" w:space="0"/>
              <w:right w:val="single" w:color="auto" w:sz="4" w:space="0"/>
            </w:tcBorders>
            <w:vAlign w:val="center"/>
          </w:tcPr>
          <w:p w14:paraId="12E7F73E">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890" w:type="pct"/>
            <w:tcBorders>
              <w:top w:val="nil"/>
              <w:left w:val="nil"/>
              <w:bottom w:val="single" w:color="auto" w:sz="4" w:space="0"/>
              <w:right w:val="single" w:color="auto" w:sz="4" w:space="0"/>
            </w:tcBorders>
            <w:shd w:val="clear" w:color="auto" w:fill="auto"/>
            <w:vAlign w:val="center"/>
          </w:tcPr>
          <w:p w14:paraId="3C617D09">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kern w:val="0"/>
                <w:sz w:val="22"/>
                <w:highlight w:val="none"/>
                <w:lang w:bidi="ar"/>
              </w:rPr>
              <w:t>确认入院申请</w:t>
            </w:r>
          </w:p>
        </w:tc>
        <w:tc>
          <w:tcPr>
            <w:tcW w:w="2430" w:type="pct"/>
            <w:tcBorders>
              <w:top w:val="nil"/>
              <w:left w:val="nil"/>
              <w:bottom w:val="single" w:color="auto" w:sz="4" w:space="0"/>
              <w:right w:val="single" w:color="auto" w:sz="4" w:space="0"/>
            </w:tcBorders>
            <w:shd w:val="clear" w:color="auto" w:fill="auto"/>
            <w:vAlign w:val="center"/>
          </w:tcPr>
          <w:p w14:paraId="794340B8">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对“已申请”的入院申请执行“确认申请”操作。完善修改患者基本信息、床位调配信息</w:t>
            </w:r>
          </w:p>
        </w:tc>
      </w:tr>
      <w:tr w14:paraId="7A3B1C8E">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33F1B504">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8</w:t>
            </w:r>
          </w:p>
        </w:tc>
        <w:tc>
          <w:tcPr>
            <w:tcW w:w="601" w:type="pct"/>
            <w:vMerge w:val="continue"/>
            <w:tcBorders>
              <w:top w:val="nil"/>
              <w:left w:val="single" w:color="auto" w:sz="4" w:space="0"/>
              <w:bottom w:val="single" w:color="000000" w:sz="4" w:space="0"/>
              <w:right w:val="single" w:color="auto" w:sz="4" w:space="0"/>
            </w:tcBorders>
            <w:vAlign w:val="center"/>
          </w:tcPr>
          <w:p w14:paraId="0F688EA4">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continue"/>
            <w:tcBorders>
              <w:top w:val="nil"/>
              <w:left w:val="single" w:color="auto" w:sz="4" w:space="0"/>
              <w:bottom w:val="single" w:color="auto" w:sz="4" w:space="0"/>
              <w:right w:val="single" w:color="auto" w:sz="4" w:space="0"/>
            </w:tcBorders>
            <w:vAlign w:val="center"/>
          </w:tcPr>
          <w:p w14:paraId="44A75E2F">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890" w:type="pct"/>
            <w:tcBorders>
              <w:top w:val="nil"/>
              <w:left w:val="nil"/>
              <w:bottom w:val="single" w:color="auto" w:sz="4" w:space="0"/>
              <w:right w:val="single" w:color="auto" w:sz="4" w:space="0"/>
            </w:tcBorders>
            <w:shd w:val="clear" w:color="auto" w:fill="auto"/>
            <w:vAlign w:val="center"/>
          </w:tcPr>
          <w:p w14:paraId="79E3A4D7">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kern w:val="0"/>
                <w:sz w:val="22"/>
                <w:highlight w:val="none"/>
                <w:lang w:bidi="ar"/>
              </w:rPr>
              <w:t>快捷分配床位</w:t>
            </w:r>
          </w:p>
        </w:tc>
        <w:tc>
          <w:tcPr>
            <w:tcW w:w="2430" w:type="pct"/>
            <w:tcBorders>
              <w:top w:val="nil"/>
              <w:left w:val="nil"/>
              <w:bottom w:val="single" w:color="auto" w:sz="4" w:space="0"/>
              <w:right w:val="single" w:color="auto" w:sz="4" w:space="0"/>
            </w:tcBorders>
            <w:shd w:val="clear" w:color="auto" w:fill="auto"/>
            <w:vAlign w:val="center"/>
          </w:tcPr>
          <w:p w14:paraId="3F2BF924">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确认入院后，根据患者的入院申请单信息调配合适的病区及床位，可为患者快捷分配床位</w:t>
            </w:r>
          </w:p>
        </w:tc>
      </w:tr>
      <w:tr w14:paraId="0C3195B3">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653C0242">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9</w:t>
            </w:r>
          </w:p>
        </w:tc>
        <w:tc>
          <w:tcPr>
            <w:tcW w:w="601" w:type="pct"/>
            <w:vMerge w:val="continue"/>
            <w:tcBorders>
              <w:top w:val="nil"/>
              <w:left w:val="single" w:color="auto" w:sz="4" w:space="0"/>
              <w:bottom w:val="single" w:color="000000" w:sz="4" w:space="0"/>
              <w:right w:val="single" w:color="auto" w:sz="4" w:space="0"/>
            </w:tcBorders>
            <w:vAlign w:val="center"/>
          </w:tcPr>
          <w:p w14:paraId="53FE6FC7">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continue"/>
            <w:tcBorders>
              <w:top w:val="nil"/>
              <w:left w:val="single" w:color="auto" w:sz="4" w:space="0"/>
              <w:bottom w:val="single" w:color="auto" w:sz="4" w:space="0"/>
              <w:right w:val="single" w:color="auto" w:sz="4" w:space="0"/>
            </w:tcBorders>
            <w:vAlign w:val="center"/>
          </w:tcPr>
          <w:p w14:paraId="7A0A3978">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890" w:type="pct"/>
            <w:tcBorders>
              <w:top w:val="nil"/>
              <w:left w:val="nil"/>
              <w:bottom w:val="single" w:color="auto" w:sz="4" w:space="0"/>
              <w:right w:val="single" w:color="auto" w:sz="4" w:space="0"/>
            </w:tcBorders>
            <w:shd w:val="clear" w:color="auto" w:fill="auto"/>
            <w:vAlign w:val="center"/>
          </w:tcPr>
          <w:p w14:paraId="2349EF43">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新入院申请通知</w:t>
            </w:r>
          </w:p>
        </w:tc>
        <w:tc>
          <w:tcPr>
            <w:tcW w:w="2430" w:type="pct"/>
            <w:tcBorders>
              <w:top w:val="nil"/>
              <w:left w:val="nil"/>
              <w:bottom w:val="single" w:color="auto" w:sz="4" w:space="0"/>
              <w:right w:val="single" w:color="auto" w:sz="4" w:space="0"/>
            </w:tcBorders>
            <w:shd w:val="clear" w:color="auto" w:fill="auto"/>
            <w:vAlign w:val="center"/>
          </w:tcPr>
          <w:p w14:paraId="3AC3DE47">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系统通知当前新入院申请单可处理</w:t>
            </w:r>
          </w:p>
        </w:tc>
      </w:tr>
      <w:tr w14:paraId="3A3A4742">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3159F60E">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10</w:t>
            </w:r>
          </w:p>
        </w:tc>
        <w:tc>
          <w:tcPr>
            <w:tcW w:w="601" w:type="pct"/>
            <w:vMerge w:val="continue"/>
            <w:tcBorders>
              <w:top w:val="nil"/>
              <w:left w:val="single" w:color="auto" w:sz="4" w:space="0"/>
              <w:bottom w:val="single" w:color="000000" w:sz="4" w:space="0"/>
              <w:right w:val="single" w:color="auto" w:sz="4" w:space="0"/>
            </w:tcBorders>
            <w:vAlign w:val="center"/>
          </w:tcPr>
          <w:p w14:paraId="10C3F948">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continue"/>
            <w:tcBorders>
              <w:top w:val="nil"/>
              <w:left w:val="single" w:color="auto" w:sz="4" w:space="0"/>
              <w:bottom w:val="single" w:color="auto" w:sz="4" w:space="0"/>
              <w:right w:val="single" w:color="auto" w:sz="4" w:space="0"/>
            </w:tcBorders>
            <w:vAlign w:val="center"/>
          </w:tcPr>
          <w:p w14:paraId="5E577786">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890" w:type="pct"/>
            <w:tcBorders>
              <w:top w:val="nil"/>
              <w:left w:val="nil"/>
              <w:bottom w:val="single" w:color="auto" w:sz="4" w:space="0"/>
              <w:right w:val="single" w:color="auto" w:sz="4" w:space="0"/>
            </w:tcBorders>
            <w:shd w:val="clear" w:color="auto" w:fill="auto"/>
            <w:vAlign w:val="center"/>
          </w:tcPr>
          <w:p w14:paraId="3A77EC8D">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kern w:val="0"/>
                <w:sz w:val="22"/>
                <w:highlight w:val="none"/>
                <w:lang w:bidi="ar"/>
              </w:rPr>
              <w:t>逾期未入院通知</w:t>
            </w:r>
          </w:p>
        </w:tc>
        <w:tc>
          <w:tcPr>
            <w:tcW w:w="2430" w:type="pct"/>
            <w:tcBorders>
              <w:top w:val="nil"/>
              <w:left w:val="nil"/>
              <w:bottom w:val="single" w:color="auto" w:sz="4" w:space="0"/>
              <w:right w:val="single" w:color="auto" w:sz="4" w:space="0"/>
            </w:tcBorders>
            <w:shd w:val="clear" w:color="auto" w:fill="auto"/>
            <w:vAlign w:val="center"/>
          </w:tcPr>
          <w:p w14:paraId="0E28AFBB">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系统通知当前累计逾期未入院人数</w:t>
            </w:r>
          </w:p>
        </w:tc>
      </w:tr>
      <w:tr w14:paraId="5A87FA85">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31096AF7">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11</w:t>
            </w:r>
          </w:p>
        </w:tc>
        <w:tc>
          <w:tcPr>
            <w:tcW w:w="601" w:type="pct"/>
            <w:vMerge w:val="continue"/>
            <w:tcBorders>
              <w:top w:val="nil"/>
              <w:left w:val="single" w:color="auto" w:sz="4" w:space="0"/>
              <w:bottom w:val="single" w:color="000000" w:sz="4" w:space="0"/>
              <w:right w:val="single" w:color="auto" w:sz="4" w:space="0"/>
            </w:tcBorders>
            <w:vAlign w:val="center"/>
          </w:tcPr>
          <w:p w14:paraId="517456E8">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restart"/>
            <w:tcBorders>
              <w:top w:val="nil"/>
              <w:left w:val="single" w:color="auto" w:sz="4" w:space="0"/>
              <w:bottom w:val="single" w:color="000000" w:sz="4" w:space="0"/>
              <w:right w:val="single" w:color="auto" w:sz="4" w:space="0"/>
            </w:tcBorders>
            <w:shd w:val="clear" w:color="auto" w:fill="auto"/>
            <w:vAlign w:val="center"/>
          </w:tcPr>
          <w:p w14:paraId="5FBD8B64">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我处理的申请</w:t>
            </w:r>
          </w:p>
        </w:tc>
        <w:tc>
          <w:tcPr>
            <w:tcW w:w="890" w:type="pct"/>
            <w:tcBorders>
              <w:top w:val="nil"/>
              <w:left w:val="nil"/>
              <w:bottom w:val="single" w:color="auto" w:sz="4" w:space="0"/>
              <w:right w:val="single" w:color="auto" w:sz="4" w:space="0"/>
            </w:tcBorders>
            <w:shd w:val="clear" w:color="auto" w:fill="auto"/>
            <w:vAlign w:val="center"/>
          </w:tcPr>
          <w:p w14:paraId="213D25E2">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修改入院申请</w:t>
            </w:r>
          </w:p>
        </w:tc>
        <w:tc>
          <w:tcPr>
            <w:tcW w:w="2430" w:type="pct"/>
            <w:tcBorders>
              <w:top w:val="nil"/>
              <w:left w:val="nil"/>
              <w:bottom w:val="single" w:color="auto" w:sz="4" w:space="0"/>
              <w:right w:val="single" w:color="auto" w:sz="4" w:space="0"/>
            </w:tcBorders>
            <w:shd w:val="clear" w:color="auto" w:fill="auto"/>
            <w:vAlign w:val="center"/>
          </w:tcPr>
          <w:p w14:paraId="49D0D190">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修改入院申请单详情，点击某一“序号”，可修改入院申请单患者基本信息、入院信息、床位调配信息，如已分配床位则显示床位分配信息</w:t>
            </w:r>
          </w:p>
        </w:tc>
      </w:tr>
      <w:tr w14:paraId="42CAADE8">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01469A81">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12</w:t>
            </w:r>
          </w:p>
        </w:tc>
        <w:tc>
          <w:tcPr>
            <w:tcW w:w="601" w:type="pct"/>
            <w:vMerge w:val="continue"/>
            <w:tcBorders>
              <w:top w:val="nil"/>
              <w:left w:val="single" w:color="auto" w:sz="4" w:space="0"/>
              <w:bottom w:val="single" w:color="000000" w:sz="4" w:space="0"/>
              <w:right w:val="single" w:color="auto" w:sz="4" w:space="0"/>
            </w:tcBorders>
            <w:vAlign w:val="center"/>
          </w:tcPr>
          <w:p w14:paraId="6F2ACE34">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continue"/>
            <w:tcBorders>
              <w:top w:val="nil"/>
              <w:left w:val="single" w:color="auto" w:sz="4" w:space="0"/>
              <w:bottom w:val="single" w:color="000000" w:sz="4" w:space="0"/>
              <w:right w:val="single" w:color="auto" w:sz="4" w:space="0"/>
            </w:tcBorders>
            <w:vAlign w:val="center"/>
          </w:tcPr>
          <w:p w14:paraId="716B9876">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890" w:type="pct"/>
            <w:tcBorders>
              <w:top w:val="nil"/>
              <w:left w:val="nil"/>
              <w:bottom w:val="single" w:color="auto" w:sz="4" w:space="0"/>
              <w:right w:val="single" w:color="auto" w:sz="4" w:space="0"/>
            </w:tcBorders>
            <w:shd w:val="clear" w:color="auto" w:fill="auto"/>
            <w:vAlign w:val="center"/>
          </w:tcPr>
          <w:p w14:paraId="741811F6">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kern w:val="0"/>
                <w:sz w:val="22"/>
                <w:highlight w:val="none"/>
                <w:lang w:bidi="ar"/>
              </w:rPr>
              <w:t>查询处理的申请</w:t>
            </w:r>
          </w:p>
        </w:tc>
        <w:tc>
          <w:tcPr>
            <w:tcW w:w="2430" w:type="pct"/>
            <w:tcBorders>
              <w:top w:val="nil"/>
              <w:left w:val="nil"/>
              <w:bottom w:val="single" w:color="auto" w:sz="4" w:space="0"/>
              <w:right w:val="single" w:color="auto" w:sz="4" w:space="0"/>
            </w:tcBorders>
            <w:shd w:val="clear" w:color="auto" w:fill="auto"/>
            <w:vAlign w:val="center"/>
          </w:tcPr>
          <w:p w14:paraId="4394CC55">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查询本用户确认的 “入院申请单”的记录，可以进行申请信息修改</w:t>
            </w:r>
          </w:p>
        </w:tc>
      </w:tr>
      <w:tr w14:paraId="1C00DC89">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52697ED4">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13</w:t>
            </w:r>
          </w:p>
        </w:tc>
        <w:tc>
          <w:tcPr>
            <w:tcW w:w="601" w:type="pct"/>
            <w:vMerge w:val="continue"/>
            <w:tcBorders>
              <w:top w:val="nil"/>
              <w:left w:val="single" w:color="auto" w:sz="4" w:space="0"/>
              <w:bottom w:val="single" w:color="000000" w:sz="4" w:space="0"/>
              <w:right w:val="single" w:color="auto" w:sz="4" w:space="0"/>
            </w:tcBorders>
            <w:vAlign w:val="center"/>
          </w:tcPr>
          <w:p w14:paraId="15F407B8">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restart"/>
            <w:tcBorders>
              <w:top w:val="nil"/>
              <w:left w:val="single" w:color="auto" w:sz="4" w:space="0"/>
              <w:bottom w:val="single" w:color="000000" w:sz="4" w:space="0"/>
              <w:right w:val="single" w:color="auto" w:sz="4" w:space="0"/>
            </w:tcBorders>
            <w:shd w:val="clear" w:color="auto" w:fill="auto"/>
            <w:vAlign w:val="center"/>
          </w:tcPr>
          <w:p w14:paraId="529CF307">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未分配申请</w:t>
            </w:r>
          </w:p>
        </w:tc>
        <w:tc>
          <w:tcPr>
            <w:tcW w:w="890" w:type="pct"/>
            <w:tcBorders>
              <w:top w:val="nil"/>
              <w:left w:val="nil"/>
              <w:bottom w:val="single" w:color="auto" w:sz="4" w:space="0"/>
              <w:right w:val="single" w:color="auto" w:sz="4" w:space="0"/>
            </w:tcBorders>
            <w:shd w:val="clear" w:color="auto" w:fill="auto"/>
            <w:vAlign w:val="center"/>
          </w:tcPr>
          <w:p w14:paraId="18749A7A">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kern w:val="0"/>
                <w:sz w:val="22"/>
                <w:highlight w:val="none"/>
                <w:lang w:bidi="ar"/>
              </w:rPr>
              <w:t>修改入院申请</w:t>
            </w:r>
          </w:p>
        </w:tc>
        <w:tc>
          <w:tcPr>
            <w:tcW w:w="2430" w:type="pct"/>
            <w:tcBorders>
              <w:top w:val="nil"/>
              <w:left w:val="nil"/>
              <w:bottom w:val="single" w:color="auto" w:sz="4" w:space="0"/>
              <w:right w:val="single" w:color="auto" w:sz="4" w:space="0"/>
            </w:tcBorders>
            <w:shd w:val="clear" w:color="auto" w:fill="auto"/>
            <w:vAlign w:val="center"/>
          </w:tcPr>
          <w:p w14:paraId="3352DE84">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修改入院申请单详情，点击某一“序号”，可修改入院申请单患者基本信息、入院信息、床位调配信息，如已分配床位则显示床位分配信息</w:t>
            </w:r>
          </w:p>
        </w:tc>
      </w:tr>
      <w:tr w14:paraId="354F5E91">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673C615C">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14</w:t>
            </w:r>
          </w:p>
        </w:tc>
        <w:tc>
          <w:tcPr>
            <w:tcW w:w="601" w:type="pct"/>
            <w:vMerge w:val="continue"/>
            <w:tcBorders>
              <w:top w:val="nil"/>
              <w:left w:val="single" w:color="auto" w:sz="4" w:space="0"/>
              <w:bottom w:val="single" w:color="000000" w:sz="4" w:space="0"/>
              <w:right w:val="single" w:color="auto" w:sz="4" w:space="0"/>
            </w:tcBorders>
            <w:vAlign w:val="center"/>
          </w:tcPr>
          <w:p w14:paraId="418B5B12">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continue"/>
            <w:tcBorders>
              <w:top w:val="nil"/>
              <w:left w:val="single" w:color="auto" w:sz="4" w:space="0"/>
              <w:bottom w:val="single" w:color="000000" w:sz="4" w:space="0"/>
              <w:right w:val="single" w:color="auto" w:sz="4" w:space="0"/>
            </w:tcBorders>
            <w:vAlign w:val="center"/>
          </w:tcPr>
          <w:p w14:paraId="37FF042B">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890" w:type="pct"/>
            <w:tcBorders>
              <w:top w:val="nil"/>
              <w:left w:val="nil"/>
              <w:bottom w:val="single" w:color="auto" w:sz="4" w:space="0"/>
              <w:right w:val="single" w:color="auto" w:sz="4" w:space="0"/>
            </w:tcBorders>
            <w:shd w:val="clear" w:color="auto" w:fill="auto"/>
            <w:vAlign w:val="center"/>
          </w:tcPr>
          <w:p w14:paraId="1A7DDEF0">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申请单查询</w:t>
            </w:r>
          </w:p>
        </w:tc>
        <w:tc>
          <w:tcPr>
            <w:tcW w:w="2430" w:type="pct"/>
            <w:tcBorders>
              <w:top w:val="nil"/>
              <w:left w:val="nil"/>
              <w:bottom w:val="single" w:color="auto" w:sz="4" w:space="0"/>
              <w:right w:val="single" w:color="auto" w:sz="4" w:space="0"/>
            </w:tcBorders>
            <w:shd w:val="clear" w:color="auto" w:fill="auto"/>
            <w:vAlign w:val="center"/>
          </w:tcPr>
          <w:p w14:paraId="36CBECE2">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根据查询条件可以进行过滤，查询全院病人列表</w:t>
            </w:r>
          </w:p>
        </w:tc>
      </w:tr>
      <w:tr w14:paraId="773F4ADD">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49A38B0E">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15</w:t>
            </w:r>
          </w:p>
        </w:tc>
        <w:tc>
          <w:tcPr>
            <w:tcW w:w="601" w:type="pct"/>
            <w:vMerge w:val="continue"/>
            <w:tcBorders>
              <w:top w:val="nil"/>
              <w:left w:val="single" w:color="auto" w:sz="4" w:space="0"/>
              <w:bottom w:val="single" w:color="000000" w:sz="4" w:space="0"/>
              <w:right w:val="single" w:color="auto" w:sz="4" w:space="0"/>
            </w:tcBorders>
            <w:vAlign w:val="center"/>
          </w:tcPr>
          <w:p w14:paraId="09345723">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continue"/>
            <w:tcBorders>
              <w:top w:val="nil"/>
              <w:left w:val="single" w:color="auto" w:sz="4" w:space="0"/>
              <w:bottom w:val="single" w:color="000000" w:sz="4" w:space="0"/>
              <w:right w:val="single" w:color="auto" w:sz="4" w:space="0"/>
            </w:tcBorders>
            <w:vAlign w:val="center"/>
          </w:tcPr>
          <w:p w14:paraId="50B58FA5">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890" w:type="pct"/>
            <w:tcBorders>
              <w:top w:val="nil"/>
              <w:left w:val="nil"/>
              <w:bottom w:val="single" w:color="auto" w:sz="4" w:space="0"/>
              <w:right w:val="single" w:color="auto" w:sz="4" w:space="0"/>
            </w:tcBorders>
            <w:shd w:val="clear" w:color="auto" w:fill="auto"/>
            <w:vAlign w:val="center"/>
          </w:tcPr>
          <w:p w14:paraId="2C527212">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kern w:val="0"/>
                <w:sz w:val="22"/>
                <w:highlight w:val="none"/>
                <w:lang w:bidi="ar"/>
              </w:rPr>
              <w:t>取消申请</w:t>
            </w:r>
          </w:p>
        </w:tc>
        <w:tc>
          <w:tcPr>
            <w:tcW w:w="2430" w:type="pct"/>
            <w:tcBorders>
              <w:top w:val="nil"/>
              <w:left w:val="nil"/>
              <w:bottom w:val="single" w:color="auto" w:sz="4" w:space="0"/>
              <w:right w:val="single" w:color="auto" w:sz="4" w:space="0"/>
            </w:tcBorders>
            <w:shd w:val="clear" w:color="auto" w:fill="auto"/>
            <w:vAlign w:val="center"/>
          </w:tcPr>
          <w:p w14:paraId="52AB7875">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如病人提出不住院治疗，可执行“取消”操作，取消病人入院申请。入院申请状态变为“取消预约”</w:t>
            </w:r>
          </w:p>
        </w:tc>
      </w:tr>
      <w:tr w14:paraId="4942A7FA">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07E2AA30">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16</w:t>
            </w:r>
          </w:p>
        </w:tc>
        <w:tc>
          <w:tcPr>
            <w:tcW w:w="601" w:type="pct"/>
            <w:vMerge w:val="continue"/>
            <w:tcBorders>
              <w:top w:val="nil"/>
              <w:left w:val="single" w:color="auto" w:sz="4" w:space="0"/>
              <w:bottom w:val="single" w:color="000000" w:sz="4" w:space="0"/>
              <w:right w:val="single" w:color="auto" w:sz="4" w:space="0"/>
            </w:tcBorders>
            <w:vAlign w:val="center"/>
          </w:tcPr>
          <w:p w14:paraId="2FD734D4">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continue"/>
            <w:tcBorders>
              <w:top w:val="nil"/>
              <w:left w:val="single" w:color="auto" w:sz="4" w:space="0"/>
              <w:bottom w:val="single" w:color="000000" w:sz="4" w:space="0"/>
              <w:right w:val="single" w:color="auto" w:sz="4" w:space="0"/>
            </w:tcBorders>
            <w:vAlign w:val="center"/>
          </w:tcPr>
          <w:p w14:paraId="19F69B5E">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890" w:type="pct"/>
            <w:tcBorders>
              <w:top w:val="nil"/>
              <w:left w:val="nil"/>
              <w:bottom w:val="single" w:color="auto" w:sz="4" w:space="0"/>
              <w:right w:val="single" w:color="auto" w:sz="4" w:space="0"/>
            </w:tcBorders>
            <w:shd w:val="clear" w:color="auto" w:fill="auto"/>
            <w:vAlign w:val="center"/>
          </w:tcPr>
          <w:p w14:paraId="215879F7">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kern w:val="0"/>
                <w:sz w:val="22"/>
                <w:highlight w:val="none"/>
                <w:lang w:bidi="ar"/>
              </w:rPr>
              <w:t>配床</w:t>
            </w:r>
          </w:p>
        </w:tc>
        <w:tc>
          <w:tcPr>
            <w:tcW w:w="2430" w:type="pct"/>
            <w:tcBorders>
              <w:top w:val="nil"/>
              <w:left w:val="nil"/>
              <w:bottom w:val="single" w:color="auto" w:sz="4" w:space="0"/>
              <w:right w:val="single" w:color="auto" w:sz="4" w:space="0"/>
            </w:tcBorders>
            <w:shd w:val="clear" w:color="auto" w:fill="auto"/>
            <w:vAlign w:val="center"/>
          </w:tcPr>
          <w:p w14:paraId="45C60EED">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当入院病区有空床时，可通过“分配”操作，帮患者预约床位，确认报道日期及报到时间，分配后，入院申请状态为“待入院”。</w:t>
            </w:r>
          </w:p>
        </w:tc>
      </w:tr>
      <w:tr w14:paraId="21D25109">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2380E46B">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17</w:t>
            </w:r>
          </w:p>
        </w:tc>
        <w:tc>
          <w:tcPr>
            <w:tcW w:w="601" w:type="pct"/>
            <w:vMerge w:val="continue"/>
            <w:tcBorders>
              <w:top w:val="nil"/>
              <w:left w:val="single" w:color="auto" w:sz="4" w:space="0"/>
              <w:bottom w:val="single" w:color="000000" w:sz="4" w:space="0"/>
              <w:right w:val="single" w:color="auto" w:sz="4" w:space="0"/>
            </w:tcBorders>
            <w:vAlign w:val="center"/>
          </w:tcPr>
          <w:p w14:paraId="04D34D7B">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continue"/>
            <w:tcBorders>
              <w:top w:val="nil"/>
              <w:left w:val="single" w:color="auto" w:sz="4" w:space="0"/>
              <w:bottom w:val="single" w:color="000000" w:sz="4" w:space="0"/>
              <w:right w:val="single" w:color="auto" w:sz="4" w:space="0"/>
            </w:tcBorders>
            <w:vAlign w:val="center"/>
          </w:tcPr>
          <w:p w14:paraId="4BDDF896">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890" w:type="pct"/>
            <w:tcBorders>
              <w:top w:val="nil"/>
              <w:left w:val="nil"/>
              <w:bottom w:val="single" w:color="auto" w:sz="4" w:space="0"/>
              <w:right w:val="single" w:color="auto" w:sz="4" w:space="0"/>
            </w:tcBorders>
            <w:shd w:val="clear" w:color="auto" w:fill="auto"/>
            <w:vAlign w:val="center"/>
          </w:tcPr>
          <w:p w14:paraId="748CFB57">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计数</w:t>
            </w:r>
          </w:p>
        </w:tc>
        <w:tc>
          <w:tcPr>
            <w:tcW w:w="2430" w:type="pct"/>
            <w:tcBorders>
              <w:top w:val="nil"/>
              <w:left w:val="nil"/>
              <w:bottom w:val="single" w:color="auto" w:sz="4" w:space="0"/>
              <w:right w:val="single" w:color="auto" w:sz="4" w:space="0"/>
            </w:tcBorders>
            <w:shd w:val="clear" w:color="auto" w:fill="auto"/>
            <w:vAlign w:val="center"/>
          </w:tcPr>
          <w:p w14:paraId="0A652A78">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已电话联系一次病人本人或家属不成功，操作计数，记录原因，计数会增加1</w:t>
            </w:r>
          </w:p>
        </w:tc>
      </w:tr>
      <w:tr w14:paraId="2BE4AFBA">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0A6113E7">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18</w:t>
            </w:r>
          </w:p>
        </w:tc>
        <w:tc>
          <w:tcPr>
            <w:tcW w:w="601" w:type="pct"/>
            <w:vMerge w:val="continue"/>
            <w:tcBorders>
              <w:top w:val="nil"/>
              <w:left w:val="single" w:color="auto" w:sz="4" w:space="0"/>
              <w:bottom w:val="single" w:color="000000" w:sz="4" w:space="0"/>
              <w:right w:val="single" w:color="auto" w:sz="4" w:space="0"/>
            </w:tcBorders>
            <w:vAlign w:val="center"/>
          </w:tcPr>
          <w:p w14:paraId="255A7374">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restart"/>
            <w:tcBorders>
              <w:top w:val="nil"/>
              <w:left w:val="single" w:color="auto" w:sz="4" w:space="0"/>
              <w:bottom w:val="single" w:color="000000" w:sz="4" w:space="0"/>
              <w:right w:val="single" w:color="auto" w:sz="4" w:space="0"/>
            </w:tcBorders>
            <w:shd w:val="clear" w:color="auto" w:fill="auto"/>
            <w:vAlign w:val="center"/>
          </w:tcPr>
          <w:p w14:paraId="58C53E0F">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候床申请</w:t>
            </w:r>
          </w:p>
        </w:tc>
        <w:tc>
          <w:tcPr>
            <w:tcW w:w="890" w:type="pct"/>
            <w:tcBorders>
              <w:top w:val="nil"/>
              <w:left w:val="nil"/>
              <w:bottom w:val="single" w:color="auto" w:sz="4" w:space="0"/>
              <w:right w:val="single" w:color="auto" w:sz="4" w:space="0"/>
            </w:tcBorders>
            <w:shd w:val="clear" w:color="auto" w:fill="auto"/>
            <w:vAlign w:val="center"/>
          </w:tcPr>
          <w:p w14:paraId="3632FECF">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修改入院申请</w:t>
            </w:r>
          </w:p>
        </w:tc>
        <w:tc>
          <w:tcPr>
            <w:tcW w:w="2430" w:type="pct"/>
            <w:tcBorders>
              <w:top w:val="nil"/>
              <w:left w:val="nil"/>
              <w:bottom w:val="single" w:color="auto" w:sz="4" w:space="0"/>
              <w:right w:val="single" w:color="auto" w:sz="4" w:space="0"/>
            </w:tcBorders>
            <w:shd w:val="clear" w:color="auto" w:fill="auto"/>
            <w:vAlign w:val="center"/>
          </w:tcPr>
          <w:p w14:paraId="0B0E034A">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修改入院申请单详情，点击某一“序号”，可修改入院申请单患者基本信息、入院信息、床位调配信息，如已分配床位则显示床位分配信息</w:t>
            </w:r>
          </w:p>
        </w:tc>
      </w:tr>
      <w:tr w14:paraId="2EF79456">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26989C61">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19</w:t>
            </w:r>
          </w:p>
        </w:tc>
        <w:tc>
          <w:tcPr>
            <w:tcW w:w="601" w:type="pct"/>
            <w:vMerge w:val="continue"/>
            <w:tcBorders>
              <w:top w:val="nil"/>
              <w:left w:val="single" w:color="auto" w:sz="4" w:space="0"/>
              <w:bottom w:val="single" w:color="000000" w:sz="4" w:space="0"/>
              <w:right w:val="single" w:color="auto" w:sz="4" w:space="0"/>
            </w:tcBorders>
            <w:vAlign w:val="center"/>
          </w:tcPr>
          <w:p w14:paraId="3D723B46">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continue"/>
            <w:tcBorders>
              <w:top w:val="nil"/>
              <w:left w:val="single" w:color="auto" w:sz="4" w:space="0"/>
              <w:bottom w:val="single" w:color="000000" w:sz="4" w:space="0"/>
              <w:right w:val="single" w:color="auto" w:sz="4" w:space="0"/>
            </w:tcBorders>
            <w:vAlign w:val="center"/>
          </w:tcPr>
          <w:p w14:paraId="515FBDC4">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890" w:type="pct"/>
            <w:tcBorders>
              <w:top w:val="nil"/>
              <w:left w:val="nil"/>
              <w:bottom w:val="single" w:color="auto" w:sz="4" w:space="0"/>
              <w:right w:val="single" w:color="auto" w:sz="4" w:space="0"/>
            </w:tcBorders>
            <w:shd w:val="clear" w:color="auto" w:fill="auto"/>
            <w:vAlign w:val="center"/>
          </w:tcPr>
          <w:p w14:paraId="4F5B3362">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kern w:val="0"/>
                <w:sz w:val="22"/>
                <w:highlight w:val="none"/>
                <w:lang w:bidi="ar"/>
              </w:rPr>
              <w:t>候床申请查询</w:t>
            </w:r>
          </w:p>
        </w:tc>
        <w:tc>
          <w:tcPr>
            <w:tcW w:w="2430" w:type="pct"/>
            <w:tcBorders>
              <w:top w:val="nil"/>
              <w:left w:val="nil"/>
              <w:bottom w:val="single" w:color="auto" w:sz="4" w:space="0"/>
              <w:right w:val="single" w:color="auto" w:sz="4" w:space="0"/>
            </w:tcBorders>
            <w:shd w:val="clear" w:color="auto" w:fill="auto"/>
            <w:vAlign w:val="center"/>
          </w:tcPr>
          <w:p w14:paraId="469AE1B3">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根据查询条件可以进行过滤，查询全院候床病人列表</w:t>
            </w:r>
          </w:p>
        </w:tc>
      </w:tr>
      <w:tr w14:paraId="720B5DBA">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3FD8BDD4">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20</w:t>
            </w:r>
          </w:p>
        </w:tc>
        <w:tc>
          <w:tcPr>
            <w:tcW w:w="601" w:type="pct"/>
            <w:vMerge w:val="continue"/>
            <w:tcBorders>
              <w:top w:val="nil"/>
              <w:left w:val="single" w:color="auto" w:sz="4" w:space="0"/>
              <w:bottom w:val="single" w:color="000000" w:sz="4" w:space="0"/>
              <w:right w:val="single" w:color="auto" w:sz="4" w:space="0"/>
            </w:tcBorders>
            <w:vAlign w:val="center"/>
          </w:tcPr>
          <w:p w14:paraId="5A4E16D4">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continue"/>
            <w:tcBorders>
              <w:top w:val="nil"/>
              <w:left w:val="single" w:color="auto" w:sz="4" w:space="0"/>
              <w:bottom w:val="single" w:color="000000" w:sz="4" w:space="0"/>
              <w:right w:val="single" w:color="auto" w:sz="4" w:space="0"/>
            </w:tcBorders>
            <w:vAlign w:val="center"/>
          </w:tcPr>
          <w:p w14:paraId="19649522">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890" w:type="pct"/>
            <w:tcBorders>
              <w:top w:val="nil"/>
              <w:left w:val="nil"/>
              <w:bottom w:val="single" w:color="auto" w:sz="4" w:space="0"/>
              <w:right w:val="single" w:color="auto" w:sz="4" w:space="0"/>
            </w:tcBorders>
            <w:shd w:val="clear" w:color="auto" w:fill="auto"/>
            <w:vAlign w:val="center"/>
          </w:tcPr>
          <w:p w14:paraId="6E279BA7">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kern w:val="0"/>
                <w:sz w:val="22"/>
                <w:highlight w:val="none"/>
                <w:lang w:bidi="ar"/>
              </w:rPr>
              <w:t>导出</w:t>
            </w:r>
          </w:p>
        </w:tc>
        <w:tc>
          <w:tcPr>
            <w:tcW w:w="2430" w:type="pct"/>
            <w:tcBorders>
              <w:top w:val="nil"/>
              <w:left w:val="nil"/>
              <w:bottom w:val="single" w:color="auto" w:sz="4" w:space="0"/>
              <w:right w:val="single" w:color="auto" w:sz="4" w:space="0"/>
            </w:tcBorders>
            <w:shd w:val="clear" w:color="auto" w:fill="auto"/>
            <w:vAlign w:val="center"/>
          </w:tcPr>
          <w:p w14:paraId="335572C1">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导出查询的侯床申请单数据</w:t>
            </w:r>
          </w:p>
        </w:tc>
      </w:tr>
      <w:tr w14:paraId="4E041730">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177B5712">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21</w:t>
            </w:r>
          </w:p>
        </w:tc>
        <w:tc>
          <w:tcPr>
            <w:tcW w:w="601" w:type="pct"/>
            <w:vMerge w:val="continue"/>
            <w:tcBorders>
              <w:top w:val="nil"/>
              <w:left w:val="single" w:color="auto" w:sz="4" w:space="0"/>
              <w:bottom w:val="single" w:color="000000" w:sz="4" w:space="0"/>
              <w:right w:val="single" w:color="auto" w:sz="4" w:space="0"/>
            </w:tcBorders>
            <w:vAlign w:val="center"/>
          </w:tcPr>
          <w:p w14:paraId="4CF3C3A2">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continue"/>
            <w:tcBorders>
              <w:top w:val="nil"/>
              <w:left w:val="single" w:color="auto" w:sz="4" w:space="0"/>
              <w:bottom w:val="single" w:color="000000" w:sz="4" w:space="0"/>
              <w:right w:val="single" w:color="auto" w:sz="4" w:space="0"/>
            </w:tcBorders>
            <w:vAlign w:val="center"/>
          </w:tcPr>
          <w:p w14:paraId="4033D897">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890" w:type="pct"/>
            <w:tcBorders>
              <w:top w:val="nil"/>
              <w:left w:val="nil"/>
              <w:bottom w:val="single" w:color="auto" w:sz="4" w:space="0"/>
              <w:right w:val="single" w:color="auto" w:sz="4" w:space="0"/>
            </w:tcBorders>
            <w:shd w:val="clear" w:color="auto" w:fill="auto"/>
            <w:vAlign w:val="center"/>
          </w:tcPr>
          <w:p w14:paraId="7F03882F">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取消申请</w:t>
            </w:r>
          </w:p>
        </w:tc>
        <w:tc>
          <w:tcPr>
            <w:tcW w:w="2430" w:type="pct"/>
            <w:tcBorders>
              <w:top w:val="nil"/>
              <w:left w:val="nil"/>
              <w:bottom w:val="single" w:color="auto" w:sz="4" w:space="0"/>
              <w:right w:val="single" w:color="auto" w:sz="4" w:space="0"/>
            </w:tcBorders>
            <w:shd w:val="clear" w:color="auto" w:fill="auto"/>
            <w:vAlign w:val="center"/>
          </w:tcPr>
          <w:p w14:paraId="54373880">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如病人提出不住院治疗，可执行“取消”操作，取消病人入院申请。入院申请状态变为“取消预约”</w:t>
            </w:r>
          </w:p>
        </w:tc>
      </w:tr>
      <w:tr w14:paraId="60CA919F">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5EF07E56">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22</w:t>
            </w:r>
          </w:p>
        </w:tc>
        <w:tc>
          <w:tcPr>
            <w:tcW w:w="601" w:type="pct"/>
            <w:vMerge w:val="continue"/>
            <w:tcBorders>
              <w:top w:val="nil"/>
              <w:left w:val="single" w:color="auto" w:sz="4" w:space="0"/>
              <w:bottom w:val="single" w:color="000000" w:sz="4" w:space="0"/>
              <w:right w:val="single" w:color="auto" w:sz="4" w:space="0"/>
            </w:tcBorders>
            <w:vAlign w:val="center"/>
          </w:tcPr>
          <w:p w14:paraId="54720E71">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continue"/>
            <w:tcBorders>
              <w:top w:val="nil"/>
              <w:left w:val="single" w:color="auto" w:sz="4" w:space="0"/>
              <w:bottom w:val="single" w:color="000000" w:sz="4" w:space="0"/>
              <w:right w:val="single" w:color="auto" w:sz="4" w:space="0"/>
            </w:tcBorders>
            <w:vAlign w:val="center"/>
          </w:tcPr>
          <w:p w14:paraId="037B5B0A">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890" w:type="pct"/>
            <w:tcBorders>
              <w:top w:val="nil"/>
              <w:left w:val="nil"/>
              <w:bottom w:val="single" w:color="auto" w:sz="4" w:space="0"/>
              <w:right w:val="single" w:color="auto" w:sz="4" w:space="0"/>
            </w:tcBorders>
            <w:shd w:val="clear" w:color="auto" w:fill="auto"/>
            <w:vAlign w:val="center"/>
          </w:tcPr>
          <w:p w14:paraId="69EF111E">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kern w:val="0"/>
                <w:sz w:val="22"/>
                <w:highlight w:val="none"/>
                <w:lang w:bidi="ar"/>
              </w:rPr>
              <w:t>配床</w:t>
            </w:r>
          </w:p>
        </w:tc>
        <w:tc>
          <w:tcPr>
            <w:tcW w:w="2430" w:type="pct"/>
            <w:tcBorders>
              <w:top w:val="nil"/>
              <w:left w:val="nil"/>
              <w:bottom w:val="single" w:color="auto" w:sz="4" w:space="0"/>
              <w:right w:val="single" w:color="auto" w:sz="4" w:space="0"/>
            </w:tcBorders>
            <w:shd w:val="clear" w:color="auto" w:fill="auto"/>
            <w:vAlign w:val="center"/>
          </w:tcPr>
          <w:p w14:paraId="4CBC274B">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当入院病区有空床时，可通过“分配”操作，帮患者预约床位，确认报道日期及报到时间，分配后，入院申请状态为“待入院”。</w:t>
            </w:r>
          </w:p>
        </w:tc>
      </w:tr>
      <w:tr w14:paraId="25368CF0">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04CC24E2">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23</w:t>
            </w:r>
          </w:p>
        </w:tc>
        <w:tc>
          <w:tcPr>
            <w:tcW w:w="601" w:type="pct"/>
            <w:vMerge w:val="continue"/>
            <w:tcBorders>
              <w:top w:val="nil"/>
              <w:left w:val="single" w:color="auto" w:sz="4" w:space="0"/>
              <w:bottom w:val="single" w:color="000000" w:sz="4" w:space="0"/>
              <w:right w:val="single" w:color="auto" w:sz="4" w:space="0"/>
            </w:tcBorders>
            <w:vAlign w:val="center"/>
          </w:tcPr>
          <w:p w14:paraId="73E08B4A">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continue"/>
            <w:tcBorders>
              <w:top w:val="nil"/>
              <w:left w:val="single" w:color="auto" w:sz="4" w:space="0"/>
              <w:bottom w:val="single" w:color="000000" w:sz="4" w:space="0"/>
              <w:right w:val="single" w:color="auto" w:sz="4" w:space="0"/>
            </w:tcBorders>
            <w:vAlign w:val="center"/>
          </w:tcPr>
          <w:p w14:paraId="08598B5B">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890" w:type="pct"/>
            <w:tcBorders>
              <w:top w:val="nil"/>
              <w:left w:val="nil"/>
              <w:bottom w:val="single" w:color="auto" w:sz="4" w:space="0"/>
              <w:right w:val="single" w:color="auto" w:sz="4" w:space="0"/>
            </w:tcBorders>
            <w:shd w:val="clear" w:color="auto" w:fill="auto"/>
            <w:vAlign w:val="center"/>
          </w:tcPr>
          <w:p w14:paraId="0C72B01B">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智能匹配</w:t>
            </w:r>
          </w:p>
        </w:tc>
        <w:tc>
          <w:tcPr>
            <w:tcW w:w="2430" w:type="pct"/>
            <w:tcBorders>
              <w:top w:val="nil"/>
              <w:left w:val="nil"/>
              <w:bottom w:val="single" w:color="auto" w:sz="4" w:space="0"/>
              <w:right w:val="single" w:color="auto" w:sz="4" w:space="0"/>
            </w:tcBorders>
            <w:shd w:val="clear" w:color="auto" w:fill="auto"/>
            <w:vAlign w:val="center"/>
          </w:tcPr>
          <w:p w14:paraId="323E62F4">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根据患者入院申请单，入院、病情、床位要求推荐最佳床位</w:t>
            </w:r>
          </w:p>
        </w:tc>
      </w:tr>
      <w:tr w14:paraId="36C3DF6C">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7F32E966">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24</w:t>
            </w:r>
          </w:p>
        </w:tc>
        <w:tc>
          <w:tcPr>
            <w:tcW w:w="601" w:type="pct"/>
            <w:vMerge w:val="continue"/>
            <w:tcBorders>
              <w:top w:val="nil"/>
              <w:left w:val="single" w:color="auto" w:sz="4" w:space="0"/>
              <w:bottom w:val="single" w:color="000000" w:sz="4" w:space="0"/>
              <w:right w:val="single" w:color="auto" w:sz="4" w:space="0"/>
            </w:tcBorders>
            <w:vAlign w:val="center"/>
          </w:tcPr>
          <w:p w14:paraId="0C49E265">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continue"/>
            <w:tcBorders>
              <w:top w:val="nil"/>
              <w:left w:val="single" w:color="auto" w:sz="4" w:space="0"/>
              <w:bottom w:val="single" w:color="000000" w:sz="4" w:space="0"/>
              <w:right w:val="single" w:color="auto" w:sz="4" w:space="0"/>
            </w:tcBorders>
            <w:vAlign w:val="center"/>
          </w:tcPr>
          <w:p w14:paraId="4DD815A5">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890" w:type="pct"/>
            <w:tcBorders>
              <w:top w:val="nil"/>
              <w:left w:val="nil"/>
              <w:bottom w:val="single" w:color="auto" w:sz="4" w:space="0"/>
              <w:right w:val="single" w:color="auto" w:sz="4" w:space="0"/>
            </w:tcBorders>
            <w:shd w:val="clear" w:color="auto" w:fill="auto"/>
            <w:vAlign w:val="center"/>
          </w:tcPr>
          <w:p w14:paraId="160BD961">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入院短信通知</w:t>
            </w:r>
          </w:p>
        </w:tc>
        <w:tc>
          <w:tcPr>
            <w:tcW w:w="2430" w:type="pct"/>
            <w:tcBorders>
              <w:top w:val="nil"/>
              <w:left w:val="nil"/>
              <w:bottom w:val="single" w:color="auto" w:sz="4" w:space="0"/>
              <w:right w:val="single" w:color="auto" w:sz="4" w:space="0"/>
            </w:tcBorders>
            <w:shd w:val="clear" w:color="auto" w:fill="auto"/>
            <w:vAlign w:val="center"/>
          </w:tcPr>
          <w:p w14:paraId="03B84A64">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对接短信平台，支持短信通知待入院患者</w:t>
            </w:r>
          </w:p>
        </w:tc>
      </w:tr>
      <w:tr w14:paraId="6107EEF9">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40342D68">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val="en-US" w:eastAsia="zh-CN" w:bidi="ar"/>
              </w:rPr>
              <w:t>25</w:t>
            </w:r>
          </w:p>
        </w:tc>
        <w:tc>
          <w:tcPr>
            <w:tcW w:w="601" w:type="pct"/>
            <w:vMerge w:val="continue"/>
            <w:tcBorders>
              <w:top w:val="nil"/>
              <w:left w:val="single" w:color="auto" w:sz="4" w:space="0"/>
              <w:bottom w:val="single" w:color="000000" w:sz="4" w:space="0"/>
              <w:right w:val="single" w:color="auto" w:sz="4" w:space="0"/>
            </w:tcBorders>
            <w:vAlign w:val="center"/>
          </w:tcPr>
          <w:p w14:paraId="1CF7C1D9">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continue"/>
            <w:tcBorders>
              <w:top w:val="nil"/>
              <w:left w:val="single" w:color="auto" w:sz="4" w:space="0"/>
              <w:bottom w:val="single" w:color="000000" w:sz="4" w:space="0"/>
              <w:right w:val="single" w:color="auto" w:sz="4" w:space="0"/>
            </w:tcBorders>
            <w:vAlign w:val="center"/>
          </w:tcPr>
          <w:p w14:paraId="5348DC35">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890" w:type="pct"/>
            <w:tcBorders>
              <w:top w:val="nil"/>
              <w:left w:val="nil"/>
              <w:bottom w:val="single" w:color="auto" w:sz="4" w:space="0"/>
              <w:right w:val="single" w:color="auto" w:sz="4" w:space="0"/>
            </w:tcBorders>
            <w:shd w:val="clear" w:color="auto" w:fill="auto"/>
            <w:vAlign w:val="center"/>
          </w:tcPr>
          <w:p w14:paraId="725827D7">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计数</w:t>
            </w:r>
          </w:p>
        </w:tc>
        <w:tc>
          <w:tcPr>
            <w:tcW w:w="2430" w:type="pct"/>
            <w:tcBorders>
              <w:top w:val="nil"/>
              <w:left w:val="nil"/>
              <w:bottom w:val="single" w:color="auto" w:sz="4" w:space="0"/>
              <w:right w:val="single" w:color="auto" w:sz="4" w:space="0"/>
            </w:tcBorders>
            <w:shd w:val="clear" w:color="auto" w:fill="auto"/>
            <w:vAlign w:val="center"/>
          </w:tcPr>
          <w:p w14:paraId="25FFBC4C">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已电话联系一次病人本人或家属不成功，操作计数，记录原因，计数会增加1</w:t>
            </w:r>
          </w:p>
        </w:tc>
      </w:tr>
      <w:tr w14:paraId="6C130B03">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135A0CE1">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2</w:t>
            </w:r>
            <w:r>
              <w:rPr>
                <w:rFonts w:hint="eastAsia" w:asciiTheme="minorEastAsia" w:hAnsiTheme="minorEastAsia" w:eastAsiaTheme="minorEastAsia" w:cstheme="minorEastAsia"/>
                <w:color w:val="auto"/>
                <w:kern w:val="0"/>
                <w:sz w:val="22"/>
                <w:highlight w:val="none"/>
                <w:lang w:eastAsia="zh-CN" w:bidi="ar"/>
              </w:rPr>
              <w:t>6</w:t>
            </w:r>
          </w:p>
        </w:tc>
        <w:tc>
          <w:tcPr>
            <w:tcW w:w="601" w:type="pct"/>
            <w:vMerge w:val="continue"/>
            <w:tcBorders>
              <w:top w:val="nil"/>
              <w:left w:val="single" w:color="auto" w:sz="4" w:space="0"/>
              <w:bottom w:val="single" w:color="000000" w:sz="4" w:space="0"/>
              <w:right w:val="single" w:color="auto" w:sz="4" w:space="0"/>
            </w:tcBorders>
            <w:vAlign w:val="center"/>
          </w:tcPr>
          <w:p w14:paraId="4CF43ACB">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continue"/>
            <w:tcBorders>
              <w:top w:val="nil"/>
              <w:left w:val="single" w:color="auto" w:sz="4" w:space="0"/>
              <w:bottom w:val="single" w:color="000000" w:sz="4" w:space="0"/>
              <w:right w:val="single" w:color="auto" w:sz="4" w:space="0"/>
            </w:tcBorders>
            <w:vAlign w:val="center"/>
          </w:tcPr>
          <w:p w14:paraId="594D251C">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890" w:type="pct"/>
            <w:tcBorders>
              <w:top w:val="nil"/>
              <w:left w:val="nil"/>
              <w:bottom w:val="single" w:color="auto" w:sz="4" w:space="0"/>
              <w:right w:val="single" w:color="auto" w:sz="4" w:space="0"/>
            </w:tcBorders>
            <w:shd w:val="clear" w:color="auto" w:fill="auto"/>
            <w:vAlign w:val="center"/>
          </w:tcPr>
          <w:p w14:paraId="25E61C6C">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消息提醒</w:t>
            </w:r>
          </w:p>
        </w:tc>
        <w:tc>
          <w:tcPr>
            <w:tcW w:w="2430" w:type="pct"/>
            <w:tcBorders>
              <w:top w:val="nil"/>
              <w:left w:val="nil"/>
              <w:bottom w:val="single" w:color="auto" w:sz="4" w:space="0"/>
              <w:right w:val="single" w:color="auto" w:sz="4" w:space="0"/>
            </w:tcBorders>
            <w:shd w:val="clear" w:color="auto" w:fill="auto"/>
            <w:vAlign w:val="center"/>
          </w:tcPr>
          <w:p w14:paraId="528E9F6E">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病情为危急重症患者的入院申请系统自动设置为本科室优先级处理（必须优先处理，否则无法办理本科室其他入院申请）；弹出急危重症患者入院提醒；并且标红、置顶</w:t>
            </w:r>
          </w:p>
        </w:tc>
      </w:tr>
      <w:tr w14:paraId="16227B20">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0CD36335">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2</w:t>
            </w:r>
            <w:r>
              <w:rPr>
                <w:rFonts w:hint="eastAsia" w:asciiTheme="minorEastAsia" w:hAnsiTheme="minorEastAsia" w:eastAsiaTheme="minorEastAsia" w:cstheme="minorEastAsia"/>
                <w:color w:val="auto"/>
                <w:kern w:val="0"/>
                <w:sz w:val="22"/>
                <w:highlight w:val="none"/>
                <w:lang w:eastAsia="zh-CN" w:bidi="ar"/>
              </w:rPr>
              <w:t>7</w:t>
            </w:r>
          </w:p>
        </w:tc>
        <w:tc>
          <w:tcPr>
            <w:tcW w:w="601" w:type="pct"/>
            <w:vMerge w:val="continue"/>
            <w:tcBorders>
              <w:top w:val="nil"/>
              <w:left w:val="single" w:color="auto" w:sz="4" w:space="0"/>
              <w:bottom w:val="single" w:color="000000" w:sz="4" w:space="0"/>
              <w:right w:val="single" w:color="auto" w:sz="4" w:space="0"/>
            </w:tcBorders>
            <w:vAlign w:val="center"/>
          </w:tcPr>
          <w:p w14:paraId="048B9751">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restart"/>
            <w:tcBorders>
              <w:top w:val="nil"/>
              <w:left w:val="single" w:color="auto" w:sz="4" w:space="0"/>
              <w:bottom w:val="single" w:color="auto" w:sz="4" w:space="0"/>
              <w:right w:val="single" w:color="auto" w:sz="4" w:space="0"/>
            </w:tcBorders>
            <w:shd w:val="clear" w:color="auto" w:fill="auto"/>
            <w:vAlign w:val="center"/>
          </w:tcPr>
          <w:p w14:paraId="7973A9A0">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床位分配</w:t>
            </w:r>
          </w:p>
        </w:tc>
        <w:tc>
          <w:tcPr>
            <w:tcW w:w="890" w:type="pct"/>
            <w:tcBorders>
              <w:top w:val="nil"/>
              <w:left w:val="nil"/>
              <w:bottom w:val="single" w:color="auto" w:sz="4" w:space="0"/>
              <w:right w:val="single" w:color="auto" w:sz="4" w:space="0"/>
            </w:tcBorders>
            <w:shd w:val="clear" w:color="auto" w:fill="auto"/>
            <w:vAlign w:val="center"/>
          </w:tcPr>
          <w:p w14:paraId="40AD02D6">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查看病区床位数据</w:t>
            </w:r>
          </w:p>
        </w:tc>
        <w:tc>
          <w:tcPr>
            <w:tcW w:w="2430" w:type="pct"/>
            <w:tcBorders>
              <w:top w:val="nil"/>
              <w:left w:val="nil"/>
              <w:bottom w:val="single" w:color="auto" w:sz="4" w:space="0"/>
              <w:right w:val="single" w:color="auto" w:sz="4" w:space="0"/>
            </w:tcBorders>
            <w:shd w:val="clear" w:color="auto" w:fill="auto"/>
            <w:vAlign w:val="center"/>
          </w:tcPr>
          <w:p w14:paraId="22353F68">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查看病区的床位数据、使用情况及候床患者列表，空床、今离、明出的床位可以进行分配</w:t>
            </w:r>
          </w:p>
        </w:tc>
      </w:tr>
      <w:tr w14:paraId="3DA165FC">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575513DA">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2</w:t>
            </w:r>
            <w:r>
              <w:rPr>
                <w:rFonts w:hint="eastAsia" w:asciiTheme="minorEastAsia" w:hAnsiTheme="minorEastAsia" w:eastAsiaTheme="minorEastAsia" w:cstheme="minorEastAsia"/>
                <w:color w:val="auto"/>
                <w:kern w:val="0"/>
                <w:sz w:val="22"/>
                <w:highlight w:val="none"/>
                <w:lang w:eastAsia="zh-CN" w:bidi="ar"/>
              </w:rPr>
              <w:t>8</w:t>
            </w:r>
          </w:p>
        </w:tc>
        <w:tc>
          <w:tcPr>
            <w:tcW w:w="601" w:type="pct"/>
            <w:vMerge w:val="continue"/>
            <w:tcBorders>
              <w:top w:val="nil"/>
              <w:left w:val="single" w:color="auto" w:sz="4" w:space="0"/>
              <w:bottom w:val="single" w:color="000000" w:sz="4" w:space="0"/>
              <w:right w:val="single" w:color="auto" w:sz="4" w:space="0"/>
            </w:tcBorders>
            <w:vAlign w:val="center"/>
          </w:tcPr>
          <w:p w14:paraId="723457C9">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continue"/>
            <w:tcBorders>
              <w:top w:val="nil"/>
              <w:left w:val="single" w:color="auto" w:sz="4" w:space="0"/>
              <w:bottom w:val="single" w:color="auto" w:sz="4" w:space="0"/>
              <w:right w:val="single" w:color="auto" w:sz="4" w:space="0"/>
            </w:tcBorders>
            <w:vAlign w:val="center"/>
          </w:tcPr>
          <w:p w14:paraId="40B34BFE">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890" w:type="pct"/>
            <w:tcBorders>
              <w:top w:val="nil"/>
              <w:left w:val="nil"/>
              <w:bottom w:val="single" w:color="auto" w:sz="4" w:space="0"/>
              <w:right w:val="single" w:color="auto" w:sz="4" w:space="0"/>
            </w:tcBorders>
            <w:shd w:val="clear" w:color="auto" w:fill="auto"/>
            <w:vAlign w:val="center"/>
          </w:tcPr>
          <w:p w14:paraId="6EF755FA">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导出</w:t>
            </w:r>
          </w:p>
        </w:tc>
        <w:tc>
          <w:tcPr>
            <w:tcW w:w="2430" w:type="pct"/>
            <w:tcBorders>
              <w:top w:val="nil"/>
              <w:left w:val="nil"/>
              <w:bottom w:val="single" w:color="auto" w:sz="4" w:space="0"/>
              <w:right w:val="single" w:color="auto" w:sz="4" w:space="0"/>
            </w:tcBorders>
            <w:shd w:val="clear" w:color="auto" w:fill="auto"/>
            <w:vAlign w:val="center"/>
          </w:tcPr>
          <w:p w14:paraId="310B4080">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导出床位数据</w:t>
            </w:r>
          </w:p>
        </w:tc>
      </w:tr>
      <w:tr w14:paraId="6C0BABA6">
        <w:tblPrEx>
          <w:tblCellMar>
            <w:top w:w="0" w:type="dxa"/>
            <w:left w:w="108" w:type="dxa"/>
            <w:bottom w:w="0" w:type="dxa"/>
            <w:right w:w="108" w:type="dxa"/>
          </w:tblCellMar>
        </w:tblPrEx>
        <w:trPr>
          <w:trHeight w:val="273" w:hRule="atLeast"/>
        </w:trPr>
        <w:tc>
          <w:tcPr>
            <w:tcW w:w="354" w:type="pct"/>
            <w:tcBorders>
              <w:top w:val="nil"/>
              <w:left w:val="single" w:color="auto" w:sz="4" w:space="0"/>
              <w:bottom w:val="single" w:color="auto" w:sz="4" w:space="0"/>
              <w:right w:val="single" w:color="auto" w:sz="4" w:space="0"/>
            </w:tcBorders>
            <w:shd w:val="clear" w:color="auto" w:fill="auto"/>
            <w:noWrap/>
            <w:vAlign w:val="center"/>
          </w:tcPr>
          <w:p w14:paraId="6E674CF3">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2</w:t>
            </w:r>
            <w:r>
              <w:rPr>
                <w:rFonts w:hint="eastAsia" w:asciiTheme="minorEastAsia" w:hAnsiTheme="minorEastAsia" w:eastAsiaTheme="minorEastAsia" w:cstheme="minorEastAsia"/>
                <w:color w:val="auto"/>
                <w:kern w:val="0"/>
                <w:sz w:val="22"/>
                <w:highlight w:val="none"/>
                <w:lang w:eastAsia="zh-CN" w:bidi="ar"/>
              </w:rPr>
              <w:t>9</w:t>
            </w:r>
          </w:p>
        </w:tc>
        <w:tc>
          <w:tcPr>
            <w:tcW w:w="601" w:type="pct"/>
            <w:vMerge w:val="continue"/>
            <w:tcBorders>
              <w:top w:val="nil"/>
              <w:left w:val="single" w:color="auto" w:sz="4" w:space="0"/>
              <w:bottom w:val="single" w:color="000000" w:sz="4" w:space="0"/>
              <w:right w:val="single" w:color="auto" w:sz="4" w:space="0"/>
            </w:tcBorders>
            <w:vAlign w:val="center"/>
          </w:tcPr>
          <w:p w14:paraId="076D32F9">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continue"/>
            <w:tcBorders>
              <w:top w:val="nil"/>
              <w:left w:val="single" w:color="auto" w:sz="4" w:space="0"/>
              <w:bottom w:val="single" w:color="auto" w:sz="4" w:space="0"/>
              <w:right w:val="single" w:color="auto" w:sz="4" w:space="0"/>
            </w:tcBorders>
            <w:vAlign w:val="center"/>
          </w:tcPr>
          <w:p w14:paraId="4EB31C91">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890" w:type="pct"/>
            <w:tcBorders>
              <w:top w:val="nil"/>
              <w:left w:val="nil"/>
              <w:bottom w:val="single" w:color="auto" w:sz="4" w:space="0"/>
              <w:right w:val="single" w:color="auto" w:sz="4" w:space="0"/>
            </w:tcBorders>
            <w:shd w:val="clear" w:color="auto" w:fill="auto"/>
            <w:vAlign w:val="center"/>
          </w:tcPr>
          <w:p w14:paraId="0ABA0F61">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kern w:val="0"/>
                <w:sz w:val="22"/>
                <w:highlight w:val="none"/>
                <w:lang w:bidi="ar"/>
              </w:rPr>
              <w:t>分配</w:t>
            </w:r>
          </w:p>
        </w:tc>
        <w:tc>
          <w:tcPr>
            <w:tcW w:w="2430" w:type="pct"/>
            <w:tcBorders>
              <w:top w:val="nil"/>
              <w:left w:val="nil"/>
              <w:bottom w:val="single" w:color="auto" w:sz="4" w:space="0"/>
              <w:right w:val="single" w:color="auto" w:sz="4" w:space="0"/>
            </w:tcBorders>
            <w:shd w:val="clear" w:color="auto" w:fill="auto"/>
            <w:vAlign w:val="center"/>
          </w:tcPr>
          <w:p w14:paraId="7F3582D5">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拖动侯床患者到可用的床位，可以完成配床</w:t>
            </w:r>
          </w:p>
        </w:tc>
      </w:tr>
      <w:tr w14:paraId="1C69161B">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45657ED0">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eastAsia="zh-CN" w:bidi="ar"/>
              </w:rPr>
              <w:t>3</w:t>
            </w:r>
            <w:r>
              <w:rPr>
                <w:rFonts w:hint="eastAsia" w:asciiTheme="minorEastAsia" w:hAnsiTheme="minorEastAsia" w:eastAsiaTheme="minorEastAsia" w:cstheme="minorEastAsia"/>
                <w:color w:val="auto"/>
                <w:kern w:val="0"/>
                <w:sz w:val="22"/>
                <w:highlight w:val="none"/>
                <w:lang w:val="en-US" w:eastAsia="zh-CN" w:bidi="ar"/>
              </w:rPr>
              <w:t>0</w:t>
            </w:r>
          </w:p>
        </w:tc>
        <w:tc>
          <w:tcPr>
            <w:tcW w:w="601" w:type="pct"/>
            <w:vMerge w:val="continue"/>
            <w:tcBorders>
              <w:top w:val="nil"/>
              <w:left w:val="single" w:color="auto" w:sz="4" w:space="0"/>
              <w:bottom w:val="single" w:color="000000" w:sz="4" w:space="0"/>
              <w:right w:val="single" w:color="auto" w:sz="4" w:space="0"/>
            </w:tcBorders>
            <w:vAlign w:val="center"/>
          </w:tcPr>
          <w:p w14:paraId="4B21EF15">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continue"/>
            <w:tcBorders>
              <w:top w:val="nil"/>
              <w:left w:val="single" w:color="auto" w:sz="4" w:space="0"/>
              <w:bottom w:val="single" w:color="auto" w:sz="4" w:space="0"/>
              <w:right w:val="single" w:color="auto" w:sz="4" w:space="0"/>
            </w:tcBorders>
            <w:vAlign w:val="center"/>
          </w:tcPr>
          <w:p w14:paraId="00A41945">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890" w:type="pct"/>
            <w:tcBorders>
              <w:top w:val="nil"/>
              <w:left w:val="nil"/>
              <w:bottom w:val="single" w:color="auto" w:sz="4" w:space="0"/>
              <w:right w:val="single" w:color="auto" w:sz="4" w:space="0"/>
            </w:tcBorders>
            <w:shd w:val="clear" w:color="auto" w:fill="auto"/>
            <w:vAlign w:val="center"/>
          </w:tcPr>
          <w:p w14:paraId="7EC4B325">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kern w:val="0"/>
                <w:sz w:val="22"/>
                <w:highlight w:val="none"/>
                <w:lang w:bidi="ar"/>
              </w:rPr>
              <w:t>智能匹配</w:t>
            </w:r>
          </w:p>
        </w:tc>
        <w:tc>
          <w:tcPr>
            <w:tcW w:w="2430" w:type="pct"/>
            <w:tcBorders>
              <w:top w:val="nil"/>
              <w:left w:val="nil"/>
              <w:bottom w:val="single" w:color="auto" w:sz="4" w:space="0"/>
              <w:right w:val="single" w:color="auto" w:sz="4" w:space="0"/>
            </w:tcBorders>
            <w:shd w:val="clear" w:color="auto" w:fill="auto"/>
            <w:vAlign w:val="center"/>
          </w:tcPr>
          <w:p w14:paraId="3325720E">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根据床位属性，匹配最佳入院患者</w:t>
            </w:r>
          </w:p>
        </w:tc>
      </w:tr>
      <w:tr w14:paraId="61789B72">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05FBBF3B">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3</w:t>
            </w:r>
            <w:r>
              <w:rPr>
                <w:rFonts w:hint="eastAsia" w:asciiTheme="minorEastAsia" w:hAnsiTheme="minorEastAsia" w:eastAsiaTheme="minorEastAsia" w:cstheme="minorEastAsia"/>
                <w:color w:val="auto"/>
                <w:kern w:val="0"/>
                <w:sz w:val="22"/>
                <w:highlight w:val="none"/>
                <w:lang w:eastAsia="zh-CN" w:bidi="ar"/>
              </w:rPr>
              <w:t>1</w:t>
            </w:r>
          </w:p>
        </w:tc>
        <w:tc>
          <w:tcPr>
            <w:tcW w:w="601" w:type="pct"/>
            <w:vMerge w:val="continue"/>
            <w:tcBorders>
              <w:top w:val="nil"/>
              <w:left w:val="single" w:color="auto" w:sz="4" w:space="0"/>
              <w:bottom w:val="single" w:color="000000" w:sz="4" w:space="0"/>
              <w:right w:val="single" w:color="auto" w:sz="4" w:space="0"/>
            </w:tcBorders>
            <w:vAlign w:val="center"/>
          </w:tcPr>
          <w:p w14:paraId="6D34C10D">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continue"/>
            <w:tcBorders>
              <w:top w:val="nil"/>
              <w:left w:val="single" w:color="auto" w:sz="4" w:space="0"/>
              <w:bottom w:val="single" w:color="auto" w:sz="4" w:space="0"/>
              <w:right w:val="single" w:color="auto" w:sz="4" w:space="0"/>
            </w:tcBorders>
            <w:vAlign w:val="center"/>
          </w:tcPr>
          <w:p w14:paraId="3A337D13">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890" w:type="pct"/>
            <w:tcBorders>
              <w:top w:val="nil"/>
              <w:left w:val="nil"/>
              <w:bottom w:val="single" w:color="auto" w:sz="4" w:space="0"/>
              <w:right w:val="single" w:color="auto" w:sz="4" w:space="0"/>
            </w:tcBorders>
            <w:shd w:val="clear" w:color="auto" w:fill="auto"/>
            <w:vAlign w:val="center"/>
          </w:tcPr>
          <w:p w14:paraId="4CA0747A">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kern w:val="0"/>
                <w:sz w:val="22"/>
                <w:highlight w:val="none"/>
                <w:lang w:bidi="ar"/>
              </w:rPr>
              <w:t>留床</w:t>
            </w:r>
          </w:p>
        </w:tc>
        <w:tc>
          <w:tcPr>
            <w:tcW w:w="2430" w:type="pct"/>
            <w:tcBorders>
              <w:top w:val="nil"/>
              <w:left w:val="nil"/>
              <w:bottom w:val="single" w:color="auto" w:sz="4" w:space="0"/>
              <w:right w:val="single" w:color="auto" w:sz="4" w:space="0"/>
            </w:tcBorders>
            <w:shd w:val="clear" w:color="auto" w:fill="auto"/>
            <w:vAlign w:val="center"/>
          </w:tcPr>
          <w:p w14:paraId="3AEE4E50">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拖动侯床患者到占用的床位，可以完成留床</w:t>
            </w:r>
          </w:p>
        </w:tc>
      </w:tr>
      <w:tr w14:paraId="5A2C1592">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0F9FE8E6">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3</w:t>
            </w:r>
            <w:r>
              <w:rPr>
                <w:rFonts w:hint="eastAsia" w:asciiTheme="minorEastAsia" w:hAnsiTheme="minorEastAsia" w:eastAsiaTheme="minorEastAsia" w:cstheme="minorEastAsia"/>
                <w:color w:val="auto"/>
                <w:kern w:val="0"/>
                <w:sz w:val="22"/>
                <w:highlight w:val="none"/>
                <w:lang w:eastAsia="zh-CN" w:bidi="ar"/>
              </w:rPr>
              <w:t>2</w:t>
            </w:r>
          </w:p>
        </w:tc>
        <w:tc>
          <w:tcPr>
            <w:tcW w:w="601" w:type="pct"/>
            <w:vMerge w:val="continue"/>
            <w:tcBorders>
              <w:top w:val="nil"/>
              <w:left w:val="single" w:color="auto" w:sz="4" w:space="0"/>
              <w:bottom w:val="single" w:color="000000" w:sz="4" w:space="0"/>
              <w:right w:val="single" w:color="auto" w:sz="4" w:space="0"/>
            </w:tcBorders>
            <w:vAlign w:val="center"/>
          </w:tcPr>
          <w:p w14:paraId="4A20D3DB">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continue"/>
            <w:tcBorders>
              <w:top w:val="nil"/>
              <w:left w:val="single" w:color="auto" w:sz="4" w:space="0"/>
              <w:bottom w:val="single" w:color="auto" w:sz="4" w:space="0"/>
              <w:right w:val="single" w:color="auto" w:sz="4" w:space="0"/>
            </w:tcBorders>
            <w:vAlign w:val="center"/>
          </w:tcPr>
          <w:p w14:paraId="54AB836E">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890" w:type="pct"/>
            <w:tcBorders>
              <w:top w:val="nil"/>
              <w:left w:val="nil"/>
              <w:bottom w:val="single" w:color="auto" w:sz="4" w:space="0"/>
              <w:right w:val="single" w:color="auto" w:sz="4" w:space="0"/>
            </w:tcBorders>
            <w:shd w:val="clear" w:color="auto" w:fill="auto"/>
            <w:vAlign w:val="center"/>
          </w:tcPr>
          <w:p w14:paraId="4108C7DE">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kern w:val="0"/>
                <w:sz w:val="22"/>
                <w:highlight w:val="none"/>
                <w:lang w:bidi="ar"/>
              </w:rPr>
              <w:t>查询病区</w:t>
            </w:r>
          </w:p>
        </w:tc>
        <w:tc>
          <w:tcPr>
            <w:tcW w:w="2430" w:type="pct"/>
            <w:tcBorders>
              <w:top w:val="nil"/>
              <w:left w:val="nil"/>
              <w:bottom w:val="single" w:color="auto" w:sz="4" w:space="0"/>
              <w:right w:val="single" w:color="auto" w:sz="4" w:space="0"/>
            </w:tcBorders>
            <w:shd w:val="clear" w:color="auto" w:fill="auto"/>
            <w:vAlign w:val="center"/>
          </w:tcPr>
          <w:p w14:paraId="7C0086C8">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可以根据病区名称、科室、楼层搜索</w:t>
            </w:r>
          </w:p>
        </w:tc>
      </w:tr>
      <w:tr w14:paraId="70213771">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78AE3C89">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3</w:t>
            </w:r>
            <w:r>
              <w:rPr>
                <w:rFonts w:hint="eastAsia" w:asciiTheme="minorEastAsia" w:hAnsiTheme="minorEastAsia" w:eastAsiaTheme="minorEastAsia" w:cstheme="minorEastAsia"/>
                <w:color w:val="auto"/>
                <w:kern w:val="0"/>
                <w:sz w:val="22"/>
                <w:highlight w:val="none"/>
                <w:lang w:eastAsia="zh-CN" w:bidi="ar"/>
              </w:rPr>
              <w:t>3</w:t>
            </w:r>
          </w:p>
        </w:tc>
        <w:tc>
          <w:tcPr>
            <w:tcW w:w="601" w:type="pct"/>
            <w:vMerge w:val="continue"/>
            <w:tcBorders>
              <w:top w:val="nil"/>
              <w:left w:val="single" w:color="auto" w:sz="4" w:space="0"/>
              <w:bottom w:val="single" w:color="000000" w:sz="4" w:space="0"/>
              <w:right w:val="single" w:color="auto" w:sz="4" w:space="0"/>
            </w:tcBorders>
            <w:vAlign w:val="center"/>
          </w:tcPr>
          <w:p w14:paraId="4C511900">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continue"/>
            <w:tcBorders>
              <w:top w:val="nil"/>
              <w:left w:val="single" w:color="auto" w:sz="4" w:space="0"/>
              <w:bottom w:val="single" w:color="auto" w:sz="4" w:space="0"/>
              <w:right w:val="single" w:color="auto" w:sz="4" w:space="0"/>
            </w:tcBorders>
            <w:vAlign w:val="center"/>
          </w:tcPr>
          <w:p w14:paraId="6A96B63C">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890" w:type="pct"/>
            <w:tcBorders>
              <w:top w:val="nil"/>
              <w:left w:val="nil"/>
              <w:bottom w:val="single" w:color="auto" w:sz="4" w:space="0"/>
              <w:right w:val="single" w:color="auto" w:sz="4" w:space="0"/>
            </w:tcBorders>
            <w:shd w:val="clear" w:color="auto" w:fill="auto"/>
            <w:vAlign w:val="center"/>
          </w:tcPr>
          <w:p w14:paraId="59510611">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kern w:val="0"/>
                <w:sz w:val="22"/>
                <w:highlight w:val="none"/>
                <w:lang w:bidi="ar"/>
              </w:rPr>
              <w:t>查看病区侯床队列</w:t>
            </w:r>
          </w:p>
        </w:tc>
        <w:tc>
          <w:tcPr>
            <w:tcW w:w="2430" w:type="pct"/>
            <w:tcBorders>
              <w:top w:val="nil"/>
              <w:left w:val="nil"/>
              <w:bottom w:val="single" w:color="auto" w:sz="4" w:space="0"/>
              <w:right w:val="single" w:color="auto" w:sz="4" w:space="0"/>
            </w:tcBorders>
            <w:shd w:val="clear" w:color="auto" w:fill="auto"/>
            <w:vAlign w:val="center"/>
          </w:tcPr>
          <w:p w14:paraId="08B41D1E">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查看病区侯床队列</w:t>
            </w:r>
          </w:p>
        </w:tc>
      </w:tr>
      <w:tr w14:paraId="724AB124">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11F30B5F">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3</w:t>
            </w:r>
            <w:r>
              <w:rPr>
                <w:rFonts w:hint="eastAsia" w:asciiTheme="minorEastAsia" w:hAnsiTheme="minorEastAsia" w:eastAsiaTheme="minorEastAsia" w:cstheme="minorEastAsia"/>
                <w:color w:val="auto"/>
                <w:kern w:val="0"/>
                <w:sz w:val="22"/>
                <w:highlight w:val="none"/>
                <w:lang w:eastAsia="zh-CN" w:bidi="ar"/>
              </w:rPr>
              <w:t>4</w:t>
            </w:r>
          </w:p>
        </w:tc>
        <w:tc>
          <w:tcPr>
            <w:tcW w:w="601" w:type="pct"/>
            <w:vMerge w:val="continue"/>
            <w:tcBorders>
              <w:top w:val="nil"/>
              <w:left w:val="single" w:color="auto" w:sz="4" w:space="0"/>
              <w:bottom w:val="single" w:color="000000" w:sz="4" w:space="0"/>
              <w:right w:val="single" w:color="auto" w:sz="4" w:space="0"/>
            </w:tcBorders>
            <w:vAlign w:val="center"/>
          </w:tcPr>
          <w:p w14:paraId="3B2C8917">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continue"/>
            <w:tcBorders>
              <w:top w:val="nil"/>
              <w:left w:val="single" w:color="auto" w:sz="4" w:space="0"/>
              <w:bottom w:val="single" w:color="auto" w:sz="4" w:space="0"/>
              <w:right w:val="single" w:color="auto" w:sz="4" w:space="0"/>
            </w:tcBorders>
            <w:vAlign w:val="center"/>
          </w:tcPr>
          <w:p w14:paraId="471332B7">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890" w:type="pct"/>
            <w:tcBorders>
              <w:top w:val="nil"/>
              <w:left w:val="nil"/>
              <w:bottom w:val="single" w:color="auto" w:sz="4" w:space="0"/>
              <w:right w:val="single" w:color="auto" w:sz="4" w:space="0"/>
            </w:tcBorders>
            <w:shd w:val="clear" w:color="auto" w:fill="auto"/>
            <w:vAlign w:val="center"/>
          </w:tcPr>
          <w:p w14:paraId="17DA362D">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kern w:val="0"/>
                <w:sz w:val="22"/>
                <w:highlight w:val="none"/>
                <w:lang w:bidi="ar"/>
              </w:rPr>
              <w:t>查看入院申请单</w:t>
            </w:r>
          </w:p>
        </w:tc>
        <w:tc>
          <w:tcPr>
            <w:tcW w:w="2430" w:type="pct"/>
            <w:tcBorders>
              <w:top w:val="nil"/>
              <w:left w:val="nil"/>
              <w:bottom w:val="single" w:color="auto" w:sz="4" w:space="0"/>
              <w:right w:val="single" w:color="auto" w:sz="4" w:space="0"/>
            </w:tcBorders>
            <w:shd w:val="clear" w:color="auto" w:fill="auto"/>
            <w:vAlign w:val="center"/>
          </w:tcPr>
          <w:p w14:paraId="3F1C7FDA">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查看侯床患者的入院申请单</w:t>
            </w:r>
          </w:p>
        </w:tc>
      </w:tr>
      <w:tr w14:paraId="3273D930">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29E7CB9C">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3</w:t>
            </w:r>
            <w:r>
              <w:rPr>
                <w:rFonts w:hint="eastAsia" w:asciiTheme="minorEastAsia" w:hAnsiTheme="minorEastAsia" w:eastAsiaTheme="minorEastAsia" w:cstheme="minorEastAsia"/>
                <w:color w:val="auto"/>
                <w:kern w:val="0"/>
                <w:sz w:val="22"/>
                <w:highlight w:val="none"/>
                <w:lang w:eastAsia="zh-CN" w:bidi="ar"/>
              </w:rPr>
              <w:t>5</w:t>
            </w:r>
          </w:p>
        </w:tc>
        <w:tc>
          <w:tcPr>
            <w:tcW w:w="601" w:type="pct"/>
            <w:vMerge w:val="continue"/>
            <w:tcBorders>
              <w:top w:val="nil"/>
              <w:left w:val="single" w:color="auto" w:sz="4" w:space="0"/>
              <w:bottom w:val="single" w:color="000000" w:sz="4" w:space="0"/>
              <w:right w:val="single" w:color="auto" w:sz="4" w:space="0"/>
            </w:tcBorders>
            <w:vAlign w:val="center"/>
          </w:tcPr>
          <w:p w14:paraId="0320A52C">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continue"/>
            <w:tcBorders>
              <w:top w:val="nil"/>
              <w:left w:val="single" w:color="auto" w:sz="4" w:space="0"/>
              <w:bottom w:val="single" w:color="auto" w:sz="4" w:space="0"/>
              <w:right w:val="single" w:color="auto" w:sz="4" w:space="0"/>
            </w:tcBorders>
            <w:vAlign w:val="center"/>
          </w:tcPr>
          <w:p w14:paraId="7EE82F1F">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890" w:type="pct"/>
            <w:tcBorders>
              <w:top w:val="nil"/>
              <w:left w:val="nil"/>
              <w:bottom w:val="single" w:color="auto" w:sz="4" w:space="0"/>
              <w:right w:val="single" w:color="auto" w:sz="4" w:space="0"/>
            </w:tcBorders>
            <w:shd w:val="clear" w:color="auto" w:fill="auto"/>
            <w:vAlign w:val="center"/>
          </w:tcPr>
          <w:p w14:paraId="2ACC9CC9">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kern w:val="0"/>
                <w:sz w:val="22"/>
                <w:highlight w:val="none"/>
                <w:lang w:bidi="ar"/>
              </w:rPr>
              <w:t>查看床位信息</w:t>
            </w:r>
          </w:p>
        </w:tc>
        <w:tc>
          <w:tcPr>
            <w:tcW w:w="2430" w:type="pct"/>
            <w:tcBorders>
              <w:top w:val="nil"/>
              <w:left w:val="nil"/>
              <w:bottom w:val="single" w:color="auto" w:sz="4" w:space="0"/>
              <w:right w:val="single" w:color="auto" w:sz="4" w:space="0"/>
            </w:tcBorders>
            <w:shd w:val="clear" w:color="auto" w:fill="auto"/>
            <w:vAlign w:val="center"/>
          </w:tcPr>
          <w:p w14:paraId="44E13BF3">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查看床位信息</w:t>
            </w:r>
          </w:p>
        </w:tc>
      </w:tr>
      <w:tr w14:paraId="2FDD9FEF">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742D251E">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3</w:t>
            </w:r>
            <w:r>
              <w:rPr>
                <w:rFonts w:hint="eastAsia" w:asciiTheme="minorEastAsia" w:hAnsiTheme="minorEastAsia" w:eastAsiaTheme="minorEastAsia" w:cstheme="minorEastAsia"/>
                <w:color w:val="auto"/>
                <w:kern w:val="0"/>
                <w:sz w:val="22"/>
                <w:highlight w:val="none"/>
                <w:lang w:eastAsia="zh-CN" w:bidi="ar"/>
              </w:rPr>
              <w:t>6</w:t>
            </w:r>
          </w:p>
        </w:tc>
        <w:tc>
          <w:tcPr>
            <w:tcW w:w="601" w:type="pct"/>
            <w:vMerge w:val="continue"/>
            <w:tcBorders>
              <w:top w:val="nil"/>
              <w:left w:val="single" w:color="auto" w:sz="4" w:space="0"/>
              <w:bottom w:val="single" w:color="000000" w:sz="4" w:space="0"/>
              <w:right w:val="single" w:color="auto" w:sz="4" w:space="0"/>
            </w:tcBorders>
            <w:vAlign w:val="center"/>
          </w:tcPr>
          <w:p w14:paraId="60D6335A">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restart"/>
            <w:tcBorders>
              <w:top w:val="nil"/>
              <w:left w:val="single" w:color="auto" w:sz="4" w:space="0"/>
              <w:bottom w:val="single" w:color="auto" w:sz="4" w:space="0"/>
              <w:right w:val="single" w:color="auto" w:sz="4" w:space="0"/>
            </w:tcBorders>
            <w:shd w:val="clear" w:color="auto" w:fill="auto"/>
            <w:vAlign w:val="center"/>
          </w:tcPr>
          <w:p w14:paraId="38B05C28">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床位总览</w:t>
            </w:r>
          </w:p>
        </w:tc>
        <w:tc>
          <w:tcPr>
            <w:tcW w:w="890" w:type="pct"/>
            <w:tcBorders>
              <w:top w:val="nil"/>
              <w:left w:val="nil"/>
              <w:bottom w:val="single" w:color="auto" w:sz="4" w:space="0"/>
              <w:right w:val="single" w:color="auto" w:sz="4" w:space="0"/>
            </w:tcBorders>
            <w:shd w:val="clear" w:color="auto" w:fill="auto"/>
            <w:vAlign w:val="center"/>
          </w:tcPr>
          <w:p w14:paraId="5A0EDB0B">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kern w:val="0"/>
                <w:sz w:val="22"/>
                <w:highlight w:val="none"/>
                <w:lang w:bidi="ar"/>
              </w:rPr>
              <w:t>床位总览</w:t>
            </w:r>
          </w:p>
        </w:tc>
        <w:tc>
          <w:tcPr>
            <w:tcW w:w="2430" w:type="pct"/>
            <w:tcBorders>
              <w:top w:val="nil"/>
              <w:left w:val="nil"/>
              <w:bottom w:val="single" w:color="auto" w:sz="4" w:space="0"/>
              <w:right w:val="single" w:color="auto" w:sz="4" w:space="0"/>
            </w:tcBorders>
            <w:shd w:val="clear" w:color="auto" w:fill="auto"/>
            <w:vAlign w:val="center"/>
          </w:tcPr>
          <w:p w14:paraId="281EAB33">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各病区的床位可视化视图，查询各病区各床位详情</w:t>
            </w:r>
          </w:p>
        </w:tc>
      </w:tr>
      <w:tr w14:paraId="4F6CF8AA">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236F92AB">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3</w:t>
            </w:r>
            <w:r>
              <w:rPr>
                <w:rFonts w:hint="eastAsia" w:asciiTheme="minorEastAsia" w:hAnsiTheme="minorEastAsia" w:eastAsiaTheme="minorEastAsia" w:cstheme="minorEastAsia"/>
                <w:color w:val="auto"/>
                <w:kern w:val="0"/>
                <w:sz w:val="22"/>
                <w:highlight w:val="none"/>
                <w:lang w:eastAsia="zh-CN" w:bidi="ar"/>
              </w:rPr>
              <w:t>7</w:t>
            </w:r>
          </w:p>
        </w:tc>
        <w:tc>
          <w:tcPr>
            <w:tcW w:w="601" w:type="pct"/>
            <w:vMerge w:val="continue"/>
            <w:tcBorders>
              <w:top w:val="nil"/>
              <w:left w:val="single" w:color="auto" w:sz="4" w:space="0"/>
              <w:bottom w:val="single" w:color="000000" w:sz="4" w:space="0"/>
              <w:right w:val="single" w:color="auto" w:sz="4" w:space="0"/>
            </w:tcBorders>
            <w:vAlign w:val="center"/>
          </w:tcPr>
          <w:p w14:paraId="31F9C13D">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continue"/>
            <w:tcBorders>
              <w:top w:val="nil"/>
              <w:left w:val="single" w:color="auto" w:sz="4" w:space="0"/>
              <w:bottom w:val="single" w:color="auto" w:sz="4" w:space="0"/>
              <w:right w:val="single" w:color="auto" w:sz="4" w:space="0"/>
            </w:tcBorders>
            <w:vAlign w:val="center"/>
          </w:tcPr>
          <w:p w14:paraId="5E661E2B">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890" w:type="pct"/>
            <w:tcBorders>
              <w:top w:val="nil"/>
              <w:left w:val="nil"/>
              <w:bottom w:val="single" w:color="auto" w:sz="4" w:space="0"/>
              <w:right w:val="single" w:color="auto" w:sz="4" w:space="0"/>
            </w:tcBorders>
            <w:shd w:val="clear" w:color="auto" w:fill="auto"/>
            <w:vAlign w:val="center"/>
          </w:tcPr>
          <w:p w14:paraId="2293EDEE">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kern w:val="0"/>
                <w:sz w:val="22"/>
                <w:highlight w:val="none"/>
                <w:lang w:bidi="ar"/>
              </w:rPr>
              <w:t>留床</w:t>
            </w:r>
          </w:p>
        </w:tc>
        <w:tc>
          <w:tcPr>
            <w:tcW w:w="2430" w:type="pct"/>
            <w:tcBorders>
              <w:top w:val="nil"/>
              <w:left w:val="nil"/>
              <w:bottom w:val="single" w:color="auto" w:sz="4" w:space="0"/>
              <w:right w:val="single" w:color="auto" w:sz="4" w:space="0"/>
            </w:tcBorders>
            <w:shd w:val="clear" w:color="auto" w:fill="auto"/>
            <w:vAlign w:val="center"/>
          </w:tcPr>
          <w:p w14:paraId="2D1FD398">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可将床位设置为临时留床，设置完毕后，该床位会有留床信息；可配置留床是否锁定床位</w:t>
            </w:r>
          </w:p>
        </w:tc>
      </w:tr>
      <w:tr w14:paraId="6A65872B">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2DA5AEFA">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3</w:t>
            </w:r>
            <w:r>
              <w:rPr>
                <w:rFonts w:hint="eastAsia" w:asciiTheme="minorEastAsia" w:hAnsiTheme="minorEastAsia" w:eastAsiaTheme="minorEastAsia" w:cstheme="minorEastAsia"/>
                <w:color w:val="auto"/>
                <w:kern w:val="0"/>
                <w:sz w:val="22"/>
                <w:highlight w:val="none"/>
                <w:lang w:eastAsia="zh-CN" w:bidi="ar"/>
              </w:rPr>
              <w:t>8</w:t>
            </w:r>
          </w:p>
        </w:tc>
        <w:tc>
          <w:tcPr>
            <w:tcW w:w="601" w:type="pct"/>
            <w:vMerge w:val="continue"/>
            <w:tcBorders>
              <w:top w:val="nil"/>
              <w:left w:val="single" w:color="auto" w:sz="4" w:space="0"/>
              <w:bottom w:val="single" w:color="000000" w:sz="4" w:space="0"/>
              <w:right w:val="single" w:color="auto" w:sz="4" w:space="0"/>
            </w:tcBorders>
            <w:vAlign w:val="center"/>
          </w:tcPr>
          <w:p w14:paraId="12A91EF9">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continue"/>
            <w:tcBorders>
              <w:top w:val="nil"/>
              <w:left w:val="single" w:color="auto" w:sz="4" w:space="0"/>
              <w:bottom w:val="single" w:color="auto" w:sz="4" w:space="0"/>
              <w:right w:val="single" w:color="auto" w:sz="4" w:space="0"/>
            </w:tcBorders>
            <w:vAlign w:val="center"/>
          </w:tcPr>
          <w:p w14:paraId="001220D2">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890" w:type="pct"/>
            <w:tcBorders>
              <w:top w:val="nil"/>
              <w:left w:val="nil"/>
              <w:bottom w:val="single" w:color="auto" w:sz="4" w:space="0"/>
              <w:right w:val="single" w:color="auto" w:sz="4" w:space="0"/>
            </w:tcBorders>
            <w:shd w:val="clear" w:color="auto" w:fill="auto"/>
            <w:vAlign w:val="center"/>
          </w:tcPr>
          <w:p w14:paraId="5CBD4C31">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kern w:val="0"/>
                <w:sz w:val="22"/>
                <w:highlight w:val="none"/>
                <w:lang w:bidi="ar"/>
              </w:rPr>
              <w:t>查看已入院患者信息</w:t>
            </w:r>
          </w:p>
        </w:tc>
        <w:tc>
          <w:tcPr>
            <w:tcW w:w="2430" w:type="pct"/>
            <w:tcBorders>
              <w:top w:val="nil"/>
              <w:left w:val="nil"/>
              <w:bottom w:val="single" w:color="auto" w:sz="4" w:space="0"/>
              <w:right w:val="single" w:color="auto" w:sz="4" w:space="0"/>
            </w:tcBorders>
            <w:shd w:val="clear" w:color="auto" w:fill="auto"/>
            <w:vAlign w:val="center"/>
          </w:tcPr>
          <w:p w14:paraId="19DCC0D3">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查看已入院患者信息</w:t>
            </w:r>
          </w:p>
        </w:tc>
      </w:tr>
      <w:tr w14:paraId="04E07BA0">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0006A377">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39</w:t>
            </w:r>
          </w:p>
        </w:tc>
        <w:tc>
          <w:tcPr>
            <w:tcW w:w="601" w:type="pct"/>
            <w:vMerge w:val="continue"/>
            <w:tcBorders>
              <w:top w:val="nil"/>
              <w:left w:val="single" w:color="auto" w:sz="4" w:space="0"/>
              <w:bottom w:val="single" w:color="000000" w:sz="4" w:space="0"/>
              <w:right w:val="single" w:color="auto" w:sz="4" w:space="0"/>
            </w:tcBorders>
            <w:vAlign w:val="center"/>
          </w:tcPr>
          <w:p w14:paraId="402752A4">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continue"/>
            <w:tcBorders>
              <w:top w:val="nil"/>
              <w:left w:val="single" w:color="auto" w:sz="4" w:space="0"/>
              <w:bottom w:val="single" w:color="auto" w:sz="4" w:space="0"/>
              <w:right w:val="single" w:color="auto" w:sz="4" w:space="0"/>
            </w:tcBorders>
            <w:vAlign w:val="center"/>
          </w:tcPr>
          <w:p w14:paraId="5CF78CE6">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890" w:type="pct"/>
            <w:tcBorders>
              <w:top w:val="nil"/>
              <w:left w:val="nil"/>
              <w:bottom w:val="single" w:color="auto" w:sz="4" w:space="0"/>
              <w:right w:val="single" w:color="auto" w:sz="4" w:space="0"/>
            </w:tcBorders>
            <w:shd w:val="clear" w:color="auto" w:fill="auto"/>
            <w:vAlign w:val="center"/>
          </w:tcPr>
          <w:p w14:paraId="0E367344">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kern w:val="0"/>
                <w:sz w:val="22"/>
                <w:highlight w:val="none"/>
                <w:lang w:bidi="ar"/>
              </w:rPr>
              <w:t>查看已预约患者信息</w:t>
            </w:r>
          </w:p>
        </w:tc>
        <w:tc>
          <w:tcPr>
            <w:tcW w:w="2430" w:type="pct"/>
            <w:tcBorders>
              <w:top w:val="nil"/>
              <w:left w:val="nil"/>
              <w:bottom w:val="single" w:color="auto" w:sz="4" w:space="0"/>
              <w:right w:val="single" w:color="auto" w:sz="4" w:space="0"/>
            </w:tcBorders>
            <w:shd w:val="clear" w:color="auto" w:fill="auto"/>
            <w:vAlign w:val="center"/>
          </w:tcPr>
          <w:p w14:paraId="59DB3E79">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查看已预约患者信息</w:t>
            </w:r>
          </w:p>
        </w:tc>
      </w:tr>
      <w:tr w14:paraId="4C6B8D05">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323159EE">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40</w:t>
            </w:r>
          </w:p>
        </w:tc>
        <w:tc>
          <w:tcPr>
            <w:tcW w:w="601" w:type="pct"/>
            <w:vMerge w:val="continue"/>
            <w:tcBorders>
              <w:top w:val="nil"/>
              <w:left w:val="single" w:color="auto" w:sz="4" w:space="0"/>
              <w:bottom w:val="single" w:color="000000" w:sz="4" w:space="0"/>
              <w:right w:val="single" w:color="auto" w:sz="4" w:space="0"/>
            </w:tcBorders>
            <w:vAlign w:val="center"/>
          </w:tcPr>
          <w:p w14:paraId="6FBB5817">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continue"/>
            <w:tcBorders>
              <w:top w:val="nil"/>
              <w:left w:val="single" w:color="auto" w:sz="4" w:space="0"/>
              <w:bottom w:val="single" w:color="auto" w:sz="4" w:space="0"/>
              <w:right w:val="single" w:color="auto" w:sz="4" w:space="0"/>
            </w:tcBorders>
            <w:vAlign w:val="center"/>
          </w:tcPr>
          <w:p w14:paraId="066BA66C">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890" w:type="pct"/>
            <w:tcBorders>
              <w:top w:val="nil"/>
              <w:left w:val="nil"/>
              <w:bottom w:val="single" w:color="auto" w:sz="4" w:space="0"/>
              <w:right w:val="single" w:color="auto" w:sz="4" w:space="0"/>
            </w:tcBorders>
            <w:shd w:val="clear" w:color="auto" w:fill="auto"/>
            <w:vAlign w:val="center"/>
          </w:tcPr>
          <w:p w14:paraId="7A13343B">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kern w:val="0"/>
                <w:sz w:val="22"/>
                <w:highlight w:val="none"/>
                <w:lang w:bidi="ar"/>
              </w:rPr>
              <w:t>查看床位信息</w:t>
            </w:r>
          </w:p>
        </w:tc>
        <w:tc>
          <w:tcPr>
            <w:tcW w:w="2430" w:type="pct"/>
            <w:tcBorders>
              <w:top w:val="nil"/>
              <w:left w:val="nil"/>
              <w:bottom w:val="single" w:color="auto" w:sz="4" w:space="0"/>
              <w:right w:val="single" w:color="auto" w:sz="4" w:space="0"/>
            </w:tcBorders>
            <w:shd w:val="clear" w:color="auto" w:fill="auto"/>
            <w:vAlign w:val="center"/>
          </w:tcPr>
          <w:p w14:paraId="10AB1F0A">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查看床位信息</w:t>
            </w:r>
          </w:p>
        </w:tc>
      </w:tr>
      <w:tr w14:paraId="4FF2FCCF">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1A78A72E">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41</w:t>
            </w:r>
          </w:p>
        </w:tc>
        <w:tc>
          <w:tcPr>
            <w:tcW w:w="601" w:type="pct"/>
            <w:vMerge w:val="continue"/>
            <w:tcBorders>
              <w:top w:val="nil"/>
              <w:left w:val="single" w:color="auto" w:sz="4" w:space="0"/>
              <w:bottom w:val="single" w:color="000000" w:sz="4" w:space="0"/>
              <w:right w:val="single" w:color="auto" w:sz="4" w:space="0"/>
            </w:tcBorders>
            <w:vAlign w:val="center"/>
          </w:tcPr>
          <w:p w14:paraId="2F083E5D">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continue"/>
            <w:tcBorders>
              <w:top w:val="nil"/>
              <w:left w:val="single" w:color="auto" w:sz="4" w:space="0"/>
              <w:bottom w:val="single" w:color="auto" w:sz="4" w:space="0"/>
              <w:right w:val="single" w:color="auto" w:sz="4" w:space="0"/>
            </w:tcBorders>
            <w:vAlign w:val="center"/>
          </w:tcPr>
          <w:p w14:paraId="5525BCA0">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890" w:type="pct"/>
            <w:tcBorders>
              <w:top w:val="nil"/>
              <w:left w:val="nil"/>
              <w:bottom w:val="single" w:color="auto" w:sz="4" w:space="0"/>
              <w:right w:val="single" w:color="auto" w:sz="4" w:space="0"/>
            </w:tcBorders>
            <w:shd w:val="clear" w:color="auto" w:fill="auto"/>
            <w:vAlign w:val="center"/>
          </w:tcPr>
          <w:p w14:paraId="6BC05815">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取消留床</w:t>
            </w:r>
          </w:p>
        </w:tc>
        <w:tc>
          <w:tcPr>
            <w:tcW w:w="2430" w:type="pct"/>
            <w:tcBorders>
              <w:top w:val="nil"/>
              <w:left w:val="nil"/>
              <w:bottom w:val="single" w:color="auto" w:sz="4" w:space="0"/>
              <w:right w:val="single" w:color="auto" w:sz="4" w:space="0"/>
            </w:tcBorders>
            <w:shd w:val="clear" w:color="auto" w:fill="auto"/>
            <w:vAlign w:val="center"/>
          </w:tcPr>
          <w:p w14:paraId="5189B39F">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已留床的床位可以进行取消留床，设置完毕后该床位留床信息会清空，取消类型为手动取消</w:t>
            </w:r>
          </w:p>
        </w:tc>
      </w:tr>
      <w:tr w14:paraId="46F29CF3">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321A72A5">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42</w:t>
            </w:r>
          </w:p>
        </w:tc>
        <w:tc>
          <w:tcPr>
            <w:tcW w:w="601" w:type="pct"/>
            <w:vMerge w:val="continue"/>
            <w:tcBorders>
              <w:top w:val="nil"/>
              <w:left w:val="single" w:color="auto" w:sz="4" w:space="0"/>
              <w:bottom w:val="single" w:color="000000" w:sz="4" w:space="0"/>
              <w:right w:val="single" w:color="auto" w:sz="4" w:space="0"/>
            </w:tcBorders>
            <w:vAlign w:val="center"/>
          </w:tcPr>
          <w:p w14:paraId="698E19E4">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restart"/>
            <w:tcBorders>
              <w:top w:val="nil"/>
              <w:left w:val="single" w:color="auto" w:sz="4" w:space="0"/>
              <w:bottom w:val="single" w:color="000000" w:sz="4" w:space="0"/>
              <w:right w:val="single" w:color="auto" w:sz="4" w:space="0"/>
            </w:tcBorders>
            <w:shd w:val="clear" w:color="auto" w:fill="auto"/>
            <w:vAlign w:val="center"/>
          </w:tcPr>
          <w:p w14:paraId="780083E0">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配床查询</w:t>
            </w:r>
          </w:p>
        </w:tc>
        <w:tc>
          <w:tcPr>
            <w:tcW w:w="890" w:type="pct"/>
            <w:tcBorders>
              <w:top w:val="nil"/>
              <w:left w:val="nil"/>
              <w:bottom w:val="single" w:color="auto" w:sz="4" w:space="0"/>
              <w:right w:val="single" w:color="auto" w:sz="4" w:space="0"/>
            </w:tcBorders>
            <w:shd w:val="clear" w:color="auto" w:fill="auto"/>
            <w:vAlign w:val="center"/>
          </w:tcPr>
          <w:p w14:paraId="1F916F4E">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kern w:val="0"/>
                <w:sz w:val="22"/>
                <w:highlight w:val="none"/>
                <w:lang w:bidi="ar"/>
              </w:rPr>
              <w:t>查询已配床申请</w:t>
            </w:r>
          </w:p>
        </w:tc>
        <w:tc>
          <w:tcPr>
            <w:tcW w:w="2430" w:type="pct"/>
            <w:tcBorders>
              <w:top w:val="nil"/>
              <w:left w:val="nil"/>
              <w:bottom w:val="single" w:color="auto" w:sz="4" w:space="0"/>
              <w:right w:val="single" w:color="auto" w:sz="4" w:space="0"/>
            </w:tcBorders>
            <w:shd w:val="clear" w:color="auto" w:fill="auto"/>
            <w:vAlign w:val="center"/>
          </w:tcPr>
          <w:p w14:paraId="0185E7B6">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查询已配床申请</w:t>
            </w:r>
          </w:p>
        </w:tc>
      </w:tr>
      <w:tr w14:paraId="7A6B8497">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13ED4992">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43</w:t>
            </w:r>
          </w:p>
        </w:tc>
        <w:tc>
          <w:tcPr>
            <w:tcW w:w="601" w:type="pct"/>
            <w:vMerge w:val="continue"/>
            <w:tcBorders>
              <w:top w:val="nil"/>
              <w:left w:val="single" w:color="auto" w:sz="4" w:space="0"/>
              <w:bottom w:val="single" w:color="000000" w:sz="4" w:space="0"/>
              <w:right w:val="single" w:color="auto" w:sz="4" w:space="0"/>
            </w:tcBorders>
            <w:vAlign w:val="center"/>
          </w:tcPr>
          <w:p w14:paraId="392DCA72">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continue"/>
            <w:tcBorders>
              <w:top w:val="nil"/>
              <w:left w:val="single" w:color="auto" w:sz="4" w:space="0"/>
              <w:bottom w:val="single" w:color="000000" w:sz="4" w:space="0"/>
              <w:right w:val="single" w:color="auto" w:sz="4" w:space="0"/>
            </w:tcBorders>
            <w:vAlign w:val="center"/>
          </w:tcPr>
          <w:p w14:paraId="1F118216">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890" w:type="pct"/>
            <w:tcBorders>
              <w:top w:val="nil"/>
              <w:left w:val="nil"/>
              <w:bottom w:val="single" w:color="auto" w:sz="4" w:space="0"/>
              <w:right w:val="single" w:color="auto" w:sz="4" w:space="0"/>
            </w:tcBorders>
            <w:shd w:val="clear" w:color="auto" w:fill="auto"/>
            <w:vAlign w:val="center"/>
          </w:tcPr>
          <w:p w14:paraId="5F0224BC">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kern w:val="0"/>
                <w:sz w:val="22"/>
                <w:highlight w:val="none"/>
                <w:lang w:bidi="ar"/>
              </w:rPr>
              <w:t>查询已取消申请</w:t>
            </w:r>
          </w:p>
        </w:tc>
        <w:tc>
          <w:tcPr>
            <w:tcW w:w="2430" w:type="pct"/>
            <w:tcBorders>
              <w:top w:val="nil"/>
              <w:left w:val="nil"/>
              <w:bottom w:val="single" w:color="auto" w:sz="4" w:space="0"/>
              <w:right w:val="single" w:color="auto" w:sz="4" w:space="0"/>
            </w:tcBorders>
            <w:shd w:val="clear" w:color="auto" w:fill="auto"/>
            <w:vAlign w:val="center"/>
          </w:tcPr>
          <w:p w14:paraId="3E2E2B31">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查询已取消申请</w:t>
            </w:r>
          </w:p>
        </w:tc>
      </w:tr>
      <w:tr w14:paraId="6DD27D3F">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4849618B">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44</w:t>
            </w:r>
          </w:p>
        </w:tc>
        <w:tc>
          <w:tcPr>
            <w:tcW w:w="601" w:type="pct"/>
            <w:vMerge w:val="continue"/>
            <w:tcBorders>
              <w:top w:val="nil"/>
              <w:left w:val="single" w:color="auto" w:sz="4" w:space="0"/>
              <w:bottom w:val="single" w:color="000000" w:sz="4" w:space="0"/>
              <w:right w:val="single" w:color="auto" w:sz="4" w:space="0"/>
            </w:tcBorders>
            <w:vAlign w:val="center"/>
          </w:tcPr>
          <w:p w14:paraId="5D21CD67">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continue"/>
            <w:tcBorders>
              <w:top w:val="nil"/>
              <w:left w:val="single" w:color="auto" w:sz="4" w:space="0"/>
              <w:bottom w:val="single" w:color="000000" w:sz="4" w:space="0"/>
              <w:right w:val="single" w:color="auto" w:sz="4" w:space="0"/>
            </w:tcBorders>
            <w:vAlign w:val="center"/>
          </w:tcPr>
          <w:p w14:paraId="5E3806BD">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890" w:type="pct"/>
            <w:tcBorders>
              <w:top w:val="nil"/>
              <w:left w:val="nil"/>
              <w:bottom w:val="single" w:color="auto" w:sz="4" w:space="0"/>
              <w:right w:val="single" w:color="auto" w:sz="4" w:space="0"/>
            </w:tcBorders>
            <w:shd w:val="clear" w:color="auto" w:fill="auto"/>
            <w:vAlign w:val="center"/>
          </w:tcPr>
          <w:p w14:paraId="70B09876">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kern w:val="0"/>
                <w:sz w:val="22"/>
                <w:highlight w:val="none"/>
                <w:lang w:bidi="ar"/>
              </w:rPr>
              <w:t>查询延期入院申请</w:t>
            </w:r>
          </w:p>
        </w:tc>
        <w:tc>
          <w:tcPr>
            <w:tcW w:w="2430" w:type="pct"/>
            <w:tcBorders>
              <w:top w:val="nil"/>
              <w:left w:val="nil"/>
              <w:bottom w:val="single" w:color="auto" w:sz="4" w:space="0"/>
              <w:right w:val="single" w:color="auto" w:sz="4" w:space="0"/>
            </w:tcBorders>
            <w:shd w:val="clear" w:color="auto" w:fill="auto"/>
            <w:vAlign w:val="center"/>
          </w:tcPr>
          <w:p w14:paraId="6D0C3624">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查询延期入院申请</w:t>
            </w:r>
          </w:p>
        </w:tc>
      </w:tr>
      <w:tr w14:paraId="4F791AC2">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3EDD97B8">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45</w:t>
            </w:r>
          </w:p>
        </w:tc>
        <w:tc>
          <w:tcPr>
            <w:tcW w:w="601" w:type="pct"/>
            <w:vMerge w:val="continue"/>
            <w:tcBorders>
              <w:top w:val="nil"/>
              <w:left w:val="single" w:color="auto" w:sz="4" w:space="0"/>
              <w:bottom w:val="single" w:color="000000" w:sz="4" w:space="0"/>
              <w:right w:val="single" w:color="auto" w:sz="4" w:space="0"/>
            </w:tcBorders>
            <w:vAlign w:val="center"/>
          </w:tcPr>
          <w:p w14:paraId="3C798334">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continue"/>
            <w:tcBorders>
              <w:top w:val="nil"/>
              <w:left w:val="single" w:color="auto" w:sz="4" w:space="0"/>
              <w:bottom w:val="single" w:color="000000" w:sz="4" w:space="0"/>
              <w:right w:val="single" w:color="auto" w:sz="4" w:space="0"/>
            </w:tcBorders>
            <w:vAlign w:val="center"/>
          </w:tcPr>
          <w:p w14:paraId="398C4F0B">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890" w:type="pct"/>
            <w:tcBorders>
              <w:top w:val="nil"/>
              <w:left w:val="nil"/>
              <w:bottom w:val="single" w:color="auto" w:sz="4" w:space="0"/>
              <w:right w:val="single" w:color="auto" w:sz="4" w:space="0"/>
            </w:tcBorders>
            <w:shd w:val="clear" w:color="auto" w:fill="auto"/>
            <w:vAlign w:val="center"/>
          </w:tcPr>
          <w:p w14:paraId="07143FFF">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收回床位</w:t>
            </w:r>
          </w:p>
        </w:tc>
        <w:tc>
          <w:tcPr>
            <w:tcW w:w="2430" w:type="pct"/>
            <w:tcBorders>
              <w:top w:val="nil"/>
              <w:left w:val="nil"/>
              <w:bottom w:val="single" w:color="auto" w:sz="4" w:space="0"/>
              <w:right w:val="single" w:color="auto" w:sz="4" w:space="0"/>
            </w:tcBorders>
            <w:shd w:val="clear" w:color="auto" w:fill="auto"/>
            <w:vAlign w:val="center"/>
          </w:tcPr>
          <w:p w14:paraId="3DC1FB26">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已预订床位的病人不想办理入院，操作 收回床位，收回已预约的床位，已预约的床位释放</w:t>
            </w:r>
          </w:p>
        </w:tc>
      </w:tr>
      <w:tr w14:paraId="12DD0D91">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29A536AF">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46</w:t>
            </w:r>
          </w:p>
        </w:tc>
        <w:tc>
          <w:tcPr>
            <w:tcW w:w="601" w:type="pct"/>
            <w:vMerge w:val="continue"/>
            <w:tcBorders>
              <w:top w:val="nil"/>
              <w:left w:val="single" w:color="auto" w:sz="4" w:space="0"/>
              <w:bottom w:val="single" w:color="000000" w:sz="4" w:space="0"/>
              <w:right w:val="single" w:color="auto" w:sz="4" w:space="0"/>
            </w:tcBorders>
            <w:vAlign w:val="center"/>
          </w:tcPr>
          <w:p w14:paraId="04FABAF9">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continue"/>
            <w:tcBorders>
              <w:top w:val="nil"/>
              <w:left w:val="single" w:color="auto" w:sz="4" w:space="0"/>
              <w:bottom w:val="single" w:color="000000" w:sz="4" w:space="0"/>
              <w:right w:val="single" w:color="auto" w:sz="4" w:space="0"/>
            </w:tcBorders>
            <w:vAlign w:val="center"/>
          </w:tcPr>
          <w:p w14:paraId="606DCD08">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890" w:type="pct"/>
            <w:tcBorders>
              <w:top w:val="nil"/>
              <w:left w:val="nil"/>
              <w:bottom w:val="single" w:color="auto" w:sz="4" w:space="0"/>
              <w:right w:val="single" w:color="auto" w:sz="4" w:space="0"/>
            </w:tcBorders>
            <w:shd w:val="clear" w:color="auto" w:fill="auto"/>
            <w:vAlign w:val="center"/>
          </w:tcPr>
          <w:p w14:paraId="24E20727">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逾期未入院</w:t>
            </w:r>
          </w:p>
        </w:tc>
        <w:tc>
          <w:tcPr>
            <w:tcW w:w="2430" w:type="pct"/>
            <w:tcBorders>
              <w:top w:val="nil"/>
              <w:left w:val="nil"/>
              <w:bottom w:val="single" w:color="auto" w:sz="4" w:space="0"/>
              <w:right w:val="single" w:color="auto" w:sz="4" w:space="0"/>
            </w:tcBorders>
            <w:shd w:val="clear" w:color="auto" w:fill="auto"/>
            <w:vAlign w:val="center"/>
          </w:tcPr>
          <w:p w14:paraId="6670498D">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已预约床位，病人未在规定的时间内办理入院手续，系统自动执行“逾期未入院”提醒</w:t>
            </w:r>
          </w:p>
        </w:tc>
      </w:tr>
      <w:tr w14:paraId="76EA2CBA">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37A2B7FB">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47</w:t>
            </w:r>
          </w:p>
        </w:tc>
        <w:tc>
          <w:tcPr>
            <w:tcW w:w="601" w:type="pct"/>
            <w:vMerge w:val="continue"/>
            <w:tcBorders>
              <w:top w:val="nil"/>
              <w:left w:val="single" w:color="auto" w:sz="4" w:space="0"/>
              <w:bottom w:val="single" w:color="000000" w:sz="4" w:space="0"/>
              <w:right w:val="single" w:color="auto" w:sz="4" w:space="0"/>
            </w:tcBorders>
            <w:vAlign w:val="center"/>
          </w:tcPr>
          <w:p w14:paraId="1DA53884">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continue"/>
            <w:tcBorders>
              <w:top w:val="nil"/>
              <w:left w:val="single" w:color="auto" w:sz="4" w:space="0"/>
              <w:bottom w:val="single" w:color="000000" w:sz="4" w:space="0"/>
              <w:right w:val="single" w:color="auto" w:sz="4" w:space="0"/>
            </w:tcBorders>
            <w:vAlign w:val="center"/>
          </w:tcPr>
          <w:p w14:paraId="28430DA9">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890" w:type="pct"/>
            <w:tcBorders>
              <w:top w:val="nil"/>
              <w:left w:val="nil"/>
              <w:bottom w:val="single" w:color="auto" w:sz="4" w:space="0"/>
              <w:right w:val="single" w:color="auto" w:sz="4" w:space="0"/>
            </w:tcBorders>
            <w:shd w:val="clear" w:color="auto" w:fill="auto"/>
            <w:vAlign w:val="center"/>
          </w:tcPr>
          <w:p w14:paraId="37F96B9C">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已取消申请</w:t>
            </w:r>
          </w:p>
        </w:tc>
        <w:tc>
          <w:tcPr>
            <w:tcW w:w="2430" w:type="pct"/>
            <w:tcBorders>
              <w:top w:val="nil"/>
              <w:left w:val="nil"/>
              <w:bottom w:val="single" w:color="auto" w:sz="4" w:space="0"/>
              <w:right w:val="single" w:color="auto" w:sz="4" w:space="0"/>
            </w:tcBorders>
            <w:shd w:val="clear" w:color="auto" w:fill="auto"/>
            <w:vAlign w:val="center"/>
          </w:tcPr>
          <w:p w14:paraId="4385B275">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根据查询条件可以进行过滤，查询入院申请状态为“取消预约”的记录</w:t>
            </w:r>
          </w:p>
        </w:tc>
      </w:tr>
      <w:tr w14:paraId="15B3E4E8">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2351FBD6">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48</w:t>
            </w:r>
          </w:p>
        </w:tc>
        <w:tc>
          <w:tcPr>
            <w:tcW w:w="601" w:type="pct"/>
            <w:vMerge w:val="continue"/>
            <w:tcBorders>
              <w:top w:val="nil"/>
              <w:left w:val="single" w:color="auto" w:sz="4" w:space="0"/>
              <w:bottom w:val="single" w:color="000000" w:sz="4" w:space="0"/>
              <w:right w:val="single" w:color="auto" w:sz="4" w:space="0"/>
            </w:tcBorders>
            <w:vAlign w:val="center"/>
          </w:tcPr>
          <w:p w14:paraId="521EF040">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continue"/>
            <w:tcBorders>
              <w:top w:val="nil"/>
              <w:left w:val="single" w:color="auto" w:sz="4" w:space="0"/>
              <w:bottom w:val="single" w:color="000000" w:sz="4" w:space="0"/>
              <w:right w:val="single" w:color="auto" w:sz="4" w:space="0"/>
            </w:tcBorders>
            <w:vAlign w:val="center"/>
          </w:tcPr>
          <w:p w14:paraId="7C2733B4">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890" w:type="pct"/>
            <w:tcBorders>
              <w:top w:val="nil"/>
              <w:left w:val="nil"/>
              <w:bottom w:val="single" w:color="auto" w:sz="4" w:space="0"/>
              <w:right w:val="single" w:color="auto" w:sz="4" w:space="0"/>
            </w:tcBorders>
            <w:shd w:val="clear" w:color="auto" w:fill="auto"/>
            <w:vAlign w:val="center"/>
          </w:tcPr>
          <w:p w14:paraId="019924E7">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撤销取消</w:t>
            </w:r>
          </w:p>
        </w:tc>
        <w:tc>
          <w:tcPr>
            <w:tcW w:w="2430" w:type="pct"/>
            <w:tcBorders>
              <w:top w:val="nil"/>
              <w:left w:val="nil"/>
              <w:bottom w:val="single" w:color="auto" w:sz="4" w:space="0"/>
              <w:right w:val="single" w:color="auto" w:sz="4" w:space="0"/>
            </w:tcBorders>
            <w:shd w:val="clear" w:color="auto" w:fill="auto"/>
            <w:vAlign w:val="center"/>
          </w:tcPr>
          <w:p w14:paraId="693D3620">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“取消预约”状态的入院申请通过撤销取消，申请单状态变为“已登记”，出现在“候床申请”列表记录中</w:t>
            </w:r>
          </w:p>
        </w:tc>
      </w:tr>
      <w:tr w14:paraId="7AB88C97">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492F5F89">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49</w:t>
            </w:r>
          </w:p>
        </w:tc>
        <w:tc>
          <w:tcPr>
            <w:tcW w:w="601" w:type="pct"/>
            <w:vMerge w:val="continue"/>
            <w:tcBorders>
              <w:top w:val="nil"/>
              <w:left w:val="single" w:color="auto" w:sz="4" w:space="0"/>
              <w:bottom w:val="single" w:color="000000" w:sz="4" w:space="0"/>
              <w:right w:val="single" w:color="auto" w:sz="4" w:space="0"/>
            </w:tcBorders>
            <w:vAlign w:val="center"/>
          </w:tcPr>
          <w:p w14:paraId="7270F085">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restart"/>
            <w:tcBorders>
              <w:top w:val="nil"/>
              <w:left w:val="single" w:color="auto" w:sz="4" w:space="0"/>
              <w:bottom w:val="single" w:color="auto" w:sz="4" w:space="0"/>
              <w:right w:val="single" w:color="auto" w:sz="4" w:space="0"/>
            </w:tcBorders>
            <w:shd w:val="clear" w:color="auto" w:fill="auto"/>
            <w:vAlign w:val="center"/>
          </w:tcPr>
          <w:p w14:paraId="28F1D9E7">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工作待办</w:t>
            </w:r>
          </w:p>
        </w:tc>
        <w:tc>
          <w:tcPr>
            <w:tcW w:w="890" w:type="pct"/>
            <w:tcBorders>
              <w:top w:val="nil"/>
              <w:left w:val="nil"/>
              <w:bottom w:val="single" w:color="auto" w:sz="4" w:space="0"/>
              <w:right w:val="single" w:color="auto" w:sz="4" w:space="0"/>
            </w:tcBorders>
            <w:shd w:val="clear" w:color="auto" w:fill="auto"/>
            <w:vAlign w:val="center"/>
          </w:tcPr>
          <w:p w14:paraId="2D4998CE">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kern w:val="0"/>
                <w:sz w:val="22"/>
                <w:highlight w:val="none"/>
                <w:lang w:bidi="ar"/>
              </w:rPr>
              <w:t>工作待办</w:t>
            </w:r>
          </w:p>
        </w:tc>
        <w:tc>
          <w:tcPr>
            <w:tcW w:w="2430" w:type="pct"/>
            <w:tcBorders>
              <w:top w:val="nil"/>
              <w:left w:val="nil"/>
              <w:bottom w:val="single" w:color="auto" w:sz="4" w:space="0"/>
              <w:right w:val="single" w:color="auto" w:sz="4" w:space="0"/>
            </w:tcBorders>
            <w:shd w:val="clear" w:color="auto" w:fill="auto"/>
            <w:vAlign w:val="center"/>
          </w:tcPr>
          <w:p w14:paraId="5591BB4D">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查看“逾期未入院”、“转区申请”、“转床申请”三种待办消息</w:t>
            </w:r>
          </w:p>
        </w:tc>
      </w:tr>
      <w:tr w14:paraId="27F60DC2">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6A8A94CC">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50</w:t>
            </w:r>
          </w:p>
        </w:tc>
        <w:tc>
          <w:tcPr>
            <w:tcW w:w="601" w:type="pct"/>
            <w:vMerge w:val="continue"/>
            <w:tcBorders>
              <w:top w:val="nil"/>
              <w:left w:val="single" w:color="auto" w:sz="4" w:space="0"/>
              <w:bottom w:val="single" w:color="000000" w:sz="4" w:space="0"/>
              <w:right w:val="single" w:color="auto" w:sz="4" w:space="0"/>
            </w:tcBorders>
            <w:vAlign w:val="center"/>
          </w:tcPr>
          <w:p w14:paraId="37C5F8DA">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continue"/>
            <w:tcBorders>
              <w:top w:val="nil"/>
              <w:left w:val="single" w:color="auto" w:sz="4" w:space="0"/>
              <w:bottom w:val="single" w:color="auto" w:sz="4" w:space="0"/>
              <w:right w:val="single" w:color="auto" w:sz="4" w:space="0"/>
            </w:tcBorders>
            <w:vAlign w:val="center"/>
          </w:tcPr>
          <w:p w14:paraId="399AB41E">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890" w:type="pct"/>
            <w:tcBorders>
              <w:top w:val="nil"/>
              <w:left w:val="nil"/>
              <w:bottom w:val="single" w:color="auto" w:sz="4" w:space="0"/>
              <w:right w:val="single" w:color="auto" w:sz="4" w:space="0"/>
            </w:tcBorders>
            <w:shd w:val="clear" w:color="auto" w:fill="auto"/>
            <w:vAlign w:val="center"/>
          </w:tcPr>
          <w:p w14:paraId="52D00E3B">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加入待办</w:t>
            </w:r>
          </w:p>
        </w:tc>
        <w:tc>
          <w:tcPr>
            <w:tcW w:w="2430" w:type="pct"/>
            <w:tcBorders>
              <w:top w:val="nil"/>
              <w:left w:val="nil"/>
              <w:bottom w:val="single" w:color="auto" w:sz="4" w:space="0"/>
              <w:right w:val="single" w:color="auto" w:sz="4" w:space="0"/>
            </w:tcBorders>
            <w:shd w:val="clear" w:color="auto" w:fill="auto"/>
            <w:vAlign w:val="center"/>
          </w:tcPr>
          <w:p w14:paraId="24C985A1">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可将待办消息从待办消息池中加入我的待办。</w:t>
            </w:r>
          </w:p>
        </w:tc>
      </w:tr>
      <w:tr w14:paraId="548D0AA6">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2B4927D5">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51</w:t>
            </w:r>
          </w:p>
        </w:tc>
        <w:tc>
          <w:tcPr>
            <w:tcW w:w="601" w:type="pct"/>
            <w:vMerge w:val="continue"/>
            <w:tcBorders>
              <w:top w:val="nil"/>
              <w:left w:val="single" w:color="auto" w:sz="4" w:space="0"/>
              <w:bottom w:val="single" w:color="000000" w:sz="4" w:space="0"/>
              <w:right w:val="single" w:color="auto" w:sz="4" w:space="0"/>
            </w:tcBorders>
            <w:vAlign w:val="center"/>
          </w:tcPr>
          <w:p w14:paraId="5FBEEED2">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continue"/>
            <w:tcBorders>
              <w:top w:val="nil"/>
              <w:left w:val="single" w:color="auto" w:sz="4" w:space="0"/>
              <w:bottom w:val="single" w:color="auto" w:sz="4" w:space="0"/>
              <w:right w:val="single" w:color="auto" w:sz="4" w:space="0"/>
            </w:tcBorders>
            <w:vAlign w:val="center"/>
          </w:tcPr>
          <w:p w14:paraId="6D62D8E1">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890" w:type="pct"/>
            <w:tcBorders>
              <w:top w:val="nil"/>
              <w:left w:val="nil"/>
              <w:bottom w:val="single" w:color="auto" w:sz="4" w:space="0"/>
              <w:right w:val="single" w:color="auto" w:sz="4" w:space="0"/>
            </w:tcBorders>
            <w:shd w:val="clear" w:color="auto" w:fill="auto"/>
            <w:vAlign w:val="center"/>
          </w:tcPr>
          <w:p w14:paraId="0992BEDE">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回退待办</w:t>
            </w:r>
          </w:p>
        </w:tc>
        <w:tc>
          <w:tcPr>
            <w:tcW w:w="2430" w:type="pct"/>
            <w:tcBorders>
              <w:top w:val="nil"/>
              <w:left w:val="nil"/>
              <w:bottom w:val="single" w:color="auto" w:sz="4" w:space="0"/>
              <w:right w:val="single" w:color="auto" w:sz="4" w:space="0"/>
            </w:tcBorders>
            <w:shd w:val="clear" w:color="auto" w:fill="auto"/>
            <w:vAlign w:val="center"/>
          </w:tcPr>
          <w:p w14:paraId="2C38E408">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床位中心护士可回退“我的待办”中的消息，消息将重新回退到科室待办的消息池</w:t>
            </w:r>
          </w:p>
        </w:tc>
      </w:tr>
      <w:tr w14:paraId="5305C569">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5C8543E0">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52</w:t>
            </w:r>
          </w:p>
        </w:tc>
        <w:tc>
          <w:tcPr>
            <w:tcW w:w="601" w:type="pct"/>
            <w:vMerge w:val="continue"/>
            <w:tcBorders>
              <w:top w:val="nil"/>
              <w:left w:val="single" w:color="auto" w:sz="4" w:space="0"/>
              <w:bottom w:val="single" w:color="000000" w:sz="4" w:space="0"/>
              <w:right w:val="single" w:color="auto" w:sz="4" w:space="0"/>
            </w:tcBorders>
            <w:vAlign w:val="center"/>
          </w:tcPr>
          <w:p w14:paraId="1100792B">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continue"/>
            <w:tcBorders>
              <w:top w:val="nil"/>
              <w:left w:val="single" w:color="auto" w:sz="4" w:space="0"/>
              <w:bottom w:val="single" w:color="auto" w:sz="4" w:space="0"/>
              <w:right w:val="single" w:color="auto" w:sz="4" w:space="0"/>
            </w:tcBorders>
            <w:vAlign w:val="center"/>
          </w:tcPr>
          <w:p w14:paraId="6C54456F">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890" w:type="pct"/>
            <w:tcBorders>
              <w:top w:val="nil"/>
              <w:left w:val="nil"/>
              <w:bottom w:val="single" w:color="auto" w:sz="4" w:space="0"/>
              <w:right w:val="single" w:color="auto" w:sz="4" w:space="0"/>
            </w:tcBorders>
            <w:shd w:val="clear" w:color="auto" w:fill="auto"/>
            <w:vAlign w:val="center"/>
          </w:tcPr>
          <w:p w14:paraId="71C812B0">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逾期未入院处理</w:t>
            </w:r>
          </w:p>
        </w:tc>
        <w:tc>
          <w:tcPr>
            <w:tcW w:w="2430" w:type="pct"/>
            <w:tcBorders>
              <w:top w:val="nil"/>
              <w:left w:val="nil"/>
              <w:bottom w:val="single" w:color="auto" w:sz="4" w:space="0"/>
              <w:right w:val="single" w:color="auto" w:sz="4" w:space="0"/>
            </w:tcBorders>
            <w:shd w:val="clear" w:color="auto" w:fill="auto"/>
            <w:vAlign w:val="center"/>
          </w:tcPr>
          <w:p w14:paraId="629185D1">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可对“我的待办-逾期未入院”的消息进行办理：查看该患者的报到时间，联系患者是否取消入院或延迟报到时间</w:t>
            </w:r>
          </w:p>
        </w:tc>
      </w:tr>
      <w:tr w14:paraId="1F1F9B34">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591CD665">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53</w:t>
            </w:r>
          </w:p>
        </w:tc>
        <w:tc>
          <w:tcPr>
            <w:tcW w:w="601" w:type="pct"/>
            <w:vMerge w:val="continue"/>
            <w:tcBorders>
              <w:top w:val="nil"/>
              <w:left w:val="single" w:color="auto" w:sz="4" w:space="0"/>
              <w:bottom w:val="single" w:color="000000" w:sz="4" w:space="0"/>
              <w:right w:val="single" w:color="auto" w:sz="4" w:space="0"/>
            </w:tcBorders>
            <w:vAlign w:val="center"/>
          </w:tcPr>
          <w:p w14:paraId="07122FC3">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continue"/>
            <w:tcBorders>
              <w:top w:val="nil"/>
              <w:left w:val="single" w:color="auto" w:sz="4" w:space="0"/>
              <w:bottom w:val="single" w:color="auto" w:sz="4" w:space="0"/>
              <w:right w:val="single" w:color="auto" w:sz="4" w:space="0"/>
            </w:tcBorders>
            <w:vAlign w:val="center"/>
          </w:tcPr>
          <w:p w14:paraId="3BC513D1">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890" w:type="pct"/>
            <w:tcBorders>
              <w:top w:val="nil"/>
              <w:left w:val="nil"/>
              <w:bottom w:val="single" w:color="auto" w:sz="4" w:space="0"/>
              <w:right w:val="single" w:color="auto" w:sz="4" w:space="0"/>
            </w:tcBorders>
            <w:shd w:val="clear" w:color="auto" w:fill="auto"/>
            <w:vAlign w:val="center"/>
          </w:tcPr>
          <w:p w14:paraId="4A2172D8">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转区申请处理</w:t>
            </w:r>
          </w:p>
        </w:tc>
        <w:tc>
          <w:tcPr>
            <w:tcW w:w="2430" w:type="pct"/>
            <w:tcBorders>
              <w:top w:val="nil"/>
              <w:left w:val="nil"/>
              <w:bottom w:val="single" w:color="auto" w:sz="4" w:space="0"/>
              <w:right w:val="single" w:color="auto" w:sz="4" w:space="0"/>
            </w:tcBorders>
            <w:shd w:val="clear" w:color="auto" w:fill="auto"/>
            <w:vAlign w:val="center"/>
          </w:tcPr>
          <w:p w14:paraId="41DEBC4D">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可对“我的待办-转区申请”的消息进行办理：查看申请转入病区是否有可用床位，分配合适床位或进入候床</w:t>
            </w:r>
          </w:p>
        </w:tc>
      </w:tr>
      <w:tr w14:paraId="61047881">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0BC25757">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54</w:t>
            </w:r>
          </w:p>
        </w:tc>
        <w:tc>
          <w:tcPr>
            <w:tcW w:w="601" w:type="pct"/>
            <w:vMerge w:val="continue"/>
            <w:tcBorders>
              <w:top w:val="nil"/>
              <w:left w:val="single" w:color="auto" w:sz="4" w:space="0"/>
              <w:bottom w:val="single" w:color="000000" w:sz="4" w:space="0"/>
              <w:right w:val="single" w:color="auto" w:sz="4" w:space="0"/>
            </w:tcBorders>
            <w:vAlign w:val="center"/>
          </w:tcPr>
          <w:p w14:paraId="4FFEADA5">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continue"/>
            <w:tcBorders>
              <w:top w:val="nil"/>
              <w:left w:val="single" w:color="auto" w:sz="4" w:space="0"/>
              <w:bottom w:val="single" w:color="auto" w:sz="4" w:space="0"/>
              <w:right w:val="single" w:color="auto" w:sz="4" w:space="0"/>
            </w:tcBorders>
            <w:vAlign w:val="center"/>
          </w:tcPr>
          <w:p w14:paraId="4B07C5BE">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890" w:type="pct"/>
            <w:tcBorders>
              <w:top w:val="nil"/>
              <w:left w:val="nil"/>
              <w:bottom w:val="single" w:color="auto" w:sz="4" w:space="0"/>
              <w:right w:val="single" w:color="auto" w:sz="4" w:space="0"/>
            </w:tcBorders>
            <w:shd w:val="clear" w:color="auto" w:fill="auto"/>
            <w:vAlign w:val="center"/>
          </w:tcPr>
          <w:p w14:paraId="12ADDD4F">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待办消息通知</w:t>
            </w:r>
          </w:p>
        </w:tc>
        <w:tc>
          <w:tcPr>
            <w:tcW w:w="2430" w:type="pct"/>
            <w:tcBorders>
              <w:top w:val="nil"/>
              <w:left w:val="nil"/>
              <w:bottom w:val="single" w:color="auto" w:sz="4" w:space="0"/>
              <w:right w:val="single" w:color="auto" w:sz="4" w:space="0"/>
            </w:tcBorders>
            <w:shd w:val="clear" w:color="auto" w:fill="auto"/>
            <w:vAlign w:val="center"/>
          </w:tcPr>
          <w:p w14:paraId="02D1816B">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页面弹窗通知有待办消息</w:t>
            </w:r>
          </w:p>
        </w:tc>
      </w:tr>
      <w:tr w14:paraId="7D462980">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68DFF973">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55</w:t>
            </w:r>
          </w:p>
        </w:tc>
        <w:tc>
          <w:tcPr>
            <w:tcW w:w="601" w:type="pct"/>
            <w:vMerge w:val="continue"/>
            <w:tcBorders>
              <w:top w:val="nil"/>
              <w:left w:val="single" w:color="auto" w:sz="4" w:space="0"/>
              <w:bottom w:val="single" w:color="000000" w:sz="4" w:space="0"/>
              <w:right w:val="single" w:color="auto" w:sz="4" w:space="0"/>
            </w:tcBorders>
            <w:vAlign w:val="center"/>
          </w:tcPr>
          <w:p w14:paraId="7AFC45B5">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continue"/>
            <w:tcBorders>
              <w:top w:val="nil"/>
              <w:left w:val="single" w:color="auto" w:sz="4" w:space="0"/>
              <w:bottom w:val="single" w:color="auto" w:sz="4" w:space="0"/>
              <w:right w:val="single" w:color="auto" w:sz="4" w:space="0"/>
            </w:tcBorders>
            <w:vAlign w:val="center"/>
          </w:tcPr>
          <w:p w14:paraId="0126999E">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890" w:type="pct"/>
            <w:tcBorders>
              <w:top w:val="nil"/>
              <w:left w:val="nil"/>
              <w:bottom w:val="single" w:color="auto" w:sz="4" w:space="0"/>
              <w:right w:val="single" w:color="auto" w:sz="4" w:space="0"/>
            </w:tcBorders>
            <w:shd w:val="clear" w:color="auto" w:fill="auto"/>
            <w:vAlign w:val="center"/>
          </w:tcPr>
          <w:p w14:paraId="74B8BE59">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修改待办</w:t>
            </w:r>
          </w:p>
        </w:tc>
        <w:tc>
          <w:tcPr>
            <w:tcW w:w="2430" w:type="pct"/>
            <w:tcBorders>
              <w:top w:val="nil"/>
              <w:left w:val="nil"/>
              <w:bottom w:val="single" w:color="auto" w:sz="4" w:space="0"/>
              <w:right w:val="single" w:color="auto" w:sz="4" w:space="0"/>
            </w:tcBorders>
            <w:shd w:val="clear" w:color="auto" w:fill="auto"/>
            <w:vAlign w:val="center"/>
          </w:tcPr>
          <w:p w14:paraId="386B4094">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对已处理的待办消息进行修改</w:t>
            </w:r>
          </w:p>
        </w:tc>
      </w:tr>
      <w:tr w14:paraId="7D37C21A">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3BB8EC84">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56</w:t>
            </w:r>
          </w:p>
        </w:tc>
        <w:tc>
          <w:tcPr>
            <w:tcW w:w="601" w:type="pct"/>
            <w:vMerge w:val="continue"/>
            <w:tcBorders>
              <w:top w:val="nil"/>
              <w:left w:val="single" w:color="auto" w:sz="4" w:space="0"/>
              <w:bottom w:val="single" w:color="000000" w:sz="4" w:space="0"/>
              <w:right w:val="single" w:color="auto" w:sz="4" w:space="0"/>
            </w:tcBorders>
            <w:vAlign w:val="center"/>
          </w:tcPr>
          <w:p w14:paraId="79E1075A">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continue"/>
            <w:tcBorders>
              <w:top w:val="nil"/>
              <w:left w:val="single" w:color="auto" w:sz="4" w:space="0"/>
              <w:bottom w:val="single" w:color="auto" w:sz="4" w:space="0"/>
              <w:right w:val="single" w:color="auto" w:sz="4" w:space="0"/>
            </w:tcBorders>
            <w:vAlign w:val="center"/>
          </w:tcPr>
          <w:p w14:paraId="690F1899">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890" w:type="pct"/>
            <w:tcBorders>
              <w:top w:val="nil"/>
              <w:left w:val="nil"/>
              <w:bottom w:val="single" w:color="auto" w:sz="4" w:space="0"/>
              <w:right w:val="single" w:color="auto" w:sz="4" w:space="0"/>
            </w:tcBorders>
            <w:shd w:val="clear" w:color="auto" w:fill="auto"/>
            <w:vAlign w:val="center"/>
          </w:tcPr>
          <w:p w14:paraId="30D48EDC">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查询待办</w:t>
            </w:r>
          </w:p>
        </w:tc>
        <w:tc>
          <w:tcPr>
            <w:tcW w:w="2430" w:type="pct"/>
            <w:tcBorders>
              <w:top w:val="nil"/>
              <w:left w:val="nil"/>
              <w:bottom w:val="single" w:color="auto" w:sz="4" w:space="0"/>
              <w:right w:val="single" w:color="auto" w:sz="4" w:space="0"/>
            </w:tcBorders>
            <w:shd w:val="clear" w:color="auto" w:fill="auto"/>
            <w:vAlign w:val="center"/>
          </w:tcPr>
          <w:p w14:paraId="54A9A0B2">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查看已处理的待办</w:t>
            </w:r>
          </w:p>
        </w:tc>
      </w:tr>
      <w:tr w14:paraId="462BD2C8">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000A7BD1">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57</w:t>
            </w:r>
          </w:p>
        </w:tc>
        <w:tc>
          <w:tcPr>
            <w:tcW w:w="601" w:type="pct"/>
            <w:vMerge w:val="continue"/>
            <w:tcBorders>
              <w:top w:val="nil"/>
              <w:left w:val="single" w:color="auto" w:sz="4" w:space="0"/>
              <w:bottom w:val="single" w:color="000000" w:sz="4" w:space="0"/>
              <w:right w:val="single" w:color="auto" w:sz="4" w:space="0"/>
            </w:tcBorders>
            <w:vAlign w:val="center"/>
          </w:tcPr>
          <w:p w14:paraId="1D6BB2EA">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restart"/>
            <w:tcBorders>
              <w:top w:val="nil"/>
              <w:left w:val="single" w:color="auto" w:sz="4" w:space="0"/>
              <w:bottom w:val="single" w:color="auto" w:sz="4" w:space="0"/>
              <w:right w:val="single" w:color="auto" w:sz="4" w:space="0"/>
            </w:tcBorders>
            <w:shd w:val="clear" w:color="auto" w:fill="auto"/>
            <w:vAlign w:val="center"/>
          </w:tcPr>
          <w:p w14:paraId="619C7F2C">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操作日志</w:t>
            </w:r>
          </w:p>
        </w:tc>
        <w:tc>
          <w:tcPr>
            <w:tcW w:w="890" w:type="pct"/>
            <w:tcBorders>
              <w:top w:val="nil"/>
              <w:left w:val="nil"/>
              <w:bottom w:val="single" w:color="auto" w:sz="4" w:space="0"/>
              <w:right w:val="single" w:color="auto" w:sz="4" w:space="0"/>
            </w:tcBorders>
            <w:shd w:val="clear" w:color="auto" w:fill="auto"/>
            <w:vAlign w:val="center"/>
          </w:tcPr>
          <w:p w14:paraId="10869635">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kern w:val="0"/>
                <w:sz w:val="22"/>
                <w:highlight w:val="none"/>
                <w:lang w:bidi="ar"/>
              </w:rPr>
              <w:t>状态变动日志</w:t>
            </w:r>
          </w:p>
        </w:tc>
        <w:tc>
          <w:tcPr>
            <w:tcW w:w="2430" w:type="pct"/>
            <w:tcBorders>
              <w:top w:val="nil"/>
              <w:left w:val="nil"/>
              <w:bottom w:val="single" w:color="auto" w:sz="4" w:space="0"/>
              <w:right w:val="single" w:color="auto" w:sz="4" w:space="0"/>
            </w:tcBorders>
            <w:shd w:val="clear" w:color="auto" w:fill="auto"/>
            <w:vAlign w:val="center"/>
          </w:tcPr>
          <w:p w14:paraId="0122C730">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状态变动：查询导致入院申请状态改变的各种操作，记录操作人、时间、操作内容、病区、床位等。信息变动：查询入院申请信息的各修改记录，记录操作人、时间、病区、床位等</w:t>
            </w:r>
          </w:p>
        </w:tc>
      </w:tr>
      <w:tr w14:paraId="2D57A841">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40428559">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58</w:t>
            </w:r>
          </w:p>
        </w:tc>
        <w:tc>
          <w:tcPr>
            <w:tcW w:w="601" w:type="pct"/>
            <w:vMerge w:val="continue"/>
            <w:tcBorders>
              <w:top w:val="nil"/>
              <w:left w:val="single" w:color="auto" w:sz="4" w:space="0"/>
              <w:bottom w:val="single" w:color="000000" w:sz="4" w:space="0"/>
              <w:right w:val="single" w:color="auto" w:sz="4" w:space="0"/>
            </w:tcBorders>
            <w:vAlign w:val="center"/>
          </w:tcPr>
          <w:p w14:paraId="595B76AF">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continue"/>
            <w:tcBorders>
              <w:top w:val="nil"/>
              <w:left w:val="single" w:color="auto" w:sz="4" w:space="0"/>
              <w:bottom w:val="single" w:color="auto" w:sz="4" w:space="0"/>
              <w:right w:val="single" w:color="auto" w:sz="4" w:space="0"/>
            </w:tcBorders>
            <w:vAlign w:val="center"/>
          </w:tcPr>
          <w:p w14:paraId="7F5EA4A0">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890" w:type="pct"/>
            <w:tcBorders>
              <w:top w:val="nil"/>
              <w:left w:val="nil"/>
              <w:bottom w:val="single" w:color="auto" w:sz="4" w:space="0"/>
              <w:right w:val="single" w:color="auto" w:sz="4" w:space="0"/>
            </w:tcBorders>
            <w:shd w:val="clear" w:color="auto" w:fill="auto"/>
            <w:vAlign w:val="center"/>
          </w:tcPr>
          <w:p w14:paraId="387266DC">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kern w:val="0"/>
                <w:sz w:val="22"/>
                <w:highlight w:val="none"/>
                <w:lang w:bidi="ar"/>
              </w:rPr>
              <w:t>导出</w:t>
            </w:r>
          </w:p>
        </w:tc>
        <w:tc>
          <w:tcPr>
            <w:tcW w:w="2430" w:type="pct"/>
            <w:tcBorders>
              <w:top w:val="nil"/>
              <w:left w:val="nil"/>
              <w:bottom w:val="single" w:color="auto" w:sz="4" w:space="0"/>
              <w:right w:val="single" w:color="auto" w:sz="4" w:space="0"/>
            </w:tcBorders>
            <w:shd w:val="clear" w:color="auto" w:fill="auto"/>
            <w:vAlign w:val="center"/>
          </w:tcPr>
          <w:p w14:paraId="372D44D5">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导出状态变动</w:t>
            </w:r>
          </w:p>
        </w:tc>
      </w:tr>
      <w:tr w14:paraId="4D28AF6D">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038D0FE3">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59</w:t>
            </w:r>
          </w:p>
        </w:tc>
        <w:tc>
          <w:tcPr>
            <w:tcW w:w="601" w:type="pct"/>
            <w:vMerge w:val="continue"/>
            <w:tcBorders>
              <w:top w:val="nil"/>
              <w:left w:val="single" w:color="auto" w:sz="4" w:space="0"/>
              <w:bottom w:val="single" w:color="000000" w:sz="4" w:space="0"/>
              <w:right w:val="single" w:color="auto" w:sz="4" w:space="0"/>
            </w:tcBorders>
            <w:vAlign w:val="center"/>
          </w:tcPr>
          <w:p w14:paraId="45945F9F">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continue"/>
            <w:tcBorders>
              <w:top w:val="nil"/>
              <w:left w:val="single" w:color="auto" w:sz="4" w:space="0"/>
              <w:bottom w:val="single" w:color="auto" w:sz="4" w:space="0"/>
              <w:right w:val="single" w:color="auto" w:sz="4" w:space="0"/>
            </w:tcBorders>
            <w:vAlign w:val="center"/>
          </w:tcPr>
          <w:p w14:paraId="1F21CF78">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890" w:type="pct"/>
            <w:tcBorders>
              <w:top w:val="nil"/>
              <w:left w:val="nil"/>
              <w:bottom w:val="single" w:color="auto" w:sz="4" w:space="0"/>
              <w:right w:val="single" w:color="auto" w:sz="4" w:space="0"/>
            </w:tcBorders>
            <w:shd w:val="clear" w:color="auto" w:fill="auto"/>
            <w:vAlign w:val="center"/>
          </w:tcPr>
          <w:p w14:paraId="6DA9D607">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kern w:val="0"/>
                <w:sz w:val="22"/>
                <w:highlight w:val="none"/>
                <w:lang w:bidi="ar"/>
              </w:rPr>
              <w:t>信息变动日志</w:t>
            </w:r>
          </w:p>
        </w:tc>
        <w:tc>
          <w:tcPr>
            <w:tcW w:w="2430" w:type="pct"/>
            <w:tcBorders>
              <w:top w:val="nil"/>
              <w:left w:val="nil"/>
              <w:bottom w:val="single" w:color="auto" w:sz="4" w:space="0"/>
              <w:right w:val="single" w:color="auto" w:sz="4" w:space="0"/>
            </w:tcBorders>
            <w:shd w:val="clear" w:color="auto" w:fill="auto"/>
            <w:vAlign w:val="center"/>
          </w:tcPr>
          <w:p w14:paraId="45759F8D">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信息变动：查询入院申请信息的各修改记录，记录操作人、时间、病区、床位等</w:t>
            </w:r>
          </w:p>
        </w:tc>
      </w:tr>
      <w:tr w14:paraId="7398A6B7">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699681A0">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60</w:t>
            </w:r>
          </w:p>
        </w:tc>
        <w:tc>
          <w:tcPr>
            <w:tcW w:w="601" w:type="pct"/>
            <w:vMerge w:val="continue"/>
            <w:tcBorders>
              <w:top w:val="nil"/>
              <w:left w:val="single" w:color="auto" w:sz="4" w:space="0"/>
              <w:bottom w:val="single" w:color="000000" w:sz="4" w:space="0"/>
              <w:right w:val="single" w:color="auto" w:sz="4" w:space="0"/>
            </w:tcBorders>
            <w:vAlign w:val="center"/>
          </w:tcPr>
          <w:p w14:paraId="34148661">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continue"/>
            <w:tcBorders>
              <w:top w:val="nil"/>
              <w:left w:val="single" w:color="auto" w:sz="4" w:space="0"/>
              <w:bottom w:val="single" w:color="auto" w:sz="4" w:space="0"/>
              <w:right w:val="single" w:color="auto" w:sz="4" w:space="0"/>
            </w:tcBorders>
            <w:vAlign w:val="center"/>
          </w:tcPr>
          <w:p w14:paraId="32B231F2">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890" w:type="pct"/>
            <w:tcBorders>
              <w:top w:val="nil"/>
              <w:left w:val="nil"/>
              <w:bottom w:val="single" w:color="auto" w:sz="4" w:space="0"/>
              <w:right w:val="single" w:color="auto" w:sz="4" w:space="0"/>
            </w:tcBorders>
            <w:shd w:val="clear" w:color="auto" w:fill="auto"/>
            <w:vAlign w:val="center"/>
          </w:tcPr>
          <w:p w14:paraId="1B987EBC">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kern w:val="0"/>
                <w:sz w:val="22"/>
                <w:highlight w:val="none"/>
                <w:lang w:bidi="ar"/>
              </w:rPr>
              <w:t>导出</w:t>
            </w:r>
          </w:p>
        </w:tc>
        <w:tc>
          <w:tcPr>
            <w:tcW w:w="2430" w:type="pct"/>
            <w:tcBorders>
              <w:top w:val="nil"/>
              <w:left w:val="nil"/>
              <w:bottom w:val="single" w:color="auto" w:sz="4" w:space="0"/>
              <w:right w:val="single" w:color="auto" w:sz="4" w:space="0"/>
            </w:tcBorders>
            <w:shd w:val="clear" w:color="auto" w:fill="auto"/>
            <w:vAlign w:val="center"/>
          </w:tcPr>
          <w:p w14:paraId="2962BCCA">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导出电话联系</w:t>
            </w:r>
          </w:p>
        </w:tc>
      </w:tr>
      <w:tr w14:paraId="601CD7D3">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52194DCE">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61</w:t>
            </w:r>
          </w:p>
        </w:tc>
        <w:tc>
          <w:tcPr>
            <w:tcW w:w="601" w:type="pct"/>
            <w:vMerge w:val="continue"/>
            <w:tcBorders>
              <w:top w:val="nil"/>
              <w:left w:val="single" w:color="auto" w:sz="4" w:space="0"/>
              <w:bottom w:val="single" w:color="000000" w:sz="4" w:space="0"/>
              <w:right w:val="single" w:color="auto" w:sz="4" w:space="0"/>
            </w:tcBorders>
            <w:vAlign w:val="center"/>
          </w:tcPr>
          <w:p w14:paraId="05DF44A4">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continue"/>
            <w:tcBorders>
              <w:top w:val="nil"/>
              <w:left w:val="single" w:color="auto" w:sz="4" w:space="0"/>
              <w:bottom w:val="single" w:color="auto" w:sz="4" w:space="0"/>
              <w:right w:val="single" w:color="auto" w:sz="4" w:space="0"/>
            </w:tcBorders>
            <w:vAlign w:val="center"/>
          </w:tcPr>
          <w:p w14:paraId="4E2B9E44">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890" w:type="pct"/>
            <w:tcBorders>
              <w:top w:val="nil"/>
              <w:left w:val="nil"/>
              <w:bottom w:val="single" w:color="auto" w:sz="4" w:space="0"/>
              <w:right w:val="single" w:color="auto" w:sz="4" w:space="0"/>
            </w:tcBorders>
            <w:shd w:val="clear" w:color="auto" w:fill="auto"/>
            <w:vAlign w:val="center"/>
          </w:tcPr>
          <w:p w14:paraId="5D319833">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电话联系日志</w:t>
            </w:r>
          </w:p>
        </w:tc>
        <w:tc>
          <w:tcPr>
            <w:tcW w:w="2430" w:type="pct"/>
            <w:tcBorders>
              <w:top w:val="nil"/>
              <w:left w:val="nil"/>
              <w:bottom w:val="single" w:color="auto" w:sz="4" w:space="0"/>
              <w:right w:val="single" w:color="auto" w:sz="4" w:space="0"/>
            </w:tcBorders>
            <w:shd w:val="clear" w:color="auto" w:fill="auto"/>
            <w:vAlign w:val="center"/>
          </w:tcPr>
          <w:p w14:paraId="38B9EAB7">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电话联系：查询联系患者新增的计数记录，记录操作人、时间、失败原因等</w:t>
            </w:r>
          </w:p>
        </w:tc>
      </w:tr>
      <w:tr w14:paraId="27D59301">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262C0467">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62</w:t>
            </w:r>
          </w:p>
        </w:tc>
        <w:tc>
          <w:tcPr>
            <w:tcW w:w="601" w:type="pct"/>
            <w:vMerge w:val="continue"/>
            <w:tcBorders>
              <w:top w:val="nil"/>
              <w:left w:val="single" w:color="auto" w:sz="4" w:space="0"/>
              <w:bottom w:val="single" w:color="000000" w:sz="4" w:space="0"/>
              <w:right w:val="single" w:color="auto" w:sz="4" w:space="0"/>
            </w:tcBorders>
            <w:vAlign w:val="center"/>
          </w:tcPr>
          <w:p w14:paraId="1DCB9486">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continue"/>
            <w:tcBorders>
              <w:top w:val="nil"/>
              <w:left w:val="single" w:color="auto" w:sz="4" w:space="0"/>
              <w:bottom w:val="single" w:color="auto" w:sz="4" w:space="0"/>
              <w:right w:val="single" w:color="auto" w:sz="4" w:space="0"/>
            </w:tcBorders>
            <w:vAlign w:val="center"/>
          </w:tcPr>
          <w:p w14:paraId="0E142981">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890" w:type="pct"/>
            <w:tcBorders>
              <w:top w:val="nil"/>
              <w:left w:val="nil"/>
              <w:bottom w:val="single" w:color="auto" w:sz="4" w:space="0"/>
              <w:right w:val="single" w:color="auto" w:sz="4" w:space="0"/>
            </w:tcBorders>
            <w:shd w:val="clear" w:color="auto" w:fill="auto"/>
            <w:vAlign w:val="center"/>
          </w:tcPr>
          <w:p w14:paraId="0D5213B6">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kern w:val="0"/>
                <w:sz w:val="22"/>
                <w:highlight w:val="none"/>
                <w:lang w:bidi="ar"/>
              </w:rPr>
              <w:t>导出</w:t>
            </w:r>
          </w:p>
        </w:tc>
        <w:tc>
          <w:tcPr>
            <w:tcW w:w="2430" w:type="pct"/>
            <w:tcBorders>
              <w:top w:val="nil"/>
              <w:left w:val="nil"/>
              <w:bottom w:val="single" w:color="auto" w:sz="4" w:space="0"/>
              <w:right w:val="single" w:color="auto" w:sz="4" w:space="0"/>
            </w:tcBorders>
            <w:shd w:val="clear" w:color="auto" w:fill="auto"/>
            <w:vAlign w:val="center"/>
          </w:tcPr>
          <w:p w14:paraId="6E0FAC07">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导出留床日志</w:t>
            </w:r>
          </w:p>
        </w:tc>
      </w:tr>
      <w:tr w14:paraId="7410DEA6">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47EC28C6">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63</w:t>
            </w:r>
          </w:p>
        </w:tc>
        <w:tc>
          <w:tcPr>
            <w:tcW w:w="601" w:type="pct"/>
            <w:vMerge w:val="continue"/>
            <w:tcBorders>
              <w:top w:val="nil"/>
              <w:left w:val="single" w:color="auto" w:sz="4" w:space="0"/>
              <w:bottom w:val="single" w:color="000000" w:sz="4" w:space="0"/>
              <w:right w:val="single" w:color="auto" w:sz="4" w:space="0"/>
            </w:tcBorders>
            <w:vAlign w:val="center"/>
          </w:tcPr>
          <w:p w14:paraId="38E10648">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continue"/>
            <w:tcBorders>
              <w:top w:val="nil"/>
              <w:left w:val="single" w:color="auto" w:sz="4" w:space="0"/>
              <w:bottom w:val="single" w:color="auto" w:sz="4" w:space="0"/>
              <w:right w:val="single" w:color="auto" w:sz="4" w:space="0"/>
            </w:tcBorders>
            <w:vAlign w:val="center"/>
          </w:tcPr>
          <w:p w14:paraId="60DDE024">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890" w:type="pct"/>
            <w:tcBorders>
              <w:top w:val="nil"/>
              <w:left w:val="nil"/>
              <w:bottom w:val="single" w:color="auto" w:sz="4" w:space="0"/>
              <w:right w:val="single" w:color="auto" w:sz="4" w:space="0"/>
            </w:tcBorders>
            <w:shd w:val="clear" w:color="auto" w:fill="auto"/>
            <w:vAlign w:val="center"/>
          </w:tcPr>
          <w:p w14:paraId="2FCB2D42">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kern w:val="0"/>
                <w:sz w:val="22"/>
                <w:highlight w:val="none"/>
                <w:lang w:bidi="ar"/>
              </w:rPr>
              <w:t>留床日志</w:t>
            </w:r>
          </w:p>
        </w:tc>
        <w:tc>
          <w:tcPr>
            <w:tcW w:w="2430" w:type="pct"/>
            <w:tcBorders>
              <w:top w:val="nil"/>
              <w:left w:val="nil"/>
              <w:bottom w:val="single" w:color="auto" w:sz="4" w:space="0"/>
              <w:right w:val="single" w:color="auto" w:sz="4" w:space="0"/>
            </w:tcBorders>
            <w:shd w:val="clear" w:color="auto" w:fill="auto"/>
            <w:vAlign w:val="center"/>
          </w:tcPr>
          <w:p w14:paraId="4F9897B4">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留床日志：查询留床及取消留床记录，记录操作类型，留床原因等</w:t>
            </w:r>
          </w:p>
        </w:tc>
      </w:tr>
      <w:tr w14:paraId="13DCDB21">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45980837">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64</w:t>
            </w:r>
          </w:p>
        </w:tc>
        <w:tc>
          <w:tcPr>
            <w:tcW w:w="601" w:type="pct"/>
            <w:vMerge w:val="continue"/>
            <w:tcBorders>
              <w:top w:val="nil"/>
              <w:left w:val="single" w:color="auto" w:sz="4" w:space="0"/>
              <w:bottom w:val="single" w:color="000000" w:sz="4" w:space="0"/>
              <w:right w:val="single" w:color="auto" w:sz="4" w:space="0"/>
            </w:tcBorders>
            <w:vAlign w:val="center"/>
          </w:tcPr>
          <w:p w14:paraId="2C2E4199">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restart"/>
            <w:tcBorders>
              <w:top w:val="nil"/>
              <w:left w:val="single" w:color="auto" w:sz="4" w:space="0"/>
              <w:bottom w:val="single" w:color="000000" w:sz="4" w:space="0"/>
              <w:right w:val="single" w:color="auto" w:sz="4" w:space="0"/>
            </w:tcBorders>
            <w:shd w:val="clear" w:color="auto" w:fill="auto"/>
            <w:vAlign w:val="center"/>
          </w:tcPr>
          <w:p w14:paraId="71DBCAD3">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留床动态</w:t>
            </w:r>
          </w:p>
        </w:tc>
        <w:tc>
          <w:tcPr>
            <w:tcW w:w="890" w:type="pct"/>
            <w:tcBorders>
              <w:top w:val="nil"/>
              <w:left w:val="nil"/>
              <w:bottom w:val="single" w:color="auto" w:sz="4" w:space="0"/>
              <w:right w:val="single" w:color="auto" w:sz="4" w:space="0"/>
            </w:tcBorders>
            <w:shd w:val="clear" w:color="auto" w:fill="auto"/>
            <w:vAlign w:val="center"/>
          </w:tcPr>
          <w:p w14:paraId="07575487">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导出</w:t>
            </w:r>
          </w:p>
        </w:tc>
        <w:tc>
          <w:tcPr>
            <w:tcW w:w="2430" w:type="pct"/>
            <w:tcBorders>
              <w:top w:val="nil"/>
              <w:left w:val="nil"/>
              <w:bottom w:val="single" w:color="auto" w:sz="4" w:space="0"/>
              <w:right w:val="single" w:color="auto" w:sz="4" w:space="0"/>
            </w:tcBorders>
            <w:shd w:val="clear" w:color="auto" w:fill="auto"/>
            <w:vAlign w:val="center"/>
          </w:tcPr>
          <w:p w14:paraId="1E752327">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导出留床动态</w:t>
            </w:r>
          </w:p>
        </w:tc>
      </w:tr>
      <w:tr w14:paraId="1BEC1A39">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5A516214">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65</w:t>
            </w:r>
          </w:p>
        </w:tc>
        <w:tc>
          <w:tcPr>
            <w:tcW w:w="601" w:type="pct"/>
            <w:vMerge w:val="continue"/>
            <w:tcBorders>
              <w:top w:val="nil"/>
              <w:left w:val="single" w:color="auto" w:sz="4" w:space="0"/>
              <w:bottom w:val="single" w:color="000000" w:sz="4" w:space="0"/>
              <w:right w:val="single" w:color="auto" w:sz="4" w:space="0"/>
            </w:tcBorders>
            <w:vAlign w:val="center"/>
          </w:tcPr>
          <w:p w14:paraId="46997190">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continue"/>
            <w:tcBorders>
              <w:top w:val="nil"/>
              <w:left w:val="single" w:color="auto" w:sz="4" w:space="0"/>
              <w:bottom w:val="single" w:color="000000" w:sz="4" w:space="0"/>
              <w:right w:val="single" w:color="auto" w:sz="4" w:space="0"/>
            </w:tcBorders>
            <w:vAlign w:val="center"/>
          </w:tcPr>
          <w:p w14:paraId="15C88F0E">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890" w:type="pct"/>
            <w:tcBorders>
              <w:top w:val="nil"/>
              <w:left w:val="nil"/>
              <w:bottom w:val="single" w:color="auto" w:sz="4" w:space="0"/>
              <w:right w:val="single" w:color="auto" w:sz="4" w:space="0"/>
            </w:tcBorders>
            <w:shd w:val="clear" w:color="auto" w:fill="auto"/>
            <w:vAlign w:val="center"/>
          </w:tcPr>
          <w:p w14:paraId="367E801D">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留床动态</w:t>
            </w:r>
          </w:p>
        </w:tc>
        <w:tc>
          <w:tcPr>
            <w:tcW w:w="2430" w:type="pct"/>
            <w:tcBorders>
              <w:top w:val="nil"/>
              <w:left w:val="nil"/>
              <w:bottom w:val="single" w:color="auto" w:sz="4" w:space="0"/>
              <w:right w:val="single" w:color="auto" w:sz="4" w:space="0"/>
            </w:tcBorders>
            <w:shd w:val="clear" w:color="auto" w:fill="auto"/>
            <w:vAlign w:val="center"/>
          </w:tcPr>
          <w:p w14:paraId="14270092">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查询留床记录，记录留床原因、医生、操作时间等</w:t>
            </w:r>
          </w:p>
        </w:tc>
      </w:tr>
      <w:tr w14:paraId="4441EB5D">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41DDDB37">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66</w:t>
            </w:r>
          </w:p>
        </w:tc>
        <w:tc>
          <w:tcPr>
            <w:tcW w:w="601" w:type="pct"/>
            <w:vMerge w:val="continue"/>
            <w:tcBorders>
              <w:top w:val="nil"/>
              <w:left w:val="single" w:color="auto" w:sz="4" w:space="0"/>
              <w:bottom w:val="single" w:color="000000" w:sz="4" w:space="0"/>
              <w:right w:val="single" w:color="auto" w:sz="4" w:space="0"/>
            </w:tcBorders>
            <w:vAlign w:val="center"/>
          </w:tcPr>
          <w:p w14:paraId="20B46805">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restart"/>
            <w:tcBorders>
              <w:top w:val="nil"/>
              <w:left w:val="single" w:color="auto" w:sz="4" w:space="0"/>
              <w:bottom w:val="single" w:color="000000" w:sz="4" w:space="0"/>
              <w:right w:val="single" w:color="auto" w:sz="4" w:space="0"/>
            </w:tcBorders>
            <w:shd w:val="clear" w:color="auto" w:fill="auto"/>
            <w:vAlign w:val="center"/>
          </w:tcPr>
          <w:p w14:paraId="0886EC11">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短信查询</w:t>
            </w:r>
          </w:p>
        </w:tc>
        <w:tc>
          <w:tcPr>
            <w:tcW w:w="890" w:type="pct"/>
            <w:tcBorders>
              <w:top w:val="nil"/>
              <w:left w:val="nil"/>
              <w:bottom w:val="single" w:color="auto" w:sz="4" w:space="0"/>
              <w:right w:val="single" w:color="auto" w:sz="4" w:space="0"/>
            </w:tcBorders>
            <w:shd w:val="clear" w:color="auto" w:fill="auto"/>
            <w:vAlign w:val="center"/>
          </w:tcPr>
          <w:p w14:paraId="15387802">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再次发送</w:t>
            </w:r>
          </w:p>
        </w:tc>
        <w:tc>
          <w:tcPr>
            <w:tcW w:w="2430" w:type="pct"/>
            <w:tcBorders>
              <w:top w:val="nil"/>
              <w:left w:val="nil"/>
              <w:bottom w:val="single" w:color="auto" w:sz="4" w:space="0"/>
              <w:right w:val="single" w:color="auto" w:sz="4" w:space="0"/>
            </w:tcBorders>
            <w:shd w:val="clear" w:color="auto" w:fill="auto"/>
            <w:vAlign w:val="center"/>
          </w:tcPr>
          <w:p w14:paraId="7AE64960">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短信内容可以再次发送给患者</w:t>
            </w:r>
          </w:p>
        </w:tc>
      </w:tr>
      <w:tr w14:paraId="125A21FD">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001052A8">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67</w:t>
            </w:r>
          </w:p>
        </w:tc>
        <w:tc>
          <w:tcPr>
            <w:tcW w:w="601" w:type="pct"/>
            <w:vMerge w:val="continue"/>
            <w:tcBorders>
              <w:top w:val="nil"/>
              <w:left w:val="single" w:color="auto" w:sz="4" w:space="0"/>
              <w:bottom w:val="single" w:color="000000" w:sz="4" w:space="0"/>
              <w:right w:val="single" w:color="auto" w:sz="4" w:space="0"/>
            </w:tcBorders>
            <w:vAlign w:val="center"/>
          </w:tcPr>
          <w:p w14:paraId="256B49BB">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continue"/>
            <w:tcBorders>
              <w:top w:val="nil"/>
              <w:left w:val="single" w:color="auto" w:sz="4" w:space="0"/>
              <w:bottom w:val="single" w:color="000000" w:sz="4" w:space="0"/>
              <w:right w:val="single" w:color="auto" w:sz="4" w:space="0"/>
            </w:tcBorders>
            <w:vAlign w:val="center"/>
          </w:tcPr>
          <w:p w14:paraId="0DFC2CE0">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890" w:type="pct"/>
            <w:tcBorders>
              <w:top w:val="nil"/>
              <w:left w:val="nil"/>
              <w:bottom w:val="single" w:color="auto" w:sz="4" w:space="0"/>
              <w:right w:val="single" w:color="auto" w:sz="4" w:space="0"/>
            </w:tcBorders>
            <w:shd w:val="clear" w:color="auto" w:fill="auto"/>
            <w:vAlign w:val="center"/>
          </w:tcPr>
          <w:p w14:paraId="583C9A1E">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短信查询</w:t>
            </w:r>
          </w:p>
        </w:tc>
        <w:tc>
          <w:tcPr>
            <w:tcW w:w="2430" w:type="pct"/>
            <w:tcBorders>
              <w:top w:val="nil"/>
              <w:left w:val="nil"/>
              <w:bottom w:val="single" w:color="auto" w:sz="4" w:space="0"/>
              <w:right w:val="single" w:color="auto" w:sz="4" w:space="0"/>
            </w:tcBorders>
            <w:shd w:val="clear" w:color="auto" w:fill="auto"/>
            <w:vAlign w:val="center"/>
          </w:tcPr>
          <w:p w14:paraId="067F3FE6">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可以查询系统发送短信的记录</w:t>
            </w:r>
          </w:p>
        </w:tc>
      </w:tr>
      <w:tr w14:paraId="37A66EDB">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5E9892A7">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68</w:t>
            </w:r>
          </w:p>
        </w:tc>
        <w:tc>
          <w:tcPr>
            <w:tcW w:w="601" w:type="pct"/>
            <w:vMerge w:val="continue"/>
            <w:tcBorders>
              <w:top w:val="nil"/>
              <w:left w:val="single" w:color="auto" w:sz="4" w:space="0"/>
              <w:bottom w:val="single" w:color="000000" w:sz="4" w:space="0"/>
              <w:right w:val="single" w:color="auto" w:sz="4" w:space="0"/>
            </w:tcBorders>
            <w:vAlign w:val="center"/>
          </w:tcPr>
          <w:p w14:paraId="32FA09B6">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tcBorders>
              <w:top w:val="nil"/>
              <w:left w:val="nil"/>
              <w:bottom w:val="single" w:color="auto" w:sz="4" w:space="0"/>
              <w:right w:val="single" w:color="auto" w:sz="4" w:space="0"/>
            </w:tcBorders>
            <w:shd w:val="clear" w:color="auto" w:fill="auto"/>
            <w:vAlign w:val="center"/>
          </w:tcPr>
          <w:p w14:paraId="3CAD451A">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检验检查查询</w:t>
            </w:r>
          </w:p>
        </w:tc>
        <w:tc>
          <w:tcPr>
            <w:tcW w:w="890" w:type="pct"/>
            <w:tcBorders>
              <w:top w:val="nil"/>
              <w:left w:val="nil"/>
              <w:bottom w:val="single" w:color="auto" w:sz="4" w:space="0"/>
              <w:right w:val="single" w:color="auto" w:sz="4" w:space="0"/>
            </w:tcBorders>
            <w:shd w:val="clear" w:color="auto" w:fill="auto"/>
            <w:vAlign w:val="center"/>
          </w:tcPr>
          <w:p w14:paraId="12818D2D">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kern w:val="0"/>
                <w:sz w:val="22"/>
                <w:highlight w:val="none"/>
                <w:lang w:bidi="ar"/>
              </w:rPr>
              <w:t>检验检查查询</w:t>
            </w:r>
          </w:p>
        </w:tc>
        <w:tc>
          <w:tcPr>
            <w:tcW w:w="2430" w:type="pct"/>
            <w:tcBorders>
              <w:top w:val="nil"/>
              <w:left w:val="nil"/>
              <w:bottom w:val="single" w:color="auto" w:sz="4" w:space="0"/>
              <w:right w:val="single" w:color="auto" w:sz="4" w:space="0"/>
            </w:tcBorders>
            <w:shd w:val="clear" w:color="auto" w:fill="auto"/>
            <w:vAlign w:val="center"/>
          </w:tcPr>
          <w:p w14:paraId="557424E7">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查看相关入院申请患者的检验检查结果</w:t>
            </w:r>
          </w:p>
        </w:tc>
      </w:tr>
      <w:tr w14:paraId="61608517">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3375A8A2">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69</w:t>
            </w:r>
          </w:p>
        </w:tc>
        <w:tc>
          <w:tcPr>
            <w:tcW w:w="601" w:type="pct"/>
            <w:vMerge w:val="restart"/>
            <w:tcBorders>
              <w:top w:val="nil"/>
              <w:left w:val="single" w:color="auto" w:sz="4" w:space="0"/>
              <w:bottom w:val="single" w:color="auto" w:sz="4" w:space="0"/>
              <w:right w:val="single" w:color="auto" w:sz="4" w:space="0"/>
            </w:tcBorders>
            <w:shd w:val="clear" w:color="auto" w:fill="auto"/>
            <w:noWrap/>
            <w:vAlign w:val="center"/>
          </w:tcPr>
          <w:p w14:paraId="3BE918AD">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病区工作站</w:t>
            </w:r>
          </w:p>
        </w:tc>
        <w:tc>
          <w:tcPr>
            <w:tcW w:w="723" w:type="pct"/>
            <w:vMerge w:val="restart"/>
            <w:tcBorders>
              <w:top w:val="nil"/>
              <w:left w:val="single" w:color="auto" w:sz="4" w:space="0"/>
              <w:bottom w:val="single" w:color="000000" w:sz="4" w:space="0"/>
              <w:right w:val="single" w:color="auto" w:sz="4" w:space="0"/>
            </w:tcBorders>
            <w:shd w:val="clear" w:color="auto" w:fill="auto"/>
            <w:noWrap/>
            <w:vAlign w:val="center"/>
          </w:tcPr>
          <w:p w14:paraId="6216741E">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待入院查询</w:t>
            </w:r>
          </w:p>
        </w:tc>
        <w:tc>
          <w:tcPr>
            <w:tcW w:w="890" w:type="pct"/>
            <w:tcBorders>
              <w:top w:val="nil"/>
              <w:left w:val="nil"/>
              <w:bottom w:val="single" w:color="auto" w:sz="4" w:space="0"/>
              <w:right w:val="single" w:color="auto" w:sz="4" w:space="0"/>
            </w:tcBorders>
            <w:shd w:val="clear" w:color="auto" w:fill="auto"/>
            <w:vAlign w:val="center"/>
          </w:tcPr>
          <w:p w14:paraId="2079B213">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kern w:val="0"/>
                <w:sz w:val="22"/>
                <w:highlight w:val="none"/>
                <w:lang w:bidi="ar"/>
              </w:rPr>
              <w:t>查询</w:t>
            </w:r>
          </w:p>
        </w:tc>
        <w:tc>
          <w:tcPr>
            <w:tcW w:w="2430" w:type="pct"/>
            <w:tcBorders>
              <w:top w:val="nil"/>
              <w:left w:val="nil"/>
              <w:bottom w:val="single" w:color="auto" w:sz="4" w:space="0"/>
              <w:right w:val="single" w:color="auto" w:sz="4" w:space="0"/>
            </w:tcBorders>
            <w:shd w:val="clear" w:color="auto" w:fill="auto"/>
            <w:vAlign w:val="center"/>
          </w:tcPr>
          <w:p w14:paraId="069B5CF2">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根据查询条件可以进行过滤，查询当前“待入院”的入院申请</w:t>
            </w:r>
          </w:p>
        </w:tc>
      </w:tr>
      <w:tr w14:paraId="08C92943">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67AD4A23">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70</w:t>
            </w:r>
          </w:p>
        </w:tc>
        <w:tc>
          <w:tcPr>
            <w:tcW w:w="601" w:type="pct"/>
            <w:vMerge w:val="continue"/>
            <w:tcBorders>
              <w:top w:val="nil"/>
              <w:left w:val="single" w:color="auto" w:sz="4" w:space="0"/>
              <w:bottom w:val="single" w:color="auto" w:sz="4" w:space="0"/>
              <w:right w:val="single" w:color="auto" w:sz="4" w:space="0"/>
            </w:tcBorders>
            <w:vAlign w:val="center"/>
          </w:tcPr>
          <w:p w14:paraId="711EA545">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continue"/>
            <w:tcBorders>
              <w:top w:val="nil"/>
              <w:left w:val="single" w:color="auto" w:sz="4" w:space="0"/>
              <w:bottom w:val="single" w:color="000000" w:sz="4" w:space="0"/>
              <w:right w:val="single" w:color="auto" w:sz="4" w:space="0"/>
            </w:tcBorders>
            <w:vAlign w:val="center"/>
          </w:tcPr>
          <w:p w14:paraId="10BEF70E">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890" w:type="pct"/>
            <w:tcBorders>
              <w:top w:val="nil"/>
              <w:left w:val="nil"/>
              <w:bottom w:val="single" w:color="auto" w:sz="4" w:space="0"/>
              <w:right w:val="single" w:color="auto" w:sz="4" w:space="0"/>
            </w:tcBorders>
            <w:shd w:val="clear" w:color="auto" w:fill="auto"/>
            <w:vAlign w:val="center"/>
          </w:tcPr>
          <w:p w14:paraId="1A6C866E">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kern w:val="0"/>
                <w:sz w:val="22"/>
                <w:highlight w:val="none"/>
                <w:lang w:bidi="ar"/>
              </w:rPr>
              <w:t>修改入院申请</w:t>
            </w:r>
          </w:p>
        </w:tc>
        <w:tc>
          <w:tcPr>
            <w:tcW w:w="2430" w:type="pct"/>
            <w:tcBorders>
              <w:top w:val="nil"/>
              <w:left w:val="nil"/>
              <w:bottom w:val="single" w:color="auto" w:sz="4" w:space="0"/>
              <w:right w:val="single" w:color="auto" w:sz="4" w:space="0"/>
            </w:tcBorders>
            <w:shd w:val="clear" w:color="auto" w:fill="auto"/>
            <w:vAlign w:val="center"/>
          </w:tcPr>
          <w:p w14:paraId="4BB47851">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修改入院申请单详情，点击某一“序号”，可修改入院申请单患者基本信息、入院信息、床位调配信息，如已分配床位则显示床位分配信息</w:t>
            </w:r>
          </w:p>
        </w:tc>
      </w:tr>
      <w:tr w14:paraId="13654B43">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6E64FFB1">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71</w:t>
            </w:r>
          </w:p>
        </w:tc>
        <w:tc>
          <w:tcPr>
            <w:tcW w:w="601" w:type="pct"/>
            <w:vMerge w:val="continue"/>
            <w:tcBorders>
              <w:top w:val="nil"/>
              <w:left w:val="single" w:color="auto" w:sz="4" w:space="0"/>
              <w:bottom w:val="single" w:color="auto" w:sz="4" w:space="0"/>
              <w:right w:val="single" w:color="auto" w:sz="4" w:space="0"/>
            </w:tcBorders>
            <w:vAlign w:val="center"/>
          </w:tcPr>
          <w:p w14:paraId="3B086A9D">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restart"/>
            <w:tcBorders>
              <w:top w:val="nil"/>
              <w:left w:val="single" w:color="auto" w:sz="4" w:space="0"/>
              <w:right w:val="single" w:color="auto" w:sz="4" w:space="0"/>
            </w:tcBorders>
            <w:shd w:val="clear" w:color="auto" w:fill="auto"/>
            <w:noWrap/>
            <w:vAlign w:val="center"/>
          </w:tcPr>
          <w:p w14:paraId="3D69C076">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侯床查询</w:t>
            </w:r>
          </w:p>
        </w:tc>
        <w:tc>
          <w:tcPr>
            <w:tcW w:w="890" w:type="pct"/>
            <w:tcBorders>
              <w:top w:val="nil"/>
              <w:left w:val="nil"/>
              <w:bottom w:val="single" w:color="auto" w:sz="4" w:space="0"/>
              <w:right w:val="single" w:color="auto" w:sz="4" w:space="0"/>
            </w:tcBorders>
            <w:shd w:val="clear" w:color="auto" w:fill="auto"/>
            <w:vAlign w:val="center"/>
          </w:tcPr>
          <w:p w14:paraId="43DD397A">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kern w:val="0"/>
                <w:sz w:val="22"/>
                <w:highlight w:val="none"/>
                <w:lang w:bidi="ar"/>
              </w:rPr>
              <w:t>床位总览</w:t>
            </w:r>
          </w:p>
        </w:tc>
        <w:tc>
          <w:tcPr>
            <w:tcW w:w="2430" w:type="pct"/>
            <w:tcBorders>
              <w:top w:val="nil"/>
              <w:left w:val="nil"/>
              <w:bottom w:val="single" w:color="auto" w:sz="4" w:space="0"/>
              <w:right w:val="single" w:color="auto" w:sz="4" w:space="0"/>
            </w:tcBorders>
            <w:shd w:val="clear" w:color="auto" w:fill="auto"/>
            <w:vAlign w:val="center"/>
          </w:tcPr>
          <w:p w14:paraId="02EAD970">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病区护士可查看该病区的床位使用情况;并有留床功能</w:t>
            </w:r>
          </w:p>
        </w:tc>
      </w:tr>
      <w:tr w14:paraId="3B5B7153">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66A4C58F">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72</w:t>
            </w:r>
          </w:p>
        </w:tc>
        <w:tc>
          <w:tcPr>
            <w:tcW w:w="601" w:type="pct"/>
            <w:vMerge w:val="continue"/>
            <w:tcBorders>
              <w:top w:val="nil"/>
              <w:left w:val="single" w:color="auto" w:sz="4" w:space="0"/>
              <w:bottom w:val="single" w:color="auto" w:sz="4" w:space="0"/>
              <w:right w:val="single" w:color="auto" w:sz="4" w:space="0"/>
            </w:tcBorders>
            <w:vAlign w:val="center"/>
          </w:tcPr>
          <w:p w14:paraId="434B3793">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continue"/>
            <w:tcBorders>
              <w:left w:val="single" w:color="auto" w:sz="4" w:space="0"/>
              <w:right w:val="single" w:color="auto" w:sz="4" w:space="0"/>
            </w:tcBorders>
            <w:shd w:val="clear" w:color="auto" w:fill="auto"/>
            <w:noWrap/>
            <w:vAlign w:val="center"/>
          </w:tcPr>
          <w:p w14:paraId="08315414">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890" w:type="pct"/>
            <w:tcBorders>
              <w:top w:val="nil"/>
              <w:left w:val="nil"/>
              <w:bottom w:val="single" w:color="auto" w:sz="4" w:space="0"/>
              <w:right w:val="single" w:color="auto" w:sz="4" w:space="0"/>
            </w:tcBorders>
            <w:shd w:val="clear" w:color="auto" w:fill="auto"/>
            <w:vAlign w:val="center"/>
          </w:tcPr>
          <w:p w14:paraId="2F90F737">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kern w:val="0"/>
                <w:sz w:val="22"/>
                <w:highlight w:val="none"/>
                <w:lang w:bidi="ar"/>
              </w:rPr>
              <w:t>查询</w:t>
            </w:r>
          </w:p>
        </w:tc>
        <w:tc>
          <w:tcPr>
            <w:tcW w:w="2430" w:type="pct"/>
            <w:tcBorders>
              <w:top w:val="nil"/>
              <w:left w:val="nil"/>
              <w:bottom w:val="single" w:color="auto" w:sz="4" w:space="0"/>
              <w:right w:val="single" w:color="auto" w:sz="4" w:space="0"/>
            </w:tcBorders>
            <w:shd w:val="clear" w:color="auto" w:fill="auto"/>
            <w:vAlign w:val="center"/>
          </w:tcPr>
          <w:p w14:paraId="7529EA11">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根据查询条件可以进行过滤，查询当前病区“已登记”的入院申请</w:t>
            </w:r>
          </w:p>
        </w:tc>
      </w:tr>
      <w:tr w14:paraId="426A8CB4">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5FC20C44">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73</w:t>
            </w:r>
          </w:p>
        </w:tc>
        <w:tc>
          <w:tcPr>
            <w:tcW w:w="601" w:type="pct"/>
            <w:vMerge w:val="continue"/>
            <w:tcBorders>
              <w:top w:val="nil"/>
              <w:left w:val="single" w:color="auto" w:sz="4" w:space="0"/>
              <w:bottom w:val="single" w:color="auto" w:sz="4" w:space="0"/>
              <w:right w:val="single" w:color="auto" w:sz="4" w:space="0"/>
            </w:tcBorders>
            <w:vAlign w:val="center"/>
          </w:tcPr>
          <w:p w14:paraId="23ABE712">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continue"/>
            <w:tcBorders>
              <w:left w:val="single" w:color="auto" w:sz="4" w:space="0"/>
              <w:bottom w:val="single" w:color="000000" w:sz="4" w:space="0"/>
              <w:right w:val="single" w:color="auto" w:sz="4" w:space="0"/>
            </w:tcBorders>
            <w:vAlign w:val="center"/>
          </w:tcPr>
          <w:p w14:paraId="184F3EE9">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890" w:type="pct"/>
            <w:tcBorders>
              <w:top w:val="nil"/>
              <w:left w:val="nil"/>
              <w:bottom w:val="single" w:color="auto" w:sz="4" w:space="0"/>
              <w:right w:val="single" w:color="auto" w:sz="4" w:space="0"/>
            </w:tcBorders>
            <w:shd w:val="clear" w:color="auto" w:fill="auto"/>
            <w:vAlign w:val="center"/>
          </w:tcPr>
          <w:p w14:paraId="438D366E">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kern w:val="0"/>
                <w:sz w:val="22"/>
                <w:highlight w:val="none"/>
                <w:lang w:bidi="ar"/>
              </w:rPr>
              <w:t>修改入院申请</w:t>
            </w:r>
          </w:p>
        </w:tc>
        <w:tc>
          <w:tcPr>
            <w:tcW w:w="2430" w:type="pct"/>
            <w:tcBorders>
              <w:top w:val="nil"/>
              <w:left w:val="nil"/>
              <w:bottom w:val="single" w:color="auto" w:sz="4" w:space="0"/>
              <w:right w:val="single" w:color="auto" w:sz="4" w:space="0"/>
            </w:tcBorders>
            <w:shd w:val="clear" w:color="auto" w:fill="auto"/>
            <w:vAlign w:val="center"/>
          </w:tcPr>
          <w:p w14:paraId="7280E168">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修改入院申请单详情，点击某一“序号”，可修改入院申请单患者基本信息、入院信息、床位调配信息，如已分配床位则显示床位分配信息</w:t>
            </w:r>
          </w:p>
        </w:tc>
      </w:tr>
      <w:tr w14:paraId="7D99B6D9">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3312D7E3">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74</w:t>
            </w:r>
          </w:p>
        </w:tc>
        <w:tc>
          <w:tcPr>
            <w:tcW w:w="601" w:type="pct"/>
            <w:vMerge w:val="continue"/>
            <w:tcBorders>
              <w:top w:val="nil"/>
              <w:left w:val="single" w:color="auto" w:sz="4" w:space="0"/>
              <w:bottom w:val="single" w:color="auto" w:sz="4" w:space="0"/>
              <w:right w:val="single" w:color="auto" w:sz="4" w:space="0"/>
            </w:tcBorders>
            <w:vAlign w:val="center"/>
          </w:tcPr>
          <w:p w14:paraId="52F8C3A1">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tcBorders>
              <w:top w:val="nil"/>
              <w:left w:val="nil"/>
              <w:bottom w:val="single" w:color="auto" w:sz="4" w:space="0"/>
              <w:right w:val="single" w:color="auto" w:sz="4" w:space="0"/>
            </w:tcBorders>
            <w:shd w:val="clear" w:color="auto" w:fill="auto"/>
            <w:noWrap/>
            <w:vAlign w:val="center"/>
          </w:tcPr>
          <w:p w14:paraId="538FC76C">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转区申请</w:t>
            </w:r>
          </w:p>
        </w:tc>
        <w:tc>
          <w:tcPr>
            <w:tcW w:w="890" w:type="pct"/>
            <w:tcBorders>
              <w:top w:val="nil"/>
              <w:left w:val="nil"/>
              <w:bottom w:val="single" w:color="auto" w:sz="4" w:space="0"/>
              <w:right w:val="single" w:color="auto" w:sz="4" w:space="0"/>
            </w:tcBorders>
            <w:shd w:val="clear" w:color="auto" w:fill="auto"/>
            <w:vAlign w:val="center"/>
          </w:tcPr>
          <w:p w14:paraId="5230B2A3">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新增申请</w:t>
            </w:r>
          </w:p>
        </w:tc>
        <w:tc>
          <w:tcPr>
            <w:tcW w:w="2430" w:type="pct"/>
            <w:tcBorders>
              <w:top w:val="nil"/>
              <w:left w:val="nil"/>
              <w:bottom w:val="single" w:color="auto" w:sz="4" w:space="0"/>
              <w:right w:val="single" w:color="auto" w:sz="4" w:space="0"/>
            </w:tcBorders>
            <w:shd w:val="clear" w:color="auto" w:fill="auto"/>
            <w:vAlign w:val="center"/>
          </w:tcPr>
          <w:p w14:paraId="1594280D">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病区护士帮转区病人申请床位，提交转区申请后，将转区信息推送到床位中心的工作待办信息列表中</w:t>
            </w:r>
          </w:p>
        </w:tc>
      </w:tr>
      <w:tr w14:paraId="6A2A8C9D">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5886400C">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75</w:t>
            </w:r>
          </w:p>
        </w:tc>
        <w:tc>
          <w:tcPr>
            <w:tcW w:w="601" w:type="pct"/>
            <w:vMerge w:val="continue"/>
            <w:tcBorders>
              <w:top w:val="nil"/>
              <w:left w:val="single" w:color="auto" w:sz="4" w:space="0"/>
              <w:bottom w:val="single" w:color="auto" w:sz="4" w:space="0"/>
              <w:right w:val="single" w:color="auto" w:sz="4" w:space="0"/>
            </w:tcBorders>
            <w:vAlign w:val="center"/>
          </w:tcPr>
          <w:p w14:paraId="0DFA7914">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tcBorders>
              <w:top w:val="nil"/>
              <w:left w:val="nil"/>
              <w:bottom w:val="single" w:color="auto" w:sz="4" w:space="0"/>
              <w:right w:val="single" w:color="auto" w:sz="4" w:space="0"/>
            </w:tcBorders>
            <w:shd w:val="clear" w:color="auto" w:fill="auto"/>
            <w:noWrap/>
            <w:vAlign w:val="center"/>
          </w:tcPr>
          <w:p w14:paraId="75B96E76">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转床申请</w:t>
            </w:r>
          </w:p>
        </w:tc>
        <w:tc>
          <w:tcPr>
            <w:tcW w:w="890" w:type="pct"/>
            <w:tcBorders>
              <w:top w:val="nil"/>
              <w:left w:val="nil"/>
              <w:bottom w:val="single" w:color="auto" w:sz="4" w:space="0"/>
              <w:right w:val="single" w:color="auto" w:sz="4" w:space="0"/>
            </w:tcBorders>
            <w:shd w:val="clear" w:color="auto" w:fill="auto"/>
            <w:vAlign w:val="center"/>
          </w:tcPr>
          <w:p w14:paraId="237E0230">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kern w:val="0"/>
                <w:sz w:val="22"/>
                <w:highlight w:val="none"/>
                <w:lang w:bidi="ar"/>
              </w:rPr>
              <w:t>新增申请</w:t>
            </w:r>
          </w:p>
        </w:tc>
        <w:tc>
          <w:tcPr>
            <w:tcW w:w="2430" w:type="pct"/>
            <w:tcBorders>
              <w:top w:val="nil"/>
              <w:left w:val="nil"/>
              <w:bottom w:val="single" w:color="auto" w:sz="4" w:space="0"/>
              <w:right w:val="single" w:color="auto" w:sz="4" w:space="0"/>
            </w:tcBorders>
            <w:shd w:val="clear" w:color="auto" w:fill="auto"/>
            <w:vAlign w:val="center"/>
          </w:tcPr>
          <w:p w14:paraId="3DC50653">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病区护士帮转床病人申请床位，提交转床申请后，将转床信息推送到床位中心的工作待办信息列表中</w:t>
            </w:r>
          </w:p>
        </w:tc>
      </w:tr>
      <w:tr w14:paraId="1A3A9EF9">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57CAC60D">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76</w:t>
            </w:r>
          </w:p>
        </w:tc>
        <w:tc>
          <w:tcPr>
            <w:tcW w:w="601" w:type="pct"/>
            <w:vMerge w:val="continue"/>
            <w:tcBorders>
              <w:top w:val="nil"/>
              <w:left w:val="single" w:color="auto" w:sz="4" w:space="0"/>
              <w:bottom w:val="single" w:color="auto" w:sz="4" w:space="0"/>
              <w:right w:val="single" w:color="auto" w:sz="4" w:space="0"/>
            </w:tcBorders>
            <w:vAlign w:val="center"/>
          </w:tcPr>
          <w:p w14:paraId="71EE47FE">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restart"/>
            <w:tcBorders>
              <w:top w:val="nil"/>
              <w:left w:val="single" w:color="auto" w:sz="4" w:space="0"/>
              <w:bottom w:val="single" w:color="000000" w:sz="4" w:space="0"/>
              <w:right w:val="single" w:color="auto" w:sz="4" w:space="0"/>
            </w:tcBorders>
            <w:shd w:val="clear" w:color="auto" w:fill="auto"/>
            <w:noWrap/>
            <w:vAlign w:val="center"/>
          </w:tcPr>
          <w:p w14:paraId="75529BD3">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申请查询</w:t>
            </w:r>
          </w:p>
        </w:tc>
        <w:tc>
          <w:tcPr>
            <w:tcW w:w="890" w:type="pct"/>
            <w:tcBorders>
              <w:top w:val="nil"/>
              <w:left w:val="nil"/>
              <w:bottom w:val="single" w:color="auto" w:sz="4" w:space="0"/>
              <w:right w:val="single" w:color="auto" w:sz="4" w:space="0"/>
            </w:tcBorders>
            <w:shd w:val="clear" w:color="auto" w:fill="auto"/>
            <w:vAlign w:val="center"/>
          </w:tcPr>
          <w:p w14:paraId="3FC39D35">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修改转区申请</w:t>
            </w:r>
          </w:p>
        </w:tc>
        <w:tc>
          <w:tcPr>
            <w:tcW w:w="2430" w:type="pct"/>
            <w:tcBorders>
              <w:top w:val="nil"/>
              <w:left w:val="nil"/>
              <w:bottom w:val="single" w:color="auto" w:sz="4" w:space="0"/>
              <w:right w:val="single" w:color="auto" w:sz="4" w:space="0"/>
            </w:tcBorders>
            <w:shd w:val="clear" w:color="auto" w:fill="auto"/>
            <w:vAlign w:val="center"/>
          </w:tcPr>
          <w:p w14:paraId="40A946DF">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修改转区申请单详情，点击某一“序号”，可修改</w:t>
            </w:r>
          </w:p>
        </w:tc>
      </w:tr>
      <w:tr w14:paraId="31720B15">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239E65CE">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77</w:t>
            </w:r>
          </w:p>
        </w:tc>
        <w:tc>
          <w:tcPr>
            <w:tcW w:w="601" w:type="pct"/>
            <w:vMerge w:val="continue"/>
            <w:tcBorders>
              <w:top w:val="nil"/>
              <w:left w:val="single" w:color="auto" w:sz="4" w:space="0"/>
              <w:bottom w:val="single" w:color="auto" w:sz="4" w:space="0"/>
              <w:right w:val="single" w:color="auto" w:sz="4" w:space="0"/>
            </w:tcBorders>
            <w:vAlign w:val="center"/>
          </w:tcPr>
          <w:p w14:paraId="580FF489">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continue"/>
            <w:tcBorders>
              <w:top w:val="nil"/>
              <w:left w:val="single" w:color="auto" w:sz="4" w:space="0"/>
              <w:bottom w:val="single" w:color="000000" w:sz="4" w:space="0"/>
              <w:right w:val="single" w:color="auto" w:sz="4" w:space="0"/>
            </w:tcBorders>
            <w:vAlign w:val="center"/>
          </w:tcPr>
          <w:p w14:paraId="67E6A056">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890" w:type="pct"/>
            <w:tcBorders>
              <w:top w:val="nil"/>
              <w:left w:val="nil"/>
              <w:bottom w:val="single" w:color="auto" w:sz="4" w:space="0"/>
              <w:right w:val="single" w:color="auto" w:sz="4" w:space="0"/>
            </w:tcBorders>
            <w:shd w:val="clear" w:color="auto" w:fill="auto"/>
            <w:vAlign w:val="center"/>
          </w:tcPr>
          <w:p w14:paraId="3FE9DA57">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修改转床申请</w:t>
            </w:r>
          </w:p>
        </w:tc>
        <w:tc>
          <w:tcPr>
            <w:tcW w:w="2430" w:type="pct"/>
            <w:tcBorders>
              <w:top w:val="nil"/>
              <w:left w:val="nil"/>
              <w:bottom w:val="single" w:color="auto" w:sz="4" w:space="0"/>
              <w:right w:val="single" w:color="auto" w:sz="4" w:space="0"/>
            </w:tcBorders>
            <w:shd w:val="clear" w:color="auto" w:fill="auto"/>
            <w:vAlign w:val="center"/>
          </w:tcPr>
          <w:p w14:paraId="348D5CDA">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修改转床申请单详情，点击某一“序号”，可修改</w:t>
            </w:r>
          </w:p>
        </w:tc>
      </w:tr>
      <w:tr w14:paraId="036A433D">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10CB59BB">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78</w:t>
            </w:r>
          </w:p>
        </w:tc>
        <w:tc>
          <w:tcPr>
            <w:tcW w:w="601" w:type="pct"/>
            <w:vMerge w:val="continue"/>
            <w:tcBorders>
              <w:top w:val="nil"/>
              <w:left w:val="single" w:color="auto" w:sz="4" w:space="0"/>
              <w:bottom w:val="single" w:color="auto" w:sz="4" w:space="0"/>
              <w:right w:val="single" w:color="auto" w:sz="4" w:space="0"/>
            </w:tcBorders>
            <w:vAlign w:val="center"/>
          </w:tcPr>
          <w:p w14:paraId="087FCA87">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continue"/>
            <w:tcBorders>
              <w:top w:val="nil"/>
              <w:left w:val="single" w:color="auto" w:sz="4" w:space="0"/>
              <w:bottom w:val="single" w:color="000000" w:sz="4" w:space="0"/>
              <w:right w:val="single" w:color="auto" w:sz="4" w:space="0"/>
            </w:tcBorders>
            <w:vAlign w:val="center"/>
          </w:tcPr>
          <w:p w14:paraId="05A7A43C">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890" w:type="pct"/>
            <w:tcBorders>
              <w:top w:val="nil"/>
              <w:left w:val="nil"/>
              <w:bottom w:val="single" w:color="auto" w:sz="4" w:space="0"/>
              <w:right w:val="single" w:color="auto" w:sz="4" w:space="0"/>
            </w:tcBorders>
            <w:shd w:val="clear" w:color="auto" w:fill="auto"/>
            <w:vAlign w:val="center"/>
          </w:tcPr>
          <w:p w14:paraId="3E2B8962">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查询</w:t>
            </w:r>
          </w:p>
        </w:tc>
        <w:tc>
          <w:tcPr>
            <w:tcW w:w="2430" w:type="pct"/>
            <w:tcBorders>
              <w:top w:val="nil"/>
              <w:left w:val="nil"/>
              <w:bottom w:val="single" w:color="auto" w:sz="4" w:space="0"/>
              <w:right w:val="single" w:color="auto" w:sz="4" w:space="0"/>
            </w:tcBorders>
            <w:shd w:val="clear" w:color="auto" w:fill="auto"/>
            <w:vAlign w:val="center"/>
          </w:tcPr>
          <w:p w14:paraId="61450F8A">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查询病区的转区申请及转床申请，及申请单的调配状态</w:t>
            </w:r>
          </w:p>
        </w:tc>
      </w:tr>
      <w:tr w14:paraId="1E3405EA">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42AD8520">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79</w:t>
            </w:r>
          </w:p>
        </w:tc>
        <w:tc>
          <w:tcPr>
            <w:tcW w:w="601" w:type="pct"/>
            <w:vMerge w:val="continue"/>
            <w:tcBorders>
              <w:top w:val="nil"/>
              <w:left w:val="single" w:color="auto" w:sz="4" w:space="0"/>
              <w:bottom w:val="single" w:color="auto" w:sz="4" w:space="0"/>
              <w:right w:val="single" w:color="auto" w:sz="4" w:space="0"/>
            </w:tcBorders>
            <w:vAlign w:val="center"/>
          </w:tcPr>
          <w:p w14:paraId="5688E0B2">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tcBorders>
              <w:top w:val="nil"/>
              <w:left w:val="nil"/>
              <w:bottom w:val="single" w:color="auto" w:sz="4" w:space="0"/>
              <w:right w:val="single" w:color="auto" w:sz="4" w:space="0"/>
            </w:tcBorders>
            <w:shd w:val="clear" w:color="auto" w:fill="auto"/>
            <w:noWrap/>
            <w:vAlign w:val="center"/>
          </w:tcPr>
          <w:p w14:paraId="7E45A19A">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入院检查查询</w:t>
            </w:r>
          </w:p>
        </w:tc>
        <w:tc>
          <w:tcPr>
            <w:tcW w:w="890" w:type="pct"/>
            <w:tcBorders>
              <w:top w:val="nil"/>
              <w:left w:val="nil"/>
              <w:bottom w:val="single" w:color="auto" w:sz="4" w:space="0"/>
              <w:right w:val="single" w:color="auto" w:sz="4" w:space="0"/>
            </w:tcBorders>
            <w:shd w:val="clear" w:color="auto" w:fill="auto"/>
            <w:vAlign w:val="center"/>
          </w:tcPr>
          <w:p w14:paraId="1C11E6BF">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查询</w:t>
            </w:r>
          </w:p>
        </w:tc>
        <w:tc>
          <w:tcPr>
            <w:tcW w:w="2430" w:type="pct"/>
            <w:tcBorders>
              <w:top w:val="nil"/>
              <w:left w:val="nil"/>
              <w:bottom w:val="single" w:color="auto" w:sz="4" w:space="0"/>
              <w:right w:val="single" w:color="auto" w:sz="4" w:space="0"/>
            </w:tcBorders>
            <w:shd w:val="clear" w:color="auto" w:fill="auto"/>
            <w:vAlign w:val="center"/>
          </w:tcPr>
          <w:p w14:paraId="1D8754F3">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根据查询条件可过滤，新入院以及未入院患者的检查申请单</w:t>
            </w:r>
          </w:p>
        </w:tc>
      </w:tr>
      <w:tr w14:paraId="6A7657F7">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3C33B11C">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80</w:t>
            </w:r>
          </w:p>
        </w:tc>
        <w:tc>
          <w:tcPr>
            <w:tcW w:w="601" w:type="pct"/>
            <w:vMerge w:val="restart"/>
            <w:tcBorders>
              <w:top w:val="nil"/>
              <w:left w:val="single" w:color="auto" w:sz="4" w:space="0"/>
              <w:bottom w:val="single" w:color="000000" w:sz="4" w:space="0"/>
              <w:right w:val="single" w:color="auto" w:sz="4" w:space="0"/>
            </w:tcBorders>
            <w:shd w:val="clear" w:color="auto" w:fill="auto"/>
            <w:noWrap/>
            <w:vAlign w:val="center"/>
          </w:tcPr>
          <w:p w14:paraId="39A207ED">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信息维护</w:t>
            </w:r>
          </w:p>
        </w:tc>
        <w:tc>
          <w:tcPr>
            <w:tcW w:w="723" w:type="pct"/>
            <w:vMerge w:val="restart"/>
            <w:tcBorders>
              <w:top w:val="nil"/>
              <w:left w:val="single" w:color="auto" w:sz="4" w:space="0"/>
              <w:bottom w:val="single" w:color="000000" w:sz="4" w:space="0"/>
              <w:right w:val="single" w:color="auto" w:sz="4" w:space="0"/>
            </w:tcBorders>
            <w:shd w:val="clear" w:color="auto" w:fill="auto"/>
            <w:noWrap/>
            <w:vAlign w:val="center"/>
          </w:tcPr>
          <w:p w14:paraId="23A2B7FC">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病区维护</w:t>
            </w:r>
          </w:p>
        </w:tc>
        <w:tc>
          <w:tcPr>
            <w:tcW w:w="890" w:type="pct"/>
            <w:tcBorders>
              <w:top w:val="nil"/>
              <w:left w:val="nil"/>
              <w:bottom w:val="single" w:color="auto" w:sz="4" w:space="0"/>
              <w:right w:val="single" w:color="auto" w:sz="4" w:space="0"/>
            </w:tcBorders>
            <w:shd w:val="clear" w:color="auto" w:fill="auto"/>
            <w:vAlign w:val="center"/>
          </w:tcPr>
          <w:p w14:paraId="0447C66D">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kern w:val="0"/>
                <w:sz w:val="22"/>
                <w:highlight w:val="none"/>
                <w:lang w:bidi="ar"/>
              </w:rPr>
              <w:t>添加</w:t>
            </w:r>
          </w:p>
        </w:tc>
        <w:tc>
          <w:tcPr>
            <w:tcW w:w="2430" w:type="pct"/>
            <w:tcBorders>
              <w:top w:val="nil"/>
              <w:left w:val="nil"/>
              <w:bottom w:val="single" w:color="auto" w:sz="4" w:space="0"/>
              <w:right w:val="single" w:color="auto" w:sz="4" w:space="0"/>
            </w:tcBorders>
            <w:shd w:val="clear" w:color="auto" w:fill="auto"/>
            <w:vAlign w:val="center"/>
          </w:tcPr>
          <w:p w14:paraId="6845619D">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增加病区</w:t>
            </w:r>
          </w:p>
        </w:tc>
      </w:tr>
      <w:tr w14:paraId="19781E81">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03C67AD8">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81</w:t>
            </w:r>
          </w:p>
        </w:tc>
        <w:tc>
          <w:tcPr>
            <w:tcW w:w="601" w:type="pct"/>
            <w:vMerge w:val="continue"/>
            <w:tcBorders>
              <w:top w:val="nil"/>
              <w:left w:val="single" w:color="auto" w:sz="4" w:space="0"/>
              <w:bottom w:val="single" w:color="000000" w:sz="4" w:space="0"/>
              <w:right w:val="single" w:color="auto" w:sz="4" w:space="0"/>
            </w:tcBorders>
            <w:vAlign w:val="center"/>
          </w:tcPr>
          <w:p w14:paraId="1EEA81B5">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continue"/>
            <w:tcBorders>
              <w:top w:val="nil"/>
              <w:left w:val="single" w:color="auto" w:sz="4" w:space="0"/>
              <w:bottom w:val="single" w:color="000000" w:sz="4" w:space="0"/>
              <w:right w:val="single" w:color="auto" w:sz="4" w:space="0"/>
            </w:tcBorders>
            <w:vAlign w:val="center"/>
          </w:tcPr>
          <w:p w14:paraId="5AD3D22E">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890" w:type="pct"/>
            <w:tcBorders>
              <w:top w:val="nil"/>
              <w:left w:val="nil"/>
              <w:bottom w:val="single" w:color="auto" w:sz="4" w:space="0"/>
              <w:right w:val="single" w:color="auto" w:sz="4" w:space="0"/>
            </w:tcBorders>
            <w:shd w:val="clear" w:color="auto" w:fill="auto"/>
            <w:vAlign w:val="center"/>
          </w:tcPr>
          <w:p w14:paraId="19B8B4F1">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kern w:val="0"/>
                <w:sz w:val="22"/>
                <w:highlight w:val="none"/>
                <w:lang w:bidi="ar"/>
              </w:rPr>
              <w:t>删除</w:t>
            </w:r>
          </w:p>
        </w:tc>
        <w:tc>
          <w:tcPr>
            <w:tcW w:w="2430" w:type="pct"/>
            <w:tcBorders>
              <w:top w:val="nil"/>
              <w:left w:val="nil"/>
              <w:bottom w:val="single" w:color="auto" w:sz="4" w:space="0"/>
              <w:right w:val="single" w:color="auto" w:sz="4" w:space="0"/>
            </w:tcBorders>
            <w:shd w:val="clear" w:color="auto" w:fill="auto"/>
            <w:vAlign w:val="center"/>
          </w:tcPr>
          <w:p w14:paraId="155F48E4">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删除病区</w:t>
            </w:r>
          </w:p>
        </w:tc>
      </w:tr>
      <w:tr w14:paraId="7A66418A">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44BF7847">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82</w:t>
            </w:r>
          </w:p>
        </w:tc>
        <w:tc>
          <w:tcPr>
            <w:tcW w:w="601" w:type="pct"/>
            <w:vMerge w:val="continue"/>
            <w:tcBorders>
              <w:top w:val="nil"/>
              <w:left w:val="single" w:color="auto" w:sz="4" w:space="0"/>
              <w:bottom w:val="single" w:color="000000" w:sz="4" w:space="0"/>
              <w:right w:val="single" w:color="auto" w:sz="4" w:space="0"/>
            </w:tcBorders>
            <w:vAlign w:val="center"/>
          </w:tcPr>
          <w:p w14:paraId="6DE08834">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continue"/>
            <w:tcBorders>
              <w:top w:val="nil"/>
              <w:left w:val="single" w:color="auto" w:sz="4" w:space="0"/>
              <w:bottom w:val="single" w:color="000000" w:sz="4" w:space="0"/>
              <w:right w:val="single" w:color="auto" w:sz="4" w:space="0"/>
            </w:tcBorders>
            <w:vAlign w:val="center"/>
          </w:tcPr>
          <w:p w14:paraId="3B81A46B">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890" w:type="pct"/>
            <w:tcBorders>
              <w:top w:val="nil"/>
              <w:left w:val="nil"/>
              <w:bottom w:val="single" w:color="auto" w:sz="4" w:space="0"/>
              <w:right w:val="single" w:color="auto" w:sz="4" w:space="0"/>
            </w:tcBorders>
            <w:shd w:val="clear" w:color="auto" w:fill="auto"/>
            <w:vAlign w:val="center"/>
          </w:tcPr>
          <w:p w14:paraId="1A92A436">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kern w:val="0"/>
                <w:sz w:val="22"/>
                <w:highlight w:val="none"/>
                <w:lang w:bidi="ar"/>
              </w:rPr>
              <w:t>修改</w:t>
            </w:r>
          </w:p>
        </w:tc>
        <w:tc>
          <w:tcPr>
            <w:tcW w:w="2430" w:type="pct"/>
            <w:tcBorders>
              <w:top w:val="nil"/>
              <w:left w:val="nil"/>
              <w:bottom w:val="single" w:color="auto" w:sz="4" w:space="0"/>
              <w:right w:val="single" w:color="auto" w:sz="4" w:space="0"/>
            </w:tcBorders>
            <w:shd w:val="clear" w:color="auto" w:fill="auto"/>
            <w:vAlign w:val="center"/>
          </w:tcPr>
          <w:p w14:paraId="474195B9">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修改病区</w:t>
            </w:r>
          </w:p>
        </w:tc>
      </w:tr>
      <w:tr w14:paraId="46F08F77">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637627DC">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83</w:t>
            </w:r>
          </w:p>
        </w:tc>
        <w:tc>
          <w:tcPr>
            <w:tcW w:w="601" w:type="pct"/>
            <w:vMerge w:val="continue"/>
            <w:tcBorders>
              <w:top w:val="nil"/>
              <w:left w:val="single" w:color="auto" w:sz="4" w:space="0"/>
              <w:bottom w:val="single" w:color="000000" w:sz="4" w:space="0"/>
              <w:right w:val="single" w:color="auto" w:sz="4" w:space="0"/>
            </w:tcBorders>
            <w:vAlign w:val="center"/>
          </w:tcPr>
          <w:p w14:paraId="6CC8C227">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continue"/>
            <w:tcBorders>
              <w:top w:val="nil"/>
              <w:left w:val="single" w:color="auto" w:sz="4" w:space="0"/>
              <w:bottom w:val="single" w:color="000000" w:sz="4" w:space="0"/>
              <w:right w:val="single" w:color="auto" w:sz="4" w:space="0"/>
            </w:tcBorders>
            <w:vAlign w:val="center"/>
          </w:tcPr>
          <w:p w14:paraId="3A50EF8D">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890" w:type="pct"/>
            <w:tcBorders>
              <w:top w:val="nil"/>
              <w:left w:val="nil"/>
              <w:bottom w:val="single" w:color="auto" w:sz="4" w:space="0"/>
              <w:right w:val="single" w:color="auto" w:sz="4" w:space="0"/>
            </w:tcBorders>
            <w:shd w:val="clear" w:color="auto" w:fill="auto"/>
            <w:vAlign w:val="center"/>
          </w:tcPr>
          <w:p w14:paraId="0ED5A827">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kern w:val="0"/>
                <w:sz w:val="22"/>
                <w:highlight w:val="none"/>
                <w:lang w:bidi="ar"/>
              </w:rPr>
              <w:t>查询</w:t>
            </w:r>
          </w:p>
        </w:tc>
        <w:tc>
          <w:tcPr>
            <w:tcW w:w="2430" w:type="pct"/>
            <w:tcBorders>
              <w:top w:val="nil"/>
              <w:left w:val="nil"/>
              <w:bottom w:val="single" w:color="auto" w:sz="4" w:space="0"/>
              <w:right w:val="single" w:color="auto" w:sz="4" w:space="0"/>
            </w:tcBorders>
            <w:shd w:val="clear" w:color="auto" w:fill="auto"/>
            <w:vAlign w:val="center"/>
          </w:tcPr>
          <w:p w14:paraId="33989507">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查询病区</w:t>
            </w:r>
          </w:p>
        </w:tc>
      </w:tr>
      <w:tr w14:paraId="0C5515C4">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3FEB8660">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84</w:t>
            </w:r>
          </w:p>
        </w:tc>
        <w:tc>
          <w:tcPr>
            <w:tcW w:w="601" w:type="pct"/>
            <w:vMerge w:val="continue"/>
            <w:tcBorders>
              <w:top w:val="nil"/>
              <w:left w:val="single" w:color="auto" w:sz="4" w:space="0"/>
              <w:bottom w:val="single" w:color="000000" w:sz="4" w:space="0"/>
              <w:right w:val="single" w:color="auto" w:sz="4" w:space="0"/>
            </w:tcBorders>
            <w:vAlign w:val="center"/>
          </w:tcPr>
          <w:p w14:paraId="05F9FC47">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continue"/>
            <w:tcBorders>
              <w:top w:val="nil"/>
              <w:left w:val="single" w:color="auto" w:sz="4" w:space="0"/>
              <w:bottom w:val="single" w:color="000000" w:sz="4" w:space="0"/>
              <w:right w:val="single" w:color="auto" w:sz="4" w:space="0"/>
            </w:tcBorders>
            <w:vAlign w:val="center"/>
          </w:tcPr>
          <w:p w14:paraId="1F21432E">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890" w:type="pct"/>
            <w:tcBorders>
              <w:top w:val="nil"/>
              <w:left w:val="nil"/>
              <w:bottom w:val="single" w:color="auto" w:sz="4" w:space="0"/>
              <w:right w:val="single" w:color="auto" w:sz="4" w:space="0"/>
            </w:tcBorders>
            <w:shd w:val="clear" w:color="auto" w:fill="auto"/>
            <w:vAlign w:val="center"/>
          </w:tcPr>
          <w:p w14:paraId="69309EC1">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跨科设置</w:t>
            </w:r>
          </w:p>
        </w:tc>
        <w:tc>
          <w:tcPr>
            <w:tcW w:w="2430" w:type="pct"/>
            <w:tcBorders>
              <w:top w:val="nil"/>
              <w:left w:val="nil"/>
              <w:bottom w:val="single" w:color="auto" w:sz="4" w:space="0"/>
              <w:right w:val="single" w:color="auto" w:sz="4" w:space="0"/>
            </w:tcBorders>
            <w:shd w:val="clear" w:color="auto" w:fill="auto"/>
            <w:vAlign w:val="center"/>
          </w:tcPr>
          <w:p w14:paraId="5CD1F9FF">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支持同楼层病区、附近病区（上下楼层）、全院不限等多种跨科设置</w:t>
            </w:r>
          </w:p>
        </w:tc>
      </w:tr>
      <w:tr w14:paraId="33083CE1">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3CA0A38A">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85</w:t>
            </w:r>
          </w:p>
        </w:tc>
        <w:tc>
          <w:tcPr>
            <w:tcW w:w="601" w:type="pct"/>
            <w:vMerge w:val="continue"/>
            <w:tcBorders>
              <w:top w:val="nil"/>
              <w:left w:val="single" w:color="auto" w:sz="4" w:space="0"/>
              <w:bottom w:val="single" w:color="000000" w:sz="4" w:space="0"/>
              <w:right w:val="single" w:color="auto" w:sz="4" w:space="0"/>
            </w:tcBorders>
            <w:vAlign w:val="center"/>
          </w:tcPr>
          <w:p w14:paraId="46573218">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restart"/>
            <w:tcBorders>
              <w:top w:val="nil"/>
              <w:left w:val="single" w:color="auto" w:sz="4" w:space="0"/>
              <w:bottom w:val="single" w:color="000000" w:sz="4" w:space="0"/>
              <w:right w:val="single" w:color="auto" w:sz="4" w:space="0"/>
            </w:tcBorders>
            <w:shd w:val="clear" w:color="auto" w:fill="auto"/>
            <w:noWrap/>
            <w:vAlign w:val="center"/>
          </w:tcPr>
          <w:p w14:paraId="16BEA7A8">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病房维护</w:t>
            </w:r>
          </w:p>
        </w:tc>
        <w:tc>
          <w:tcPr>
            <w:tcW w:w="890" w:type="pct"/>
            <w:tcBorders>
              <w:top w:val="nil"/>
              <w:left w:val="nil"/>
              <w:bottom w:val="single" w:color="auto" w:sz="4" w:space="0"/>
              <w:right w:val="single" w:color="auto" w:sz="4" w:space="0"/>
            </w:tcBorders>
            <w:shd w:val="clear" w:color="auto" w:fill="auto"/>
            <w:vAlign w:val="center"/>
          </w:tcPr>
          <w:p w14:paraId="20B9503A">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kern w:val="0"/>
                <w:sz w:val="22"/>
                <w:highlight w:val="none"/>
                <w:lang w:bidi="ar"/>
              </w:rPr>
              <w:t>添加</w:t>
            </w:r>
          </w:p>
        </w:tc>
        <w:tc>
          <w:tcPr>
            <w:tcW w:w="2430" w:type="pct"/>
            <w:tcBorders>
              <w:top w:val="nil"/>
              <w:left w:val="nil"/>
              <w:bottom w:val="single" w:color="auto" w:sz="4" w:space="0"/>
              <w:right w:val="single" w:color="auto" w:sz="4" w:space="0"/>
            </w:tcBorders>
            <w:shd w:val="clear" w:color="auto" w:fill="auto"/>
            <w:vAlign w:val="center"/>
          </w:tcPr>
          <w:p w14:paraId="66AB483F">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增加病房</w:t>
            </w:r>
          </w:p>
        </w:tc>
      </w:tr>
      <w:tr w14:paraId="1D7B17EB">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5A1ED6FE">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86</w:t>
            </w:r>
          </w:p>
        </w:tc>
        <w:tc>
          <w:tcPr>
            <w:tcW w:w="601" w:type="pct"/>
            <w:vMerge w:val="continue"/>
            <w:tcBorders>
              <w:top w:val="nil"/>
              <w:left w:val="single" w:color="auto" w:sz="4" w:space="0"/>
              <w:bottom w:val="single" w:color="000000" w:sz="4" w:space="0"/>
              <w:right w:val="single" w:color="auto" w:sz="4" w:space="0"/>
            </w:tcBorders>
            <w:vAlign w:val="center"/>
          </w:tcPr>
          <w:p w14:paraId="63FF165A">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continue"/>
            <w:tcBorders>
              <w:top w:val="nil"/>
              <w:left w:val="single" w:color="auto" w:sz="4" w:space="0"/>
              <w:bottom w:val="single" w:color="000000" w:sz="4" w:space="0"/>
              <w:right w:val="single" w:color="auto" w:sz="4" w:space="0"/>
            </w:tcBorders>
            <w:vAlign w:val="center"/>
          </w:tcPr>
          <w:p w14:paraId="581BB99A">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890" w:type="pct"/>
            <w:tcBorders>
              <w:top w:val="nil"/>
              <w:left w:val="nil"/>
              <w:bottom w:val="single" w:color="auto" w:sz="4" w:space="0"/>
              <w:right w:val="single" w:color="auto" w:sz="4" w:space="0"/>
            </w:tcBorders>
            <w:shd w:val="clear" w:color="auto" w:fill="auto"/>
            <w:vAlign w:val="center"/>
          </w:tcPr>
          <w:p w14:paraId="04445C29">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kern w:val="0"/>
                <w:sz w:val="22"/>
                <w:highlight w:val="none"/>
                <w:lang w:bidi="ar"/>
              </w:rPr>
              <w:t>删除</w:t>
            </w:r>
          </w:p>
        </w:tc>
        <w:tc>
          <w:tcPr>
            <w:tcW w:w="2430" w:type="pct"/>
            <w:tcBorders>
              <w:top w:val="nil"/>
              <w:left w:val="nil"/>
              <w:bottom w:val="single" w:color="auto" w:sz="4" w:space="0"/>
              <w:right w:val="single" w:color="auto" w:sz="4" w:space="0"/>
            </w:tcBorders>
            <w:shd w:val="clear" w:color="auto" w:fill="auto"/>
            <w:vAlign w:val="center"/>
          </w:tcPr>
          <w:p w14:paraId="6D437CF4">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删除病房</w:t>
            </w:r>
          </w:p>
        </w:tc>
      </w:tr>
      <w:tr w14:paraId="7E79E82D">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04A10B61">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87</w:t>
            </w:r>
          </w:p>
        </w:tc>
        <w:tc>
          <w:tcPr>
            <w:tcW w:w="601" w:type="pct"/>
            <w:vMerge w:val="continue"/>
            <w:tcBorders>
              <w:top w:val="nil"/>
              <w:left w:val="single" w:color="auto" w:sz="4" w:space="0"/>
              <w:bottom w:val="single" w:color="000000" w:sz="4" w:space="0"/>
              <w:right w:val="single" w:color="auto" w:sz="4" w:space="0"/>
            </w:tcBorders>
            <w:vAlign w:val="center"/>
          </w:tcPr>
          <w:p w14:paraId="4DDE9CBA">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continue"/>
            <w:tcBorders>
              <w:top w:val="nil"/>
              <w:left w:val="single" w:color="auto" w:sz="4" w:space="0"/>
              <w:bottom w:val="single" w:color="000000" w:sz="4" w:space="0"/>
              <w:right w:val="single" w:color="auto" w:sz="4" w:space="0"/>
            </w:tcBorders>
            <w:vAlign w:val="center"/>
          </w:tcPr>
          <w:p w14:paraId="23CF2B3A">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890" w:type="pct"/>
            <w:tcBorders>
              <w:top w:val="nil"/>
              <w:left w:val="nil"/>
              <w:bottom w:val="single" w:color="auto" w:sz="4" w:space="0"/>
              <w:right w:val="single" w:color="auto" w:sz="4" w:space="0"/>
            </w:tcBorders>
            <w:shd w:val="clear" w:color="auto" w:fill="auto"/>
            <w:vAlign w:val="center"/>
          </w:tcPr>
          <w:p w14:paraId="4FDEF2C0">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kern w:val="0"/>
                <w:sz w:val="22"/>
                <w:highlight w:val="none"/>
                <w:lang w:bidi="ar"/>
              </w:rPr>
              <w:t>修改</w:t>
            </w:r>
          </w:p>
        </w:tc>
        <w:tc>
          <w:tcPr>
            <w:tcW w:w="2430" w:type="pct"/>
            <w:tcBorders>
              <w:top w:val="nil"/>
              <w:left w:val="nil"/>
              <w:bottom w:val="single" w:color="auto" w:sz="4" w:space="0"/>
              <w:right w:val="single" w:color="auto" w:sz="4" w:space="0"/>
            </w:tcBorders>
            <w:shd w:val="clear" w:color="auto" w:fill="auto"/>
            <w:vAlign w:val="center"/>
          </w:tcPr>
          <w:p w14:paraId="7EB1884D">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修改病房</w:t>
            </w:r>
          </w:p>
        </w:tc>
      </w:tr>
      <w:tr w14:paraId="78FF079B">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49A1A376">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88</w:t>
            </w:r>
          </w:p>
        </w:tc>
        <w:tc>
          <w:tcPr>
            <w:tcW w:w="601" w:type="pct"/>
            <w:vMerge w:val="continue"/>
            <w:tcBorders>
              <w:top w:val="nil"/>
              <w:left w:val="single" w:color="auto" w:sz="4" w:space="0"/>
              <w:bottom w:val="single" w:color="000000" w:sz="4" w:space="0"/>
              <w:right w:val="single" w:color="auto" w:sz="4" w:space="0"/>
            </w:tcBorders>
            <w:vAlign w:val="center"/>
          </w:tcPr>
          <w:p w14:paraId="094EAE2A">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continue"/>
            <w:tcBorders>
              <w:top w:val="nil"/>
              <w:left w:val="single" w:color="auto" w:sz="4" w:space="0"/>
              <w:bottom w:val="single" w:color="000000" w:sz="4" w:space="0"/>
              <w:right w:val="single" w:color="auto" w:sz="4" w:space="0"/>
            </w:tcBorders>
            <w:vAlign w:val="center"/>
          </w:tcPr>
          <w:p w14:paraId="4DD6AD1B">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890" w:type="pct"/>
            <w:tcBorders>
              <w:top w:val="nil"/>
              <w:left w:val="nil"/>
              <w:bottom w:val="single" w:color="auto" w:sz="4" w:space="0"/>
              <w:right w:val="single" w:color="auto" w:sz="4" w:space="0"/>
            </w:tcBorders>
            <w:shd w:val="clear" w:color="auto" w:fill="auto"/>
            <w:vAlign w:val="center"/>
          </w:tcPr>
          <w:p w14:paraId="236AE89F">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kern w:val="0"/>
                <w:sz w:val="22"/>
                <w:highlight w:val="none"/>
                <w:lang w:bidi="ar"/>
              </w:rPr>
              <w:t>查询</w:t>
            </w:r>
          </w:p>
        </w:tc>
        <w:tc>
          <w:tcPr>
            <w:tcW w:w="2430" w:type="pct"/>
            <w:tcBorders>
              <w:top w:val="nil"/>
              <w:left w:val="nil"/>
              <w:bottom w:val="single" w:color="auto" w:sz="4" w:space="0"/>
              <w:right w:val="single" w:color="auto" w:sz="4" w:space="0"/>
            </w:tcBorders>
            <w:shd w:val="clear" w:color="auto" w:fill="auto"/>
            <w:vAlign w:val="center"/>
          </w:tcPr>
          <w:p w14:paraId="727FA31E">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查询病房</w:t>
            </w:r>
          </w:p>
        </w:tc>
      </w:tr>
      <w:tr w14:paraId="235319C3">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7546C958">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89</w:t>
            </w:r>
          </w:p>
        </w:tc>
        <w:tc>
          <w:tcPr>
            <w:tcW w:w="601" w:type="pct"/>
            <w:vMerge w:val="continue"/>
            <w:tcBorders>
              <w:top w:val="nil"/>
              <w:left w:val="single" w:color="auto" w:sz="4" w:space="0"/>
              <w:bottom w:val="single" w:color="000000" w:sz="4" w:space="0"/>
              <w:right w:val="single" w:color="auto" w:sz="4" w:space="0"/>
            </w:tcBorders>
            <w:vAlign w:val="center"/>
          </w:tcPr>
          <w:p w14:paraId="45A48FBB">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restart"/>
            <w:tcBorders>
              <w:top w:val="nil"/>
              <w:left w:val="single" w:color="auto" w:sz="4" w:space="0"/>
              <w:bottom w:val="single" w:color="000000" w:sz="4" w:space="0"/>
              <w:right w:val="single" w:color="auto" w:sz="4" w:space="0"/>
            </w:tcBorders>
            <w:shd w:val="clear" w:color="auto" w:fill="auto"/>
            <w:noWrap/>
            <w:vAlign w:val="center"/>
          </w:tcPr>
          <w:p w14:paraId="2FFFC39A">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床位维护</w:t>
            </w:r>
          </w:p>
        </w:tc>
        <w:tc>
          <w:tcPr>
            <w:tcW w:w="890" w:type="pct"/>
            <w:tcBorders>
              <w:top w:val="nil"/>
              <w:left w:val="nil"/>
              <w:bottom w:val="single" w:color="auto" w:sz="4" w:space="0"/>
              <w:right w:val="single" w:color="auto" w:sz="4" w:space="0"/>
            </w:tcBorders>
            <w:shd w:val="clear" w:color="auto" w:fill="auto"/>
            <w:vAlign w:val="center"/>
          </w:tcPr>
          <w:p w14:paraId="42F7F3E4">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kern w:val="0"/>
                <w:sz w:val="22"/>
                <w:highlight w:val="none"/>
                <w:lang w:bidi="ar"/>
              </w:rPr>
              <w:t>添加</w:t>
            </w:r>
          </w:p>
        </w:tc>
        <w:tc>
          <w:tcPr>
            <w:tcW w:w="2430" w:type="pct"/>
            <w:tcBorders>
              <w:top w:val="nil"/>
              <w:left w:val="nil"/>
              <w:bottom w:val="single" w:color="auto" w:sz="4" w:space="0"/>
              <w:right w:val="single" w:color="auto" w:sz="4" w:space="0"/>
            </w:tcBorders>
            <w:shd w:val="clear" w:color="auto" w:fill="auto"/>
            <w:vAlign w:val="center"/>
          </w:tcPr>
          <w:p w14:paraId="29AC7449">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增加床位</w:t>
            </w:r>
          </w:p>
        </w:tc>
      </w:tr>
      <w:tr w14:paraId="2B1585FA">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7DD15D1C">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90</w:t>
            </w:r>
          </w:p>
        </w:tc>
        <w:tc>
          <w:tcPr>
            <w:tcW w:w="601" w:type="pct"/>
            <w:vMerge w:val="continue"/>
            <w:tcBorders>
              <w:top w:val="nil"/>
              <w:left w:val="single" w:color="auto" w:sz="4" w:space="0"/>
              <w:bottom w:val="single" w:color="000000" w:sz="4" w:space="0"/>
              <w:right w:val="single" w:color="auto" w:sz="4" w:space="0"/>
            </w:tcBorders>
            <w:vAlign w:val="center"/>
          </w:tcPr>
          <w:p w14:paraId="71E9B944">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continue"/>
            <w:tcBorders>
              <w:top w:val="nil"/>
              <w:left w:val="single" w:color="auto" w:sz="4" w:space="0"/>
              <w:bottom w:val="single" w:color="000000" w:sz="4" w:space="0"/>
              <w:right w:val="single" w:color="auto" w:sz="4" w:space="0"/>
            </w:tcBorders>
            <w:vAlign w:val="center"/>
          </w:tcPr>
          <w:p w14:paraId="42BF9552">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890" w:type="pct"/>
            <w:tcBorders>
              <w:top w:val="nil"/>
              <w:left w:val="nil"/>
              <w:bottom w:val="single" w:color="auto" w:sz="4" w:space="0"/>
              <w:right w:val="single" w:color="auto" w:sz="4" w:space="0"/>
            </w:tcBorders>
            <w:shd w:val="clear" w:color="auto" w:fill="auto"/>
            <w:vAlign w:val="center"/>
          </w:tcPr>
          <w:p w14:paraId="267E2DAC">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kern w:val="0"/>
                <w:sz w:val="22"/>
                <w:highlight w:val="none"/>
                <w:lang w:bidi="ar"/>
              </w:rPr>
              <w:t>删除</w:t>
            </w:r>
          </w:p>
        </w:tc>
        <w:tc>
          <w:tcPr>
            <w:tcW w:w="2430" w:type="pct"/>
            <w:tcBorders>
              <w:top w:val="nil"/>
              <w:left w:val="nil"/>
              <w:bottom w:val="single" w:color="auto" w:sz="4" w:space="0"/>
              <w:right w:val="single" w:color="auto" w:sz="4" w:space="0"/>
            </w:tcBorders>
            <w:shd w:val="clear" w:color="auto" w:fill="auto"/>
            <w:vAlign w:val="center"/>
          </w:tcPr>
          <w:p w14:paraId="75B02726">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删除床位</w:t>
            </w:r>
          </w:p>
        </w:tc>
      </w:tr>
      <w:tr w14:paraId="3D475E53">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3E74FB3F">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91</w:t>
            </w:r>
          </w:p>
        </w:tc>
        <w:tc>
          <w:tcPr>
            <w:tcW w:w="601" w:type="pct"/>
            <w:vMerge w:val="continue"/>
            <w:tcBorders>
              <w:top w:val="nil"/>
              <w:left w:val="single" w:color="auto" w:sz="4" w:space="0"/>
              <w:bottom w:val="single" w:color="000000" w:sz="4" w:space="0"/>
              <w:right w:val="single" w:color="auto" w:sz="4" w:space="0"/>
            </w:tcBorders>
            <w:vAlign w:val="center"/>
          </w:tcPr>
          <w:p w14:paraId="7112130C">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continue"/>
            <w:tcBorders>
              <w:top w:val="nil"/>
              <w:left w:val="single" w:color="auto" w:sz="4" w:space="0"/>
              <w:bottom w:val="single" w:color="000000" w:sz="4" w:space="0"/>
              <w:right w:val="single" w:color="auto" w:sz="4" w:space="0"/>
            </w:tcBorders>
            <w:vAlign w:val="center"/>
          </w:tcPr>
          <w:p w14:paraId="36CBE8F1">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890" w:type="pct"/>
            <w:tcBorders>
              <w:top w:val="nil"/>
              <w:left w:val="nil"/>
              <w:bottom w:val="single" w:color="auto" w:sz="4" w:space="0"/>
              <w:right w:val="single" w:color="auto" w:sz="4" w:space="0"/>
            </w:tcBorders>
            <w:shd w:val="clear" w:color="auto" w:fill="auto"/>
            <w:vAlign w:val="center"/>
          </w:tcPr>
          <w:p w14:paraId="5273F4F6">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kern w:val="0"/>
                <w:sz w:val="22"/>
                <w:highlight w:val="none"/>
                <w:lang w:bidi="ar"/>
              </w:rPr>
              <w:t>修改</w:t>
            </w:r>
          </w:p>
        </w:tc>
        <w:tc>
          <w:tcPr>
            <w:tcW w:w="2430" w:type="pct"/>
            <w:tcBorders>
              <w:top w:val="nil"/>
              <w:left w:val="nil"/>
              <w:bottom w:val="single" w:color="auto" w:sz="4" w:space="0"/>
              <w:right w:val="single" w:color="auto" w:sz="4" w:space="0"/>
            </w:tcBorders>
            <w:shd w:val="clear" w:color="auto" w:fill="auto"/>
            <w:vAlign w:val="center"/>
          </w:tcPr>
          <w:p w14:paraId="7D1D3CC2">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修改床位</w:t>
            </w:r>
          </w:p>
        </w:tc>
      </w:tr>
      <w:tr w14:paraId="4821ECBC">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5EF5284A">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92</w:t>
            </w:r>
          </w:p>
        </w:tc>
        <w:tc>
          <w:tcPr>
            <w:tcW w:w="601" w:type="pct"/>
            <w:vMerge w:val="continue"/>
            <w:tcBorders>
              <w:top w:val="nil"/>
              <w:left w:val="single" w:color="auto" w:sz="4" w:space="0"/>
              <w:bottom w:val="single" w:color="000000" w:sz="4" w:space="0"/>
              <w:right w:val="single" w:color="auto" w:sz="4" w:space="0"/>
            </w:tcBorders>
            <w:vAlign w:val="center"/>
          </w:tcPr>
          <w:p w14:paraId="300E251B">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continue"/>
            <w:tcBorders>
              <w:top w:val="nil"/>
              <w:left w:val="single" w:color="auto" w:sz="4" w:space="0"/>
              <w:bottom w:val="single" w:color="000000" w:sz="4" w:space="0"/>
              <w:right w:val="single" w:color="auto" w:sz="4" w:space="0"/>
            </w:tcBorders>
            <w:vAlign w:val="center"/>
          </w:tcPr>
          <w:p w14:paraId="4C4DA167">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890" w:type="pct"/>
            <w:tcBorders>
              <w:top w:val="nil"/>
              <w:left w:val="nil"/>
              <w:bottom w:val="single" w:color="auto" w:sz="4" w:space="0"/>
              <w:right w:val="single" w:color="auto" w:sz="4" w:space="0"/>
            </w:tcBorders>
            <w:shd w:val="clear" w:color="auto" w:fill="auto"/>
            <w:vAlign w:val="center"/>
          </w:tcPr>
          <w:p w14:paraId="779674EE">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kern w:val="0"/>
                <w:sz w:val="22"/>
                <w:highlight w:val="none"/>
                <w:lang w:bidi="ar"/>
              </w:rPr>
              <w:t>查询</w:t>
            </w:r>
          </w:p>
        </w:tc>
        <w:tc>
          <w:tcPr>
            <w:tcW w:w="2430" w:type="pct"/>
            <w:tcBorders>
              <w:top w:val="nil"/>
              <w:left w:val="nil"/>
              <w:bottom w:val="single" w:color="auto" w:sz="4" w:space="0"/>
              <w:right w:val="single" w:color="auto" w:sz="4" w:space="0"/>
            </w:tcBorders>
            <w:shd w:val="clear" w:color="auto" w:fill="auto"/>
            <w:vAlign w:val="center"/>
          </w:tcPr>
          <w:p w14:paraId="3E9F17B5">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查询床位</w:t>
            </w:r>
          </w:p>
        </w:tc>
      </w:tr>
      <w:tr w14:paraId="68C2D2D9">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696B3A09">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93</w:t>
            </w:r>
          </w:p>
        </w:tc>
        <w:tc>
          <w:tcPr>
            <w:tcW w:w="601" w:type="pct"/>
            <w:vMerge w:val="continue"/>
            <w:tcBorders>
              <w:top w:val="nil"/>
              <w:left w:val="single" w:color="auto" w:sz="4" w:space="0"/>
              <w:bottom w:val="single" w:color="000000" w:sz="4" w:space="0"/>
              <w:right w:val="single" w:color="auto" w:sz="4" w:space="0"/>
            </w:tcBorders>
            <w:vAlign w:val="center"/>
          </w:tcPr>
          <w:p w14:paraId="4EFF0432">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restart"/>
            <w:tcBorders>
              <w:top w:val="nil"/>
              <w:left w:val="single" w:color="auto" w:sz="4" w:space="0"/>
              <w:bottom w:val="single" w:color="000000" w:sz="4" w:space="0"/>
              <w:right w:val="single" w:color="auto" w:sz="4" w:space="0"/>
            </w:tcBorders>
            <w:shd w:val="clear" w:color="auto" w:fill="auto"/>
            <w:noWrap/>
            <w:vAlign w:val="center"/>
          </w:tcPr>
          <w:p w14:paraId="5729A7FC">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短信模版</w:t>
            </w:r>
          </w:p>
        </w:tc>
        <w:tc>
          <w:tcPr>
            <w:tcW w:w="890" w:type="pct"/>
            <w:tcBorders>
              <w:top w:val="nil"/>
              <w:left w:val="nil"/>
              <w:bottom w:val="single" w:color="auto" w:sz="4" w:space="0"/>
              <w:right w:val="single" w:color="auto" w:sz="4" w:space="0"/>
            </w:tcBorders>
            <w:shd w:val="clear" w:color="auto" w:fill="auto"/>
            <w:vAlign w:val="center"/>
          </w:tcPr>
          <w:p w14:paraId="3557FDDE">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kern w:val="0"/>
                <w:sz w:val="22"/>
                <w:highlight w:val="none"/>
                <w:lang w:bidi="ar"/>
              </w:rPr>
              <w:t>添加</w:t>
            </w:r>
          </w:p>
        </w:tc>
        <w:tc>
          <w:tcPr>
            <w:tcW w:w="2430" w:type="pct"/>
            <w:tcBorders>
              <w:top w:val="nil"/>
              <w:left w:val="nil"/>
              <w:bottom w:val="single" w:color="auto" w:sz="4" w:space="0"/>
              <w:right w:val="single" w:color="auto" w:sz="4" w:space="0"/>
            </w:tcBorders>
            <w:shd w:val="clear" w:color="auto" w:fill="auto"/>
            <w:vAlign w:val="center"/>
          </w:tcPr>
          <w:p w14:paraId="13B8437F">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增加短信模版</w:t>
            </w:r>
          </w:p>
        </w:tc>
      </w:tr>
      <w:tr w14:paraId="6B7A5AD9">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353B0CA3">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94</w:t>
            </w:r>
          </w:p>
        </w:tc>
        <w:tc>
          <w:tcPr>
            <w:tcW w:w="601" w:type="pct"/>
            <w:vMerge w:val="continue"/>
            <w:tcBorders>
              <w:top w:val="nil"/>
              <w:left w:val="single" w:color="auto" w:sz="4" w:space="0"/>
              <w:bottom w:val="single" w:color="000000" w:sz="4" w:space="0"/>
              <w:right w:val="single" w:color="auto" w:sz="4" w:space="0"/>
            </w:tcBorders>
            <w:vAlign w:val="center"/>
          </w:tcPr>
          <w:p w14:paraId="548A7502">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continue"/>
            <w:tcBorders>
              <w:top w:val="nil"/>
              <w:left w:val="single" w:color="auto" w:sz="4" w:space="0"/>
              <w:bottom w:val="single" w:color="000000" w:sz="4" w:space="0"/>
              <w:right w:val="single" w:color="auto" w:sz="4" w:space="0"/>
            </w:tcBorders>
            <w:vAlign w:val="center"/>
          </w:tcPr>
          <w:p w14:paraId="30781209">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890" w:type="pct"/>
            <w:tcBorders>
              <w:top w:val="nil"/>
              <w:left w:val="nil"/>
              <w:bottom w:val="single" w:color="auto" w:sz="4" w:space="0"/>
              <w:right w:val="single" w:color="auto" w:sz="4" w:space="0"/>
            </w:tcBorders>
            <w:shd w:val="clear" w:color="auto" w:fill="auto"/>
            <w:vAlign w:val="center"/>
          </w:tcPr>
          <w:p w14:paraId="477848E8">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kern w:val="0"/>
                <w:sz w:val="22"/>
                <w:highlight w:val="none"/>
                <w:lang w:bidi="ar"/>
              </w:rPr>
              <w:t>删除</w:t>
            </w:r>
          </w:p>
        </w:tc>
        <w:tc>
          <w:tcPr>
            <w:tcW w:w="2430" w:type="pct"/>
            <w:tcBorders>
              <w:top w:val="nil"/>
              <w:left w:val="nil"/>
              <w:bottom w:val="single" w:color="auto" w:sz="4" w:space="0"/>
              <w:right w:val="single" w:color="auto" w:sz="4" w:space="0"/>
            </w:tcBorders>
            <w:shd w:val="clear" w:color="auto" w:fill="auto"/>
            <w:vAlign w:val="center"/>
          </w:tcPr>
          <w:p w14:paraId="1D65F503">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删除短信模版</w:t>
            </w:r>
          </w:p>
        </w:tc>
      </w:tr>
      <w:tr w14:paraId="2EE09606">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1560F824">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95</w:t>
            </w:r>
          </w:p>
        </w:tc>
        <w:tc>
          <w:tcPr>
            <w:tcW w:w="601" w:type="pct"/>
            <w:vMerge w:val="continue"/>
            <w:tcBorders>
              <w:top w:val="nil"/>
              <w:left w:val="single" w:color="auto" w:sz="4" w:space="0"/>
              <w:bottom w:val="single" w:color="000000" w:sz="4" w:space="0"/>
              <w:right w:val="single" w:color="auto" w:sz="4" w:space="0"/>
            </w:tcBorders>
            <w:vAlign w:val="center"/>
          </w:tcPr>
          <w:p w14:paraId="638716C3">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continue"/>
            <w:tcBorders>
              <w:top w:val="nil"/>
              <w:left w:val="single" w:color="auto" w:sz="4" w:space="0"/>
              <w:bottom w:val="single" w:color="000000" w:sz="4" w:space="0"/>
              <w:right w:val="single" w:color="auto" w:sz="4" w:space="0"/>
            </w:tcBorders>
            <w:vAlign w:val="center"/>
          </w:tcPr>
          <w:p w14:paraId="45E6E79E">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890" w:type="pct"/>
            <w:tcBorders>
              <w:top w:val="nil"/>
              <w:left w:val="nil"/>
              <w:bottom w:val="single" w:color="auto" w:sz="4" w:space="0"/>
              <w:right w:val="single" w:color="auto" w:sz="4" w:space="0"/>
            </w:tcBorders>
            <w:shd w:val="clear" w:color="auto" w:fill="auto"/>
            <w:vAlign w:val="center"/>
          </w:tcPr>
          <w:p w14:paraId="38364944">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kern w:val="0"/>
                <w:sz w:val="22"/>
                <w:highlight w:val="none"/>
                <w:lang w:bidi="ar"/>
              </w:rPr>
              <w:t>修改</w:t>
            </w:r>
          </w:p>
        </w:tc>
        <w:tc>
          <w:tcPr>
            <w:tcW w:w="2430" w:type="pct"/>
            <w:tcBorders>
              <w:top w:val="nil"/>
              <w:left w:val="nil"/>
              <w:bottom w:val="single" w:color="auto" w:sz="4" w:space="0"/>
              <w:right w:val="single" w:color="auto" w:sz="4" w:space="0"/>
            </w:tcBorders>
            <w:shd w:val="clear" w:color="auto" w:fill="auto"/>
            <w:vAlign w:val="center"/>
          </w:tcPr>
          <w:p w14:paraId="79D61683">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修改短信模版</w:t>
            </w:r>
          </w:p>
        </w:tc>
      </w:tr>
      <w:tr w14:paraId="4B79CCDE">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7B15AC05">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96</w:t>
            </w:r>
          </w:p>
        </w:tc>
        <w:tc>
          <w:tcPr>
            <w:tcW w:w="601" w:type="pct"/>
            <w:vMerge w:val="continue"/>
            <w:tcBorders>
              <w:top w:val="nil"/>
              <w:left w:val="single" w:color="auto" w:sz="4" w:space="0"/>
              <w:bottom w:val="single" w:color="000000" w:sz="4" w:space="0"/>
              <w:right w:val="single" w:color="auto" w:sz="4" w:space="0"/>
            </w:tcBorders>
            <w:vAlign w:val="center"/>
          </w:tcPr>
          <w:p w14:paraId="0AF6B7FA">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continue"/>
            <w:tcBorders>
              <w:top w:val="nil"/>
              <w:left w:val="single" w:color="auto" w:sz="4" w:space="0"/>
              <w:bottom w:val="single" w:color="000000" w:sz="4" w:space="0"/>
              <w:right w:val="single" w:color="auto" w:sz="4" w:space="0"/>
            </w:tcBorders>
            <w:vAlign w:val="center"/>
          </w:tcPr>
          <w:p w14:paraId="35D261E8">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890" w:type="pct"/>
            <w:tcBorders>
              <w:top w:val="nil"/>
              <w:left w:val="nil"/>
              <w:bottom w:val="single" w:color="auto" w:sz="4" w:space="0"/>
              <w:right w:val="single" w:color="auto" w:sz="4" w:space="0"/>
            </w:tcBorders>
            <w:shd w:val="clear" w:color="auto" w:fill="auto"/>
            <w:vAlign w:val="center"/>
          </w:tcPr>
          <w:p w14:paraId="3EA1CF9B">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kern w:val="0"/>
                <w:sz w:val="22"/>
                <w:highlight w:val="none"/>
                <w:lang w:bidi="ar"/>
              </w:rPr>
              <w:t>查询</w:t>
            </w:r>
          </w:p>
        </w:tc>
        <w:tc>
          <w:tcPr>
            <w:tcW w:w="2430" w:type="pct"/>
            <w:tcBorders>
              <w:top w:val="nil"/>
              <w:left w:val="nil"/>
              <w:bottom w:val="single" w:color="auto" w:sz="4" w:space="0"/>
              <w:right w:val="single" w:color="auto" w:sz="4" w:space="0"/>
            </w:tcBorders>
            <w:shd w:val="clear" w:color="auto" w:fill="auto"/>
            <w:vAlign w:val="center"/>
          </w:tcPr>
          <w:p w14:paraId="60F85473">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查询短信模版</w:t>
            </w:r>
          </w:p>
        </w:tc>
      </w:tr>
      <w:tr w14:paraId="61FD0FBB">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08D9A5A4">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97</w:t>
            </w:r>
          </w:p>
        </w:tc>
        <w:tc>
          <w:tcPr>
            <w:tcW w:w="601" w:type="pct"/>
            <w:vMerge w:val="restart"/>
            <w:tcBorders>
              <w:top w:val="nil"/>
              <w:left w:val="single" w:color="auto" w:sz="4" w:space="0"/>
              <w:bottom w:val="single" w:color="000000" w:sz="4" w:space="0"/>
              <w:right w:val="single" w:color="auto" w:sz="4" w:space="0"/>
            </w:tcBorders>
            <w:shd w:val="clear" w:color="auto" w:fill="auto"/>
            <w:noWrap/>
            <w:vAlign w:val="center"/>
          </w:tcPr>
          <w:p w14:paraId="19DE1521">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统计分析</w:t>
            </w:r>
          </w:p>
        </w:tc>
        <w:tc>
          <w:tcPr>
            <w:tcW w:w="723" w:type="pct"/>
            <w:vMerge w:val="restart"/>
            <w:tcBorders>
              <w:top w:val="nil"/>
              <w:left w:val="single" w:color="auto" w:sz="4" w:space="0"/>
              <w:bottom w:val="single" w:color="000000" w:sz="4" w:space="0"/>
              <w:right w:val="single" w:color="auto" w:sz="4" w:space="0"/>
            </w:tcBorders>
            <w:shd w:val="clear" w:color="auto" w:fill="auto"/>
            <w:noWrap/>
            <w:vAlign w:val="center"/>
          </w:tcPr>
          <w:p w14:paraId="47302580">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预约情况统计</w:t>
            </w:r>
          </w:p>
        </w:tc>
        <w:tc>
          <w:tcPr>
            <w:tcW w:w="890" w:type="pct"/>
            <w:tcBorders>
              <w:top w:val="nil"/>
              <w:left w:val="nil"/>
              <w:bottom w:val="single" w:color="auto" w:sz="4" w:space="0"/>
              <w:right w:val="single" w:color="auto" w:sz="4" w:space="0"/>
            </w:tcBorders>
            <w:shd w:val="clear" w:color="auto" w:fill="auto"/>
            <w:vAlign w:val="center"/>
          </w:tcPr>
          <w:p w14:paraId="45186FCF">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导出</w:t>
            </w:r>
          </w:p>
        </w:tc>
        <w:tc>
          <w:tcPr>
            <w:tcW w:w="2430" w:type="pct"/>
            <w:tcBorders>
              <w:top w:val="nil"/>
              <w:left w:val="nil"/>
              <w:bottom w:val="single" w:color="auto" w:sz="4" w:space="0"/>
              <w:right w:val="single" w:color="auto" w:sz="4" w:space="0"/>
            </w:tcBorders>
            <w:shd w:val="clear" w:color="auto" w:fill="auto"/>
            <w:vAlign w:val="center"/>
          </w:tcPr>
          <w:p w14:paraId="62CD875D">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导出预约情况</w:t>
            </w:r>
          </w:p>
        </w:tc>
      </w:tr>
      <w:tr w14:paraId="5E042583">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0BEEAE42">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98</w:t>
            </w:r>
          </w:p>
        </w:tc>
        <w:tc>
          <w:tcPr>
            <w:tcW w:w="601" w:type="pct"/>
            <w:vMerge w:val="continue"/>
            <w:tcBorders>
              <w:top w:val="nil"/>
              <w:left w:val="single" w:color="auto" w:sz="4" w:space="0"/>
              <w:bottom w:val="single" w:color="000000" w:sz="4" w:space="0"/>
              <w:right w:val="single" w:color="auto" w:sz="4" w:space="0"/>
            </w:tcBorders>
            <w:vAlign w:val="center"/>
          </w:tcPr>
          <w:p w14:paraId="59930618">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continue"/>
            <w:tcBorders>
              <w:top w:val="nil"/>
              <w:left w:val="single" w:color="auto" w:sz="4" w:space="0"/>
              <w:bottom w:val="single" w:color="000000" w:sz="4" w:space="0"/>
              <w:right w:val="single" w:color="auto" w:sz="4" w:space="0"/>
            </w:tcBorders>
            <w:vAlign w:val="center"/>
          </w:tcPr>
          <w:p w14:paraId="30996390">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890" w:type="pct"/>
            <w:tcBorders>
              <w:top w:val="nil"/>
              <w:left w:val="nil"/>
              <w:bottom w:val="single" w:color="auto" w:sz="4" w:space="0"/>
              <w:right w:val="single" w:color="auto" w:sz="4" w:space="0"/>
            </w:tcBorders>
            <w:shd w:val="clear" w:color="auto" w:fill="auto"/>
            <w:vAlign w:val="center"/>
          </w:tcPr>
          <w:p w14:paraId="60926403">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查询</w:t>
            </w:r>
          </w:p>
        </w:tc>
        <w:tc>
          <w:tcPr>
            <w:tcW w:w="2430" w:type="pct"/>
            <w:tcBorders>
              <w:top w:val="nil"/>
              <w:left w:val="nil"/>
              <w:bottom w:val="single" w:color="auto" w:sz="4" w:space="0"/>
              <w:right w:val="single" w:color="auto" w:sz="4" w:space="0"/>
            </w:tcBorders>
            <w:shd w:val="clear" w:color="auto" w:fill="auto"/>
            <w:vAlign w:val="center"/>
          </w:tcPr>
          <w:p w14:paraId="7FA71D26">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查询预约情况</w:t>
            </w:r>
          </w:p>
        </w:tc>
      </w:tr>
      <w:tr w14:paraId="49047447">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1EC432C5">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99</w:t>
            </w:r>
          </w:p>
        </w:tc>
        <w:tc>
          <w:tcPr>
            <w:tcW w:w="601" w:type="pct"/>
            <w:vMerge w:val="continue"/>
            <w:tcBorders>
              <w:top w:val="nil"/>
              <w:left w:val="single" w:color="auto" w:sz="4" w:space="0"/>
              <w:bottom w:val="single" w:color="000000" w:sz="4" w:space="0"/>
              <w:right w:val="single" w:color="auto" w:sz="4" w:space="0"/>
            </w:tcBorders>
            <w:vAlign w:val="center"/>
          </w:tcPr>
          <w:p w14:paraId="5649E78B">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restart"/>
            <w:tcBorders>
              <w:top w:val="nil"/>
              <w:left w:val="single" w:color="auto" w:sz="4" w:space="0"/>
              <w:bottom w:val="single" w:color="000000" w:sz="4" w:space="0"/>
              <w:right w:val="single" w:color="auto" w:sz="4" w:space="0"/>
            </w:tcBorders>
            <w:shd w:val="clear" w:color="auto" w:fill="auto"/>
            <w:noWrap/>
            <w:vAlign w:val="center"/>
          </w:tcPr>
          <w:p w14:paraId="15E5B8FB">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跨科收治统计</w:t>
            </w:r>
          </w:p>
        </w:tc>
        <w:tc>
          <w:tcPr>
            <w:tcW w:w="890" w:type="pct"/>
            <w:tcBorders>
              <w:top w:val="nil"/>
              <w:left w:val="nil"/>
              <w:bottom w:val="single" w:color="auto" w:sz="4" w:space="0"/>
              <w:right w:val="single" w:color="auto" w:sz="4" w:space="0"/>
            </w:tcBorders>
            <w:shd w:val="clear" w:color="auto" w:fill="auto"/>
            <w:vAlign w:val="center"/>
          </w:tcPr>
          <w:p w14:paraId="08AC91F3">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导出</w:t>
            </w:r>
          </w:p>
        </w:tc>
        <w:tc>
          <w:tcPr>
            <w:tcW w:w="2430" w:type="pct"/>
            <w:tcBorders>
              <w:top w:val="nil"/>
              <w:left w:val="nil"/>
              <w:bottom w:val="single" w:color="auto" w:sz="4" w:space="0"/>
              <w:right w:val="single" w:color="auto" w:sz="4" w:space="0"/>
            </w:tcBorders>
            <w:shd w:val="clear" w:color="auto" w:fill="auto"/>
            <w:vAlign w:val="center"/>
          </w:tcPr>
          <w:p w14:paraId="73B73EAC">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导出跨科收治</w:t>
            </w:r>
          </w:p>
        </w:tc>
      </w:tr>
      <w:tr w14:paraId="6EAAB7D6">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78FC7286">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100</w:t>
            </w:r>
          </w:p>
        </w:tc>
        <w:tc>
          <w:tcPr>
            <w:tcW w:w="601" w:type="pct"/>
            <w:vMerge w:val="continue"/>
            <w:tcBorders>
              <w:top w:val="nil"/>
              <w:left w:val="single" w:color="auto" w:sz="4" w:space="0"/>
              <w:bottom w:val="single" w:color="000000" w:sz="4" w:space="0"/>
              <w:right w:val="single" w:color="auto" w:sz="4" w:space="0"/>
            </w:tcBorders>
            <w:vAlign w:val="center"/>
          </w:tcPr>
          <w:p w14:paraId="264D27DA">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continue"/>
            <w:tcBorders>
              <w:top w:val="nil"/>
              <w:left w:val="single" w:color="auto" w:sz="4" w:space="0"/>
              <w:bottom w:val="single" w:color="000000" w:sz="4" w:space="0"/>
              <w:right w:val="single" w:color="auto" w:sz="4" w:space="0"/>
            </w:tcBorders>
            <w:vAlign w:val="center"/>
          </w:tcPr>
          <w:p w14:paraId="5450C10B">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890" w:type="pct"/>
            <w:tcBorders>
              <w:top w:val="nil"/>
              <w:left w:val="nil"/>
              <w:bottom w:val="single" w:color="auto" w:sz="4" w:space="0"/>
              <w:right w:val="single" w:color="auto" w:sz="4" w:space="0"/>
            </w:tcBorders>
            <w:shd w:val="clear" w:color="auto" w:fill="auto"/>
            <w:vAlign w:val="center"/>
          </w:tcPr>
          <w:p w14:paraId="5FDF78EF">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查询</w:t>
            </w:r>
          </w:p>
        </w:tc>
        <w:tc>
          <w:tcPr>
            <w:tcW w:w="2430" w:type="pct"/>
            <w:tcBorders>
              <w:top w:val="nil"/>
              <w:left w:val="nil"/>
              <w:bottom w:val="single" w:color="auto" w:sz="4" w:space="0"/>
              <w:right w:val="single" w:color="auto" w:sz="4" w:space="0"/>
            </w:tcBorders>
            <w:shd w:val="clear" w:color="auto" w:fill="auto"/>
            <w:vAlign w:val="center"/>
          </w:tcPr>
          <w:p w14:paraId="75C6BB43">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查询跨科收治</w:t>
            </w:r>
          </w:p>
        </w:tc>
      </w:tr>
      <w:tr w14:paraId="17D112E3">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01C97DEB">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101</w:t>
            </w:r>
          </w:p>
        </w:tc>
        <w:tc>
          <w:tcPr>
            <w:tcW w:w="601" w:type="pct"/>
            <w:vMerge w:val="continue"/>
            <w:tcBorders>
              <w:top w:val="nil"/>
              <w:left w:val="single" w:color="auto" w:sz="4" w:space="0"/>
              <w:bottom w:val="single" w:color="000000" w:sz="4" w:space="0"/>
              <w:right w:val="single" w:color="auto" w:sz="4" w:space="0"/>
            </w:tcBorders>
            <w:vAlign w:val="center"/>
          </w:tcPr>
          <w:p w14:paraId="3AF72E41">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restart"/>
            <w:tcBorders>
              <w:top w:val="nil"/>
              <w:left w:val="single" w:color="auto" w:sz="4" w:space="0"/>
              <w:bottom w:val="single" w:color="000000" w:sz="4" w:space="0"/>
              <w:right w:val="single" w:color="auto" w:sz="4" w:space="0"/>
            </w:tcBorders>
            <w:shd w:val="clear" w:color="auto" w:fill="auto"/>
            <w:noWrap/>
            <w:vAlign w:val="center"/>
          </w:tcPr>
          <w:p w14:paraId="257BB74D">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留床入院统计</w:t>
            </w:r>
          </w:p>
        </w:tc>
        <w:tc>
          <w:tcPr>
            <w:tcW w:w="890" w:type="pct"/>
            <w:tcBorders>
              <w:top w:val="nil"/>
              <w:left w:val="nil"/>
              <w:bottom w:val="single" w:color="auto" w:sz="4" w:space="0"/>
              <w:right w:val="single" w:color="auto" w:sz="4" w:space="0"/>
            </w:tcBorders>
            <w:shd w:val="clear" w:color="auto" w:fill="auto"/>
            <w:vAlign w:val="center"/>
          </w:tcPr>
          <w:p w14:paraId="3466B119">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导出</w:t>
            </w:r>
          </w:p>
        </w:tc>
        <w:tc>
          <w:tcPr>
            <w:tcW w:w="2430" w:type="pct"/>
            <w:tcBorders>
              <w:top w:val="nil"/>
              <w:left w:val="nil"/>
              <w:bottom w:val="single" w:color="auto" w:sz="4" w:space="0"/>
              <w:right w:val="single" w:color="auto" w:sz="4" w:space="0"/>
            </w:tcBorders>
            <w:shd w:val="clear" w:color="auto" w:fill="auto"/>
            <w:vAlign w:val="center"/>
          </w:tcPr>
          <w:p w14:paraId="02D3C6B3">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导出留床入院</w:t>
            </w:r>
          </w:p>
        </w:tc>
      </w:tr>
      <w:tr w14:paraId="32B8BB09">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7DA02050">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102</w:t>
            </w:r>
          </w:p>
        </w:tc>
        <w:tc>
          <w:tcPr>
            <w:tcW w:w="601" w:type="pct"/>
            <w:vMerge w:val="continue"/>
            <w:tcBorders>
              <w:top w:val="nil"/>
              <w:left w:val="single" w:color="auto" w:sz="4" w:space="0"/>
              <w:bottom w:val="single" w:color="000000" w:sz="4" w:space="0"/>
              <w:right w:val="single" w:color="auto" w:sz="4" w:space="0"/>
            </w:tcBorders>
            <w:vAlign w:val="center"/>
          </w:tcPr>
          <w:p w14:paraId="364282B2">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continue"/>
            <w:tcBorders>
              <w:top w:val="nil"/>
              <w:left w:val="single" w:color="auto" w:sz="4" w:space="0"/>
              <w:bottom w:val="single" w:color="000000" w:sz="4" w:space="0"/>
              <w:right w:val="single" w:color="auto" w:sz="4" w:space="0"/>
            </w:tcBorders>
            <w:vAlign w:val="center"/>
          </w:tcPr>
          <w:p w14:paraId="40BB3AF2">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890" w:type="pct"/>
            <w:tcBorders>
              <w:top w:val="nil"/>
              <w:left w:val="nil"/>
              <w:bottom w:val="single" w:color="auto" w:sz="4" w:space="0"/>
              <w:right w:val="single" w:color="auto" w:sz="4" w:space="0"/>
            </w:tcBorders>
            <w:shd w:val="clear" w:color="auto" w:fill="auto"/>
            <w:vAlign w:val="center"/>
          </w:tcPr>
          <w:p w14:paraId="057F86EA">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查询</w:t>
            </w:r>
          </w:p>
        </w:tc>
        <w:tc>
          <w:tcPr>
            <w:tcW w:w="2430" w:type="pct"/>
            <w:tcBorders>
              <w:top w:val="nil"/>
              <w:left w:val="nil"/>
              <w:bottom w:val="single" w:color="auto" w:sz="4" w:space="0"/>
              <w:right w:val="single" w:color="auto" w:sz="4" w:space="0"/>
            </w:tcBorders>
            <w:shd w:val="clear" w:color="auto" w:fill="auto"/>
            <w:vAlign w:val="center"/>
          </w:tcPr>
          <w:p w14:paraId="64188BB1">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查询留床入院</w:t>
            </w:r>
          </w:p>
        </w:tc>
      </w:tr>
      <w:tr w14:paraId="68FD5196">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7B3A7E3E">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103</w:t>
            </w:r>
          </w:p>
        </w:tc>
        <w:tc>
          <w:tcPr>
            <w:tcW w:w="601" w:type="pct"/>
            <w:vMerge w:val="continue"/>
            <w:tcBorders>
              <w:top w:val="nil"/>
              <w:left w:val="single" w:color="auto" w:sz="4" w:space="0"/>
              <w:bottom w:val="single" w:color="000000" w:sz="4" w:space="0"/>
              <w:right w:val="single" w:color="auto" w:sz="4" w:space="0"/>
            </w:tcBorders>
            <w:vAlign w:val="center"/>
          </w:tcPr>
          <w:p w14:paraId="06104F0B">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restart"/>
            <w:tcBorders>
              <w:top w:val="nil"/>
              <w:left w:val="single" w:color="auto" w:sz="4" w:space="0"/>
              <w:bottom w:val="single" w:color="000000" w:sz="4" w:space="0"/>
              <w:right w:val="single" w:color="auto" w:sz="4" w:space="0"/>
            </w:tcBorders>
            <w:shd w:val="clear" w:color="auto" w:fill="auto"/>
            <w:noWrap/>
            <w:vAlign w:val="center"/>
          </w:tcPr>
          <w:p w14:paraId="1927D1D9">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登记率统计</w:t>
            </w:r>
          </w:p>
        </w:tc>
        <w:tc>
          <w:tcPr>
            <w:tcW w:w="890" w:type="pct"/>
            <w:tcBorders>
              <w:top w:val="nil"/>
              <w:left w:val="nil"/>
              <w:bottom w:val="single" w:color="auto" w:sz="4" w:space="0"/>
              <w:right w:val="single" w:color="auto" w:sz="4" w:space="0"/>
            </w:tcBorders>
            <w:shd w:val="clear" w:color="auto" w:fill="auto"/>
            <w:vAlign w:val="center"/>
          </w:tcPr>
          <w:p w14:paraId="57ADAFEC">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导出</w:t>
            </w:r>
          </w:p>
        </w:tc>
        <w:tc>
          <w:tcPr>
            <w:tcW w:w="2430" w:type="pct"/>
            <w:tcBorders>
              <w:top w:val="nil"/>
              <w:left w:val="nil"/>
              <w:bottom w:val="single" w:color="auto" w:sz="4" w:space="0"/>
              <w:right w:val="single" w:color="auto" w:sz="4" w:space="0"/>
            </w:tcBorders>
            <w:shd w:val="clear" w:color="auto" w:fill="auto"/>
            <w:vAlign w:val="center"/>
          </w:tcPr>
          <w:p w14:paraId="778FD8C5">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导出登记率</w:t>
            </w:r>
          </w:p>
        </w:tc>
      </w:tr>
      <w:tr w14:paraId="5F385C89">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761F7F2B">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104</w:t>
            </w:r>
          </w:p>
        </w:tc>
        <w:tc>
          <w:tcPr>
            <w:tcW w:w="601" w:type="pct"/>
            <w:vMerge w:val="continue"/>
            <w:tcBorders>
              <w:top w:val="nil"/>
              <w:left w:val="single" w:color="auto" w:sz="4" w:space="0"/>
              <w:bottom w:val="single" w:color="000000" w:sz="4" w:space="0"/>
              <w:right w:val="single" w:color="auto" w:sz="4" w:space="0"/>
            </w:tcBorders>
            <w:vAlign w:val="center"/>
          </w:tcPr>
          <w:p w14:paraId="0B31208F">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continue"/>
            <w:tcBorders>
              <w:top w:val="nil"/>
              <w:left w:val="single" w:color="auto" w:sz="4" w:space="0"/>
              <w:bottom w:val="single" w:color="000000" w:sz="4" w:space="0"/>
              <w:right w:val="single" w:color="auto" w:sz="4" w:space="0"/>
            </w:tcBorders>
            <w:vAlign w:val="center"/>
          </w:tcPr>
          <w:p w14:paraId="66EFE85B">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890" w:type="pct"/>
            <w:tcBorders>
              <w:top w:val="nil"/>
              <w:left w:val="nil"/>
              <w:bottom w:val="single" w:color="auto" w:sz="4" w:space="0"/>
              <w:right w:val="single" w:color="auto" w:sz="4" w:space="0"/>
            </w:tcBorders>
            <w:shd w:val="clear" w:color="auto" w:fill="auto"/>
            <w:vAlign w:val="center"/>
          </w:tcPr>
          <w:p w14:paraId="59516DB2">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查询</w:t>
            </w:r>
          </w:p>
        </w:tc>
        <w:tc>
          <w:tcPr>
            <w:tcW w:w="2430" w:type="pct"/>
            <w:tcBorders>
              <w:top w:val="nil"/>
              <w:left w:val="nil"/>
              <w:bottom w:val="single" w:color="auto" w:sz="4" w:space="0"/>
              <w:right w:val="single" w:color="auto" w:sz="4" w:space="0"/>
            </w:tcBorders>
            <w:shd w:val="clear" w:color="auto" w:fill="auto"/>
            <w:vAlign w:val="center"/>
          </w:tcPr>
          <w:p w14:paraId="6E83E082">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查询登记率</w:t>
            </w:r>
          </w:p>
        </w:tc>
      </w:tr>
      <w:tr w14:paraId="65031522">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4DD5E215">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105</w:t>
            </w:r>
          </w:p>
        </w:tc>
        <w:tc>
          <w:tcPr>
            <w:tcW w:w="601" w:type="pct"/>
            <w:vMerge w:val="continue"/>
            <w:tcBorders>
              <w:top w:val="nil"/>
              <w:left w:val="single" w:color="auto" w:sz="4" w:space="0"/>
              <w:bottom w:val="single" w:color="000000" w:sz="4" w:space="0"/>
              <w:right w:val="single" w:color="auto" w:sz="4" w:space="0"/>
            </w:tcBorders>
            <w:vAlign w:val="center"/>
          </w:tcPr>
          <w:p w14:paraId="79DAD8A3">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restart"/>
            <w:tcBorders>
              <w:top w:val="nil"/>
              <w:left w:val="single" w:color="auto" w:sz="4" w:space="0"/>
              <w:bottom w:val="single" w:color="000000" w:sz="4" w:space="0"/>
              <w:right w:val="single" w:color="auto" w:sz="4" w:space="0"/>
            </w:tcBorders>
            <w:shd w:val="clear" w:color="auto" w:fill="auto"/>
            <w:noWrap/>
            <w:vAlign w:val="center"/>
          </w:tcPr>
          <w:p w14:paraId="26A7F7FA">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床位统计</w:t>
            </w:r>
          </w:p>
        </w:tc>
        <w:tc>
          <w:tcPr>
            <w:tcW w:w="890" w:type="pct"/>
            <w:tcBorders>
              <w:top w:val="nil"/>
              <w:left w:val="nil"/>
              <w:bottom w:val="single" w:color="auto" w:sz="4" w:space="0"/>
              <w:right w:val="single" w:color="auto" w:sz="4" w:space="0"/>
            </w:tcBorders>
            <w:shd w:val="clear" w:color="auto" w:fill="auto"/>
            <w:vAlign w:val="center"/>
          </w:tcPr>
          <w:p w14:paraId="504DCA09">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导出</w:t>
            </w:r>
          </w:p>
        </w:tc>
        <w:tc>
          <w:tcPr>
            <w:tcW w:w="2430" w:type="pct"/>
            <w:tcBorders>
              <w:top w:val="nil"/>
              <w:left w:val="nil"/>
              <w:bottom w:val="single" w:color="auto" w:sz="4" w:space="0"/>
              <w:right w:val="single" w:color="auto" w:sz="4" w:space="0"/>
            </w:tcBorders>
            <w:shd w:val="clear" w:color="auto" w:fill="auto"/>
            <w:vAlign w:val="center"/>
          </w:tcPr>
          <w:p w14:paraId="6B06DD62">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导出床位统计</w:t>
            </w:r>
          </w:p>
        </w:tc>
      </w:tr>
      <w:tr w14:paraId="7B3ED83E">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778D19AE">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106</w:t>
            </w:r>
          </w:p>
        </w:tc>
        <w:tc>
          <w:tcPr>
            <w:tcW w:w="601" w:type="pct"/>
            <w:vMerge w:val="continue"/>
            <w:tcBorders>
              <w:top w:val="nil"/>
              <w:left w:val="single" w:color="auto" w:sz="4" w:space="0"/>
              <w:bottom w:val="single" w:color="000000" w:sz="4" w:space="0"/>
              <w:right w:val="single" w:color="auto" w:sz="4" w:space="0"/>
            </w:tcBorders>
            <w:vAlign w:val="center"/>
          </w:tcPr>
          <w:p w14:paraId="07295A00">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continue"/>
            <w:tcBorders>
              <w:top w:val="nil"/>
              <w:left w:val="single" w:color="auto" w:sz="4" w:space="0"/>
              <w:bottom w:val="single" w:color="000000" w:sz="4" w:space="0"/>
              <w:right w:val="single" w:color="auto" w:sz="4" w:space="0"/>
            </w:tcBorders>
            <w:vAlign w:val="center"/>
          </w:tcPr>
          <w:p w14:paraId="15CA8C85">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890" w:type="pct"/>
            <w:tcBorders>
              <w:top w:val="nil"/>
              <w:left w:val="nil"/>
              <w:bottom w:val="single" w:color="auto" w:sz="4" w:space="0"/>
              <w:right w:val="single" w:color="auto" w:sz="4" w:space="0"/>
            </w:tcBorders>
            <w:shd w:val="clear" w:color="auto" w:fill="auto"/>
            <w:vAlign w:val="center"/>
          </w:tcPr>
          <w:p w14:paraId="33358073">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查询</w:t>
            </w:r>
          </w:p>
        </w:tc>
        <w:tc>
          <w:tcPr>
            <w:tcW w:w="2430" w:type="pct"/>
            <w:tcBorders>
              <w:top w:val="nil"/>
              <w:left w:val="nil"/>
              <w:bottom w:val="single" w:color="auto" w:sz="4" w:space="0"/>
              <w:right w:val="single" w:color="auto" w:sz="4" w:space="0"/>
            </w:tcBorders>
            <w:shd w:val="clear" w:color="auto" w:fill="auto"/>
            <w:vAlign w:val="center"/>
          </w:tcPr>
          <w:p w14:paraId="478AB875">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查询床位统计</w:t>
            </w:r>
          </w:p>
        </w:tc>
      </w:tr>
      <w:tr w14:paraId="39D7DF0A">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28AE224C">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107</w:t>
            </w:r>
          </w:p>
        </w:tc>
        <w:tc>
          <w:tcPr>
            <w:tcW w:w="601" w:type="pct"/>
            <w:vMerge w:val="continue"/>
            <w:tcBorders>
              <w:top w:val="nil"/>
              <w:left w:val="single" w:color="auto" w:sz="4" w:space="0"/>
              <w:bottom w:val="single" w:color="000000" w:sz="4" w:space="0"/>
              <w:right w:val="single" w:color="auto" w:sz="4" w:space="0"/>
            </w:tcBorders>
            <w:vAlign w:val="center"/>
          </w:tcPr>
          <w:p w14:paraId="36CDFF38">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restart"/>
            <w:tcBorders>
              <w:top w:val="nil"/>
              <w:left w:val="single" w:color="auto" w:sz="4" w:space="0"/>
              <w:bottom w:val="single" w:color="000000" w:sz="4" w:space="0"/>
              <w:right w:val="single" w:color="auto" w:sz="4" w:space="0"/>
            </w:tcBorders>
            <w:shd w:val="clear" w:color="auto" w:fill="auto"/>
            <w:noWrap/>
            <w:vAlign w:val="center"/>
          </w:tcPr>
          <w:p w14:paraId="44A61786">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留床统计</w:t>
            </w:r>
          </w:p>
        </w:tc>
        <w:tc>
          <w:tcPr>
            <w:tcW w:w="890" w:type="pct"/>
            <w:tcBorders>
              <w:top w:val="nil"/>
              <w:left w:val="nil"/>
              <w:bottom w:val="single" w:color="auto" w:sz="4" w:space="0"/>
              <w:right w:val="single" w:color="auto" w:sz="4" w:space="0"/>
            </w:tcBorders>
            <w:shd w:val="clear" w:color="auto" w:fill="auto"/>
            <w:vAlign w:val="center"/>
          </w:tcPr>
          <w:p w14:paraId="3C9DF100">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导出</w:t>
            </w:r>
          </w:p>
        </w:tc>
        <w:tc>
          <w:tcPr>
            <w:tcW w:w="2430" w:type="pct"/>
            <w:tcBorders>
              <w:top w:val="nil"/>
              <w:left w:val="nil"/>
              <w:bottom w:val="single" w:color="auto" w:sz="4" w:space="0"/>
              <w:right w:val="single" w:color="auto" w:sz="4" w:space="0"/>
            </w:tcBorders>
            <w:shd w:val="clear" w:color="auto" w:fill="auto"/>
            <w:vAlign w:val="center"/>
          </w:tcPr>
          <w:p w14:paraId="44C56A84">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导出留床统计</w:t>
            </w:r>
          </w:p>
        </w:tc>
      </w:tr>
      <w:tr w14:paraId="69DF7B0D">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5E3A0572">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108</w:t>
            </w:r>
          </w:p>
        </w:tc>
        <w:tc>
          <w:tcPr>
            <w:tcW w:w="601" w:type="pct"/>
            <w:vMerge w:val="continue"/>
            <w:tcBorders>
              <w:top w:val="nil"/>
              <w:left w:val="single" w:color="auto" w:sz="4" w:space="0"/>
              <w:bottom w:val="single" w:color="000000" w:sz="4" w:space="0"/>
              <w:right w:val="single" w:color="auto" w:sz="4" w:space="0"/>
            </w:tcBorders>
            <w:vAlign w:val="center"/>
          </w:tcPr>
          <w:p w14:paraId="18638367">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continue"/>
            <w:tcBorders>
              <w:top w:val="nil"/>
              <w:left w:val="single" w:color="auto" w:sz="4" w:space="0"/>
              <w:bottom w:val="single" w:color="000000" w:sz="4" w:space="0"/>
              <w:right w:val="single" w:color="auto" w:sz="4" w:space="0"/>
            </w:tcBorders>
            <w:vAlign w:val="center"/>
          </w:tcPr>
          <w:p w14:paraId="636EFBFB">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890" w:type="pct"/>
            <w:tcBorders>
              <w:top w:val="nil"/>
              <w:left w:val="nil"/>
              <w:bottom w:val="single" w:color="auto" w:sz="4" w:space="0"/>
              <w:right w:val="single" w:color="auto" w:sz="4" w:space="0"/>
            </w:tcBorders>
            <w:shd w:val="clear" w:color="auto" w:fill="auto"/>
            <w:vAlign w:val="center"/>
          </w:tcPr>
          <w:p w14:paraId="37F4B487">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查询</w:t>
            </w:r>
          </w:p>
        </w:tc>
        <w:tc>
          <w:tcPr>
            <w:tcW w:w="2430" w:type="pct"/>
            <w:tcBorders>
              <w:top w:val="nil"/>
              <w:left w:val="nil"/>
              <w:bottom w:val="single" w:color="auto" w:sz="4" w:space="0"/>
              <w:right w:val="single" w:color="auto" w:sz="4" w:space="0"/>
            </w:tcBorders>
            <w:shd w:val="clear" w:color="auto" w:fill="auto"/>
            <w:vAlign w:val="center"/>
          </w:tcPr>
          <w:p w14:paraId="6A6D0DB9">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查询留床统计</w:t>
            </w:r>
          </w:p>
        </w:tc>
      </w:tr>
      <w:tr w14:paraId="5B531A9D">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55DEFFFE">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109</w:t>
            </w:r>
          </w:p>
        </w:tc>
        <w:tc>
          <w:tcPr>
            <w:tcW w:w="601" w:type="pct"/>
            <w:vMerge w:val="continue"/>
            <w:tcBorders>
              <w:top w:val="nil"/>
              <w:left w:val="single" w:color="auto" w:sz="4" w:space="0"/>
              <w:bottom w:val="single" w:color="000000" w:sz="4" w:space="0"/>
              <w:right w:val="single" w:color="auto" w:sz="4" w:space="0"/>
            </w:tcBorders>
            <w:vAlign w:val="center"/>
          </w:tcPr>
          <w:p w14:paraId="018D181E">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restart"/>
            <w:tcBorders>
              <w:top w:val="nil"/>
              <w:left w:val="single" w:color="auto" w:sz="4" w:space="0"/>
              <w:bottom w:val="single" w:color="000000" w:sz="4" w:space="0"/>
              <w:right w:val="single" w:color="auto" w:sz="4" w:space="0"/>
            </w:tcBorders>
            <w:shd w:val="clear" w:color="auto" w:fill="auto"/>
            <w:noWrap/>
            <w:vAlign w:val="center"/>
          </w:tcPr>
          <w:p w14:paraId="6E939E11">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床管中心工作量统计</w:t>
            </w:r>
          </w:p>
        </w:tc>
        <w:tc>
          <w:tcPr>
            <w:tcW w:w="890" w:type="pct"/>
            <w:tcBorders>
              <w:top w:val="nil"/>
              <w:left w:val="nil"/>
              <w:bottom w:val="single" w:color="auto" w:sz="4" w:space="0"/>
              <w:right w:val="single" w:color="auto" w:sz="4" w:space="0"/>
            </w:tcBorders>
            <w:shd w:val="clear" w:color="auto" w:fill="auto"/>
            <w:vAlign w:val="center"/>
          </w:tcPr>
          <w:p w14:paraId="5FE63720">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导出</w:t>
            </w:r>
          </w:p>
        </w:tc>
        <w:tc>
          <w:tcPr>
            <w:tcW w:w="2430" w:type="pct"/>
            <w:tcBorders>
              <w:top w:val="nil"/>
              <w:left w:val="nil"/>
              <w:bottom w:val="single" w:color="auto" w:sz="4" w:space="0"/>
              <w:right w:val="single" w:color="auto" w:sz="4" w:space="0"/>
            </w:tcBorders>
            <w:shd w:val="clear" w:color="auto" w:fill="auto"/>
            <w:vAlign w:val="center"/>
          </w:tcPr>
          <w:p w14:paraId="73CD0765">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导出床管中心工作量统计</w:t>
            </w:r>
          </w:p>
        </w:tc>
      </w:tr>
      <w:tr w14:paraId="6CED7044">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4226E6C8">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110</w:t>
            </w:r>
          </w:p>
        </w:tc>
        <w:tc>
          <w:tcPr>
            <w:tcW w:w="601" w:type="pct"/>
            <w:vMerge w:val="continue"/>
            <w:tcBorders>
              <w:top w:val="nil"/>
              <w:left w:val="single" w:color="auto" w:sz="4" w:space="0"/>
              <w:bottom w:val="single" w:color="000000" w:sz="4" w:space="0"/>
              <w:right w:val="single" w:color="auto" w:sz="4" w:space="0"/>
            </w:tcBorders>
            <w:vAlign w:val="center"/>
          </w:tcPr>
          <w:p w14:paraId="0B04FEF7">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continue"/>
            <w:tcBorders>
              <w:top w:val="nil"/>
              <w:left w:val="single" w:color="auto" w:sz="4" w:space="0"/>
              <w:bottom w:val="single" w:color="000000" w:sz="4" w:space="0"/>
              <w:right w:val="single" w:color="auto" w:sz="4" w:space="0"/>
            </w:tcBorders>
            <w:vAlign w:val="center"/>
          </w:tcPr>
          <w:p w14:paraId="19EDB665">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890" w:type="pct"/>
            <w:tcBorders>
              <w:top w:val="nil"/>
              <w:left w:val="nil"/>
              <w:bottom w:val="single" w:color="auto" w:sz="4" w:space="0"/>
              <w:right w:val="single" w:color="auto" w:sz="4" w:space="0"/>
            </w:tcBorders>
            <w:shd w:val="clear" w:color="auto" w:fill="auto"/>
            <w:vAlign w:val="center"/>
          </w:tcPr>
          <w:p w14:paraId="700431D7">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查询</w:t>
            </w:r>
          </w:p>
        </w:tc>
        <w:tc>
          <w:tcPr>
            <w:tcW w:w="2430" w:type="pct"/>
            <w:tcBorders>
              <w:top w:val="nil"/>
              <w:left w:val="nil"/>
              <w:bottom w:val="single" w:color="auto" w:sz="4" w:space="0"/>
              <w:right w:val="single" w:color="auto" w:sz="4" w:space="0"/>
            </w:tcBorders>
            <w:shd w:val="clear" w:color="auto" w:fill="auto"/>
            <w:vAlign w:val="center"/>
          </w:tcPr>
          <w:p w14:paraId="5CB24947">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查询床管中心工作量统计</w:t>
            </w:r>
          </w:p>
        </w:tc>
      </w:tr>
      <w:tr w14:paraId="7CE2F64E">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18B3791F">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111</w:t>
            </w:r>
          </w:p>
        </w:tc>
        <w:tc>
          <w:tcPr>
            <w:tcW w:w="601" w:type="pct"/>
            <w:vMerge w:val="continue"/>
            <w:tcBorders>
              <w:top w:val="nil"/>
              <w:left w:val="single" w:color="auto" w:sz="4" w:space="0"/>
              <w:bottom w:val="single" w:color="000000" w:sz="4" w:space="0"/>
              <w:right w:val="single" w:color="auto" w:sz="4" w:space="0"/>
            </w:tcBorders>
            <w:vAlign w:val="center"/>
          </w:tcPr>
          <w:p w14:paraId="0611D583">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restart"/>
            <w:tcBorders>
              <w:top w:val="nil"/>
              <w:left w:val="single" w:color="auto" w:sz="4" w:space="0"/>
              <w:bottom w:val="single" w:color="000000" w:sz="4" w:space="0"/>
              <w:right w:val="single" w:color="auto" w:sz="4" w:space="0"/>
            </w:tcBorders>
            <w:shd w:val="clear" w:color="auto" w:fill="auto"/>
            <w:noWrap/>
            <w:vAlign w:val="center"/>
          </w:tcPr>
          <w:p w14:paraId="3D95BC5C">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申请单工作量统计</w:t>
            </w:r>
          </w:p>
        </w:tc>
        <w:tc>
          <w:tcPr>
            <w:tcW w:w="890" w:type="pct"/>
            <w:tcBorders>
              <w:top w:val="nil"/>
              <w:left w:val="nil"/>
              <w:bottom w:val="single" w:color="auto" w:sz="4" w:space="0"/>
              <w:right w:val="single" w:color="auto" w:sz="4" w:space="0"/>
            </w:tcBorders>
            <w:shd w:val="clear" w:color="auto" w:fill="auto"/>
            <w:vAlign w:val="center"/>
          </w:tcPr>
          <w:p w14:paraId="2D1FAFD2">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导出</w:t>
            </w:r>
          </w:p>
        </w:tc>
        <w:tc>
          <w:tcPr>
            <w:tcW w:w="2430" w:type="pct"/>
            <w:tcBorders>
              <w:top w:val="nil"/>
              <w:left w:val="nil"/>
              <w:bottom w:val="single" w:color="auto" w:sz="4" w:space="0"/>
              <w:right w:val="single" w:color="auto" w:sz="4" w:space="0"/>
            </w:tcBorders>
            <w:shd w:val="clear" w:color="auto" w:fill="auto"/>
            <w:vAlign w:val="center"/>
          </w:tcPr>
          <w:p w14:paraId="05AF7A1A">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导出申请单工作量统计</w:t>
            </w:r>
          </w:p>
        </w:tc>
      </w:tr>
      <w:tr w14:paraId="382986CA">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419F6979">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112</w:t>
            </w:r>
          </w:p>
        </w:tc>
        <w:tc>
          <w:tcPr>
            <w:tcW w:w="601" w:type="pct"/>
            <w:vMerge w:val="continue"/>
            <w:tcBorders>
              <w:top w:val="nil"/>
              <w:left w:val="single" w:color="auto" w:sz="4" w:space="0"/>
              <w:bottom w:val="single" w:color="000000" w:sz="4" w:space="0"/>
              <w:right w:val="single" w:color="auto" w:sz="4" w:space="0"/>
            </w:tcBorders>
            <w:vAlign w:val="center"/>
          </w:tcPr>
          <w:p w14:paraId="19C63ABC">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continue"/>
            <w:tcBorders>
              <w:top w:val="nil"/>
              <w:left w:val="single" w:color="auto" w:sz="4" w:space="0"/>
              <w:bottom w:val="single" w:color="000000" w:sz="4" w:space="0"/>
              <w:right w:val="single" w:color="auto" w:sz="4" w:space="0"/>
            </w:tcBorders>
            <w:vAlign w:val="center"/>
          </w:tcPr>
          <w:p w14:paraId="2FAA6A4B">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890" w:type="pct"/>
            <w:tcBorders>
              <w:top w:val="nil"/>
              <w:left w:val="nil"/>
              <w:bottom w:val="single" w:color="auto" w:sz="4" w:space="0"/>
              <w:right w:val="single" w:color="auto" w:sz="4" w:space="0"/>
            </w:tcBorders>
            <w:shd w:val="clear" w:color="auto" w:fill="auto"/>
            <w:vAlign w:val="center"/>
          </w:tcPr>
          <w:p w14:paraId="1F78EDF5">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查询</w:t>
            </w:r>
          </w:p>
        </w:tc>
        <w:tc>
          <w:tcPr>
            <w:tcW w:w="2430" w:type="pct"/>
            <w:tcBorders>
              <w:top w:val="nil"/>
              <w:left w:val="nil"/>
              <w:bottom w:val="single" w:color="auto" w:sz="4" w:space="0"/>
              <w:right w:val="single" w:color="auto" w:sz="4" w:space="0"/>
            </w:tcBorders>
            <w:shd w:val="clear" w:color="auto" w:fill="auto"/>
            <w:vAlign w:val="center"/>
          </w:tcPr>
          <w:p w14:paraId="594E6C3F">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查询申请单工作量统计</w:t>
            </w:r>
          </w:p>
        </w:tc>
      </w:tr>
      <w:tr w14:paraId="53843AA7">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6CD2698B">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113</w:t>
            </w:r>
          </w:p>
        </w:tc>
        <w:tc>
          <w:tcPr>
            <w:tcW w:w="601" w:type="pct"/>
            <w:vMerge w:val="restart"/>
            <w:tcBorders>
              <w:top w:val="nil"/>
              <w:left w:val="single" w:color="auto" w:sz="4" w:space="0"/>
              <w:bottom w:val="single" w:color="000000" w:sz="4" w:space="0"/>
              <w:right w:val="single" w:color="auto" w:sz="4" w:space="0"/>
            </w:tcBorders>
            <w:shd w:val="clear" w:color="auto" w:fill="auto"/>
            <w:noWrap/>
            <w:vAlign w:val="center"/>
          </w:tcPr>
          <w:p w14:paraId="687AB42A">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其他</w:t>
            </w:r>
          </w:p>
        </w:tc>
        <w:tc>
          <w:tcPr>
            <w:tcW w:w="723" w:type="pct"/>
            <w:vMerge w:val="restart"/>
            <w:tcBorders>
              <w:top w:val="nil"/>
              <w:left w:val="single" w:color="auto" w:sz="4" w:space="0"/>
              <w:bottom w:val="single" w:color="000000" w:sz="4" w:space="0"/>
              <w:right w:val="single" w:color="auto" w:sz="4" w:space="0"/>
            </w:tcBorders>
            <w:shd w:val="clear" w:color="auto" w:fill="auto"/>
            <w:noWrap/>
            <w:vAlign w:val="center"/>
          </w:tcPr>
          <w:p w14:paraId="610B55B4">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基础模块</w:t>
            </w:r>
          </w:p>
        </w:tc>
        <w:tc>
          <w:tcPr>
            <w:tcW w:w="890" w:type="pct"/>
            <w:tcBorders>
              <w:top w:val="nil"/>
              <w:left w:val="nil"/>
              <w:bottom w:val="single" w:color="auto" w:sz="4" w:space="0"/>
              <w:right w:val="single" w:color="auto" w:sz="4" w:space="0"/>
            </w:tcBorders>
            <w:shd w:val="clear" w:color="auto" w:fill="auto"/>
            <w:vAlign w:val="center"/>
          </w:tcPr>
          <w:p w14:paraId="5F0E823B">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用户登录</w:t>
            </w:r>
          </w:p>
        </w:tc>
        <w:tc>
          <w:tcPr>
            <w:tcW w:w="2430" w:type="pct"/>
            <w:tcBorders>
              <w:top w:val="nil"/>
              <w:left w:val="nil"/>
              <w:bottom w:val="single" w:color="auto" w:sz="4" w:space="0"/>
              <w:right w:val="single" w:color="auto" w:sz="4" w:space="0"/>
            </w:tcBorders>
            <w:shd w:val="clear" w:color="auto" w:fill="auto"/>
            <w:vAlign w:val="center"/>
          </w:tcPr>
          <w:p w14:paraId="1209F504">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用户输入正确的用户名及密码登录，进入系统</w:t>
            </w:r>
          </w:p>
        </w:tc>
      </w:tr>
      <w:tr w14:paraId="10B08E67">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3F94201A">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114</w:t>
            </w:r>
          </w:p>
        </w:tc>
        <w:tc>
          <w:tcPr>
            <w:tcW w:w="601" w:type="pct"/>
            <w:vMerge w:val="continue"/>
            <w:tcBorders>
              <w:top w:val="nil"/>
              <w:left w:val="single" w:color="auto" w:sz="4" w:space="0"/>
              <w:bottom w:val="single" w:color="000000" w:sz="4" w:space="0"/>
              <w:right w:val="single" w:color="auto" w:sz="4" w:space="0"/>
            </w:tcBorders>
            <w:vAlign w:val="center"/>
          </w:tcPr>
          <w:p w14:paraId="6B6DA182">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continue"/>
            <w:tcBorders>
              <w:top w:val="nil"/>
              <w:left w:val="single" w:color="auto" w:sz="4" w:space="0"/>
              <w:bottom w:val="single" w:color="000000" w:sz="4" w:space="0"/>
              <w:right w:val="single" w:color="auto" w:sz="4" w:space="0"/>
            </w:tcBorders>
            <w:vAlign w:val="center"/>
          </w:tcPr>
          <w:p w14:paraId="7418623C">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890" w:type="pct"/>
            <w:tcBorders>
              <w:top w:val="nil"/>
              <w:left w:val="nil"/>
              <w:bottom w:val="single" w:color="auto" w:sz="4" w:space="0"/>
              <w:right w:val="single" w:color="auto" w:sz="4" w:space="0"/>
            </w:tcBorders>
            <w:shd w:val="clear" w:color="auto" w:fill="auto"/>
            <w:vAlign w:val="center"/>
          </w:tcPr>
          <w:p w14:paraId="3FCA64F7">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切换科室</w:t>
            </w:r>
          </w:p>
        </w:tc>
        <w:tc>
          <w:tcPr>
            <w:tcW w:w="2430" w:type="pct"/>
            <w:tcBorders>
              <w:top w:val="nil"/>
              <w:left w:val="nil"/>
              <w:bottom w:val="single" w:color="auto" w:sz="4" w:space="0"/>
              <w:right w:val="single" w:color="auto" w:sz="4" w:space="0"/>
            </w:tcBorders>
            <w:shd w:val="clear" w:color="auto" w:fill="auto"/>
            <w:vAlign w:val="center"/>
          </w:tcPr>
          <w:p w14:paraId="7A242556">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根据当前用户的权限，进行科室的切换</w:t>
            </w:r>
          </w:p>
        </w:tc>
      </w:tr>
      <w:tr w14:paraId="4CE747BB">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7417937C">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115</w:t>
            </w:r>
          </w:p>
        </w:tc>
        <w:tc>
          <w:tcPr>
            <w:tcW w:w="601" w:type="pct"/>
            <w:vMerge w:val="continue"/>
            <w:tcBorders>
              <w:top w:val="nil"/>
              <w:left w:val="single" w:color="auto" w:sz="4" w:space="0"/>
              <w:bottom w:val="single" w:color="000000" w:sz="4" w:space="0"/>
              <w:right w:val="single" w:color="auto" w:sz="4" w:space="0"/>
            </w:tcBorders>
            <w:vAlign w:val="center"/>
          </w:tcPr>
          <w:p w14:paraId="02C9420F">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continue"/>
            <w:tcBorders>
              <w:top w:val="nil"/>
              <w:left w:val="single" w:color="auto" w:sz="4" w:space="0"/>
              <w:bottom w:val="single" w:color="000000" w:sz="4" w:space="0"/>
              <w:right w:val="single" w:color="auto" w:sz="4" w:space="0"/>
            </w:tcBorders>
            <w:vAlign w:val="center"/>
          </w:tcPr>
          <w:p w14:paraId="3EB9E223">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890" w:type="pct"/>
            <w:tcBorders>
              <w:top w:val="nil"/>
              <w:left w:val="nil"/>
              <w:bottom w:val="single" w:color="auto" w:sz="4" w:space="0"/>
              <w:right w:val="single" w:color="auto" w:sz="4" w:space="0"/>
            </w:tcBorders>
            <w:shd w:val="clear" w:color="auto" w:fill="auto"/>
            <w:vAlign w:val="center"/>
          </w:tcPr>
          <w:p w14:paraId="439DE1E7">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待办消息设置</w:t>
            </w:r>
          </w:p>
        </w:tc>
        <w:tc>
          <w:tcPr>
            <w:tcW w:w="2430" w:type="pct"/>
            <w:tcBorders>
              <w:top w:val="nil"/>
              <w:left w:val="nil"/>
              <w:bottom w:val="single" w:color="auto" w:sz="4" w:space="0"/>
              <w:right w:val="single" w:color="auto" w:sz="4" w:space="0"/>
            </w:tcBorders>
            <w:shd w:val="clear" w:color="auto" w:fill="auto"/>
            <w:vAlign w:val="center"/>
          </w:tcPr>
          <w:p w14:paraId="0ED78FA7">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设置待办消息提醒开关，提醒间隔，关闭提醒设置；例如，危机重症患者入院消息提醒</w:t>
            </w:r>
          </w:p>
        </w:tc>
      </w:tr>
      <w:tr w14:paraId="1783F4A5">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71DEAC2F">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116</w:t>
            </w:r>
          </w:p>
        </w:tc>
        <w:tc>
          <w:tcPr>
            <w:tcW w:w="601" w:type="pct"/>
            <w:vMerge w:val="continue"/>
            <w:tcBorders>
              <w:top w:val="nil"/>
              <w:left w:val="single" w:color="auto" w:sz="4" w:space="0"/>
              <w:bottom w:val="single" w:color="000000" w:sz="4" w:space="0"/>
              <w:right w:val="single" w:color="auto" w:sz="4" w:space="0"/>
            </w:tcBorders>
            <w:vAlign w:val="center"/>
          </w:tcPr>
          <w:p w14:paraId="725CE78E">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continue"/>
            <w:tcBorders>
              <w:top w:val="nil"/>
              <w:left w:val="single" w:color="auto" w:sz="4" w:space="0"/>
              <w:bottom w:val="single" w:color="000000" w:sz="4" w:space="0"/>
              <w:right w:val="single" w:color="auto" w:sz="4" w:space="0"/>
            </w:tcBorders>
            <w:vAlign w:val="center"/>
          </w:tcPr>
          <w:p w14:paraId="6AF5CCF0">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890" w:type="pct"/>
            <w:tcBorders>
              <w:top w:val="nil"/>
              <w:left w:val="nil"/>
              <w:bottom w:val="single" w:color="auto" w:sz="4" w:space="0"/>
              <w:right w:val="single" w:color="auto" w:sz="4" w:space="0"/>
            </w:tcBorders>
            <w:shd w:val="clear" w:color="auto" w:fill="auto"/>
            <w:vAlign w:val="center"/>
          </w:tcPr>
          <w:p w14:paraId="383915C8">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修改密码</w:t>
            </w:r>
          </w:p>
        </w:tc>
        <w:tc>
          <w:tcPr>
            <w:tcW w:w="2430" w:type="pct"/>
            <w:tcBorders>
              <w:top w:val="nil"/>
              <w:left w:val="nil"/>
              <w:bottom w:val="single" w:color="auto" w:sz="4" w:space="0"/>
              <w:right w:val="single" w:color="auto" w:sz="4" w:space="0"/>
            </w:tcBorders>
            <w:shd w:val="clear" w:color="auto" w:fill="auto"/>
            <w:vAlign w:val="center"/>
          </w:tcPr>
          <w:p w14:paraId="094526BE">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录入旧密码，新密码，确认密码，保存为当前用户的新密码</w:t>
            </w:r>
          </w:p>
        </w:tc>
      </w:tr>
      <w:tr w14:paraId="3B559B1E">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1E83B195">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117</w:t>
            </w:r>
          </w:p>
        </w:tc>
        <w:tc>
          <w:tcPr>
            <w:tcW w:w="601" w:type="pct"/>
            <w:vMerge w:val="continue"/>
            <w:tcBorders>
              <w:top w:val="nil"/>
              <w:left w:val="single" w:color="auto" w:sz="4" w:space="0"/>
              <w:bottom w:val="single" w:color="000000" w:sz="4" w:space="0"/>
              <w:right w:val="single" w:color="auto" w:sz="4" w:space="0"/>
            </w:tcBorders>
            <w:vAlign w:val="center"/>
          </w:tcPr>
          <w:p w14:paraId="4CD49D6D">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continue"/>
            <w:tcBorders>
              <w:top w:val="nil"/>
              <w:left w:val="single" w:color="auto" w:sz="4" w:space="0"/>
              <w:bottom w:val="single" w:color="000000" w:sz="4" w:space="0"/>
              <w:right w:val="single" w:color="auto" w:sz="4" w:space="0"/>
            </w:tcBorders>
            <w:vAlign w:val="center"/>
          </w:tcPr>
          <w:p w14:paraId="19AC8D80">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890" w:type="pct"/>
            <w:tcBorders>
              <w:top w:val="nil"/>
              <w:left w:val="nil"/>
              <w:bottom w:val="single" w:color="auto" w:sz="4" w:space="0"/>
              <w:right w:val="single" w:color="auto" w:sz="4" w:space="0"/>
            </w:tcBorders>
            <w:shd w:val="clear" w:color="auto" w:fill="auto"/>
            <w:vAlign w:val="center"/>
          </w:tcPr>
          <w:p w14:paraId="00DF261D">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用户权限</w:t>
            </w:r>
          </w:p>
        </w:tc>
        <w:tc>
          <w:tcPr>
            <w:tcW w:w="2430" w:type="pct"/>
            <w:tcBorders>
              <w:top w:val="nil"/>
              <w:left w:val="nil"/>
              <w:bottom w:val="single" w:color="auto" w:sz="4" w:space="0"/>
              <w:right w:val="single" w:color="auto" w:sz="4" w:space="0"/>
            </w:tcBorders>
            <w:shd w:val="clear" w:color="auto" w:fill="auto"/>
            <w:vAlign w:val="center"/>
          </w:tcPr>
          <w:p w14:paraId="5C410BBF">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维护系统用户相关权限</w:t>
            </w:r>
          </w:p>
        </w:tc>
      </w:tr>
      <w:tr w14:paraId="047C6179">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038874FA">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118</w:t>
            </w:r>
          </w:p>
        </w:tc>
        <w:tc>
          <w:tcPr>
            <w:tcW w:w="601" w:type="pct"/>
            <w:vMerge w:val="continue"/>
            <w:tcBorders>
              <w:top w:val="nil"/>
              <w:left w:val="single" w:color="auto" w:sz="4" w:space="0"/>
              <w:bottom w:val="single" w:color="000000" w:sz="4" w:space="0"/>
              <w:right w:val="single" w:color="auto" w:sz="4" w:space="0"/>
            </w:tcBorders>
            <w:vAlign w:val="center"/>
          </w:tcPr>
          <w:p w14:paraId="6B806D1B">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continue"/>
            <w:tcBorders>
              <w:top w:val="nil"/>
              <w:left w:val="single" w:color="auto" w:sz="4" w:space="0"/>
              <w:bottom w:val="single" w:color="000000" w:sz="4" w:space="0"/>
              <w:right w:val="single" w:color="auto" w:sz="4" w:space="0"/>
            </w:tcBorders>
            <w:vAlign w:val="center"/>
          </w:tcPr>
          <w:p w14:paraId="59DB6FA2">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890" w:type="pct"/>
            <w:tcBorders>
              <w:top w:val="nil"/>
              <w:left w:val="nil"/>
              <w:bottom w:val="single" w:color="auto" w:sz="4" w:space="0"/>
              <w:right w:val="single" w:color="auto" w:sz="4" w:space="0"/>
            </w:tcBorders>
            <w:shd w:val="clear" w:color="auto" w:fill="auto"/>
            <w:vAlign w:val="center"/>
          </w:tcPr>
          <w:p w14:paraId="7AC460B5">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系统配置</w:t>
            </w:r>
          </w:p>
        </w:tc>
        <w:tc>
          <w:tcPr>
            <w:tcW w:w="2430" w:type="pct"/>
            <w:tcBorders>
              <w:top w:val="nil"/>
              <w:left w:val="nil"/>
              <w:bottom w:val="single" w:color="auto" w:sz="4" w:space="0"/>
              <w:right w:val="single" w:color="auto" w:sz="4" w:space="0"/>
            </w:tcBorders>
            <w:shd w:val="clear" w:color="auto" w:fill="auto"/>
            <w:vAlign w:val="center"/>
          </w:tcPr>
          <w:p w14:paraId="7F1B98ED">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系统相关功能开关配置</w:t>
            </w:r>
          </w:p>
        </w:tc>
      </w:tr>
      <w:tr w14:paraId="1DB0A1F2">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2B9EA171">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119</w:t>
            </w:r>
          </w:p>
        </w:tc>
        <w:tc>
          <w:tcPr>
            <w:tcW w:w="601" w:type="pct"/>
            <w:vMerge w:val="continue"/>
            <w:tcBorders>
              <w:top w:val="nil"/>
              <w:left w:val="single" w:color="auto" w:sz="4" w:space="0"/>
              <w:bottom w:val="single" w:color="000000" w:sz="4" w:space="0"/>
              <w:right w:val="single" w:color="auto" w:sz="4" w:space="0"/>
            </w:tcBorders>
            <w:vAlign w:val="center"/>
          </w:tcPr>
          <w:p w14:paraId="3839E1BA">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restart"/>
            <w:tcBorders>
              <w:top w:val="nil"/>
              <w:left w:val="single" w:color="auto" w:sz="4" w:space="0"/>
              <w:bottom w:val="single" w:color="auto" w:sz="4" w:space="0"/>
              <w:right w:val="single" w:color="auto" w:sz="4" w:space="0"/>
            </w:tcBorders>
            <w:shd w:val="clear" w:color="auto" w:fill="auto"/>
            <w:noWrap/>
            <w:vAlign w:val="center"/>
          </w:tcPr>
          <w:p w14:paraId="3A38BC66">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规则设置</w:t>
            </w:r>
          </w:p>
        </w:tc>
        <w:tc>
          <w:tcPr>
            <w:tcW w:w="890" w:type="pct"/>
            <w:tcBorders>
              <w:top w:val="nil"/>
              <w:left w:val="nil"/>
              <w:bottom w:val="single" w:color="auto" w:sz="4" w:space="0"/>
              <w:right w:val="single" w:color="auto" w:sz="4" w:space="0"/>
            </w:tcBorders>
            <w:shd w:val="clear" w:color="auto" w:fill="auto"/>
            <w:vAlign w:val="center"/>
          </w:tcPr>
          <w:p w14:paraId="0B9F52DC">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kern w:val="0"/>
                <w:sz w:val="22"/>
                <w:highlight w:val="none"/>
                <w:lang w:bidi="ar"/>
              </w:rPr>
              <w:t>避免男女混住规则</w:t>
            </w:r>
          </w:p>
        </w:tc>
        <w:tc>
          <w:tcPr>
            <w:tcW w:w="2430" w:type="pct"/>
            <w:tcBorders>
              <w:top w:val="nil"/>
              <w:left w:val="nil"/>
              <w:bottom w:val="single" w:color="auto" w:sz="4" w:space="0"/>
              <w:right w:val="single" w:color="auto" w:sz="4" w:space="0"/>
            </w:tcBorders>
            <w:shd w:val="clear" w:color="auto" w:fill="auto"/>
            <w:vAlign w:val="center"/>
          </w:tcPr>
          <w:p w14:paraId="2B68236E">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可设置是否允许男女混住</w:t>
            </w:r>
          </w:p>
        </w:tc>
      </w:tr>
      <w:tr w14:paraId="5943A9DD">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01207B9E">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120</w:t>
            </w:r>
          </w:p>
        </w:tc>
        <w:tc>
          <w:tcPr>
            <w:tcW w:w="601" w:type="pct"/>
            <w:vMerge w:val="continue"/>
            <w:tcBorders>
              <w:top w:val="nil"/>
              <w:left w:val="single" w:color="auto" w:sz="4" w:space="0"/>
              <w:bottom w:val="single" w:color="000000" w:sz="4" w:space="0"/>
              <w:right w:val="single" w:color="auto" w:sz="4" w:space="0"/>
            </w:tcBorders>
            <w:vAlign w:val="center"/>
          </w:tcPr>
          <w:p w14:paraId="6563FC5D">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continue"/>
            <w:tcBorders>
              <w:top w:val="nil"/>
              <w:left w:val="single" w:color="auto" w:sz="4" w:space="0"/>
              <w:bottom w:val="single" w:color="auto" w:sz="4" w:space="0"/>
              <w:right w:val="single" w:color="auto" w:sz="4" w:space="0"/>
            </w:tcBorders>
            <w:vAlign w:val="center"/>
          </w:tcPr>
          <w:p w14:paraId="628891C6">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890" w:type="pct"/>
            <w:tcBorders>
              <w:top w:val="nil"/>
              <w:left w:val="nil"/>
              <w:bottom w:val="single" w:color="auto" w:sz="4" w:space="0"/>
              <w:right w:val="single" w:color="auto" w:sz="4" w:space="0"/>
            </w:tcBorders>
            <w:shd w:val="clear" w:color="auto" w:fill="auto"/>
            <w:vAlign w:val="center"/>
          </w:tcPr>
          <w:p w14:paraId="33092B44">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kern w:val="0"/>
                <w:sz w:val="22"/>
                <w:highlight w:val="none"/>
                <w:lang w:bidi="ar"/>
              </w:rPr>
              <w:t>隔离病房规则</w:t>
            </w:r>
          </w:p>
        </w:tc>
        <w:tc>
          <w:tcPr>
            <w:tcW w:w="2430" w:type="pct"/>
            <w:tcBorders>
              <w:top w:val="nil"/>
              <w:left w:val="nil"/>
              <w:bottom w:val="single" w:color="auto" w:sz="4" w:space="0"/>
              <w:right w:val="single" w:color="auto" w:sz="4" w:space="0"/>
            </w:tcBorders>
            <w:shd w:val="clear" w:color="auto" w:fill="auto"/>
            <w:vAlign w:val="center"/>
          </w:tcPr>
          <w:p w14:paraId="02E02350">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设置隔离病房的入住规则</w:t>
            </w:r>
          </w:p>
        </w:tc>
      </w:tr>
      <w:tr w14:paraId="17829D83">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2ACE9076">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121</w:t>
            </w:r>
          </w:p>
        </w:tc>
        <w:tc>
          <w:tcPr>
            <w:tcW w:w="601" w:type="pct"/>
            <w:vMerge w:val="continue"/>
            <w:tcBorders>
              <w:top w:val="nil"/>
              <w:left w:val="single" w:color="auto" w:sz="4" w:space="0"/>
              <w:bottom w:val="single" w:color="000000" w:sz="4" w:space="0"/>
              <w:right w:val="single" w:color="auto" w:sz="4" w:space="0"/>
            </w:tcBorders>
            <w:vAlign w:val="center"/>
          </w:tcPr>
          <w:p w14:paraId="515C55AE">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continue"/>
            <w:tcBorders>
              <w:top w:val="nil"/>
              <w:left w:val="single" w:color="auto" w:sz="4" w:space="0"/>
              <w:bottom w:val="single" w:color="auto" w:sz="4" w:space="0"/>
              <w:right w:val="single" w:color="auto" w:sz="4" w:space="0"/>
            </w:tcBorders>
            <w:vAlign w:val="center"/>
          </w:tcPr>
          <w:p w14:paraId="52C4F045">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890" w:type="pct"/>
            <w:tcBorders>
              <w:top w:val="nil"/>
              <w:left w:val="nil"/>
              <w:bottom w:val="single" w:color="auto" w:sz="4" w:space="0"/>
              <w:right w:val="single" w:color="auto" w:sz="4" w:space="0"/>
            </w:tcBorders>
            <w:shd w:val="clear" w:color="auto" w:fill="auto"/>
            <w:vAlign w:val="center"/>
          </w:tcPr>
          <w:p w14:paraId="6733AF8A">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kern w:val="0"/>
                <w:sz w:val="22"/>
                <w:highlight w:val="none"/>
                <w:lang w:bidi="ar"/>
              </w:rPr>
              <w:t>跨科收治规则</w:t>
            </w:r>
          </w:p>
        </w:tc>
        <w:tc>
          <w:tcPr>
            <w:tcW w:w="2430" w:type="pct"/>
            <w:tcBorders>
              <w:top w:val="nil"/>
              <w:left w:val="nil"/>
              <w:bottom w:val="single" w:color="auto" w:sz="4" w:space="0"/>
              <w:right w:val="single" w:color="auto" w:sz="4" w:space="0"/>
            </w:tcBorders>
            <w:shd w:val="clear" w:color="auto" w:fill="auto"/>
            <w:vAlign w:val="center"/>
          </w:tcPr>
          <w:p w14:paraId="39974EEE">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跨科收治的与病房物理地点入住规则设置</w:t>
            </w:r>
          </w:p>
        </w:tc>
      </w:tr>
      <w:tr w14:paraId="1470F9BD">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531E363C">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122</w:t>
            </w:r>
          </w:p>
        </w:tc>
        <w:tc>
          <w:tcPr>
            <w:tcW w:w="601" w:type="pct"/>
            <w:vMerge w:val="continue"/>
            <w:tcBorders>
              <w:top w:val="nil"/>
              <w:left w:val="single" w:color="auto" w:sz="4" w:space="0"/>
              <w:bottom w:val="single" w:color="000000" w:sz="4" w:space="0"/>
              <w:right w:val="single" w:color="auto" w:sz="4" w:space="0"/>
            </w:tcBorders>
            <w:vAlign w:val="center"/>
          </w:tcPr>
          <w:p w14:paraId="16BC6D45">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continue"/>
            <w:tcBorders>
              <w:top w:val="nil"/>
              <w:left w:val="single" w:color="auto" w:sz="4" w:space="0"/>
              <w:bottom w:val="single" w:color="auto" w:sz="4" w:space="0"/>
              <w:right w:val="single" w:color="auto" w:sz="4" w:space="0"/>
            </w:tcBorders>
            <w:vAlign w:val="center"/>
          </w:tcPr>
          <w:p w14:paraId="3D596D1A">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890" w:type="pct"/>
            <w:tcBorders>
              <w:top w:val="nil"/>
              <w:left w:val="nil"/>
              <w:bottom w:val="single" w:color="auto" w:sz="4" w:space="0"/>
              <w:right w:val="single" w:color="auto" w:sz="4" w:space="0"/>
            </w:tcBorders>
            <w:shd w:val="clear" w:color="auto" w:fill="auto"/>
            <w:vAlign w:val="center"/>
          </w:tcPr>
          <w:p w14:paraId="7E59A776">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kern w:val="0"/>
                <w:sz w:val="22"/>
                <w:highlight w:val="none"/>
                <w:lang w:bidi="ar"/>
              </w:rPr>
              <w:t>病种规则</w:t>
            </w:r>
          </w:p>
        </w:tc>
        <w:tc>
          <w:tcPr>
            <w:tcW w:w="2430" w:type="pct"/>
            <w:tcBorders>
              <w:top w:val="nil"/>
              <w:left w:val="nil"/>
              <w:bottom w:val="single" w:color="auto" w:sz="4" w:space="0"/>
              <w:right w:val="single" w:color="auto" w:sz="4" w:space="0"/>
            </w:tcBorders>
            <w:shd w:val="clear" w:color="auto" w:fill="auto"/>
            <w:vAlign w:val="center"/>
          </w:tcPr>
          <w:p w14:paraId="12C7DD34">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设置同病种患者同住规则</w:t>
            </w:r>
          </w:p>
        </w:tc>
      </w:tr>
      <w:tr w14:paraId="0E516BEB">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048297C6">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12</w:t>
            </w:r>
            <w:r>
              <w:rPr>
                <w:rFonts w:hint="eastAsia" w:asciiTheme="minorEastAsia" w:hAnsiTheme="minorEastAsia" w:eastAsiaTheme="minorEastAsia" w:cstheme="minorEastAsia"/>
                <w:color w:val="auto"/>
                <w:kern w:val="0"/>
                <w:sz w:val="22"/>
                <w:highlight w:val="none"/>
                <w:lang w:val="en-US" w:eastAsia="zh-CN" w:bidi="ar"/>
              </w:rPr>
              <w:t>3</w:t>
            </w:r>
          </w:p>
        </w:tc>
        <w:tc>
          <w:tcPr>
            <w:tcW w:w="601" w:type="pct"/>
            <w:tcBorders>
              <w:top w:val="nil"/>
              <w:left w:val="nil"/>
              <w:bottom w:val="single" w:color="auto" w:sz="4" w:space="0"/>
              <w:right w:val="single" w:color="auto" w:sz="4" w:space="0"/>
            </w:tcBorders>
            <w:shd w:val="clear" w:color="auto" w:fill="auto"/>
            <w:noWrap/>
            <w:vAlign w:val="center"/>
          </w:tcPr>
          <w:p w14:paraId="308E50B5">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移动端</w:t>
            </w:r>
          </w:p>
        </w:tc>
        <w:tc>
          <w:tcPr>
            <w:tcW w:w="723" w:type="pct"/>
            <w:tcBorders>
              <w:top w:val="nil"/>
              <w:left w:val="nil"/>
              <w:bottom w:val="single" w:color="auto" w:sz="4" w:space="0"/>
              <w:right w:val="single" w:color="auto" w:sz="4" w:space="0"/>
            </w:tcBorders>
            <w:shd w:val="clear" w:color="auto" w:fill="auto"/>
            <w:vAlign w:val="center"/>
          </w:tcPr>
          <w:p w14:paraId="571E5B1B">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移动端</w:t>
            </w:r>
          </w:p>
        </w:tc>
        <w:tc>
          <w:tcPr>
            <w:tcW w:w="890" w:type="pct"/>
            <w:tcBorders>
              <w:top w:val="nil"/>
              <w:left w:val="nil"/>
              <w:bottom w:val="single" w:color="auto" w:sz="4" w:space="0"/>
              <w:right w:val="single" w:color="auto" w:sz="4" w:space="0"/>
            </w:tcBorders>
            <w:shd w:val="clear" w:color="auto" w:fill="auto"/>
            <w:vAlign w:val="center"/>
          </w:tcPr>
          <w:p w14:paraId="519EEDB3">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自助预约</w:t>
            </w:r>
          </w:p>
        </w:tc>
        <w:tc>
          <w:tcPr>
            <w:tcW w:w="2430" w:type="pct"/>
            <w:tcBorders>
              <w:top w:val="nil"/>
              <w:left w:val="nil"/>
              <w:bottom w:val="single" w:color="auto" w:sz="4" w:space="0"/>
              <w:right w:val="single" w:color="auto" w:sz="4" w:space="0"/>
            </w:tcBorders>
            <w:shd w:val="clear" w:color="auto" w:fill="auto"/>
            <w:vAlign w:val="center"/>
          </w:tcPr>
          <w:p w14:paraId="5417FE7C">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患者使用移动端进行床位预约指引</w:t>
            </w:r>
          </w:p>
        </w:tc>
      </w:tr>
      <w:tr w14:paraId="454CD645">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6076C2B1">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124</w:t>
            </w:r>
          </w:p>
        </w:tc>
        <w:tc>
          <w:tcPr>
            <w:tcW w:w="601" w:type="pct"/>
            <w:vMerge w:val="restart"/>
            <w:tcBorders>
              <w:top w:val="nil"/>
              <w:left w:val="single" w:color="auto" w:sz="4" w:space="0"/>
              <w:bottom w:val="single" w:color="auto" w:sz="4" w:space="0"/>
              <w:right w:val="single" w:color="auto" w:sz="4" w:space="0"/>
            </w:tcBorders>
            <w:shd w:val="clear" w:color="auto" w:fill="auto"/>
            <w:noWrap/>
            <w:vAlign w:val="center"/>
          </w:tcPr>
          <w:p w14:paraId="468A0B3D">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接口</w:t>
            </w:r>
          </w:p>
        </w:tc>
        <w:tc>
          <w:tcPr>
            <w:tcW w:w="723" w:type="pct"/>
            <w:vMerge w:val="restart"/>
            <w:tcBorders>
              <w:top w:val="nil"/>
              <w:left w:val="single" w:color="auto" w:sz="4" w:space="0"/>
              <w:bottom w:val="single" w:color="auto" w:sz="4" w:space="0"/>
              <w:right w:val="single" w:color="auto" w:sz="4" w:space="0"/>
            </w:tcBorders>
            <w:shd w:val="clear" w:color="auto" w:fill="auto"/>
            <w:vAlign w:val="center"/>
          </w:tcPr>
          <w:p w14:paraId="1BF50C85">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渠道预约接口</w:t>
            </w:r>
          </w:p>
        </w:tc>
        <w:tc>
          <w:tcPr>
            <w:tcW w:w="890" w:type="pct"/>
            <w:tcBorders>
              <w:top w:val="nil"/>
              <w:left w:val="nil"/>
              <w:bottom w:val="single" w:color="auto" w:sz="4" w:space="0"/>
              <w:right w:val="single" w:color="auto" w:sz="4" w:space="0"/>
            </w:tcBorders>
            <w:shd w:val="clear" w:color="auto" w:fill="auto"/>
            <w:vAlign w:val="center"/>
          </w:tcPr>
          <w:p w14:paraId="210A2EA9">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kern w:val="0"/>
                <w:sz w:val="22"/>
                <w:highlight w:val="none"/>
                <w:lang w:bidi="ar"/>
              </w:rPr>
              <w:t>预约渠道对接</w:t>
            </w:r>
          </w:p>
        </w:tc>
        <w:tc>
          <w:tcPr>
            <w:tcW w:w="2430" w:type="pct"/>
            <w:vMerge w:val="restart"/>
            <w:tcBorders>
              <w:top w:val="nil"/>
              <w:left w:val="single" w:color="auto" w:sz="4" w:space="0"/>
              <w:bottom w:val="single" w:color="auto" w:sz="4" w:space="0"/>
              <w:right w:val="single" w:color="auto" w:sz="4" w:space="0"/>
            </w:tcBorders>
            <w:shd w:val="clear" w:color="auto" w:fill="auto"/>
            <w:vAlign w:val="center"/>
          </w:tcPr>
          <w:p w14:paraId="04881632">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该部分接口规范内容适用于各自助预约渠道的查询预约进展。</w:t>
            </w:r>
          </w:p>
        </w:tc>
      </w:tr>
      <w:tr w14:paraId="4FDB4BC0">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05C53FBE">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125</w:t>
            </w:r>
          </w:p>
        </w:tc>
        <w:tc>
          <w:tcPr>
            <w:tcW w:w="601" w:type="pct"/>
            <w:vMerge w:val="continue"/>
            <w:tcBorders>
              <w:top w:val="nil"/>
              <w:left w:val="single" w:color="auto" w:sz="4" w:space="0"/>
              <w:bottom w:val="single" w:color="auto" w:sz="4" w:space="0"/>
              <w:right w:val="single" w:color="auto" w:sz="4" w:space="0"/>
            </w:tcBorders>
            <w:vAlign w:val="center"/>
          </w:tcPr>
          <w:p w14:paraId="7F683750">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continue"/>
            <w:tcBorders>
              <w:top w:val="nil"/>
              <w:left w:val="single" w:color="auto" w:sz="4" w:space="0"/>
              <w:bottom w:val="single" w:color="auto" w:sz="4" w:space="0"/>
              <w:right w:val="single" w:color="auto" w:sz="4" w:space="0"/>
            </w:tcBorders>
            <w:vAlign w:val="center"/>
          </w:tcPr>
          <w:p w14:paraId="4AA2C9B3">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890" w:type="pct"/>
            <w:tcBorders>
              <w:top w:val="nil"/>
              <w:left w:val="nil"/>
              <w:bottom w:val="single" w:color="auto" w:sz="4" w:space="0"/>
              <w:right w:val="single" w:color="auto" w:sz="4" w:space="0"/>
            </w:tcBorders>
            <w:shd w:val="clear" w:color="auto" w:fill="auto"/>
            <w:vAlign w:val="center"/>
          </w:tcPr>
          <w:p w14:paraId="00A7B1CE">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kern w:val="0"/>
                <w:sz w:val="22"/>
                <w:highlight w:val="none"/>
                <w:lang w:bidi="ar"/>
              </w:rPr>
              <w:t>获取病人未预约申请单列表</w:t>
            </w:r>
          </w:p>
        </w:tc>
        <w:tc>
          <w:tcPr>
            <w:tcW w:w="2430" w:type="pct"/>
            <w:vMerge w:val="continue"/>
            <w:tcBorders>
              <w:top w:val="nil"/>
              <w:left w:val="single" w:color="auto" w:sz="4" w:space="0"/>
              <w:bottom w:val="single" w:color="auto" w:sz="4" w:space="0"/>
              <w:right w:val="single" w:color="auto" w:sz="4" w:space="0"/>
            </w:tcBorders>
            <w:vAlign w:val="center"/>
          </w:tcPr>
          <w:p w14:paraId="1A064515">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r>
      <w:tr w14:paraId="0C3165A0">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335BEA03">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126</w:t>
            </w:r>
          </w:p>
        </w:tc>
        <w:tc>
          <w:tcPr>
            <w:tcW w:w="601" w:type="pct"/>
            <w:vMerge w:val="continue"/>
            <w:tcBorders>
              <w:top w:val="nil"/>
              <w:left w:val="single" w:color="auto" w:sz="4" w:space="0"/>
              <w:bottom w:val="single" w:color="auto" w:sz="4" w:space="0"/>
              <w:right w:val="single" w:color="auto" w:sz="4" w:space="0"/>
            </w:tcBorders>
            <w:vAlign w:val="center"/>
          </w:tcPr>
          <w:p w14:paraId="5B2EF8C7">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continue"/>
            <w:tcBorders>
              <w:top w:val="nil"/>
              <w:left w:val="single" w:color="auto" w:sz="4" w:space="0"/>
              <w:bottom w:val="single" w:color="auto" w:sz="4" w:space="0"/>
              <w:right w:val="single" w:color="auto" w:sz="4" w:space="0"/>
            </w:tcBorders>
            <w:vAlign w:val="center"/>
          </w:tcPr>
          <w:p w14:paraId="58B7C7D9">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890" w:type="pct"/>
            <w:tcBorders>
              <w:top w:val="nil"/>
              <w:left w:val="nil"/>
              <w:bottom w:val="single" w:color="auto" w:sz="4" w:space="0"/>
              <w:right w:val="single" w:color="auto" w:sz="4" w:space="0"/>
            </w:tcBorders>
            <w:shd w:val="clear" w:color="auto" w:fill="auto"/>
            <w:vAlign w:val="center"/>
          </w:tcPr>
          <w:p w14:paraId="3F6D7C98">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kern w:val="0"/>
                <w:sz w:val="22"/>
                <w:highlight w:val="none"/>
                <w:lang w:bidi="ar"/>
              </w:rPr>
              <w:t>获取历史申请单</w:t>
            </w:r>
          </w:p>
        </w:tc>
        <w:tc>
          <w:tcPr>
            <w:tcW w:w="2430" w:type="pct"/>
            <w:vMerge w:val="continue"/>
            <w:tcBorders>
              <w:top w:val="nil"/>
              <w:left w:val="single" w:color="auto" w:sz="4" w:space="0"/>
              <w:bottom w:val="single" w:color="auto" w:sz="4" w:space="0"/>
              <w:right w:val="single" w:color="auto" w:sz="4" w:space="0"/>
            </w:tcBorders>
            <w:vAlign w:val="center"/>
          </w:tcPr>
          <w:p w14:paraId="4022B610">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r>
      <w:tr w14:paraId="6C0F2B32">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142551BF">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127</w:t>
            </w:r>
          </w:p>
        </w:tc>
        <w:tc>
          <w:tcPr>
            <w:tcW w:w="601" w:type="pct"/>
            <w:vMerge w:val="continue"/>
            <w:tcBorders>
              <w:top w:val="nil"/>
              <w:left w:val="single" w:color="auto" w:sz="4" w:space="0"/>
              <w:bottom w:val="single" w:color="auto" w:sz="4" w:space="0"/>
              <w:right w:val="single" w:color="auto" w:sz="4" w:space="0"/>
            </w:tcBorders>
            <w:vAlign w:val="center"/>
          </w:tcPr>
          <w:p w14:paraId="3F29887F">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continue"/>
            <w:tcBorders>
              <w:top w:val="nil"/>
              <w:left w:val="single" w:color="auto" w:sz="4" w:space="0"/>
              <w:bottom w:val="single" w:color="auto" w:sz="4" w:space="0"/>
              <w:right w:val="single" w:color="auto" w:sz="4" w:space="0"/>
            </w:tcBorders>
            <w:vAlign w:val="center"/>
          </w:tcPr>
          <w:p w14:paraId="0B02A70C">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890" w:type="pct"/>
            <w:tcBorders>
              <w:top w:val="nil"/>
              <w:left w:val="nil"/>
              <w:bottom w:val="single" w:color="auto" w:sz="4" w:space="0"/>
              <w:right w:val="single" w:color="auto" w:sz="4" w:space="0"/>
            </w:tcBorders>
            <w:shd w:val="clear" w:color="auto" w:fill="auto"/>
            <w:vAlign w:val="center"/>
          </w:tcPr>
          <w:p w14:paraId="6BD91C80">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kern w:val="0"/>
                <w:sz w:val="22"/>
                <w:highlight w:val="none"/>
                <w:lang w:bidi="ar"/>
              </w:rPr>
              <w:t>获取信息登记、床位诉求</w:t>
            </w:r>
          </w:p>
        </w:tc>
        <w:tc>
          <w:tcPr>
            <w:tcW w:w="2430" w:type="pct"/>
            <w:vMerge w:val="continue"/>
            <w:tcBorders>
              <w:top w:val="nil"/>
              <w:left w:val="single" w:color="auto" w:sz="4" w:space="0"/>
              <w:bottom w:val="single" w:color="auto" w:sz="4" w:space="0"/>
              <w:right w:val="single" w:color="auto" w:sz="4" w:space="0"/>
            </w:tcBorders>
            <w:vAlign w:val="center"/>
          </w:tcPr>
          <w:p w14:paraId="2F2698C0">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r>
      <w:tr w14:paraId="478498BB">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4499DD77">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128</w:t>
            </w:r>
          </w:p>
        </w:tc>
        <w:tc>
          <w:tcPr>
            <w:tcW w:w="601" w:type="pct"/>
            <w:vMerge w:val="continue"/>
            <w:tcBorders>
              <w:top w:val="nil"/>
              <w:left w:val="single" w:color="auto" w:sz="4" w:space="0"/>
              <w:bottom w:val="single" w:color="auto" w:sz="4" w:space="0"/>
              <w:right w:val="single" w:color="auto" w:sz="4" w:space="0"/>
            </w:tcBorders>
            <w:vAlign w:val="center"/>
          </w:tcPr>
          <w:p w14:paraId="5D98AAF2">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continue"/>
            <w:tcBorders>
              <w:top w:val="nil"/>
              <w:left w:val="single" w:color="auto" w:sz="4" w:space="0"/>
              <w:bottom w:val="single" w:color="auto" w:sz="4" w:space="0"/>
              <w:right w:val="single" w:color="auto" w:sz="4" w:space="0"/>
            </w:tcBorders>
            <w:vAlign w:val="center"/>
          </w:tcPr>
          <w:p w14:paraId="67EFE1ED">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890" w:type="pct"/>
            <w:tcBorders>
              <w:top w:val="nil"/>
              <w:left w:val="nil"/>
              <w:bottom w:val="single" w:color="auto" w:sz="4" w:space="0"/>
              <w:right w:val="single" w:color="auto" w:sz="4" w:space="0"/>
            </w:tcBorders>
            <w:shd w:val="clear" w:color="auto" w:fill="auto"/>
            <w:vAlign w:val="center"/>
          </w:tcPr>
          <w:p w14:paraId="376DEE15">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kern w:val="0"/>
                <w:sz w:val="22"/>
                <w:highlight w:val="none"/>
                <w:lang w:bidi="ar"/>
              </w:rPr>
              <w:t>预约进展</w:t>
            </w:r>
          </w:p>
        </w:tc>
        <w:tc>
          <w:tcPr>
            <w:tcW w:w="2430" w:type="pct"/>
            <w:vMerge w:val="continue"/>
            <w:tcBorders>
              <w:top w:val="nil"/>
              <w:left w:val="single" w:color="auto" w:sz="4" w:space="0"/>
              <w:bottom w:val="single" w:color="auto" w:sz="4" w:space="0"/>
              <w:right w:val="single" w:color="auto" w:sz="4" w:space="0"/>
            </w:tcBorders>
            <w:vAlign w:val="center"/>
          </w:tcPr>
          <w:p w14:paraId="40A816F0">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r>
      <w:tr w14:paraId="02507B97">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0756DCA7">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129</w:t>
            </w:r>
          </w:p>
        </w:tc>
        <w:tc>
          <w:tcPr>
            <w:tcW w:w="601" w:type="pct"/>
            <w:vMerge w:val="continue"/>
            <w:tcBorders>
              <w:top w:val="nil"/>
              <w:left w:val="single" w:color="auto" w:sz="4" w:space="0"/>
              <w:bottom w:val="single" w:color="auto" w:sz="4" w:space="0"/>
              <w:right w:val="single" w:color="auto" w:sz="4" w:space="0"/>
            </w:tcBorders>
            <w:vAlign w:val="center"/>
          </w:tcPr>
          <w:p w14:paraId="4A3AB85F">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continue"/>
            <w:tcBorders>
              <w:top w:val="nil"/>
              <w:left w:val="single" w:color="auto" w:sz="4" w:space="0"/>
              <w:bottom w:val="single" w:color="auto" w:sz="4" w:space="0"/>
              <w:right w:val="single" w:color="auto" w:sz="4" w:space="0"/>
            </w:tcBorders>
            <w:vAlign w:val="center"/>
          </w:tcPr>
          <w:p w14:paraId="1F08D16E">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890" w:type="pct"/>
            <w:tcBorders>
              <w:top w:val="nil"/>
              <w:left w:val="nil"/>
              <w:bottom w:val="single" w:color="auto" w:sz="4" w:space="0"/>
              <w:right w:val="single" w:color="auto" w:sz="4" w:space="0"/>
            </w:tcBorders>
            <w:shd w:val="clear" w:color="auto" w:fill="auto"/>
            <w:vAlign w:val="center"/>
          </w:tcPr>
          <w:p w14:paraId="7735DBE3">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kern w:val="0"/>
                <w:sz w:val="22"/>
                <w:highlight w:val="none"/>
                <w:lang w:bidi="ar"/>
              </w:rPr>
              <w:t>确定入院</w:t>
            </w:r>
          </w:p>
        </w:tc>
        <w:tc>
          <w:tcPr>
            <w:tcW w:w="2430" w:type="pct"/>
            <w:vMerge w:val="continue"/>
            <w:tcBorders>
              <w:top w:val="nil"/>
              <w:left w:val="single" w:color="auto" w:sz="4" w:space="0"/>
              <w:bottom w:val="single" w:color="auto" w:sz="4" w:space="0"/>
              <w:right w:val="single" w:color="auto" w:sz="4" w:space="0"/>
            </w:tcBorders>
            <w:vAlign w:val="center"/>
          </w:tcPr>
          <w:p w14:paraId="1C8AA6E4">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r>
      <w:tr w14:paraId="0F585D4F">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61F103E5">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130</w:t>
            </w:r>
          </w:p>
        </w:tc>
        <w:tc>
          <w:tcPr>
            <w:tcW w:w="601" w:type="pct"/>
            <w:vMerge w:val="continue"/>
            <w:tcBorders>
              <w:top w:val="nil"/>
              <w:left w:val="single" w:color="auto" w:sz="4" w:space="0"/>
              <w:bottom w:val="single" w:color="auto" w:sz="4" w:space="0"/>
              <w:right w:val="single" w:color="auto" w:sz="4" w:space="0"/>
            </w:tcBorders>
            <w:vAlign w:val="center"/>
          </w:tcPr>
          <w:p w14:paraId="339FC725">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continue"/>
            <w:tcBorders>
              <w:top w:val="nil"/>
              <w:left w:val="single" w:color="auto" w:sz="4" w:space="0"/>
              <w:bottom w:val="single" w:color="auto" w:sz="4" w:space="0"/>
              <w:right w:val="single" w:color="auto" w:sz="4" w:space="0"/>
            </w:tcBorders>
            <w:vAlign w:val="center"/>
          </w:tcPr>
          <w:p w14:paraId="68C143C8">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890" w:type="pct"/>
            <w:tcBorders>
              <w:top w:val="nil"/>
              <w:left w:val="nil"/>
              <w:bottom w:val="single" w:color="auto" w:sz="4" w:space="0"/>
              <w:right w:val="single" w:color="auto" w:sz="4" w:space="0"/>
            </w:tcBorders>
            <w:shd w:val="clear" w:color="auto" w:fill="auto"/>
            <w:vAlign w:val="center"/>
          </w:tcPr>
          <w:p w14:paraId="4DA5B2E5">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kern w:val="0"/>
                <w:sz w:val="22"/>
                <w:highlight w:val="none"/>
                <w:lang w:bidi="ar"/>
              </w:rPr>
              <w:t>取消预约</w:t>
            </w:r>
          </w:p>
        </w:tc>
        <w:tc>
          <w:tcPr>
            <w:tcW w:w="2430" w:type="pct"/>
            <w:vMerge w:val="continue"/>
            <w:tcBorders>
              <w:top w:val="nil"/>
              <w:left w:val="single" w:color="auto" w:sz="4" w:space="0"/>
              <w:bottom w:val="single" w:color="auto" w:sz="4" w:space="0"/>
              <w:right w:val="single" w:color="auto" w:sz="4" w:space="0"/>
            </w:tcBorders>
            <w:vAlign w:val="center"/>
          </w:tcPr>
          <w:p w14:paraId="023D30AA">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r>
      <w:tr w14:paraId="59CA5767">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7467994A">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131</w:t>
            </w:r>
          </w:p>
        </w:tc>
        <w:tc>
          <w:tcPr>
            <w:tcW w:w="601" w:type="pct"/>
            <w:vMerge w:val="continue"/>
            <w:tcBorders>
              <w:top w:val="nil"/>
              <w:left w:val="single" w:color="auto" w:sz="4" w:space="0"/>
              <w:bottom w:val="single" w:color="auto" w:sz="4" w:space="0"/>
              <w:right w:val="single" w:color="auto" w:sz="4" w:space="0"/>
            </w:tcBorders>
            <w:vAlign w:val="center"/>
          </w:tcPr>
          <w:p w14:paraId="29E9CB42">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continue"/>
            <w:tcBorders>
              <w:top w:val="nil"/>
              <w:left w:val="single" w:color="auto" w:sz="4" w:space="0"/>
              <w:bottom w:val="single" w:color="auto" w:sz="4" w:space="0"/>
              <w:right w:val="single" w:color="auto" w:sz="4" w:space="0"/>
            </w:tcBorders>
            <w:vAlign w:val="center"/>
          </w:tcPr>
          <w:p w14:paraId="1474E10F">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890" w:type="pct"/>
            <w:tcBorders>
              <w:top w:val="nil"/>
              <w:left w:val="nil"/>
              <w:bottom w:val="single" w:color="auto" w:sz="4" w:space="0"/>
              <w:right w:val="single" w:color="auto" w:sz="4" w:space="0"/>
            </w:tcBorders>
            <w:shd w:val="clear" w:color="auto" w:fill="auto"/>
            <w:vAlign w:val="center"/>
          </w:tcPr>
          <w:p w14:paraId="04E3A09B">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kern w:val="0"/>
                <w:sz w:val="22"/>
                <w:highlight w:val="none"/>
                <w:lang w:bidi="ar"/>
              </w:rPr>
              <w:t>延期入院</w:t>
            </w:r>
          </w:p>
        </w:tc>
        <w:tc>
          <w:tcPr>
            <w:tcW w:w="2430" w:type="pct"/>
            <w:vMerge w:val="continue"/>
            <w:tcBorders>
              <w:top w:val="nil"/>
              <w:left w:val="single" w:color="auto" w:sz="4" w:space="0"/>
              <w:bottom w:val="single" w:color="auto" w:sz="4" w:space="0"/>
              <w:right w:val="single" w:color="auto" w:sz="4" w:space="0"/>
            </w:tcBorders>
            <w:vAlign w:val="center"/>
          </w:tcPr>
          <w:p w14:paraId="09D0AE45">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r>
      <w:tr w14:paraId="16B5594F">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555BDD2B">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132</w:t>
            </w:r>
          </w:p>
        </w:tc>
        <w:tc>
          <w:tcPr>
            <w:tcW w:w="601" w:type="pct"/>
            <w:vMerge w:val="continue"/>
            <w:tcBorders>
              <w:top w:val="nil"/>
              <w:left w:val="single" w:color="auto" w:sz="4" w:space="0"/>
              <w:bottom w:val="single" w:color="auto" w:sz="4" w:space="0"/>
              <w:right w:val="single" w:color="auto" w:sz="4" w:space="0"/>
            </w:tcBorders>
            <w:vAlign w:val="center"/>
          </w:tcPr>
          <w:p w14:paraId="601009F3">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restart"/>
            <w:tcBorders>
              <w:top w:val="nil"/>
              <w:left w:val="single" w:color="auto" w:sz="4" w:space="0"/>
              <w:bottom w:val="single" w:color="auto" w:sz="4" w:space="0"/>
              <w:right w:val="single" w:color="auto" w:sz="4" w:space="0"/>
            </w:tcBorders>
            <w:shd w:val="clear" w:color="auto" w:fill="auto"/>
            <w:vAlign w:val="center"/>
          </w:tcPr>
          <w:p w14:paraId="1D8FEA80">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与其他系统交互接口</w:t>
            </w:r>
          </w:p>
        </w:tc>
        <w:tc>
          <w:tcPr>
            <w:tcW w:w="890" w:type="pct"/>
            <w:tcBorders>
              <w:top w:val="nil"/>
              <w:left w:val="nil"/>
              <w:bottom w:val="single" w:color="auto" w:sz="4" w:space="0"/>
              <w:right w:val="single" w:color="auto" w:sz="4" w:space="0"/>
            </w:tcBorders>
            <w:shd w:val="clear" w:color="auto" w:fill="auto"/>
            <w:vAlign w:val="center"/>
          </w:tcPr>
          <w:p w14:paraId="20C52AD0">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短信接口</w:t>
            </w:r>
          </w:p>
        </w:tc>
        <w:tc>
          <w:tcPr>
            <w:tcW w:w="2430" w:type="pct"/>
            <w:tcBorders>
              <w:top w:val="nil"/>
              <w:left w:val="nil"/>
              <w:bottom w:val="single" w:color="auto" w:sz="4" w:space="0"/>
              <w:right w:val="single" w:color="auto" w:sz="4" w:space="0"/>
            </w:tcBorders>
            <w:shd w:val="clear" w:color="auto" w:fill="auto"/>
            <w:vAlign w:val="center"/>
          </w:tcPr>
          <w:p w14:paraId="3AF92C7D">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短信平台</w:t>
            </w:r>
          </w:p>
        </w:tc>
      </w:tr>
      <w:tr w14:paraId="147EE4D5">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219E13EC">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133</w:t>
            </w:r>
          </w:p>
        </w:tc>
        <w:tc>
          <w:tcPr>
            <w:tcW w:w="601" w:type="pct"/>
            <w:vMerge w:val="continue"/>
            <w:tcBorders>
              <w:top w:val="nil"/>
              <w:left w:val="single" w:color="auto" w:sz="4" w:space="0"/>
              <w:bottom w:val="single" w:color="auto" w:sz="4" w:space="0"/>
              <w:right w:val="single" w:color="auto" w:sz="4" w:space="0"/>
            </w:tcBorders>
            <w:vAlign w:val="center"/>
          </w:tcPr>
          <w:p w14:paraId="63DDB591">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continue"/>
            <w:tcBorders>
              <w:top w:val="nil"/>
              <w:left w:val="single" w:color="auto" w:sz="4" w:space="0"/>
              <w:bottom w:val="single" w:color="auto" w:sz="4" w:space="0"/>
              <w:right w:val="single" w:color="auto" w:sz="4" w:space="0"/>
            </w:tcBorders>
            <w:vAlign w:val="center"/>
          </w:tcPr>
          <w:p w14:paraId="5339BA40">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890" w:type="pct"/>
            <w:tcBorders>
              <w:top w:val="nil"/>
              <w:left w:val="nil"/>
              <w:bottom w:val="single" w:color="auto" w:sz="4" w:space="0"/>
              <w:right w:val="single" w:color="auto" w:sz="4" w:space="0"/>
            </w:tcBorders>
            <w:shd w:val="clear" w:color="auto" w:fill="auto"/>
            <w:vAlign w:val="center"/>
          </w:tcPr>
          <w:p w14:paraId="396C8F91">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同步作废申请单信息</w:t>
            </w:r>
          </w:p>
        </w:tc>
        <w:tc>
          <w:tcPr>
            <w:tcW w:w="2430" w:type="pct"/>
            <w:tcBorders>
              <w:top w:val="nil"/>
              <w:left w:val="nil"/>
              <w:bottom w:val="single" w:color="auto" w:sz="4" w:space="0"/>
              <w:right w:val="single" w:color="auto" w:sz="4" w:space="0"/>
            </w:tcBorders>
            <w:shd w:val="clear" w:color="auto" w:fill="auto"/>
            <w:vAlign w:val="center"/>
          </w:tcPr>
          <w:p w14:paraId="5ABFDB5F">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够自动接收并同步HIS推送的已作废的申请单状态</w:t>
            </w:r>
          </w:p>
        </w:tc>
      </w:tr>
      <w:tr w14:paraId="078D74E6">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3D230016">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134</w:t>
            </w:r>
          </w:p>
        </w:tc>
        <w:tc>
          <w:tcPr>
            <w:tcW w:w="601" w:type="pct"/>
            <w:vMerge w:val="continue"/>
            <w:tcBorders>
              <w:top w:val="nil"/>
              <w:left w:val="single" w:color="auto" w:sz="4" w:space="0"/>
              <w:bottom w:val="single" w:color="auto" w:sz="4" w:space="0"/>
              <w:right w:val="single" w:color="auto" w:sz="4" w:space="0"/>
            </w:tcBorders>
            <w:vAlign w:val="center"/>
          </w:tcPr>
          <w:p w14:paraId="3E13BF58">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continue"/>
            <w:tcBorders>
              <w:top w:val="nil"/>
              <w:left w:val="single" w:color="auto" w:sz="4" w:space="0"/>
              <w:bottom w:val="single" w:color="auto" w:sz="4" w:space="0"/>
              <w:right w:val="single" w:color="auto" w:sz="4" w:space="0"/>
            </w:tcBorders>
            <w:vAlign w:val="center"/>
          </w:tcPr>
          <w:p w14:paraId="7D230187">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890" w:type="pct"/>
            <w:tcBorders>
              <w:top w:val="nil"/>
              <w:left w:val="nil"/>
              <w:bottom w:val="single" w:color="auto" w:sz="4" w:space="0"/>
              <w:right w:val="single" w:color="auto" w:sz="4" w:space="0"/>
            </w:tcBorders>
            <w:shd w:val="clear" w:color="auto" w:fill="auto"/>
            <w:vAlign w:val="center"/>
          </w:tcPr>
          <w:p w14:paraId="7FA940CC">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同步申请单状态</w:t>
            </w:r>
          </w:p>
        </w:tc>
        <w:tc>
          <w:tcPr>
            <w:tcW w:w="2430" w:type="pct"/>
            <w:tcBorders>
              <w:top w:val="nil"/>
              <w:left w:val="nil"/>
              <w:bottom w:val="single" w:color="auto" w:sz="4" w:space="0"/>
              <w:right w:val="single" w:color="auto" w:sz="4" w:space="0"/>
            </w:tcBorders>
            <w:shd w:val="clear" w:color="auto" w:fill="auto"/>
            <w:vAlign w:val="center"/>
          </w:tcPr>
          <w:p w14:paraId="30B66D7A">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HIS（申请单状态）</w:t>
            </w:r>
          </w:p>
        </w:tc>
      </w:tr>
      <w:tr w14:paraId="4EB60229">
        <w:tblPrEx>
          <w:tblCellMar>
            <w:top w:w="0" w:type="dxa"/>
            <w:left w:w="108" w:type="dxa"/>
            <w:bottom w:w="0" w:type="dxa"/>
            <w:right w:w="108" w:type="dxa"/>
          </w:tblCellMar>
        </w:tblPrEx>
        <w:tc>
          <w:tcPr>
            <w:tcW w:w="354" w:type="pct"/>
            <w:tcBorders>
              <w:top w:val="nil"/>
              <w:left w:val="single" w:color="auto" w:sz="4" w:space="0"/>
              <w:bottom w:val="nil"/>
              <w:right w:val="single" w:color="auto" w:sz="4" w:space="0"/>
            </w:tcBorders>
            <w:shd w:val="clear" w:color="auto" w:fill="auto"/>
            <w:noWrap/>
            <w:vAlign w:val="center"/>
          </w:tcPr>
          <w:p w14:paraId="2AB1233A">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13</w:t>
            </w:r>
            <w:r>
              <w:rPr>
                <w:rFonts w:hint="eastAsia" w:asciiTheme="minorEastAsia" w:hAnsiTheme="minorEastAsia" w:eastAsiaTheme="minorEastAsia" w:cstheme="minorEastAsia"/>
                <w:color w:val="auto"/>
                <w:kern w:val="0"/>
                <w:sz w:val="22"/>
                <w:highlight w:val="none"/>
                <w:lang w:eastAsia="zh-CN" w:bidi="ar"/>
              </w:rPr>
              <w:t>5</w:t>
            </w:r>
          </w:p>
        </w:tc>
        <w:tc>
          <w:tcPr>
            <w:tcW w:w="601" w:type="pct"/>
            <w:vMerge w:val="continue"/>
            <w:tcBorders>
              <w:top w:val="nil"/>
              <w:left w:val="single" w:color="auto" w:sz="4" w:space="0"/>
              <w:bottom w:val="nil"/>
              <w:right w:val="single" w:color="auto" w:sz="4" w:space="0"/>
            </w:tcBorders>
            <w:vAlign w:val="center"/>
          </w:tcPr>
          <w:p w14:paraId="4A469CD8">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723" w:type="pct"/>
            <w:vMerge w:val="continue"/>
            <w:tcBorders>
              <w:top w:val="nil"/>
              <w:left w:val="single" w:color="auto" w:sz="4" w:space="0"/>
              <w:bottom w:val="nil"/>
              <w:right w:val="single" w:color="auto" w:sz="4" w:space="0"/>
            </w:tcBorders>
            <w:vAlign w:val="center"/>
          </w:tcPr>
          <w:p w14:paraId="73953860">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p>
        </w:tc>
        <w:tc>
          <w:tcPr>
            <w:tcW w:w="890" w:type="pct"/>
            <w:tcBorders>
              <w:top w:val="nil"/>
              <w:left w:val="nil"/>
              <w:bottom w:val="nil"/>
              <w:right w:val="single" w:color="auto" w:sz="4" w:space="0"/>
            </w:tcBorders>
            <w:shd w:val="clear" w:color="auto" w:fill="auto"/>
            <w:vAlign w:val="center"/>
          </w:tcPr>
          <w:p w14:paraId="3AA26335">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同步病区床位状态</w:t>
            </w:r>
          </w:p>
        </w:tc>
        <w:tc>
          <w:tcPr>
            <w:tcW w:w="2430" w:type="pct"/>
            <w:tcBorders>
              <w:top w:val="nil"/>
              <w:left w:val="nil"/>
              <w:bottom w:val="nil"/>
              <w:right w:val="single" w:color="auto" w:sz="4" w:space="0"/>
            </w:tcBorders>
            <w:shd w:val="clear" w:color="auto" w:fill="auto"/>
            <w:vAlign w:val="center"/>
          </w:tcPr>
          <w:p w14:paraId="7795A429">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Theme="minorEastAsia" w:hAnsiTheme="minorEastAsia" w:eastAsiaTheme="minorEastAsia" w:cstheme="minorEastAsia"/>
                <w:color w:val="auto"/>
                <w:kern w:val="0"/>
                <w:sz w:val="22"/>
                <w:highlight w:val="none"/>
                <w:lang w:bidi="ar"/>
              </w:rPr>
              <w:t>HIS（床位状态）</w:t>
            </w:r>
          </w:p>
        </w:tc>
      </w:tr>
      <w:tr w14:paraId="7D7DAADD">
        <w:tblPrEx>
          <w:tblCellMar>
            <w:top w:w="0" w:type="dxa"/>
            <w:left w:w="108" w:type="dxa"/>
            <w:bottom w:w="0" w:type="dxa"/>
            <w:right w:w="108" w:type="dxa"/>
          </w:tblCellMar>
        </w:tblPrEx>
        <w:tc>
          <w:tcPr>
            <w:tcW w:w="354" w:type="pct"/>
            <w:tcBorders>
              <w:top w:val="nil"/>
              <w:left w:val="single" w:color="auto" w:sz="4" w:space="0"/>
              <w:bottom w:val="single" w:color="auto" w:sz="4" w:space="0"/>
              <w:right w:val="single" w:color="auto" w:sz="4" w:space="0"/>
            </w:tcBorders>
            <w:shd w:val="clear" w:color="auto" w:fill="auto"/>
            <w:noWrap/>
            <w:vAlign w:val="center"/>
          </w:tcPr>
          <w:p w14:paraId="69839A87">
            <w:pPr>
              <w:widowControl/>
              <w:spacing w:line="300" w:lineRule="exact"/>
              <w:textAlignment w:val="center"/>
              <w:rPr>
                <w:rFonts w:hint="default" w:asciiTheme="minorEastAsia" w:hAnsiTheme="minorEastAsia" w:eastAsiaTheme="minorEastAsia" w:cstheme="minorEastAsia"/>
                <w:color w:val="auto"/>
                <w:kern w:val="0"/>
                <w:sz w:val="22"/>
                <w:highlight w:val="none"/>
                <w:lang w:val="en-US" w:eastAsia="zh-CN" w:bidi="ar"/>
              </w:rPr>
            </w:pPr>
            <w:r>
              <w:rPr>
                <w:rFonts w:hint="eastAsia" w:asciiTheme="minorEastAsia" w:hAnsiTheme="minorEastAsia" w:eastAsiaTheme="minorEastAsia" w:cstheme="minorEastAsia"/>
                <w:color w:val="auto"/>
                <w:kern w:val="0"/>
                <w:sz w:val="22"/>
                <w:highlight w:val="none"/>
                <w:lang w:val="en-US" w:eastAsia="zh-CN" w:bidi="ar"/>
              </w:rPr>
              <w:t>136</w:t>
            </w:r>
          </w:p>
        </w:tc>
        <w:tc>
          <w:tcPr>
            <w:tcW w:w="601" w:type="pct"/>
            <w:tcBorders>
              <w:top w:val="nil"/>
              <w:left w:val="single" w:color="auto" w:sz="4" w:space="0"/>
              <w:bottom w:val="single" w:color="auto" w:sz="4" w:space="0"/>
              <w:right w:val="single" w:color="auto" w:sz="4" w:space="0"/>
            </w:tcBorders>
            <w:shd w:val="clear" w:color="auto" w:fill="FFFFFF"/>
            <w:vAlign w:val="center"/>
          </w:tcPr>
          <w:p w14:paraId="49016D04">
            <w:pPr>
              <w:widowControl/>
              <w:wordWrap w:val="0"/>
              <w:snapToGrid w:val="0"/>
              <w:jc w:val="left"/>
              <w:textAlignment w:val="center"/>
              <w:rPr>
                <w:rFonts w:hint="eastAsia" w:ascii="微软雅黑" w:hAnsi="微软雅黑" w:eastAsia="微软雅黑" w:cs="微软雅黑"/>
                <w:color w:val="060A26"/>
                <w:kern w:val="0"/>
                <w:sz w:val="21"/>
                <w:szCs w:val="21"/>
                <w:lang w:val="en-US" w:eastAsia="zh-CN" w:bidi="ar"/>
              </w:rPr>
            </w:pPr>
            <w:r>
              <w:rPr>
                <w:rFonts w:hint="default" w:ascii="微软雅黑" w:hAnsi="微软雅黑" w:eastAsia="微软雅黑" w:cs="微软雅黑"/>
                <w:color w:val="060A26"/>
                <w:kern w:val="0"/>
                <w:szCs w:val="21"/>
                <w:lang w:val="en-US" w:eastAsia="zh-CN" w:bidi="ar"/>
              </w:rPr>
              <w:t>业务发展需求</w:t>
            </w:r>
          </w:p>
        </w:tc>
        <w:tc>
          <w:tcPr>
            <w:tcW w:w="4044" w:type="pct"/>
            <w:gridSpan w:val="3"/>
            <w:tcBorders>
              <w:top w:val="nil"/>
              <w:left w:val="single" w:color="auto" w:sz="4" w:space="0"/>
              <w:bottom w:val="single" w:color="auto" w:sz="4" w:space="0"/>
              <w:right w:val="single" w:color="auto" w:sz="4" w:space="0"/>
            </w:tcBorders>
            <w:shd w:val="clear" w:color="auto" w:fill="FFFFFF"/>
            <w:vAlign w:val="center"/>
          </w:tcPr>
          <w:p w14:paraId="2CEC2933">
            <w:pPr>
              <w:widowControl/>
              <w:spacing w:line="300" w:lineRule="exact"/>
              <w:textAlignment w:val="center"/>
              <w:rPr>
                <w:rFonts w:hint="eastAsia" w:asciiTheme="minorEastAsia" w:hAnsiTheme="minorEastAsia" w:eastAsiaTheme="minorEastAsia" w:cstheme="minorEastAsia"/>
                <w:color w:val="auto"/>
                <w:kern w:val="0"/>
                <w:sz w:val="22"/>
                <w:highlight w:val="none"/>
                <w:lang w:bidi="ar"/>
              </w:rPr>
            </w:pPr>
            <w:r>
              <w:rPr>
                <w:rFonts w:hint="eastAsia" w:ascii="微软雅黑" w:hAnsi="微软雅黑" w:eastAsia="微软雅黑" w:cs="微软雅黑"/>
                <w:color w:val="060A26"/>
                <w:kern w:val="0"/>
                <w:szCs w:val="21"/>
                <w:lang w:val="en-US" w:eastAsia="zh-CN" w:bidi="ar"/>
              </w:rPr>
              <w:t>根据</w:t>
            </w:r>
            <w:r>
              <w:rPr>
                <w:rFonts w:hint="default" w:ascii="微软雅黑" w:hAnsi="微软雅黑" w:eastAsia="微软雅黑" w:cs="微软雅黑"/>
                <w:color w:val="060A26"/>
                <w:kern w:val="0"/>
                <w:szCs w:val="21"/>
                <w:lang w:val="en-US" w:eastAsia="zh-CN" w:bidi="ar"/>
              </w:rPr>
              <w:t>上级政策要求、医院管理制度及业务流程优化需要，完成相应功能的优化与改造。</w:t>
            </w:r>
          </w:p>
        </w:tc>
      </w:tr>
      <w:bookmarkEnd w:id="280"/>
    </w:tbl>
    <w:p w14:paraId="62D98978">
      <w:pPr>
        <w:rPr>
          <w:rFonts w:hint="default"/>
          <w:color w:val="auto"/>
          <w:sz w:val="32"/>
          <w:szCs w:val="32"/>
          <w:highlight w:val="none"/>
          <w:lang w:val="en-US" w:eastAsia="zh-CN"/>
        </w:rPr>
      </w:pPr>
    </w:p>
    <w:p w14:paraId="19A23464">
      <w:pPr>
        <w:pStyle w:val="3"/>
        <w:bidi w:val="0"/>
      </w:pPr>
      <w:bookmarkStart w:id="281" w:name="_Toc6057"/>
      <w:bookmarkStart w:id="282" w:name="_Toc5932"/>
      <w:bookmarkStart w:id="283" w:name="_Toc6566"/>
      <w:bookmarkStart w:id="284" w:name="_Toc23421"/>
      <w:bookmarkStart w:id="285" w:name="_Toc30023"/>
      <w:r>
        <w:rPr>
          <w:rFonts w:hint="eastAsia"/>
        </w:rPr>
        <w:t>门诊挂号系统</w:t>
      </w:r>
      <w:bookmarkEnd w:id="281"/>
      <w:bookmarkEnd w:id="282"/>
      <w:bookmarkEnd w:id="283"/>
      <w:bookmarkEnd w:id="284"/>
      <w:bookmarkEnd w:id="285"/>
    </w:p>
    <w:tbl>
      <w:tblPr>
        <w:tblStyle w:val="46"/>
        <w:tblW w:w="96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
        <w:gridCol w:w="1087"/>
        <w:gridCol w:w="7731"/>
      </w:tblGrid>
      <w:tr w14:paraId="43D7E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jc w:val="center"/>
        </w:trPr>
        <w:tc>
          <w:tcPr>
            <w:tcW w:w="861" w:type="dxa"/>
            <w:vAlign w:val="center"/>
          </w:tcPr>
          <w:p w14:paraId="7EC0AE1A">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color w:val="auto"/>
                <w:szCs w:val="21"/>
                <w:highlight w:val="none"/>
              </w:rPr>
            </w:pPr>
            <w:r>
              <w:rPr>
                <w:rFonts w:hint="eastAsia" w:ascii="宋体" w:hAnsi="宋体" w:cs="宋体"/>
                <w:color w:val="auto"/>
                <w:kern w:val="0"/>
                <w:szCs w:val="21"/>
                <w:highlight w:val="none"/>
              </w:rPr>
              <w:t>需求名称</w:t>
            </w:r>
          </w:p>
        </w:tc>
        <w:tc>
          <w:tcPr>
            <w:tcW w:w="1087" w:type="dxa"/>
            <w:vAlign w:val="center"/>
          </w:tcPr>
          <w:p w14:paraId="40E40A1D">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序号</w:t>
            </w:r>
          </w:p>
        </w:tc>
        <w:tc>
          <w:tcPr>
            <w:tcW w:w="7731" w:type="dxa"/>
            <w:vAlign w:val="center"/>
          </w:tcPr>
          <w:p w14:paraId="0764DF51">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需求描述</w:t>
            </w:r>
          </w:p>
        </w:tc>
      </w:tr>
      <w:tr w14:paraId="66686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9" w:hRule="atLeast"/>
          <w:jc w:val="center"/>
        </w:trPr>
        <w:tc>
          <w:tcPr>
            <w:tcW w:w="861" w:type="dxa"/>
            <w:vAlign w:val="center"/>
          </w:tcPr>
          <w:p w14:paraId="4C929049">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auto"/>
              <w:ind w:left="0" w:firstLine="0"/>
              <w:jc w:val="left"/>
              <w:textAlignment w:val="auto"/>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门诊挂号系统</w:t>
            </w:r>
            <w:r>
              <w:rPr>
                <w:rFonts w:hint="eastAsia" w:ascii="宋体" w:hAnsi="宋体" w:cs="宋体"/>
                <w:color w:val="auto"/>
                <w:szCs w:val="21"/>
                <w:highlight w:val="none"/>
                <w:lang w:val="en-US" w:eastAsia="zh-CN"/>
              </w:rPr>
              <w:t>维护保障</w:t>
            </w:r>
          </w:p>
        </w:tc>
        <w:tc>
          <w:tcPr>
            <w:tcW w:w="1087" w:type="dxa"/>
            <w:vAlign w:val="center"/>
          </w:tcPr>
          <w:p w14:paraId="2DB61F15">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auto"/>
              <w:ind w:left="0" w:firstLine="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门诊挂号管理</w:t>
            </w:r>
          </w:p>
        </w:tc>
        <w:tc>
          <w:tcPr>
            <w:tcW w:w="7731" w:type="dxa"/>
            <w:vAlign w:val="center"/>
          </w:tcPr>
          <w:p w14:paraId="3ED324F2">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支持跨院区挂号模式，实现对医联（共）体、医疗集团、多院区等应用场景的机构间交互；</w:t>
            </w:r>
          </w:p>
          <w:p w14:paraId="453D3A38">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支持病案号、身份证、护照、医保卡、就诊卡、市民卡、患者姓名、手机号、地区通行证、电子健康卡、电子医保凭证、等挂号患者的身份识别功能；</w:t>
            </w:r>
          </w:p>
          <w:p w14:paraId="58EF5C2C">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支持当前门诊类别下可以操作所有的挂号类型，挂号类型包括普通门诊、急诊门诊、专家门诊、专科门诊、体检门诊等；</w:t>
            </w:r>
          </w:p>
          <w:p w14:paraId="71AFD80D">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支持挂号时新病人建档功能；</w:t>
            </w:r>
          </w:p>
          <w:p w14:paraId="02006349">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支持挂号预约取号功能；</w:t>
            </w:r>
          </w:p>
          <w:p w14:paraId="63EDA509">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支持挂号员在挂号界面随时切换病人保险计划，本次收费全部按所选择保险计划进行结算处理；</w:t>
            </w:r>
          </w:p>
          <w:p w14:paraId="2EE128FC">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支持两种挂号结算两种模式：一种是挂号时直接结算付款，另一种是在诊间授权记账后收费时再对挂号费用一并结算付款；</w:t>
            </w:r>
          </w:p>
          <w:p w14:paraId="0EEE0672">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支持绿色通道的挂号结算业务，绿色通道只能使用授权记账；</w:t>
            </w:r>
          </w:p>
          <w:p w14:paraId="5C79EE0C">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支持特殊情况的不同挂号价格的处理。如节假日不同费用的处理、6周岁儿童不同费用的处理等；</w:t>
            </w:r>
          </w:p>
          <w:p w14:paraId="4CAE29C3">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支持信用就医、医院优惠、现金、储值金余额、支票、医保账户、微信、支付宝等挂号结算方式；</w:t>
            </w:r>
          </w:p>
          <w:p w14:paraId="5084EACA">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支持现金、微信、医保账户等不同方式混合支付；</w:t>
            </w:r>
          </w:p>
          <w:p w14:paraId="16303621">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支持患者建档、账户充值、档案管理、预约挂号、预约取号、挂号结算、连续挂号、退号、换号、挂号记账、空白发票作废、结算历史、门诊收费等集成在门诊挂号界面上；</w:t>
            </w:r>
          </w:p>
          <w:p w14:paraId="5299554C">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支持挂号结算完成自动打印就诊指引单、结算发票，也支持手工补打挂号单和结算发票；</w:t>
            </w:r>
          </w:p>
          <w:p w14:paraId="5F6A1F1F">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提供提前挂号的功能，即可以挂当前值班类别之后的号，可设置提前时间（默认提前半天挂号）；</w:t>
            </w:r>
          </w:p>
          <w:p w14:paraId="0538D24A">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支持挂号员在挂号界面选择挂号号源功能，默认按号源顺序挂号，也可按照病人要求选择符合时间的号源进行挂号；</w:t>
            </w:r>
          </w:p>
          <w:p w14:paraId="6FE8152E">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支持晚上挂号功能，可设置需要晚班启用后才能挂号；</w:t>
            </w:r>
          </w:p>
          <w:p w14:paraId="35817DAC">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支持快捷键操作，对挂号模块操作频繁的按钮功能通过快捷键快速打开；</w:t>
            </w:r>
          </w:p>
          <w:p w14:paraId="43BF01FB">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提供义诊功能，初诊的义诊病人只收取病历费，复诊的义诊病人不收取任何费用；</w:t>
            </w:r>
          </w:p>
          <w:p w14:paraId="11BBD380">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提供减免功能，支持减免原因选择，挂号结算时可以修改系统默认的挂号费、诊疗费、专家费，按修改后的金额结算；</w:t>
            </w:r>
          </w:p>
          <w:p w14:paraId="6DAD9CC1">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支持普通科室挂号、专家科室挂号，专家科室能挂指定医生的号；</w:t>
            </w:r>
          </w:p>
          <w:p w14:paraId="38638E5A">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支持通过科室、医生拼音码、五笔、角形码快速定位挂号科室或医生；</w:t>
            </w:r>
          </w:p>
          <w:p w14:paraId="5E58DE72">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支持科室/医生挂号限额的管理功能，超过挂号限额则不允许再挂号；</w:t>
            </w:r>
          </w:p>
          <w:p w14:paraId="125AADC2">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支持挂号员查看今日挂号历史和挂号历史总体情况；</w:t>
            </w:r>
          </w:p>
          <w:p w14:paraId="3BC8A5FF">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支持连续挂号功能，结算完成，患者信息不清空，同一个病人可连续挂多个科室/医生号；</w:t>
            </w:r>
          </w:p>
          <w:p w14:paraId="1B94FC29">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支持退号处理，退号可连续操作；</w:t>
            </w:r>
          </w:p>
          <w:p w14:paraId="3D9A602D">
            <w:pPr>
              <w:keepNext w:val="0"/>
              <w:keepLines w:val="0"/>
              <w:pageBreakBefore w:val="0"/>
              <w:widowControl w:val="0"/>
              <w:numPr>
                <w:ilvl w:val="0"/>
                <w:numId w:val="12"/>
              </w:numPr>
              <w:tabs>
                <w:tab w:val="left" w:pos="525"/>
                <w:tab w:val="left" w:pos="630"/>
              </w:tabs>
              <w:kinsoku/>
              <w:wordWrap/>
              <w:overflowPunct/>
              <w:topLinePunct w:val="0"/>
              <w:autoSpaceDE/>
              <w:autoSpaceDN/>
              <w:bidi w:val="0"/>
              <w:adjustRightInd w:val="0"/>
              <w:snapToGrid w:val="0"/>
              <w:spacing w:line="360" w:lineRule="auto"/>
              <w:jc w:val="left"/>
              <w:textAlignment w:val="auto"/>
              <w:rPr>
                <w:rFonts w:ascii="宋体" w:hAnsi="宋体" w:cs="宋体"/>
                <w:bCs/>
                <w:color w:val="auto"/>
                <w:szCs w:val="21"/>
                <w:highlight w:val="none"/>
              </w:rPr>
            </w:pPr>
            <w:r>
              <w:rPr>
                <w:rFonts w:hint="eastAsia" w:ascii="宋体" w:hAnsi="宋体" w:cs="宋体"/>
                <w:bCs/>
                <w:color w:val="auto"/>
                <w:szCs w:val="21"/>
                <w:highlight w:val="none"/>
              </w:rPr>
              <w:t>支持换号处理，病人到医生站就诊前可以进行转科。</w:t>
            </w:r>
          </w:p>
        </w:tc>
      </w:tr>
      <w:tr w14:paraId="7C4F9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1948" w:type="dxa"/>
            <w:gridSpan w:val="2"/>
            <w:vAlign w:val="center"/>
          </w:tcPr>
          <w:p w14:paraId="1EE4C85E">
            <w:pPr>
              <w:widowControl/>
              <w:wordWrap w:val="0"/>
              <w:snapToGrid w:val="0"/>
              <w:jc w:val="left"/>
              <w:textAlignment w:val="center"/>
              <w:rPr>
                <w:rFonts w:hint="eastAsia" w:ascii="微软雅黑" w:hAnsi="微软雅黑" w:eastAsia="微软雅黑" w:cs="微软雅黑"/>
                <w:color w:val="060A26"/>
                <w:kern w:val="0"/>
                <w:sz w:val="21"/>
                <w:szCs w:val="21"/>
                <w:lang w:val="en-US" w:eastAsia="zh-CN" w:bidi="ar"/>
              </w:rPr>
            </w:pPr>
            <w:r>
              <w:rPr>
                <w:rFonts w:hint="default" w:ascii="微软雅黑" w:hAnsi="微软雅黑" w:eastAsia="微软雅黑" w:cs="微软雅黑"/>
                <w:color w:val="060A26"/>
                <w:kern w:val="0"/>
                <w:szCs w:val="21"/>
                <w:lang w:val="en-US" w:eastAsia="zh-CN" w:bidi="ar"/>
              </w:rPr>
              <w:t>业务发展需求</w:t>
            </w:r>
          </w:p>
        </w:tc>
        <w:tc>
          <w:tcPr>
            <w:tcW w:w="7731" w:type="dxa"/>
            <w:shd w:val="clear" w:color="auto" w:fill="FFFFFF"/>
            <w:vAlign w:val="center"/>
          </w:tcPr>
          <w:p w14:paraId="5C4479F1">
            <w:pPr>
              <w:widowControl/>
              <w:wordWrap w:val="0"/>
              <w:snapToGrid w:val="0"/>
              <w:jc w:val="left"/>
              <w:textAlignment w:val="center"/>
              <w:rPr>
                <w:rFonts w:hint="eastAsia" w:ascii="微软雅黑" w:hAnsi="微软雅黑" w:eastAsia="微软雅黑" w:cs="微软雅黑"/>
                <w:color w:val="060A26"/>
                <w:kern w:val="0"/>
                <w:sz w:val="21"/>
                <w:szCs w:val="21"/>
                <w:lang w:val="en-US" w:eastAsia="zh-CN" w:bidi="ar"/>
              </w:rPr>
            </w:pPr>
            <w:r>
              <w:rPr>
                <w:rFonts w:hint="eastAsia" w:ascii="微软雅黑" w:hAnsi="微软雅黑" w:eastAsia="微软雅黑" w:cs="微软雅黑"/>
                <w:color w:val="060A26"/>
                <w:kern w:val="0"/>
                <w:szCs w:val="21"/>
                <w:lang w:val="en-US" w:eastAsia="zh-CN" w:bidi="ar"/>
              </w:rPr>
              <w:t>根据</w:t>
            </w:r>
            <w:r>
              <w:rPr>
                <w:rFonts w:hint="default" w:ascii="微软雅黑" w:hAnsi="微软雅黑" w:eastAsia="微软雅黑" w:cs="微软雅黑"/>
                <w:color w:val="060A26"/>
                <w:kern w:val="0"/>
                <w:szCs w:val="21"/>
                <w:lang w:val="en-US" w:eastAsia="zh-CN" w:bidi="ar"/>
              </w:rPr>
              <w:t>上级政策要求、医院管理制度及业务流程优化需要，完成相应功能的优化与改造。</w:t>
            </w:r>
          </w:p>
        </w:tc>
      </w:tr>
    </w:tbl>
    <w:p w14:paraId="4D55DF50">
      <w:pPr>
        <w:rPr>
          <w:color w:val="auto"/>
          <w:highlight w:val="none"/>
        </w:rPr>
      </w:pPr>
    </w:p>
    <w:p w14:paraId="6A2D089F">
      <w:pPr>
        <w:pStyle w:val="3"/>
        <w:bidi w:val="0"/>
        <w:rPr>
          <w:rFonts w:hint="default"/>
          <w:lang w:val="en-US" w:eastAsia="zh-CN"/>
        </w:rPr>
      </w:pPr>
      <w:bookmarkStart w:id="286" w:name="_Toc23884"/>
      <w:bookmarkStart w:id="287" w:name="_Toc6726"/>
      <w:bookmarkStart w:id="288" w:name="_Toc18055"/>
      <w:bookmarkStart w:id="289" w:name="_Toc19890"/>
      <w:bookmarkStart w:id="290" w:name="_Toc31125"/>
      <w:r>
        <w:rPr>
          <w:rFonts w:hint="eastAsia"/>
          <w:lang w:val="en-US" w:eastAsia="zh-CN"/>
        </w:rPr>
        <w:t>公众号</w:t>
      </w:r>
      <w:bookmarkEnd w:id="286"/>
      <w:bookmarkEnd w:id="287"/>
      <w:bookmarkEnd w:id="288"/>
      <w:bookmarkEnd w:id="289"/>
      <w:bookmarkEnd w:id="290"/>
    </w:p>
    <w:tbl>
      <w:tblPr>
        <w:tblStyle w:val="46"/>
        <w:tblW w:w="9559" w:type="dxa"/>
        <w:jc w:val="center"/>
        <w:tblBorders>
          <w:top w:val="single" w:color="auto" w:sz="6" w:space="0"/>
          <w:left w:val="single" w:color="auto" w:sz="2" w:space="0"/>
          <w:bottom w:val="single" w:color="auto" w:sz="2" w:space="0"/>
          <w:right w:val="single" w:color="auto" w:sz="2" w:space="0"/>
          <w:insideH w:val="none" w:color="auto" w:sz="0" w:space="0"/>
          <w:insideV w:val="none" w:color="auto" w:sz="0" w:space="0"/>
        </w:tblBorders>
        <w:shd w:val="clear" w:color="auto" w:fill="FFFFFF"/>
        <w:tblLayout w:type="fixed"/>
        <w:tblCellMar>
          <w:top w:w="15" w:type="dxa"/>
          <w:left w:w="15" w:type="dxa"/>
          <w:bottom w:w="15" w:type="dxa"/>
          <w:right w:w="15" w:type="dxa"/>
        </w:tblCellMar>
      </w:tblPr>
      <w:tblGrid>
        <w:gridCol w:w="1293"/>
        <w:gridCol w:w="1580"/>
        <w:gridCol w:w="6686"/>
      </w:tblGrid>
      <w:tr w14:paraId="52B1EBF8">
        <w:tblPrEx>
          <w:tblBorders>
            <w:top w:val="single" w:color="auto" w:sz="6"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272" w:hRule="atLeast"/>
          <w:tblHeader/>
          <w:jc w:val="center"/>
        </w:trPr>
        <w:tc>
          <w:tcPr>
            <w:tcW w:w="1293" w:type="dxa"/>
            <w:tcBorders>
              <w:top w:val="single" w:color="auto" w:sz="6" w:space="0"/>
              <w:left w:val="single" w:color="auto" w:sz="6" w:space="0"/>
              <w:bottom w:val="single" w:color="auto" w:sz="6" w:space="0"/>
              <w:right w:val="single" w:color="auto" w:sz="6" w:space="0"/>
            </w:tcBorders>
            <w:shd w:val="clear" w:color="auto" w:fill="FFFFFF"/>
            <w:noWrap/>
            <w:tcMar>
              <w:top w:w="150" w:type="dxa"/>
              <w:left w:w="210" w:type="dxa"/>
              <w:bottom w:w="150" w:type="dxa"/>
              <w:right w:w="210" w:type="dxa"/>
            </w:tcMar>
            <w:vAlign w:val="center"/>
          </w:tcPr>
          <w:p w14:paraId="54243F53">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firstLine="0" w:firstLineChars="0"/>
              <w:jc w:val="left"/>
              <w:rPr>
                <w:rFonts w:ascii="微软雅黑" w:hAnsi="微软雅黑" w:eastAsia="微软雅黑" w:cs="微软雅黑"/>
                <w:b/>
                <w:bCs/>
                <w:i w:val="0"/>
                <w:iCs w:val="0"/>
                <w:caps w:val="0"/>
                <w:color w:val="060A26"/>
                <w:spacing w:val="0"/>
                <w:sz w:val="21"/>
                <w:szCs w:val="21"/>
              </w:rPr>
            </w:pPr>
            <w:r>
              <w:rPr>
                <w:rFonts w:hint="eastAsia" w:ascii="微软雅黑" w:hAnsi="微软雅黑" w:eastAsia="微软雅黑" w:cs="微软雅黑"/>
                <w:b/>
                <w:bCs/>
                <w:i w:val="0"/>
                <w:iCs w:val="0"/>
                <w:caps w:val="0"/>
                <w:color w:val="060A26"/>
                <w:spacing w:val="0"/>
                <w:kern w:val="0"/>
                <w:sz w:val="21"/>
                <w:szCs w:val="21"/>
                <w:lang w:val="en-US" w:eastAsia="zh-CN" w:bidi="ar"/>
              </w:rPr>
              <w:t>需求名称</w:t>
            </w:r>
          </w:p>
        </w:tc>
        <w:tc>
          <w:tcPr>
            <w:tcW w:w="1580" w:type="dxa"/>
            <w:tcBorders>
              <w:top w:val="single" w:color="auto" w:sz="6" w:space="0"/>
              <w:left w:val="single" w:color="auto" w:sz="6" w:space="0"/>
              <w:bottom w:val="single" w:color="auto" w:sz="6" w:space="0"/>
              <w:right w:val="single" w:color="auto" w:sz="6" w:space="0"/>
            </w:tcBorders>
            <w:shd w:val="clear" w:color="auto" w:fill="FFFFFF"/>
            <w:noWrap/>
            <w:tcMar>
              <w:top w:w="150" w:type="dxa"/>
              <w:left w:w="210" w:type="dxa"/>
              <w:bottom w:w="150" w:type="dxa"/>
              <w:right w:w="210" w:type="dxa"/>
            </w:tcMar>
            <w:vAlign w:val="center"/>
          </w:tcPr>
          <w:p w14:paraId="1FF3199D">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firstLine="0" w:firstLineChars="0"/>
              <w:jc w:val="left"/>
              <w:rPr>
                <w:rFonts w:hint="eastAsia" w:ascii="微软雅黑" w:hAnsi="微软雅黑" w:eastAsia="微软雅黑" w:cs="微软雅黑"/>
                <w:b/>
                <w:bCs/>
                <w:i w:val="0"/>
                <w:iCs w:val="0"/>
                <w:caps w:val="0"/>
                <w:color w:val="060A26"/>
                <w:spacing w:val="0"/>
                <w:sz w:val="21"/>
                <w:szCs w:val="21"/>
              </w:rPr>
            </w:pPr>
            <w:r>
              <w:rPr>
                <w:rFonts w:hint="eastAsia" w:ascii="微软雅黑" w:hAnsi="微软雅黑" w:eastAsia="微软雅黑" w:cs="微软雅黑"/>
                <w:b/>
                <w:bCs/>
                <w:i w:val="0"/>
                <w:iCs w:val="0"/>
                <w:caps w:val="0"/>
                <w:color w:val="060A26"/>
                <w:spacing w:val="0"/>
                <w:kern w:val="0"/>
                <w:sz w:val="21"/>
                <w:szCs w:val="21"/>
                <w:lang w:val="en-US" w:eastAsia="zh-CN" w:bidi="ar"/>
              </w:rPr>
              <w:t>序号</w:t>
            </w:r>
          </w:p>
        </w:tc>
        <w:tc>
          <w:tcPr>
            <w:tcW w:w="6686" w:type="dxa"/>
            <w:tcBorders>
              <w:top w:val="single" w:color="auto" w:sz="6" w:space="0"/>
              <w:left w:val="single" w:color="auto" w:sz="6" w:space="0"/>
              <w:bottom w:val="single" w:color="auto" w:sz="6" w:space="0"/>
              <w:right w:val="single" w:color="auto" w:sz="6" w:space="0"/>
            </w:tcBorders>
            <w:shd w:val="clear" w:color="auto" w:fill="FFFFFF"/>
            <w:noWrap/>
            <w:tcMar>
              <w:top w:w="150" w:type="dxa"/>
              <w:left w:w="210" w:type="dxa"/>
              <w:bottom w:w="150" w:type="dxa"/>
              <w:right w:w="210" w:type="dxa"/>
            </w:tcMar>
            <w:vAlign w:val="center"/>
          </w:tcPr>
          <w:p w14:paraId="01B4D7E4">
            <w:pPr>
              <w:keepNext w:val="0"/>
              <w:keepLines w:val="0"/>
              <w:pageBreakBefore w:val="0"/>
              <w:widowControl/>
              <w:suppressLineNumbers w:val="0"/>
              <w:kinsoku/>
              <w:overflowPunct/>
              <w:topLinePunct w:val="0"/>
              <w:autoSpaceDE/>
              <w:autoSpaceDN/>
              <w:bidi w:val="0"/>
              <w:adjustRightInd w:val="0"/>
              <w:snapToGrid w:val="0"/>
              <w:spacing w:line="240" w:lineRule="auto"/>
              <w:ind w:left="0" w:leftChars="0" w:right="0" w:rightChars="0" w:firstLine="0" w:firstLineChars="0"/>
              <w:jc w:val="left"/>
              <w:rPr>
                <w:rFonts w:hint="eastAsia" w:ascii="微软雅黑" w:hAnsi="微软雅黑" w:eastAsia="微软雅黑" w:cs="微软雅黑"/>
                <w:b/>
                <w:bCs/>
                <w:i w:val="0"/>
                <w:iCs w:val="0"/>
                <w:caps w:val="0"/>
                <w:color w:val="060A26"/>
                <w:spacing w:val="0"/>
                <w:sz w:val="21"/>
                <w:szCs w:val="21"/>
              </w:rPr>
            </w:pPr>
            <w:r>
              <w:rPr>
                <w:rFonts w:hint="eastAsia" w:ascii="微软雅黑" w:hAnsi="微软雅黑" w:eastAsia="微软雅黑" w:cs="微软雅黑"/>
                <w:b/>
                <w:bCs/>
                <w:i w:val="0"/>
                <w:iCs w:val="0"/>
                <w:caps w:val="0"/>
                <w:color w:val="060A26"/>
                <w:spacing w:val="0"/>
                <w:kern w:val="0"/>
                <w:sz w:val="21"/>
                <w:szCs w:val="21"/>
                <w:lang w:val="en-US" w:eastAsia="zh-CN" w:bidi="ar"/>
              </w:rPr>
              <w:t>需求描述</w:t>
            </w:r>
          </w:p>
        </w:tc>
      </w:tr>
      <w:tr w14:paraId="20087B76">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272" w:hRule="atLeast"/>
          <w:jc w:val="center"/>
        </w:trPr>
        <w:tc>
          <w:tcPr>
            <w:tcW w:w="1293" w:type="dxa"/>
            <w:tcBorders>
              <w:left w:val="single" w:color="auto" w:sz="6" w:space="0"/>
              <w:right w:val="single" w:color="auto" w:sz="6" w:space="0"/>
            </w:tcBorders>
            <w:shd w:val="clear" w:color="auto" w:fill="FFFFFF"/>
            <w:tcMar>
              <w:top w:w="150" w:type="dxa"/>
              <w:left w:w="210" w:type="dxa"/>
              <w:bottom w:w="150" w:type="dxa"/>
              <w:right w:w="210" w:type="dxa"/>
            </w:tcMar>
            <w:vAlign w:val="center"/>
          </w:tcPr>
          <w:p w14:paraId="17ED45DE">
            <w:pPr>
              <w:keepNext w:val="0"/>
              <w:keepLines w:val="0"/>
              <w:pageBreakBefore w:val="0"/>
              <w:widowControl/>
              <w:suppressLineNumbers w:val="0"/>
              <w:kinsoku/>
              <w:wordWrap w:val="0"/>
              <w:overflowPunct/>
              <w:topLinePunct w:val="0"/>
              <w:autoSpaceDE/>
              <w:autoSpaceDN/>
              <w:bidi w:val="0"/>
              <w:adjustRightInd w:val="0"/>
              <w:snapToGrid w:val="0"/>
              <w:spacing w:line="240" w:lineRule="auto"/>
              <w:ind w:left="0" w:leftChars="0" w:right="0" w:rightChars="0" w:firstLine="0" w:firstLineChars="0"/>
              <w:jc w:val="left"/>
              <w:textAlignment w:val="center"/>
              <w:rPr>
                <w:rFonts w:hint="eastAsia" w:ascii="微软雅黑" w:hAnsi="微软雅黑" w:eastAsia="微软雅黑" w:cs="微软雅黑"/>
                <w:b/>
                <w:bCs/>
                <w:i w:val="0"/>
                <w:iCs w:val="0"/>
                <w:caps w:val="0"/>
                <w:color w:val="060A26"/>
                <w:spacing w:val="0"/>
                <w:kern w:val="0"/>
                <w:sz w:val="21"/>
                <w:szCs w:val="21"/>
                <w:lang w:val="en-US" w:eastAsia="zh-CN" w:bidi="ar"/>
              </w:rPr>
            </w:pPr>
          </w:p>
        </w:tc>
        <w:tc>
          <w:tcPr>
            <w:tcW w:w="1580"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5358A0EC">
            <w:pPr>
              <w:keepNext w:val="0"/>
              <w:keepLines w:val="0"/>
              <w:pageBreakBefore w:val="0"/>
              <w:widowControl/>
              <w:suppressLineNumbers w:val="0"/>
              <w:kinsoku/>
              <w:wordWrap w:val="0"/>
              <w:overflowPunct/>
              <w:topLinePunct w:val="0"/>
              <w:autoSpaceDE/>
              <w:autoSpaceDN/>
              <w:bidi w:val="0"/>
              <w:adjustRightInd w:val="0"/>
              <w:snapToGrid w:val="0"/>
              <w:spacing w:line="240" w:lineRule="auto"/>
              <w:ind w:left="0" w:leftChars="0" w:right="0" w:rightChars="0" w:firstLine="0" w:firstLineChars="0"/>
              <w:jc w:val="left"/>
              <w:textAlignment w:val="center"/>
              <w:rPr>
                <w:rFonts w:hint="default" w:ascii="微软雅黑" w:hAnsi="微软雅黑" w:eastAsia="微软雅黑" w:cs="微软雅黑"/>
                <w:i w:val="0"/>
                <w:iCs w:val="0"/>
                <w:caps w:val="0"/>
                <w:color w:val="060A26"/>
                <w:spacing w:val="0"/>
                <w:kern w:val="0"/>
                <w:sz w:val="21"/>
                <w:szCs w:val="21"/>
                <w:lang w:val="en-US" w:eastAsia="zh-CN" w:bidi="ar"/>
              </w:rPr>
            </w:pPr>
            <w:r>
              <w:rPr>
                <w:rFonts w:hint="eastAsia" w:ascii="微软雅黑" w:hAnsi="微软雅黑" w:eastAsia="微软雅黑" w:cs="微软雅黑"/>
                <w:i w:val="0"/>
                <w:iCs w:val="0"/>
                <w:caps w:val="0"/>
                <w:color w:val="060A26"/>
                <w:spacing w:val="0"/>
                <w:kern w:val="0"/>
                <w:sz w:val="21"/>
                <w:szCs w:val="21"/>
                <w:lang w:val="en-US" w:eastAsia="zh-CN" w:bidi="ar"/>
              </w:rPr>
              <w:t>1</w:t>
            </w:r>
          </w:p>
        </w:tc>
        <w:tc>
          <w:tcPr>
            <w:tcW w:w="6686"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3B8F62CB">
            <w:pPr>
              <w:keepNext w:val="0"/>
              <w:keepLines w:val="0"/>
              <w:pageBreakBefore w:val="0"/>
              <w:widowControl/>
              <w:suppressLineNumbers w:val="0"/>
              <w:kinsoku/>
              <w:wordWrap w:val="0"/>
              <w:overflowPunct/>
              <w:topLinePunct w:val="0"/>
              <w:autoSpaceDE/>
              <w:autoSpaceDN/>
              <w:bidi w:val="0"/>
              <w:adjustRightInd w:val="0"/>
              <w:snapToGrid w:val="0"/>
              <w:spacing w:line="240" w:lineRule="auto"/>
              <w:ind w:left="0" w:leftChars="0" w:right="0" w:rightChars="0" w:firstLine="0" w:firstLineChars="0"/>
              <w:jc w:val="left"/>
              <w:textAlignment w:val="center"/>
              <w:rPr>
                <w:rFonts w:hint="eastAsia" w:ascii="微软雅黑" w:hAnsi="微软雅黑" w:eastAsia="微软雅黑" w:cs="微软雅黑"/>
                <w:i w:val="0"/>
                <w:iCs w:val="0"/>
                <w:caps w:val="0"/>
                <w:color w:val="060A26"/>
                <w:spacing w:val="0"/>
                <w:kern w:val="0"/>
                <w:sz w:val="21"/>
                <w:szCs w:val="21"/>
                <w:lang w:val="en-US" w:eastAsia="zh-CN" w:bidi="ar"/>
              </w:rPr>
            </w:pPr>
            <w:r>
              <w:rPr>
                <w:rFonts w:hint="default" w:ascii="微软雅黑" w:hAnsi="微软雅黑" w:eastAsia="微软雅黑" w:cs="微软雅黑"/>
                <w:b/>
                <w:bCs/>
                <w:i w:val="0"/>
                <w:iCs w:val="0"/>
                <w:caps w:val="0"/>
                <w:color w:val="060A26"/>
                <w:spacing w:val="0"/>
                <w:sz w:val="21"/>
                <w:szCs w:val="21"/>
                <w:lang w:val="en-US"/>
              </w:rPr>
              <w:t>运维保障功能需求</w:t>
            </w:r>
          </w:p>
        </w:tc>
      </w:tr>
      <w:tr w14:paraId="523F4275">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936" w:hRule="atLeast"/>
          <w:jc w:val="center"/>
        </w:trPr>
        <w:tc>
          <w:tcPr>
            <w:tcW w:w="1293" w:type="dxa"/>
            <w:vMerge w:val="restart"/>
            <w:tcBorders>
              <w:left w:val="single" w:color="auto" w:sz="6" w:space="0"/>
              <w:right w:val="single" w:color="auto" w:sz="6" w:space="0"/>
            </w:tcBorders>
            <w:shd w:val="clear" w:color="auto" w:fill="FFFFFF"/>
            <w:tcMar>
              <w:top w:w="150" w:type="dxa"/>
              <w:left w:w="210" w:type="dxa"/>
              <w:bottom w:w="150" w:type="dxa"/>
              <w:right w:w="210" w:type="dxa"/>
            </w:tcMar>
            <w:vAlign w:val="center"/>
          </w:tcPr>
          <w:p w14:paraId="2910053B">
            <w:pPr>
              <w:keepNext w:val="0"/>
              <w:keepLines w:val="0"/>
              <w:pageBreakBefore w:val="0"/>
              <w:widowControl/>
              <w:suppressLineNumbers w:val="0"/>
              <w:kinsoku/>
              <w:wordWrap w:val="0"/>
              <w:overflowPunct/>
              <w:topLinePunct w:val="0"/>
              <w:autoSpaceDE/>
              <w:autoSpaceDN/>
              <w:bidi w:val="0"/>
              <w:adjustRightInd w:val="0"/>
              <w:snapToGrid w:val="0"/>
              <w:spacing w:line="240" w:lineRule="auto"/>
              <w:ind w:left="0" w:leftChars="0" w:right="0" w:rightChars="0" w:firstLine="0" w:firstLineChars="0"/>
              <w:jc w:val="left"/>
              <w:textAlignment w:val="center"/>
              <w:rPr>
                <w:rFonts w:hint="default" w:ascii="微软雅黑" w:hAnsi="微软雅黑" w:eastAsia="微软雅黑" w:cs="微软雅黑"/>
                <w:i w:val="0"/>
                <w:iCs w:val="0"/>
                <w:caps w:val="0"/>
                <w:color w:val="060A26"/>
                <w:spacing w:val="0"/>
                <w:sz w:val="21"/>
                <w:szCs w:val="21"/>
                <w:lang w:val="en-US" w:eastAsia="zh-CN"/>
              </w:rPr>
            </w:pPr>
            <w:r>
              <w:rPr>
                <w:rFonts w:hint="eastAsia" w:ascii="微软雅黑" w:hAnsi="微软雅黑" w:eastAsia="微软雅黑" w:cs="微软雅黑"/>
                <w:b/>
                <w:bCs/>
                <w:i w:val="0"/>
                <w:iCs w:val="0"/>
                <w:caps w:val="0"/>
                <w:color w:val="060A26"/>
                <w:spacing w:val="0"/>
                <w:kern w:val="0"/>
                <w:sz w:val="21"/>
                <w:szCs w:val="21"/>
                <w:lang w:val="en-US" w:eastAsia="zh-CN" w:bidi="ar"/>
              </w:rPr>
              <w:t>公众号</w:t>
            </w:r>
          </w:p>
        </w:tc>
        <w:tc>
          <w:tcPr>
            <w:tcW w:w="1580"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3E568A1F">
            <w:pPr>
              <w:keepNext w:val="0"/>
              <w:keepLines w:val="0"/>
              <w:pageBreakBefore w:val="0"/>
              <w:widowControl/>
              <w:suppressLineNumbers w:val="0"/>
              <w:kinsoku/>
              <w:wordWrap w:val="0"/>
              <w:overflowPunct/>
              <w:topLinePunct w:val="0"/>
              <w:autoSpaceDE/>
              <w:autoSpaceDN/>
              <w:bidi w:val="0"/>
              <w:adjustRightInd w:val="0"/>
              <w:snapToGrid w:val="0"/>
              <w:spacing w:line="240" w:lineRule="auto"/>
              <w:ind w:left="0" w:leftChars="0" w:right="0" w:rightChars="0" w:firstLine="0" w:firstLineChars="0"/>
              <w:jc w:val="left"/>
              <w:textAlignment w:val="center"/>
              <w:rPr>
                <w:rFonts w:hint="default" w:ascii="微软雅黑" w:hAnsi="微软雅黑" w:eastAsia="微软雅黑" w:cs="微软雅黑"/>
                <w:i w:val="0"/>
                <w:iCs w:val="0"/>
                <w:caps w:val="0"/>
                <w:color w:val="060A26"/>
                <w:spacing w:val="0"/>
                <w:sz w:val="21"/>
                <w:szCs w:val="21"/>
                <w:lang w:val="en-US"/>
              </w:rPr>
            </w:pPr>
            <w:r>
              <w:rPr>
                <w:rFonts w:hint="eastAsia" w:ascii="微软雅黑" w:hAnsi="微软雅黑" w:eastAsia="微软雅黑" w:cs="微软雅黑"/>
                <w:i w:val="0"/>
                <w:iCs w:val="0"/>
                <w:caps w:val="0"/>
                <w:color w:val="060A26"/>
                <w:spacing w:val="0"/>
                <w:kern w:val="0"/>
                <w:sz w:val="21"/>
                <w:szCs w:val="21"/>
                <w:lang w:val="en-US" w:eastAsia="zh-CN" w:bidi="ar"/>
              </w:rPr>
              <w:t>1.1系统功能</w:t>
            </w:r>
          </w:p>
        </w:tc>
        <w:tc>
          <w:tcPr>
            <w:tcW w:w="6686"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345837F9">
            <w:pPr>
              <w:keepNext w:val="0"/>
              <w:keepLines w:val="0"/>
              <w:pageBreakBefore w:val="0"/>
              <w:widowControl/>
              <w:suppressLineNumbers w:val="0"/>
              <w:kinsoku/>
              <w:wordWrap w:val="0"/>
              <w:overflowPunct/>
              <w:topLinePunct w:val="0"/>
              <w:autoSpaceDE/>
              <w:autoSpaceDN/>
              <w:bidi w:val="0"/>
              <w:adjustRightInd w:val="0"/>
              <w:snapToGrid w:val="0"/>
              <w:spacing w:line="240" w:lineRule="auto"/>
              <w:ind w:left="0" w:leftChars="0" w:right="0" w:rightChars="0" w:firstLine="0" w:firstLineChars="0"/>
              <w:jc w:val="left"/>
              <w:textAlignment w:val="center"/>
              <w:rPr>
                <w:rFonts w:hint="eastAsia" w:ascii="微软雅黑" w:hAnsi="微软雅黑" w:eastAsia="微软雅黑" w:cs="微软雅黑"/>
                <w:i w:val="0"/>
                <w:iCs w:val="0"/>
                <w:caps w:val="0"/>
                <w:color w:val="060A26"/>
                <w:spacing w:val="0"/>
                <w:sz w:val="21"/>
                <w:szCs w:val="21"/>
                <w:lang w:val="en-US" w:eastAsia="zh-CN"/>
              </w:rPr>
            </w:pPr>
            <w:r>
              <w:rPr>
                <w:rFonts w:hint="eastAsia" w:ascii="微软雅黑" w:hAnsi="微软雅黑" w:eastAsia="微软雅黑" w:cs="微软雅黑"/>
                <w:i w:val="0"/>
                <w:iCs w:val="0"/>
                <w:caps w:val="0"/>
                <w:color w:val="060A26"/>
                <w:spacing w:val="0"/>
                <w:kern w:val="0"/>
                <w:sz w:val="21"/>
                <w:szCs w:val="21"/>
                <w:lang w:val="en-US" w:eastAsia="zh-CN" w:bidi="ar"/>
              </w:rPr>
              <w:t xml:space="preserve">✓ </w:t>
            </w:r>
            <w:r>
              <w:rPr>
                <w:rFonts w:hint="default" w:ascii="微软雅黑" w:hAnsi="微软雅黑" w:eastAsia="微软雅黑" w:cs="微软雅黑"/>
                <w:i w:val="0"/>
                <w:iCs w:val="0"/>
                <w:caps w:val="0"/>
                <w:color w:val="060A26"/>
                <w:spacing w:val="0"/>
                <w:sz w:val="21"/>
                <w:szCs w:val="21"/>
                <w:lang w:val="en-US" w:eastAsia="zh-CN"/>
              </w:rPr>
              <w:t>确保我院微信公众号系统相关功能的持续维护与稳定运行，包括用户注册、自助建档、预约挂号、就诊人切换、门诊预交金退回快速通道、我的住院、住院押金预缴、预存支付、门诊预存退款、</w:t>
            </w:r>
            <w:r>
              <w:rPr>
                <w:rFonts w:hint="eastAsia" w:ascii="微软雅黑" w:hAnsi="微软雅黑" w:eastAsia="微软雅黑" w:cs="微软雅黑"/>
                <w:i w:val="0"/>
                <w:iCs w:val="0"/>
                <w:caps w:val="0"/>
                <w:color w:val="060A26"/>
                <w:spacing w:val="0"/>
                <w:sz w:val="21"/>
                <w:szCs w:val="21"/>
                <w:lang w:val="en-US" w:eastAsia="zh-CN"/>
              </w:rPr>
              <w:t>待</w:t>
            </w:r>
            <w:r>
              <w:rPr>
                <w:rFonts w:hint="default" w:ascii="微软雅黑" w:hAnsi="微软雅黑" w:eastAsia="微软雅黑" w:cs="微软雅黑"/>
                <w:i w:val="0"/>
                <w:iCs w:val="0"/>
                <w:caps w:val="0"/>
                <w:color w:val="060A26"/>
                <w:spacing w:val="0"/>
                <w:sz w:val="21"/>
                <w:szCs w:val="21"/>
                <w:lang w:val="en-US" w:eastAsia="zh-CN"/>
              </w:rPr>
              <w:t>支付清单及费用明细查询、报告查询、价格公示、日间手术目录查询、患者手术状态查询</w:t>
            </w:r>
            <w:r>
              <w:rPr>
                <w:rFonts w:hint="eastAsia" w:ascii="微软雅黑" w:hAnsi="微软雅黑" w:eastAsia="微软雅黑" w:cs="微软雅黑"/>
                <w:i w:val="0"/>
                <w:iCs w:val="0"/>
                <w:caps w:val="0"/>
                <w:color w:val="060A26"/>
                <w:spacing w:val="0"/>
                <w:sz w:val="21"/>
                <w:szCs w:val="21"/>
                <w:lang w:val="en-US" w:eastAsia="zh-CN"/>
              </w:rPr>
              <w:t>、全生命周期健康管理计划签约/预约、公众号消息推送、全文检索</w:t>
            </w:r>
            <w:r>
              <w:rPr>
                <w:rFonts w:hint="default" w:ascii="微软雅黑" w:hAnsi="微软雅黑" w:eastAsia="微软雅黑" w:cs="微软雅黑"/>
                <w:i w:val="0"/>
                <w:iCs w:val="0"/>
                <w:caps w:val="0"/>
                <w:color w:val="060A26"/>
                <w:spacing w:val="0"/>
                <w:sz w:val="21"/>
                <w:szCs w:val="21"/>
                <w:lang w:val="en-US" w:eastAsia="zh-CN"/>
              </w:rPr>
              <w:t>以及体检报告查询模板等功能，保障系统正常、稳定运行。</w:t>
            </w:r>
          </w:p>
        </w:tc>
      </w:tr>
      <w:tr w14:paraId="498588A0">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981" w:hRule="atLeast"/>
          <w:jc w:val="center"/>
        </w:trPr>
        <w:tc>
          <w:tcPr>
            <w:tcW w:w="1293" w:type="dxa"/>
            <w:vMerge w:val="continue"/>
            <w:tcBorders>
              <w:left w:val="single" w:color="auto" w:sz="6" w:space="0"/>
              <w:right w:val="single" w:color="auto" w:sz="6" w:space="0"/>
            </w:tcBorders>
            <w:shd w:val="clear" w:color="auto" w:fill="FFFFFF"/>
            <w:tcMar>
              <w:top w:w="150" w:type="dxa"/>
              <w:left w:w="210" w:type="dxa"/>
              <w:bottom w:w="150" w:type="dxa"/>
              <w:right w:w="210" w:type="dxa"/>
            </w:tcMar>
            <w:vAlign w:val="center"/>
          </w:tcPr>
          <w:p w14:paraId="25404542">
            <w:pPr>
              <w:keepNext w:val="0"/>
              <w:keepLines w:val="0"/>
              <w:pageBreakBefore w:val="0"/>
              <w:widowControl/>
              <w:suppressLineNumbers w:val="0"/>
              <w:kinsoku/>
              <w:wordWrap w:val="0"/>
              <w:overflowPunct/>
              <w:topLinePunct w:val="0"/>
              <w:autoSpaceDE/>
              <w:autoSpaceDN/>
              <w:bidi w:val="0"/>
              <w:adjustRightInd w:val="0"/>
              <w:snapToGrid w:val="0"/>
              <w:spacing w:line="240" w:lineRule="auto"/>
              <w:ind w:left="0" w:leftChars="0" w:right="0" w:rightChars="0" w:firstLine="0" w:firstLineChars="0"/>
              <w:jc w:val="left"/>
              <w:textAlignment w:val="center"/>
              <w:rPr>
                <w:rFonts w:hint="eastAsia" w:ascii="微软雅黑" w:hAnsi="微软雅黑" w:eastAsia="微软雅黑" w:cs="微软雅黑"/>
                <w:b/>
                <w:bCs/>
                <w:i w:val="0"/>
                <w:iCs w:val="0"/>
                <w:caps w:val="0"/>
                <w:color w:val="060A26"/>
                <w:spacing w:val="0"/>
                <w:kern w:val="0"/>
                <w:sz w:val="21"/>
                <w:szCs w:val="21"/>
                <w:lang w:val="en-US" w:eastAsia="zh-CN" w:bidi="ar"/>
              </w:rPr>
            </w:pPr>
          </w:p>
        </w:tc>
        <w:tc>
          <w:tcPr>
            <w:tcW w:w="1580"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6749879C">
            <w:pPr>
              <w:keepNext w:val="0"/>
              <w:keepLines w:val="0"/>
              <w:pageBreakBefore w:val="0"/>
              <w:widowControl/>
              <w:suppressLineNumbers w:val="0"/>
              <w:kinsoku/>
              <w:wordWrap w:val="0"/>
              <w:overflowPunct/>
              <w:topLinePunct w:val="0"/>
              <w:autoSpaceDE/>
              <w:autoSpaceDN/>
              <w:bidi w:val="0"/>
              <w:adjustRightInd w:val="0"/>
              <w:snapToGrid w:val="0"/>
              <w:spacing w:line="240" w:lineRule="auto"/>
              <w:ind w:left="0" w:leftChars="0" w:right="0" w:rightChars="0" w:firstLine="0" w:firstLineChars="0"/>
              <w:jc w:val="left"/>
              <w:textAlignment w:val="center"/>
              <w:rPr>
                <w:rFonts w:hint="default" w:ascii="微软雅黑" w:hAnsi="微软雅黑" w:eastAsia="微软雅黑" w:cs="微软雅黑"/>
                <w:i w:val="0"/>
                <w:iCs w:val="0"/>
                <w:caps w:val="0"/>
                <w:color w:val="060A26"/>
                <w:spacing w:val="0"/>
                <w:kern w:val="0"/>
                <w:sz w:val="21"/>
                <w:szCs w:val="21"/>
                <w:lang w:val="en-US" w:eastAsia="zh-CN" w:bidi="ar"/>
              </w:rPr>
            </w:pPr>
            <w:r>
              <w:rPr>
                <w:rFonts w:hint="eastAsia" w:ascii="微软雅黑" w:hAnsi="微软雅黑" w:eastAsia="微软雅黑" w:cs="微软雅黑"/>
                <w:i w:val="0"/>
                <w:iCs w:val="0"/>
                <w:caps w:val="0"/>
                <w:color w:val="060A26"/>
                <w:spacing w:val="0"/>
                <w:kern w:val="0"/>
                <w:sz w:val="21"/>
                <w:szCs w:val="21"/>
                <w:lang w:val="en-US" w:eastAsia="zh-CN" w:bidi="ar"/>
              </w:rPr>
              <w:t>1.2服务器管理及维护功能</w:t>
            </w:r>
          </w:p>
        </w:tc>
        <w:tc>
          <w:tcPr>
            <w:tcW w:w="6686"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6CC0E327">
            <w:pPr>
              <w:keepNext w:val="0"/>
              <w:keepLines w:val="0"/>
              <w:pageBreakBefore w:val="0"/>
              <w:widowControl/>
              <w:suppressLineNumbers w:val="0"/>
              <w:kinsoku/>
              <w:wordWrap w:val="0"/>
              <w:overflowPunct/>
              <w:topLinePunct w:val="0"/>
              <w:autoSpaceDE/>
              <w:autoSpaceDN/>
              <w:bidi w:val="0"/>
              <w:adjustRightInd w:val="0"/>
              <w:snapToGrid w:val="0"/>
              <w:spacing w:line="240" w:lineRule="auto"/>
              <w:ind w:left="0" w:leftChars="0" w:right="0" w:rightChars="0" w:firstLine="0" w:firstLineChars="0"/>
              <w:jc w:val="left"/>
              <w:textAlignment w:val="center"/>
              <w:rPr>
                <w:rFonts w:hint="default" w:ascii="微软雅黑" w:hAnsi="微软雅黑" w:eastAsia="微软雅黑" w:cs="微软雅黑"/>
                <w:i w:val="0"/>
                <w:iCs w:val="0"/>
                <w:caps w:val="0"/>
                <w:color w:val="060A26"/>
                <w:spacing w:val="0"/>
                <w:sz w:val="21"/>
                <w:szCs w:val="21"/>
                <w:lang w:val="en-US" w:eastAsia="zh-CN"/>
              </w:rPr>
            </w:pPr>
            <w:r>
              <w:rPr>
                <w:rFonts w:hint="eastAsia" w:ascii="微软雅黑" w:hAnsi="微软雅黑" w:eastAsia="微软雅黑" w:cs="微软雅黑"/>
                <w:i w:val="0"/>
                <w:iCs w:val="0"/>
                <w:caps w:val="0"/>
                <w:color w:val="060A26"/>
                <w:spacing w:val="0"/>
                <w:sz w:val="21"/>
                <w:szCs w:val="21"/>
                <w:lang w:val="en-US" w:eastAsia="zh-CN"/>
              </w:rPr>
              <w:t xml:space="preserve">服务器CPU运行状态监控: </w:t>
            </w:r>
          </w:p>
          <w:p w14:paraId="2F688CF7">
            <w:pPr>
              <w:keepNext w:val="0"/>
              <w:keepLines w:val="0"/>
              <w:pageBreakBefore w:val="0"/>
              <w:widowControl/>
              <w:suppressLineNumbers w:val="0"/>
              <w:kinsoku/>
              <w:wordWrap w:val="0"/>
              <w:overflowPunct/>
              <w:topLinePunct w:val="0"/>
              <w:autoSpaceDE/>
              <w:autoSpaceDN/>
              <w:bidi w:val="0"/>
              <w:adjustRightInd w:val="0"/>
              <w:snapToGrid w:val="0"/>
              <w:spacing w:line="240" w:lineRule="auto"/>
              <w:ind w:left="0" w:leftChars="0" w:right="0" w:rightChars="0" w:firstLine="0" w:firstLineChars="0"/>
              <w:jc w:val="left"/>
              <w:textAlignment w:val="center"/>
              <w:rPr>
                <w:rFonts w:hint="eastAsia" w:ascii="微软雅黑" w:hAnsi="微软雅黑" w:eastAsia="微软雅黑" w:cs="微软雅黑"/>
                <w:i w:val="0"/>
                <w:iCs w:val="0"/>
                <w:caps w:val="0"/>
                <w:color w:val="060A26"/>
                <w:spacing w:val="0"/>
                <w:kern w:val="0"/>
                <w:sz w:val="21"/>
                <w:szCs w:val="21"/>
                <w:lang w:val="en-US" w:eastAsia="zh-CN" w:bidi="ar"/>
              </w:rPr>
            </w:pPr>
            <w:r>
              <w:rPr>
                <w:rFonts w:hint="eastAsia" w:ascii="微软雅黑" w:hAnsi="微软雅黑" w:eastAsia="微软雅黑" w:cs="微软雅黑"/>
                <w:i w:val="0"/>
                <w:iCs w:val="0"/>
                <w:caps w:val="0"/>
                <w:color w:val="060A26"/>
                <w:spacing w:val="0"/>
                <w:sz w:val="21"/>
                <w:szCs w:val="21"/>
                <w:lang w:val="en-US" w:eastAsia="zh-CN"/>
              </w:rPr>
              <w:t>服务器内存占用量状态监控;</w:t>
            </w:r>
            <w:r>
              <w:rPr>
                <w:rFonts w:hint="default" w:ascii="微软雅黑" w:hAnsi="微软雅黑" w:eastAsia="微软雅黑" w:cs="微软雅黑"/>
                <w:i w:val="0"/>
                <w:iCs w:val="0"/>
                <w:caps w:val="0"/>
                <w:color w:val="060A26"/>
                <w:spacing w:val="0"/>
                <w:sz w:val="21"/>
                <w:szCs w:val="21"/>
                <w:lang w:val="en-US" w:eastAsia="zh-CN"/>
              </w:rPr>
              <w:br w:type="textWrapping"/>
            </w:r>
            <w:r>
              <w:rPr>
                <w:rFonts w:hint="eastAsia" w:ascii="微软雅黑" w:hAnsi="微软雅黑" w:eastAsia="微软雅黑" w:cs="微软雅黑"/>
                <w:i w:val="0"/>
                <w:iCs w:val="0"/>
                <w:caps w:val="0"/>
                <w:color w:val="060A26"/>
                <w:spacing w:val="0"/>
                <w:sz w:val="21"/>
                <w:szCs w:val="21"/>
                <w:lang w:val="en-US" w:eastAsia="zh-CN"/>
              </w:rPr>
              <w:t>服务器系统盘容量监控及预警;</w:t>
            </w:r>
            <w:r>
              <w:rPr>
                <w:rFonts w:hint="default" w:ascii="微软雅黑" w:hAnsi="微软雅黑" w:eastAsia="微软雅黑" w:cs="微软雅黑"/>
                <w:i w:val="0"/>
                <w:iCs w:val="0"/>
                <w:caps w:val="0"/>
                <w:color w:val="060A26"/>
                <w:spacing w:val="0"/>
                <w:sz w:val="21"/>
                <w:szCs w:val="21"/>
                <w:lang w:val="en-US" w:eastAsia="zh-CN"/>
              </w:rPr>
              <w:br w:type="textWrapping"/>
            </w:r>
            <w:r>
              <w:rPr>
                <w:rFonts w:hint="eastAsia" w:ascii="微软雅黑" w:hAnsi="微软雅黑" w:eastAsia="微软雅黑" w:cs="微软雅黑"/>
                <w:i w:val="0"/>
                <w:iCs w:val="0"/>
                <w:caps w:val="0"/>
                <w:color w:val="060A26"/>
                <w:spacing w:val="0"/>
                <w:sz w:val="21"/>
                <w:szCs w:val="21"/>
                <w:lang w:val="en-US" w:eastAsia="zh-CN"/>
              </w:rPr>
              <w:t>服务器数据盘容量监控及预警;</w:t>
            </w:r>
            <w:r>
              <w:rPr>
                <w:rFonts w:hint="default" w:ascii="微软雅黑" w:hAnsi="微软雅黑" w:eastAsia="微软雅黑" w:cs="微软雅黑"/>
                <w:i w:val="0"/>
                <w:iCs w:val="0"/>
                <w:caps w:val="0"/>
                <w:color w:val="060A26"/>
                <w:spacing w:val="0"/>
                <w:sz w:val="21"/>
                <w:szCs w:val="21"/>
                <w:lang w:val="en-US" w:eastAsia="zh-CN"/>
              </w:rPr>
              <w:br w:type="textWrapping"/>
            </w:r>
            <w:r>
              <w:rPr>
                <w:rFonts w:hint="eastAsia" w:ascii="微软雅黑" w:hAnsi="微软雅黑" w:eastAsia="微软雅黑" w:cs="微软雅黑"/>
                <w:i w:val="0"/>
                <w:iCs w:val="0"/>
                <w:caps w:val="0"/>
                <w:color w:val="060A26"/>
                <w:spacing w:val="0"/>
                <w:sz w:val="21"/>
                <w:szCs w:val="21"/>
                <w:lang w:val="en-US" w:eastAsia="zh-CN"/>
              </w:rPr>
              <w:t>服务器系统日志管理、分析;</w:t>
            </w:r>
            <w:r>
              <w:rPr>
                <w:rFonts w:hint="default" w:ascii="微软雅黑" w:hAnsi="微软雅黑" w:eastAsia="微软雅黑" w:cs="微软雅黑"/>
                <w:i w:val="0"/>
                <w:iCs w:val="0"/>
                <w:caps w:val="0"/>
                <w:color w:val="060A26"/>
                <w:spacing w:val="0"/>
                <w:sz w:val="21"/>
                <w:szCs w:val="21"/>
                <w:lang w:val="en-US" w:eastAsia="zh-CN"/>
              </w:rPr>
              <w:br w:type="textWrapping"/>
            </w:r>
            <w:r>
              <w:rPr>
                <w:rFonts w:hint="eastAsia" w:ascii="微软雅黑" w:hAnsi="微软雅黑" w:eastAsia="微软雅黑" w:cs="微软雅黑"/>
                <w:i w:val="0"/>
                <w:iCs w:val="0"/>
                <w:caps w:val="0"/>
                <w:color w:val="060A26"/>
                <w:spacing w:val="0"/>
                <w:sz w:val="21"/>
                <w:szCs w:val="21"/>
                <w:lang w:val="en-US" w:eastAsia="zh-CN"/>
              </w:rPr>
              <w:t>服务器防火墙、病毒防范管理;</w:t>
            </w:r>
            <w:r>
              <w:rPr>
                <w:rFonts w:hint="default" w:ascii="微软雅黑" w:hAnsi="微软雅黑" w:eastAsia="微软雅黑" w:cs="微软雅黑"/>
                <w:i w:val="0"/>
                <w:iCs w:val="0"/>
                <w:caps w:val="0"/>
                <w:color w:val="060A26"/>
                <w:spacing w:val="0"/>
                <w:sz w:val="21"/>
                <w:szCs w:val="21"/>
                <w:lang w:val="en-US" w:eastAsia="zh-CN"/>
              </w:rPr>
              <w:br w:type="textWrapping"/>
            </w:r>
            <w:r>
              <w:rPr>
                <w:rFonts w:hint="eastAsia" w:ascii="微软雅黑" w:hAnsi="微软雅黑" w:eastAsia="微软雅黑" w:cs="微软雅黑"/>
                <w:i w:val="0"/>
                <w:iCs w:val="0"/>
                <w:caps w:val="0"/>
                <w:color w:val="060A26"/>
                <w:spacing w:val="0"/>
                <w:sz w:val="21"/>
                <w:szCs w:val="21"/>
                <w:lang w:val="en-US" w:eastAsia="zh-CN"/>
              </w:rPr>
              <w:t>服务器操作系统更新补丁安装及风险评估;</w:t>
            </w:r>
            <w:r>
              <w:rPr>
                <w:rFonts w:hint="default" w:ascii="微软雅黑" w:hAnsi="微软雅黑" w:eastAsia="微软雅黑" w:cs="微软雅黑"/>
                <w:i w:val="0"/>
                <w:iCs w:val="0"/>
                <w:caps w:val="0"/>
                <w:color w:val="060A26"/>
                <w:spacing w:val="0"/>
                <w:sz w:val="21"/>
                <w:szCs w:val="21"/>
                <w:lang w:val="en-US" w:eastAsia="zh-CN"/>
              </w:rPr>
              <w:br w:type="textWrapping"/>
            </w:r>
            <w:r>
              <w:rPr>
                <w:rFonts w:hint="eastAsia" w:ascii="微软雅黑" w:hAnsi="微软雅黑" w:eastAsia="微软雅黑" w:cs="微软雅黑"/>
                <w:i w:val="0"/>
                <w:iCs w:val="0"/>
                <w:caps w:val="0"/>
                <w:color w:val="060A26"/>
                <w:spacing w:val="0"/>
                <w:sz w:val="21"/>
                <w:szCs w:val="21"/>
                <w:lang w:val="en-US" w:eastAsia="zh-CN"/>
              </w:rPr>
              <w:t>服务器磁盘使用增量及可用空间状态监控:</w:t>
            </w:r>
          </w:p>
        </w:tc>
      </w:tr>
      <w:tr w14:paraId="4EB3DEBD">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493" w:hRule="atLeast"/>
          <w:jc w:val="center"/>
        </w:trPr>
        <w:tc>
          <w:tcPr>
            <w:tcW w:w="1293" w:type="dxa"/>
            <w:vMerge w:val="continue"/>
            <w:tcBorders>
              <w:left w:val="single" w:color="auto" w:sz="6" w:space="0"/>
              <w:right w:val="single" w:color="auto" w:sz="6" w:space="0"/>
            </w:tcBorders>
            <w:shd w:val="clear" w:color="auto" w:fill="FFFFFF"/>
            <w:tcMar>
              <w:top w:w="150" w:type="dxa"/>
              <w:left w:w="210" w:type="dxa"/>
              <w:bottom w:w="150" w:type="dxa"/>
              <w:right w:w="210" w:type="dxa"/>
            </w:tcMar>
            <w:vAlign w:val="center"/>
          </w:tcPr>
          <w:p w14:paraId="1552FC97">
            <w:pPr>
              <w:keepNext w:val="0"/>
              <w:keepLines w:val="0"/>
              <w:pageBreakBefore w:val="0"/>
              <w:widowControl/>
              <w:suppressLineNumbers w:val="0"/>
              <w:kinsoku/>
              <w:wordWrap w:val="0"/>
              <w:overflowPunct/>
              <w:topLinePunct w:val="0"/>
              <w:autoSpaceDE/>
              <w:autoSpaceDN/>
              <w:bidi w:val="0"/>
              <w:adjustRightInd w:val="0"/>
              <w:snapToGrid w:val="0"/>
              <w:spacing w:line="240" w:lineRule="auto"/>
              <w:ind w:left="0" w:leftChars="0" w:right="0" w:rightChars="0" w:firstLine="0" w:firstLineChars="0"/>
              <w:jc w:val="left"/>
              <w:textAlignment w:val="center"/>
              <w:rPr>
                <w:rFonts w:hint="eastAsia" w:ascii="微软雅黑" w:hAnsi="微软雅黑" w:eastAsia="微软雅黑" w:cs="微软雅黑"/>
                <w:b/>
                <w:bCs/>
                <w:i w:val="0"/>
                <w:iCs w:val="0"/>
                <w:caps w:val="0"/>
                <w:color w:val="060A26"/>
                <w:spacing w:val="0"/>
                <w:kern w:val="0"/>
                <w:sz w:val="21"/>
                <w:szCs w:val="21"/>
                <w:lang w:val="en-US" w:eastAsia="zh-CN" w:bidi="ar"/>
              </w:rPr>
            </w:pPr>
          </w:p>
        </w:tc>
        <w:tc>
          <w:tcPr>
            <w:tcW w:w="1580"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474B1974">
            <w:pPr>
              <w:keepNext w:val="0"/>
              <w:keepLines w:val="0"/>
              <w:pageBreakBefore w:val="0"/>
              <w:widowControl/>
              <w:suppressLineNumbers w:val="0"/>
              <w:kinsoku/>
              <w:wordWrap w:val="0"/>
              <w:overflowPunct/>
              <w:topLinePunct w:val="0"/>
              <w:autoSpaceDE/>
              <w:autoSpaceDN/>
              <w:bidi w:val="0"/>
              <w:adjustRightInd w:val="0"/>
              <w:snapToGrid w:val="0"/>
              <w:spacing w:line="240" w:lineRule="auto"/>
              <w:ind w:left="0" w:leftChars="0" w:right="0" w:rightChars="0" w:firstLine="0" w:firstLineChars="0"/>
              <w:jc w:val="left"/>
              <w:textAlignment w:val="center"/>
              <w:rPr>
                <w:rFonts w:hint="default" w:ascii="微软雅黑" w:hAnsi="微软雅黑" w:eastAsia="微软雅黑" w:cs="微软雅黑"/>
                <w:i w:val="0"/>
                <w:iCs w:val="0"/>
                <w:caps w:val="0"/>
                <w:color w:val="060A26"/>
                <w:spacing w:val="0"/>
                <w:kern w:val="0"/>
                <w:sz w:val="21"/>
                <w:szCs w:val="21"/>
                <w:lang w:val="en-US" w:eastAsia="zh-CN" w:bidi="ar"/>
              </w:rPr>
            </w:pPr>
            <w:r>
              <w:rPr>
                <w:rFonts w:hint="eastAsia" w:ascii="微软雅黑" w:hAnsi="微软雅黑" w:eastAsia="微软雅黑" w:cs="微软雅黑"/>
                <w:i w:val="0"/>
                <w:iCs w:val="0"/>
                <w:caps w:val="0"/>
                <w:color w:val="060A26"/>
                <w:spacing w:val="0"/>
                <w:kern w:val="0"/>
                <w:sz w:val="21"/>
                <w:szCs w:val="21"/>
                <w:lang w:val="en-US" w:eastAsia="zh-CN" w:bidi="ar"/>
              </w:rPr>
              <w:t>1.3技术支持</w:t>
            </w:r>
          </w:p>
        </w:tc>
        <w:tc>
          <w:tcPr>
            <w:tcW w:w="6686"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4E031A4C">
            <w:pPr>
              <w:keepNext w:val="0"/>
              <w:keepLines w:val="0"/>
              <w:pageBreakBefore w:val="0"/>
              <w:widowControl/>
              <w:suppressLineNumbers w:val="0"/>
              <w:kinsoku/>
              <w:wordWrap w:val="0"/>
              <w:overflowPunct/>
              <w:topLinePunct w:val="0"/>
              <w:autoSpaceDE/>
              <w:autoSpaceDN/>
              <w:bidi w:val="0"/>
              <w:adjustRightInd w:val="0"/>
              <w:snapToGrid w:val="0"/>
              <w:spacing w:line="240" w:lineRule="auto"/>
              <w:ind w:left="0" w:leftChars="0" w:right="0" w:rightChars="0" w:firstLine="0" w:firstLineChars="0"/>
              <w:jc w:val="left"/>
              <w:textAlignment w:val="center"/>
              <w:rPr>
                <w:rFonts w:hint="default" w:ascii="微软雅黑" w:hAnsi="微软雅黑" w:eastAsia="微软雅黑" w:cs="微软雅黑"/>
                <w:i w:val="0"/>
                <w:iCs w:val="0"/>
                <w:caps w:val="0"/>
                <w:color w:val="060A26"/>
                <w:spacing w:val="0"/>
                <w:sz w:val="21"/>
                <w:szCs w:val="21"/>
                <w:lang w:val="en-US" w:eastAsia="zh-CN"/>
              </w:rPr>
            </w:pPr>
            <w:r>
              <w:rPr>
                <w:rFonts w:hint="default" w:ascii="微软雅黑" w:hAnsi="微软雅黑" w:eastAsia="微软雅黑" w:cs="微软雅黑"/>
                <w:i w:val="0"/>
                <w:iCs w:val="0"/>
                <w:caps w:val="0"/>
                <w:color w:val="060A26"/>
                <w:spacing w:val="0"/>
                <w:sz w:val="21"/>
                <w:szCs w:val="21"/>
                <w:lang w:val="en-US" w:eastAsia="zh-CN"/>
              </w:rPr>
              <w:t>乙方需安排具有三年以上 Vue、Node.js 开发经验的工程师</w:t>
            </w:r>
            <w:r>
              <w:rPr>
                <w:rFonts w:hint="eastAsia" w:ascii="微软雅黑" w:hAnsi="微软雅黑" w:eastAsia="微软雅黑" w:cs="微软雅黑"/>
                <w:i w:val="0"/>
                <w:iCs w:val="0"/>
                <w:caps w:val="0"/>
                <w:color w:val="060A26"/>
                <w:spacing w:val="0"/>
                <w:sz w:val="21"/>
                <w:szCs w:val="21"/>
                <w:lang w:val="en-US" w:eastAsia="zh-CN"/>
              </w:rPr>
              <w:t>（可采用多人员配置）</w:t>
            </w:r>
            <w:r>
              <w:rPr>
                <w:rFonts w:hint="default" w:ascii="微软雅黑" w:hAnsi="微软雅黑" w:eastAsia="微软雅黑" w:cs="微软雅黑"/>
                <w:i w:val="0"/>
                <w:iCs w:val="0"/>
                <w:caps w:val="0"/>
                <w:color w:val="060A26"/>
                <w:spacing w:val="0"/>
                <w:sz w:val="21"/>
                <w:szCs w:val="21"/>
                <w:lang w:val="en-US" w:eastAsia="zh-CN"/>
              </w:rPr>
              <w:t>，负责系统运维保障、需求开发及缺陷（Bug）处理等相关工作。</w:t>
            </w:r>
          </w:p>
        </w:tc>
      </w:tr>
      <w:tr w14:paraId="093C19A8">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272" w:hRule="atLeast"/>
          <w:jc w:val="center"/>
        </w:trPr>
        <w:tc>
          <w:tcPr>
            <w:tcW w:w="1293" w:type="dxa"/>
            <w:vMerge w:val="continue"/>
            <w:tcBorders>
              <w:left w:val="single" w:color="auto" w:sz="6" w:space="0"/>
              <w:right w:val="single" w:color="auto" w:sz="6" w:space="0"/>
            </w:tcBorders>
            <w:shd w:val="clear" w:color="auto" w:fill="FFFFFF"/>
            <w:tcMar>
              <w:top w:w="150" w:type="dxa"/>
              <w:left w:w="210" w:type="dxa"/>
              <w:bottom w:w="150" w:type="dxa"/>
              <w:right w:w="210" w:type="dxa"/>
            </w:tcMar>
            <w:vAlign w:val="center"/>
          </w:tcPr>
          <w:p w14:paraId="1213B85D">
            <w:pPr>
              <w:keepNext w:val="0"/>
              <w:keepLines w:val="0"/>
              <w:pageBreakBefore w:val="0"/>
              <w:kinsoku/>
              <w:overflowPunct/>
              <w:topLinePunct w:val="0"/>
              <w:autoSpaceDE/>
              <w:autoSpaceDN/>
              <w:bidi w:val="0"/>
              <w:adjustRightInd w:val="0"/>
              <w:snapToGrid w:val="0"/>
              <w:spacing w:line="240" w:lineRule="auto"/>
              <w:ind w:left="0" w:leftChars="0" w:right="0" w:rightChars="0" w:firstLine="0" w:firstLineChars="0"/>
              <w:jc w:val="left"/>
              <w:rPr>
                <w:rFonts w:hint="eastAsia" w:ascii="微软雅黑" w:hAnsi="微软雅黑" w:eastAsia="微软雅黑" w:cs="微软雅黑"/>
                <w:i w:val="0"/>
                <w:iCs w:val="0"/>
                <w:caps w:val="0"/>
                <w:color w:val="060A26"/>
                <w:spacing w:val="0"/>
                <w:sz w:val="21"/>
                <w:szCs w:val="21"/>
              </w:rPr>
            </w:pPr>
          </w:p>
        </w:tc>
        <w:tc>
          <w:tcPr>
            <w:tcW w:w="1580"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5740A311">
            <w:pPr>
              <w:keepNext w:val="0"/>
              <w:keepLines w:val="0"/>
              <w:pageBreakBefore w:val="0"/>
              <w:widowControl/>
              <w:suppressLineNumbers w:val="0"/>
              <w:kinsoku/>
              <w:wordWrap w:val="0"/>
              <w:overflowPunct/>
              <w:topLinePunct w:val="0"/>
              <w:autoSpaceDE/>
              <w:autoSpaceDN/>
              <w:bidi w:val="0"/>
              <w:adjustRightInd w:val="0"/>
              <w:snapToGrid w:val="0"/>
              <w:spacing w:line="240" w:lineRule="auto"/>
              <w:ind w:left="0" w:leftChars="0" w:right="0" w:rightChars="0" w:firstLine="0" w:firstLineChars="0"/>
              <w:jc w:val="left"/>
              <w:textAlignment w:val="center"/>
              <w:rPr>
                <w:rFonts w:hint="default" w:ascii="微软雅黑" w:hAnsi="微软雅黑" w:eastAsia="微软雅黑" w:cs="微软雅黑"/>
                <w:i w:val="0"/>
                <w:iCs w:val="0"/>
                <w:caps w:val="0"/>
                <w:color w:val="060A26"/>
                <w:spacing w:val="0"/>
                <w:sz w:val="21"/>
                <w:szCs w:val="21"/>
                <w:lang w:val="en-US"/>
              </w:rPr>
            </w:pPr>
            <w:r>
              <w:rPr>
                <w:rFonts w:hint="eastAsia" w:ascii="微软雅黑" w:hAnsi="微软雅黑" w:eastAsia="微软雅黑" w:cs="微软雅黑"/>
                <w:i w:val="0"/>
                <w:iCs w:val="0"/>
                <w:caps w:val="0"/>
                <w:color w:val="060A26"/>
                <w:spacing w:val="0"/>
                <w:kern w:val="0"/>
                <w:sz w:val="21"/>
                <w:szCs w:val="21"/>
                <w:lang w:val="en-US" w:eastAsia="zh-CN" w:bidi="ar"/>
              </w:rPr>
              <w:t>2</w:t>
            </w:r>
          </w:p>
        </w:tc>
        <w:tc>
          <w:tcPr>
            <w:tcW w:w="6686"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669E82B3">
            <w:pPr>
              <w:keepNext w:val="0"/>
              <w:keepLines w:val="0"/>
              <w:pageBreakBefore w:val="0"/>
              <w:widowControl/>
              <w:suppressLineNumbers w:val="0"/>
              <w:kinsoku/>
              <w:wordWrap w:val="0"/>
              <w:overflowPunct/>
              <w:topLinePunct w:val="0"/>
              <w:autoSpaceDE/>
              <w:autoSpaceDN/>
              <w:bidi w:val="0"/>
              <w:adjustRightInd w:val="0"/>
              <w:snapToGrid w:val="0"/>
              <w:spacing w:line="240" w:lineRule="auto"/>
              <w:ind w:left="0" w:leftChars="0" w:right="0" w:rightChars="0" w:firstLine="0" w:firstLineChars="0"/>
              <w:jc w:val="left"/>
              <w:textAlignment w:val="center"/>
              <w:rPr>
                <w:rFonts w:hint="default" w:ascii="微软雅黑" w:hAnsi="微软雅黑" w:eastAsia="微软雅黑" w:cs="微软雅黑"/>
                <w:i w:val="0"/>
                <w:iCs w:val="0"/>
                <w:caps w:val="0"/>
                <w:color w:val="060A26"/>
                <w:spacing w:val="0"/>
                <w:sz w:val="21"/>
                <w:szCs w:val="21"/>
                <w:lang w:val="en-US" w:eastAsia="zh-CN"/>
              </w:rPr>
            </w:pPr>
            <w:r>
              <w:rPr>
                <w:rFonts w:hint="eastAsia" w:ascii="微软雅黑" w:hAnsi="微软雅黑" w:eastAsia="微软雅黑" w:cs="微软雅黑"/>
                <w:b/>
                <w:bCs/>
                <w:i w:val="0"/>
                <w:iCs w:val="0"/>
                <w:caps w:val="0"/>
                <w:color w:val="060A26"/>
                <w:spacing w:val="0"/>
                <w:kern w:val="0"/>
                <w:sz w:val="21"/>
                <w:szCs w:val="21"/>
                <w:lang w:val="en-US" w:eastAsia="zh-CN" w:bidi="ar"/>
              </w:rPr>
              <w:t>对接需求</w:t>
            </w:r>
          </w:p>
        </w:tc>
      </w:tr>
      <w:tr w14:paraId="4BA1755E">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493" w:hRule="atLeast"/>
          <w:jc w:val="center"/>
        </w:trPr>
        <w:tc>
          <w:tcPr>
            <w:tcW w:w="1293" w:type="dxa"/>
            <w:vMerge w:val="continue"/>
            <w:tcBorders>
              <w:left w:val="single" w:color="auto" w:sz="6" w:space="0"/>
              <w:right w:val="single" w:color="auto" w:sz="6" w:space="0"/>
            </w:tcBorders>
            <w:shd w:val="clear" w:color="auto" w:fill="FFFFFF"/>
            <w:tcMar>
              <w:top w:w="150" w:type="dxa"/>
              <w:left w:w="210" w:type="dxa"/>
              <w:bottom w:w="150" w:type="dxa"/>
              <w:right w:w="210" w:type="dxa"/>
            </w:tcMar>
            <w:vAlign w:val="center"/>
          </w:tcPr>
          <w:p w14:paraId="2BBE6B8E">
            <w:pPr>
              <w:keepNext w:val="0"/>
              <w:keepLines w:val="0"/>
              <w:pageBreakBefore w:val="0"/>
              <w:kinsoku/>
              <w:overflowPunct/>
              <w:topLinePunct w:val="0"/>
              <w:autoSpaceDE/>
              <w:autoSpaceDN/>
              <w:bidi w:val="0"/>
              <w:adjustRightInd w:val="0"/>
              <w:snapToGrid w:val="0"/>
              <w:spacing w:line="240" w:lineRule="auto"/>
              <w:ind w:left="0" w:leftChars="0" w:right="0" w:rightChars="0" w:firstLine="0" w:firstLineChars="0"/>
              <w:jc w:val="left"/>
              <w:rPr>
                <w:rFonts w:hint="eastAsia" w:ascii="微软雅黑" w:hAnsi="微软雅黑" w:eastAsia="微软雅黑" w:cs="微软雅黑"/>
                <w:i w:val="0"/>
                <w:iCs w:val="0"/>
                <w:caps w:val="0"/>
                <w:color w:val="060A26"/>
                <w:spacing w:val="0"/>
                <w:sz w:val="21"/>
                <w:szCs w:val="21"/>
              </w:rPr>
            </w:pPr>
          </w:p>
        </w:tc>
        <w:tc>
          <w:tcPr>
            <w:tcW w:w="1580"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3238AFEB">
            <w:pPr>
              <w:keepNext w:val="0"/>
              <w:keepLines w:val="0"/>
              <w:pageBreakBefore w:val="0"/>
              <w:widowControl/>
              <w:suppressLineNumbers w:val="0"/>
              <w:kinsoku/>
              <w:wordWrap w:val="0"/>
              <w:overflowPunct/>
              <w:topLinePunct w:val="0"/>
              <w:autoSpaceDE/>
              <w:autoSpaceDN/>
              <w:bidi w:val="0"/>
              <w:adjustRightInd w:val="0"/>
              <w:snapToGrid w:val="0"/>
              <w:spacing w:line="240" w:lineRule="auto"/>
              <w:ind w:left="0" w:leftChars="0" w:right="0" w:rightChars="0" w:firstLine="0" w:firstLineChars="0"/>
              <w:jc w:val="left"/>
              <w:textAlignment w:val="center"/>
              <w:rPr>
                <w:rFonts w:hint="default" w:ascii="微软雅黑" w:hAnsi="微软雅黑" w:eastAsia="微软雅黑" w:cs="微软雅黑"/>
                <w:i w:val="0"/>
                <w:iCs w:val="0"/>
                <w:caps w:val="0"/>
                <w:color w:val="060A26"/>
                <w:spacing w:val="0"/>
                <w:kern w:val="0"/>
                <w:sz w:val="21"/>
                <w:szCs w:val="21"/>
                <w:lang w:val="en-US" w:eastAsia="zh-CN" w:bidi="ar"/>
              </w:rPr>
            </w:pPr>
            <w:r>
              <w:rPr>
                <w:rFonts w:hint="eastAsia" w:ascii="微软雅黑" w:hAnsi="微软雅黑" w:eastAsia="微软雅黑" w:cs="微软雅黑"/>
                <w:i w:val="0"/>
                <w:iCs w:val="0"/>
                <w:caps w:val="0"/>
                <w:color w:val="060A26"/>
                <w:spacing w:val="0"/>
                <w:kern w:val="0"/>
                <w:sz w:val="21"/>
                <w:szCs w:val="21"/>
                <w:lang w:val="en-US" w:eastAsia="zh-CN" w:bidi="ar"/>
              </w:rPr>
              <w:t>2.1预约挂号</w:t>
            </w:r>
          </w:p>
        </w:tc>
        <w:tc>
          <w:tcPr>
            <w:tcW w:w="6686"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6672D19E">
            <w:pPr>
              <w:keepNext w:val="0"/>
              <w:keepLines w:val="0"/>
              <w:pageBreakBefore w:val="0"/>
              <w:widowControl/>
              <w:suppressLineNumbers w:val="0"/>
              <w:kinsoku/>
              <w:wordWrap w:val="0"/>
              <w:overflowPunct/>
              <w:topLinePunct w:val="0"/>
              <w:autoSpaceDE/>
              <w:autoSpaceDN/>
              <w:bidi w:val="0"/>
              <w:adjustRightInd w:val="0"/>
              <w:snapToGrid w:val="0"/>
              <w:spacing w:line="240" w:lineRule="auto"/>
              <w:ind w:left="0" w:leftChars="0" w:right="0" w:rightChars="0" w:firstLine="0" w:firstLineChars="0"/>
              <w:jc w:val="left"/>
              <w:textAlignment w:val="center"/>
              <w:rPr>
                <w:rFonts w:hint="default" w:ascii="微软雅黑" w:hAnsi="微软雅黑" w:eastAsia="微软雅黑" w:cs="微软雅黑"/>
                <w:i w:val="0"/>
                <w:iCs w:val="0"/>
                <w:caps w:val="0"/>
                <w:color w:val="060A26"/>
                <w:spacing w:val="0"/>
                <w:kern w:val="0"/>
                <w:sz w:val="21"/>
                <w:szCs w:val="21"/>
                <w:lang w:val="en-US" w:eastAsia="zh-CN" w:bidi="ar"/>
              </w:rPr>
            </w:pPr>
            <w:r>
              <w:rPr>
                <w:rFonts w:hint="eastAsia" w:ascii="微软雅黑" w:hAnsi="微软雅黑" w:eastAsia="微软雅黑" w:cs="微软雅黑"/>
                <w:i w:val="0"/>
                <w:iCs w:val="0"/>
                <w:caps w:val="0"/>
                <w:color w:val="060A26"/>
                <w:spacing w:val="0"/>
                <w:kern w:val="0"/>
                <w:sz w:val="21"/>
                <w:szCs w:val="21"/>
                <w:lang w:val="en-US" w:eastAsia="zh-CN" w:bidi="ar"/>
              </w:rPr>
              <w:t>✓ 需配合HIS系统改造</w:t>
            </w:r>
            <w:r>
              <w:rPr>
                <w:rFonts w:hint="default" w:ascii="微软雅黑" w:hAnsi="微软雅黑" w:eastAsia="微软雅黑" w:cs="微软雅黑"/>
                <w:i w:val="0"/>
                <w:iCs w:val="0"/>
                <w:caps w:val="0"/>
                <w:color w:val="060A26"/>
                <w:spacing w:val="0"/>
                <w:kern w:val="0"/>
                <w:sz w:val="21"/>
                <w:szCs w:val="21"/>
                <w:lang w:val="en-US" w:eastAsia="zh-CN" w:bidi="ar"/>
              </w:rPr>
              <w:t>，</w:t>
            </w:r>
            <w:r>
              <w:rPr>
                <w:rFonts w:hint="eastAsia" w:ascii="微软雅黑" w:hAnsi="微软雅黑" w:eastAsia="微软雅黑" w:cs="微软雅黑"/>
                <w:i w:val="0"/>
                <w:iCs w:val="0"/>
                <w:caps w:val="0"/>
                <w:color w:val="060A26"/>
                <w:spacing w:val="0"/>
                <w:kern w:val="0"/>
                <w:sz w:val="21"/>
                <w:szCs w:val="21"/>
                <w:lang w:val="en-US" w:eastAsia="zh-CN" w:bidi="ar"/>
              </w:rPr>
              <w:t>同步</w:t>
            </w:r>
            <w:r>
              <w:rPr>
                <w:rFonts w:hint="default" w:ascii="微软雅黑" w:hAnsi="微软雅黑" w:eastAsia="微软雅黑" w:cs="微软雅黑"/>
                <w:i w:val="0"/>
                <w:iCs w:val="0"/>
                <w:caps w:val="0"/>
                <w:color w:val="060A26"/>
                <w:spacing w:val="0"/>
                <w:kern w:val="0"/>
                <w:sz w:val="21"/>
                <w:szCs w:val="21"/>
                <w:lang w:val="en-US" w:eastAsia="zh-CN" w:bidi="ar"/>
              </w:rPr>
              <w:t>完成预约挂号相关数据的对接与改造工作。</w:t>
            </w:r>
          </w:p>
          <w:p w14:paraId="79AABBAD">
            <w:pPr>
              <w:keepNext w:val="0"/>
              <w:keepLines w:val="0"/>
              <w:pageBreakBefore w:val="0"/>
              <w:widowControl/>
              <w:suppressLineNumbers w:val="0"/>
              <w:kinsoku/>
              <w:wordWrap w:val="0"/>
              <w:overflowPunct/>
              <w:topLinePunct w:val="0"/>
              <w:autoSpaceDE/>
              <w:autoSpaceDN/>
              <w:bidi w:val="0"/>
              <w:adjustRightInd w:val="0"/>
              <w:snapToGrid w:val="0"/>
              <w:spacing w:line="240" w:lineRule="auto"/>
              <w:ind w:left="0" w:leftChars="0" w:right="0" w:rightChars="0" w:firstLine="0" w:firstLineChars="0"/>
              <w:jc w:val="left"/>
              <w:textAlignment w:val="center"/>
              <w:rPr>
                <w:rFonts w:hint="default" w:ascii="微软雅黑" w:hAnsi="微软雅黑" w:eastAsia="微软雅黑" w:cs="微软雅黑"/>
                <w:i w:val="0"/>
                <w:iCs w:val="0"/>
                <w:caps w:val="0"/>
                <w:color w:val="060A26"/>
                <w:spacing w:val="0"/>
                <w:kern w:val="0"/>
                <w:sz w:val="21"/>
                <w:szCs w:val="21"/>
                <w:lang w:val="en-US" w:eastAsia="zh-CN" w:bidi="ar"/>
              </w:rPr>
            </w:pPr>
            <w:r>
              <w:rPr>
                <w:rFonts w:hint="eastAsia" w:ascii="微软雅黑" w:hAnsi="微软雅黑" w:eastAsia="微软雅黑" w:cs="微软雅黑"/>
                <w:i w:val="0"/>
                <w:iCs w:val="0"/>
                <w:caps w:val="0"/>
                <w:color w:val="060A26"/>
                <w:spacing w:val="0"/>
                <w:kern w:val="0"/>
                <w:sz w:val="21"/>
                <w:szCs w:val="21"/>
                <w:lang w:val="en-US" w:eastAsia="zh-CN" w:bidi="ar"/>
              </w:rPr>
              <w:t>✓ 与预约分诊系统对接，新增号源候补功能</w:t>
            </w:r>
          </w:p>
        </w:tc>
      </w:tr>
      <w:tr w14:paraId="57D6CEA5">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383" w:hRule="atLeast"/>
          <w:jc w:val="center"/>
        </w:trPr>
        <w:tc>
          <w:tcPr>
            <w:tcW w:w="1293" w:type="dxa"/>
            <w:vMerge w:val="continue"/>
            <w:tcBorders>
              <w:left w:val="single" w:color="auto" w:sz="6" w:space="0"/>
              <w:right w:val="single" w:color="auto" w:sz="6" w:space="0"/>
            </w:tcBorders>
            <w:shd w:val="clear" w:color="auto" w:fill="FFFFFF"/>
            <w:tcMar>
              <w:top w:w="150" w:type="dxa"/>
              <w:left w:w="210" w:type="dxa"/>
              <w:bottom w:w="150" w:type="dxa"/>
              <w:right w:w="210" w:type="dxa"/>
            </w:tcMar>
            <w:vAlign w:val="center"/>
          </w:tcPr>
          <w:p w14:paraId="370495A2">
            <w:pPr>
              <w:keepNext w:val="0"/>
              <w:keepLines w:val="0"/>
              <w:pageBreakBefore w:val="0"/>
              <w:kinsoku/>
              <w:overflowPunct/>
              <w:topLinePunct w:val="0"/>
              <w:autoSpaceDE/>
              <w:autoSpaceDN/>
              <w:bidi w:val="0"/>
              <w:adjustRightInd w:val="0"/>
              <w:snapToGrid w:val="0"/>
              <w:spacing w:line="240" w:lineRule="auto"/>
              <w:ind w:left="0" w:leftChars="0" w:right="0" w:rightChars="0" w:firstLine="0" w:firstLineChars="0"/>
              <w:jc w:val="left"/>
              <w:rPr>
                <w:rFonts w:hint="eastAsia" w:ascii="微软雅黑" w:hAnsi="微软雅黑" w:eastAsia="微软雅黑" w:cs="微软雅黑"/>
                <w:i w:val="0"/>
                <w:iCs w:val="0"/>
                <w:caps w:val="0"/>
                <w:color w:val="060A26"/>
                <w:spacing w:val="0"/>
                <w:sz w:val="21"/>
                <w:szCs w:val="21"/>
              </w:rPr>
            </w:pPr>
          </w:p>
        </w:tc>
        <w:tc>
          <w:tcPr>
            <w:tcW w:w="1580"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74CD4AC4">
            <w:pPr>
              <w:keepNext w:val="0"/>
              <w:keepLines w:val="0"/>
              <w:pageBreakBefore w:val="0"/>
              <w:widowControl/>
              <w:suppressLineNumbers w:val="0"/>
              <w:kinsoku/>
              <w:wordWrap w:val="0"/>
              <w:overflowPunct/>
              <w:topLinePunct w:val="0"/>
              <w:autoSpaceDE/>
              <w:autoSpaceDN/>
              <w:bidi w:val="0"/>
              <w:adjustRightInd w:val="0"/>
              <w:snapToGrid w:val="0"/>
              <w:spacing w:line="240" w:lineRule="auto"/>
              <w:ind w:left="0" w:leftChars="0" w:right="0" w:rightChars="0" w:firstLine="0" w:firstLineChars="0"/>
              <w:jc w:val="left"/>
              <w:textAlignment w:val="center"/>
              <w:rPr>
                <w:rFonts w:hint="default" w:ascii="微软雅黑" w:hAnsi="微软雅黑" w:eastAsia="微软雅黑" w:cs="微软雅黑"/>
                <w:i w:val="0"/>
                <w:iCs w:val="0"/>
                <w:caps w:val="0"/>
                <w:color w:val="060A26"/>
                <w:spacing w:val="0"/>
                <w:kern w:val="0"/>
                <w:sz w:val="21"/>
                <w:szCs w:val="21"/>
                <w:lang w:val="en-US" w:eastAsia="zh-CN" w:bidi="ar"/>
              </w:rPr>
            </w:pPr>
            <w:r>
              <w:rPr>
                <w:rFonts w:hint="eastAsia" w:ascii="微软雅黑" w:hAnsi="微软雅黑" w:eastAsia="微软雅黑" w:cs="微软雅黑"/>
                <w:i w:val="0"/>
                <w:iCs w:val="0"/>
                <w:caps w:val="0"/>
                <w:color w:val="060A26"/>
                <w:spacing w:val="0"/>
                <w:kern w:val="0"/>
                <w:sz w:val="21"/>
                <w:szCs w:val="21"/>
                <w:lang w:val="en-US" w:eastAsia="zh-CN" w:bidi="ar"/>
              </w:rPr>
              <w:t>2.2建档与就诊人管理</w:t>
            </w:r>
          </w:p>
        </w:tc>
        <w:tc>
          <w:tcPr>
            <w:tcW w:w="6686"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0B875339">
            <w:pPr>
              <w:keepNext w:val="0"/>
              <w:keepLines w:val="0"/>
              <w:pageBreakBefore w:val="0"/>
              <w:widowControl/>
              <w:suppressLineNumbers w:val="0"/>
              <w:kinsoku/>
              <w:wordWrap w:val="0"/>
              <w:overflowPunct/>
              <w:topLinePunct w:val="0"/>
              <w:autoSpaceDE/>
              <w:autoSpaceDN/>
              <w:bidi w:val="0"/>
              <w:adjustRightInd w:val="0"/>
              <w:snapToGrid w:val="0"/>
              <w:spacing w:line="240" w:lineRule="auto"/>
              <w:ind w:left="0" w:leftChars="0" w:right="0" w:rightChars="0" w:firstLine="0" w:firstLineChars="0"/>
              <w:jc w:val="left"/>
              <w:textAlignment w:val="center"/>
              <w:rPr>
                <w:rFonts w:hint="default" w:ascii="微软雅黑" w:hAnsi="微软雅黑" w:eastAsia="微软雅黑" w:cs="微软雅黑"/>
                <w:i w:val="0"/>
                <w:iCs w:val="0"/>
                <w:caps w:val="0"/>
                <w:color w:val="060A26"/>
                <w:spacing w:val="0"/>
                <w:kern w:val="0"/>
                <w:sz w:val="21"/>
                <w:szCs w:val="21"/>
                <w:lang w:val="en-US" w:eastAsia="zh-CN" w:bidi="ar"/>
              </w:rPr>
            </w:pPr>
            <w:r>
              <w:rPr>
                <w:rFonts w:hint="eastAsia" w:ascii="微软雅黑" w:hAnsi="微软雅黑" w:eastAsia="微软雅黑" w:cs="微软雅黑"/>
                <w:i w:val="0"/>
                <w:iCs w:val="0"/>
                <w:caps w:val="0"/>
                <w:color w:val="060A26"/>
                <w:spacing w:val="0"/>
                <w:kern w:val="0"/>
                <w:sz w:val="21"/>
                <w:szCs w:val="21"/>
                <w:lang w:val="en-US" w:eastAsia="zh-CN" w:bidi="ar"/>
              </w:rPr>
              <w:t>✓ 需配合HIS系统改造，同步</w:t>
            </w:r>
            <w:r>
              <w:rPr>
                <w:rFonts w:hint="default" w:ascii="微软雅黑" w:hAnsi="微软雅黑" w:eastAsia="微软雅黑" w:cs="微软雅黑"/>
                <w:i w:val="0"/>
                <w:iCs w:val="0"/>
                <w:caps w:val="0"/>
                <w:color w:val="060A26"/>
                <w:spacing w:val="0"/>
                <w:kern w:val="0"/>
                <w:sz w:val="21"/>
                <w:szCs w:val="21"/>
                <w:lang w:val="en-US" w:eastAsia="zh-CN" w:bidi="ar"/>
              </w:rPr>
              <w:t>完成</w:t>
            </w:r>
            <w:r>
              <w:rPr>
                <w:rFonts w:hint="eastAsia" w:ascii="微软雅黑" w:hAnsi="微软雅黑" w:eastAsia="微软雅黑" w:cs="微软雅黑"/>
                <w:i w:val="0"/>
                <w:iCs w:val="0"/>
                <w:caps w:val="0"/>
                <w:color w:val="060A26"/>
                <w:spacing w:val="0"/>
                <w:kern w:val="0"/>
                <w:sz w:val="21"/>
                <w:szCs w:val="21"/>
                <w:lang w:val="en-US" w:eastAsia="zh-CN" w:bidi="ar"/>
              </w:rPr>
              <w:t>建档与就诊人管理模块的功能改造。</w:t>
            </w:r>
          </w:p>
        </w:tc>
      </w:tr>
      <w:tr w14:paraId="15D8F340">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389" w:hRule="atLeast"/>
          <w:jc w:val="center"/>
        </w:trPr>
        <w:tc>
          <w:tcPr>
            <w:tcW w:w="1293" w:type="dxa"/>
            <w:vMerge w:val="continue"/>
            <w:tcBorders>
              <w:left w:val="single" w:color="auto" w:sz="6" w:space="0"/>
              <w:right w:val="single" w:color="auto" w:sz="6" w:space="0"/>
            </w:tcBorders>
            <w:shd w:val="clear" w:color="auto" w:fill="FFFFFF"/>
            <w:tcMar>
              <w:top w:w="150" w:type="dxa"/>
              <w:left w:w="210" w:type="dxa"/>
              <w:bottom w:w="150" w:type="dxa"/>
              <w:right w:w="210" w:type="dxa"/>
            </w:tcMar>
            <w:vAlign w:val="center"/>
          </w:tcPr>
          <w:p w14:paraId="1E2766E3">
            <w:pPr>
              <w:keepNext w:val="0"/>
              <w:keepLines w:val="0"/>
              <w:pageBreakBefore w:val="0"/>
              <w:kinsoku/>
              <w:overflowPunct/>
              <w:topLinePunct w:val="0"/>
              <w:autoSpaceDE/>
              <w:autoSpaceDN/>
              <w:bidi w:val="0"/>
              <w:adjustRightInd w:val="0"/>
              <w:snapToGrid w:val="0"/>
              <w:spacing w:line="240" w:lineRule="auto"/>
              <w:ind w:left="0" w:leftChars="0" w:right="0" w:rightChars="0" w:firstLine="0" w:firstLineChars="0"/>
              <w:jc w:val="left"/>
              <w:rPr>
                <w:rFonts w:hint="eastAsia" w:ascii="微软雅黑" w:hAnsi="微软雅黑" w:eastAsia="微软雅黑" w:cs="微软雅黑"/>
                <w:i w:val="0"/>
                <w:iCs w:val="0"/>
                <w:caps w:val="0"/>
                <w:color w:val="060A26"/>
                <w:spacing w:val="0"/>
                <w:sz w:val="21"/>
                <w:szCs w:val="21"/>
              </w:rPr>
            </w:pPr>
          </w:p>
        </w:tc>
        <w:tc>
          <w:tcPr>
            <w:tcW w:w="1580"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2AA17EAE">
            <w:pPr>
              <w:keepNext w:val="0"/>
              <w:keepLines w:val="0"/>
              <w:pageBreakBefore w:val="0"/>
              <w:widowControl/>
              <w:suppressLineNumbers w:val="0"/>
              <w:kinsoku/>
              <w:wordWrap w:val="0"/>
              <w:overflowPunct/>
              <w:topLinePunct w:val="0"/>
              <w:autoSpaceDE/>
              <w:autoSpaceDN/>
              <w:bidi w:val="0"/>
              <w:adjustRightInd w:val="0"/>
              <w:snapToGrid w:val="0"/>
              <w:spacing w:line="240" w:lineRule="auto"/>
              <w:ind w:left="0" w:leftChars="0" w:right="0" w:rightChars="0" w:firstLine="0" w:firstLineChars="0"/>
              <w:jc w:val="left"/>
              <w:textAlignment w:val="center"/>
              <w:rPr>
                <w:rFonts w:hint="default" w:ascii="微软雅黑" w:hAnsi="微软雅黑" w:eastAsia="微软雅黑" w:cs="微软雅黑"/>
                <w:i w:val="0"/>
                <w:iCs w:val="0"/>
                <w:caps w:val="0"/>
                <w:color w:val="060A26"/>
                <w:spacing w:val="0"/>
                <w:kern w:val="0"/>
                <w:sz w:val="21"/>
                <w:szCs w:val="21"/>
                <w:lang w:val="en-US" w:eastAsia="zh-CN" w:bidi="ar"/>
              </w:rPr>
            </w:pPr>
            <w:r>
              <w:rPr>
                <w:rFonts w:hint="eastAsia" w:ascii="微软雅黑" w:hAnsi="微软雅黑" w:eastAsia="微软雅黑" w:cs="微软雅黑"/>
                <w:i w:val="0"/>
                <w:iCs w:val="0"/>
                <w:caps w:val="0"/>
                <w:color w:val="060A26"/>
                <w:spacing w:val="0"/>
                <w:kern w:val="0"/>
                <w:sz w:val="21"/>
                <w:szCs w:val="21"/>
                <w:lang w:val="en-US" w:eastAsia="zh-CN" w:bidi="ar"/>
              </w:rPr>
              <w:t>2.3支付管理</w:t>
            </w:r>
          </w:p>
        </w:tc>
        <w:tc>
          <w:tcPr>
            <w:tcW w:w="6686"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0EEDAD73">
            <w:pPr>
              <w:keepNext w:val="0"/>
              <w:keepLines w:val="0"/>
              <w:pageBreakBefore w:val="0"/>
              <w:widowControl/>
              <w:suppressLineNumbers w:val="0"/>
              <w:kinsoku/>
              <w:wordWrap w:val="0"/>
              <w:overflowPunct/>
              <w:topLinePunct w:val="0"/>
              <w:autoSpaceDE/>
              <w:autoSpaceDN/>
              <w:bidi w:val="0"/>
              <w:adjustRightInd w:val="0"/>
              <w:snapToGrid w:val="0"/>
              <w:spacing w:line="240" w:lineRule="auto"/>
              <w:ind w:left="0" w:leftChars="0" w:right="0" w:rightChars="0" w:firstLine="0" w:firstLineChars="0"/>
              <w:jc w:val="left"/>
              <w:textAlignment w:val="center"/>
              <w:rPr>
                <w:rFonts w:hint="eastAsia" w:ascii="微软雅黑" w:hAnsi="微软雅黑" w:eastAsia="微软雅黑" w:cs="微软雅黑"/>
                <w:i w:val="0"/>
                <w:iCs w:val="0"/>
                <w:caps w:val="0"/>
                <w:color w:val="060A26"/>
                <w:spacing w:val="0"/>
                <w:kern w:val="0"/>
                <w:sz w:val="21"/>
                <w:szCs w:val="21"/>
                <w:lang w:val="en-US" w:eastAsia="zh-CN" w:bidi="ar"/>
              </w:rPr>
            </w:pPr>
            <w:r>
              <w:rPr>
                <w:rFonts w:hint="eastAsia" w:ascii="微软雅黑" w:hAnsi="微软雅黑" w:eastAsia="微软雅黑" w:cs="微软雅黑"/>
                <w:i w:val="0"/>
                <w:iCs w:val="0"/>
                <w:caps w:val="0"/>
                <w:color w:val="060A26"/>
                <w:spacing w:val="0"/>
                <w:kern w:val="0"/>
                <w:sz w:val="21"/>
                <w:szCs w:val="21"/>
                <w:lang w:val="en-US" w:eastAsia="zh-CN" w:bidi="ar"/>
              </w:rPr>
              <w:t>✓ 需配合HIS系统改造，同步</w:t>
            </w:r>
            <w:r>
              <w:rPr>
                <w:rFonts w:hint="default" w:ascii="微软雅黑" w:hAnsi="微软雅黑" w:eastAsia="微软雅黑" w:cs="微软雅黑"/>
                <w:i w:val="0"/>
                <w:iCs w:val="0"/>
                <w:caps w:val="0"/>
                <w:color w:val="060A26"/>
                <w:spacing w:val="0"/>
                <w:kern w:val="0"/>
                <w:sz w:val="21"/>
                <w:szCs w:val="21"/>
                <w:lang w:val="en-US" w:eastAsia="zh-CN" w:bidi="ar"/>
              </w:rPr>
              <w:t>完成</w:t>
            </w:r>
            <w:r>
              <w:rPr>
                <w:rFonts w:hint="eastAsia" w:ascii="微软雅黑" w:hAnsi="微软雅黑" w:eastAsia="微软雅黑" w:cs="微软雅黑"/>
                <w:i w:val="0"/>
                <w:iCs w:val="0"/>
                <w:caps w:val="0"/>
                <w:color w:val="060A26"/>
                <w:spacing w:val="0"/>
                <w:kern w:val="0"/>
                <w:sz w:val="21"/>
                <w:szCs w:val="21"/>
                <w:lang w:val="en-US" w:eastAsia="zh-CN" w:bidi="ar"/>
              </w:rPr>
              <w:t>公众号待支付清单、移动支付、预存支付、住院押金预缴、费用查询等模块的功能改造。</w:t>
            </w:r>
          </w:p>
        </w:tc>
      </w:tr>
      <w:tr w14:paraId="7CE61371">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272" w:hRule="atLeast"/>
          <w:jc w:val="center"/>
        </w:trPr>
        <w:tc>
          <w:tcPr>
            <w:tcW w:w="1293" w:type="dxa"/>
            <w:tcBorders>
              <w:left w:val="single" w:color="auto" w:sz="6" w:space="0"/>
              <w:right w:val="single" w:color="auto" w:sz="6" w:space="0"/>
            </w:tcBorders>
            <w:shd w:val="clear" w:color="auto" w:fill="FFFFFF"/>
            <w:tcMar>
              <w:top w:w="150" w:type="dxa"/>
              <w:left w:w="210" w:type="dxa"/>
              <w:bottom w:w="150" w:type="dxa"/>
              <w:right w:w="210" w:type="dxa"/>
            </w:tcMar>
            <w:vAlign w:val="center"/>
          </w:tcPr>
          <w:p w14:paraId="7EDC66A2">
            <w:pPr>
              <w:keepNext w:val="0"/>
              <w:keepLines w:val="0"/>
              <w:pageBreakBefore w:val="0"/>
              <w:kinsoku/>
              <w:overflowPunct/>
              <w:topLinePunct w:val="0"/>
              <w:autoSpaceDE/>
              <w:autoSpaceDN/>
              <w:bidi w:val="0"/>
              <w:adjustRightInd w:val="0"/>
              <w:snapToGrid w:val="0"/>
              <w:spacing w:line="240" w:lineRule="auto"/>
              <w:ind w:left="0" w:leftChars="0" w:right="0" w:rightChars="0" w:firstLine="0" w:firstLineChars="0"/>
              <w:jc w:val="left"/>
              <w:rPr>
                <w:rFonts w:hint="eastAsia" w:ascii="微软雅黑" w:hAnsi="微软雅黑" w:eastAsia="微软雅黑" w:cs="微软雅黑"/>
                <w:i w:val="0"/>
                <w:iCs w:val="0"/>
                <w:caps w:val="0"/>
                <w:color w:val="060A26"/>
                <w:spacing w:val="0"/>
                <w:sz w:val="21"/>
                <w:szCs w:val="21"/>
              </w:rPr>
            </w:pPr>
          </w:p>
        </w:tc>
        <w:tc>
          <w:tcPr>
            <w:tcW w:w="1580"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5E77C801">
            <w:pPr>
              <w:keepNext w:val="0"/>
              <w:keepLines w:val="0"/>
              <w:pageBreakBefore w:val="0"/>
              <w:widowControl/>
              <w:suppressLineNumbers w:val="0"/>
              <w:kinsoku/>
              <w:wordWrap w:val="0"/>
              <w:overflowPunct/>
              <w:topLinePunct w:val="0"/>
              <w:autoSpaceDE/>
              <w:autoSpaceDN/>
              <w:bidi w:val="0"/>
              <w:adjustRightInd w:val="0"/>
              <w:snapToGrid w:val="0"/>
              <w:spacing w:line="240" w:lineRule="auto"/>
              <w:ind w:left="0" w:leftChars="0" w:right="0" w:rightChars="0" w:firstLine="0" w:firstLineChars="0"/>
              <w:jc w:val="left"/>
              <w:textAlignment w:val="center"/>
              <w:rPr>
                <w:rFonts w:hint="default" w:ascii="微软雅黑" w:hAnsi="微软雅黑" w:eastAsia="微软雅黑" w:cs="微软雅黑"/>
                <w:i w:val="0"/>
                <w:iCs w:val="0"/>
                <w:caps w:val="0"/>
                <w:color w:val="060A26"/>
                <w:spacing w:val="0"/>
                <w:kern w:val="0"/>
                <w:sz w:val="21"/>
                <w:szCs w:val="21"/>
                <w:lang w:val="en-US" w:eastAsia="zh-CN" w:bidi="ar"/>
              </w:rPr>
            </w:pPr>
            <w:r>
              <w:rPr>
                <w:rFonts w:hint="eastAsia" w:ascii="微软雅黑" w:hAnsi="微软雅黑" w:eastAsia="微软雅黑" w:cs="微软雅黑"/>
                <w:i w:val="0"/>
                <w:iCs w:val="0"/>
                <w:caps w:val="0"/>
                <w:color w:val="060A26"/>
                <w:spacing w:val="0"/>
                <w:kern w:val="0"/>
                <w:sz w:val="21"/>
                <w:szCs w:val="21"/>
                <w:lang w:val="en-US" w:eastAsia="zh-CN" w:bidi="ar"/>
              </w:rPr>
              <w:t>2.4适配要求</w:t>
            </w:r>
          </w:p>
        </w:tc>
        <w:tc>
          <w:tcPr>
            <w:tcW w:w="6686"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3744E8DD">
            <w:pPr>
              <w:keepNext w:val="0"/>
              <w:keepLines w:val="0"/>
              <w:pageBreakBefore w:val="0"/>
              <w:widowControl/>
              <w:suppressLineNumbers w:val="0"/>
              <w:kinsoku/>
              <w:wordWrap w:val="0"/>
              <w:overflowPunct/>
              <w:topLinePunct w:val="0"/>
              <w:autoSpaceDE/>
              <w:autoSpaceDN/>
              <w:bidi w:val="0"/>
              <w:adjustRightInd w:val="0"/>
              <w:snapToGrid w:val="0"/>
              <w:spacing w:line="240" w:lineRule="auto"/>
              <w:ind w:left="0" w:leftChars="0" w:right="0" w:rightChars="0" w:firstLine="0" w:firstLineChars="0"/>
              <w:jc w:val="left"/>
              <w:textAlignment w:val="center"/>
              <w:rPr>
                <w:rFonts w:hint="default" w:ascii="微软雅黑" w:hAnsi="微软雅黑" w:eastAsia="微软雅黑" w:cs="微软雅黑"/>
                <w:i w:val="0"/>
                <w:iCs w:val="0"/>
                <w:caps w:val="0"/>
                <w:color w:val="060A26"/>
                <w:spacing w:val="0"/>
                <w:kern w:val="0"/>
                <w:sz w:val="21"/>
                <w:szCs w:val="21"/>
                <w:lang w:val="en-US" w:eastAsia="zh-CN" w:bidi="ar"/>
              </w:rPr>
            </w:pPr>
            <w:r>
              <w:rPr>
                <w:rFonts w:hint="eastAsia" w:ascii="微软雅黑" w:hAnsi="微软雅黑" w:eastAsia="微软雅黑" w:cs="微软雅黑"/>
                <w:i w:val="0"/>
                <w:iCs w:val="0"/>
                <w:caps w:val="0"/>
                <w:color w:val="060A26"/>
                <w:spacing w:val="0"/>
                <w:kern w:val="0"/>
                <w:sz w:val="21"/>
                <w:szCs w:val="21"/>
                <w:lang w:val="en-US" w:eastAsia="zh-CN" w:bidi="ar"/>
              </w:rPr>
              <w:t xml:space="preserve">✓ </w:t>
            </w:r>
            <w:r>
              <w:rPr>
                <w:rFonts w:hint="default" w:ascii="微软雅黑" w:hAnsi="微软雅黑" w:eastAsia="微软雅黑" w:cs="微软雅黑"/>
                <w:i w:val="0"/>
                <w:iCs w:val="0"/>
                <w:caps w:val="0"/>
                <w:color w:val="060A26"/>
                <w:spacing w:val="0"/>
                <w:kern w:val="0"/>
                <w:sz w:val="21"/>
                <w:szCs w:val="21"/>
                <w:lang w:val="en-US" w:eastAsia="zh-CN" w:bidi="ar"/>
              </w:rPr>
              <w:t>所有改造功能均应保持对双语版本及关怀版本的支持。</w:t>
            </w:r>
          </w:p>
        </w:tc>
      </w:tr>
      <w:tr w14:paraId="7444F507">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383" w:hRule="atLeast"/>
          <w:jc w:val="center"/>
        </w:trPr>
        <w:tc>
          <w:tcPr>
            <w:tcW w:w="1293" w:type="dxa"/>
            <w:tcBorders>
              <w:left w:val="single" w:color="auto" w:sz="6" w:space="0"/>
              <w:right w:val="single" w:color="auto" w:sz="6" w:space="0"/>
            </w:tcBorders>
            <w:shd w:val="clear" w:color="auto" w:fill="FFFFFF"/>
            <w:tcMar>
              <w:top w:w="150" w:type="dxa"/>
              <w:left w:w="210" w:type="dxa"/>
              <w:bottom w:w="150" w:type="dxa"/>
              <w:right w:w="210" w:type="dxa"/>
            </w:tcMar>
            <w:vAlign w:val="center"/>
          </w:tcPr>
          <w:p w14:paraId="37B95F77">
            <w:pPr>
              <w:keepNext w:val="0"/>
              <w:keepLines w:val="0"/>
              <w:pageBreakBefore w:val="0"/>
              <w:kinsoku/>
              <w:overflowPunct/>
              <w:topLinePunct w:val="0"/>
              <w:autoSpaceDE/>
              <w:autoSpaceDN/>
              <w:bidi w:val="0"/>
              <w:adjustRightInd w:val="0"/>
              <w:snapToGrid w:val="0"/>
              <w:spacing w:line="240" w:lineRule="auto"/>
              <w:ind w:left="0" w:leftChars="0" w:right="0" w:rightChars="0" w:firstLine="0" w:firstLineChars="0"/>
              <w:jc w:val="left"/>
              <w:rPr>
                <w:rFonts w:hint="eastAsia" w:ascii="微软雅黑" w:hAnsi="微软雅黑" w:eastAsia="微软雅黑" w:cs="微软雅黑"/>
                <w:i w:val="0"/>
                <w:iCs w:val="0"/>
                <w:caps w:val="0"/>
                <w:color w:val="060A26"/>
                <w:spacing w:val="0"/>
                <w:sz w:val="21"/>
                <w:szCs w:val="21"/>
              </w:rPr>
            </w:pPr>
          </w:p>
        </w:tc>
        <w:tc>
          <w:tcPr>
            <w:tcW w:w="1580"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42E646F2">
            <w:pPr>
              <w:keepNext w:val="0"/>
              <w:keepLines w:val="0"/>
              <w:pageBreakBefore w:val="0"/>
              <w:widowControl/>
              <w:suppressLineNumbers w:val="0"/>
              <w:kinsoku/>
              <w:wordWrap w:val="0"/>
              <w:overflowPunct/>
              <w:topLinePunct w:val="0"/>
              <w:autoSpaceDE/>
              <w:autoSpaceDN/>
              <w:bidi w:val="0"/>
              <w:adjustRightInd w:val="0"/>
              <w:snapToGrid w:val="0"/>
              <w:spacing w:line="240" w:lineRule="auto"/>
              <w:ind w:left="0" w:leftChars="0" w:right="0" w:rightChars="0" w:firstLine="0" w:firstLineChars="0"/>
              <w:jc w:val="left"/>
              <w:textAlignment w:val="center"/>
              <w:rPr>
                <w:rFonts w:hint="default" w:ascii="微软雅黑" w:hAnsi="微软雅黑" w:eastAsia="微软雅黑" w:cs="微软雅黑"/>
                <w:i w:val="0"/>
                <w:iCs w:val="0"/>
                <w:caps w:val="0"/>
                <w:color w:val="060A26"/>
                <w:spacing w:val="0"/>
                <w:kern w:val="0"/>
                <w:sz w:val="21"/>
                <w:szCs w:val="21"/>
                <w:lang w:val="en-US" w:eastAsia="zh-CN" w:bidi="ar"/>
              </w:rPr>
            </w:pPr>
            <w:r>
              <w:rPr>
                <w:rFonts w:hint="eastAsia" w:ascii="微软雅黑" w:hAnsi="微软雅黑" w:eastAsia="微软雅黑" w:cs="微软雅黑"/>
                <w:i w:val="0"/>
                <w:iCs w:val="0"/>
                <w:caps w:val="0"/>
                <w:color w:val="060A26"/>
                <w:spacing w:val="0"/>
                <w:kern w:val="0"/>
                <w:sz w:val="21"/>
                <w:szCs w:val="21"/>
                <w:lang w:val="en-US" w:eastAsia="zh-CN" w:bidi="ar"/>
              </w:rPr>
              <w:t>2.5检查治疗预约对接</w:t>
            </w:r>
          </w:p>
        </w:tc>
        <w:tc>
          <w:tcPr>
            <w:tcW w:w="6686"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071A87CB">
            <w:pPr>
              <w:keepNext w:val="0"/>
              <w:keepLines w:val="0"/>
              <w:pageBreakBefore w:val="0"/>
              <w:widowControl/>
              <w:suppressLineNumbers w:val="0"/>
              <w:kinsoku/>
              <w:wordWrap w:val="0"/>
              <w:overflowPunct/>
              <w:topLinePunct w:val="0"/>
              <w:autoSpaceDE/>
              <w:autoSpaceDN/>
              <w:bidi w:val="0"/>
              <w:adjustRightInd w:val="0"/>
              <w:snapToGrid w:val="0"/>
              <w:spacing w:line="240" w:lineRule="auto"/>
              <w:ind w:left="0" w:leftChars="0" w:right="0" w:rightChars="0" w:firstLine="0" w:firstLineChars="0"/>
              <w:jc w:val="left"/>
              <w:textAlignment w:val="center"/>
              <w:rPr>
                <w:rFonts w:hint="default" w:ascii="微软雅黑" w:hAnsi="微软雅黑" w:eastAsia="微软雅黑" w:cs="微软雅黑"/>
                <w:i w:val="0"/>
                <w:iCs w:val="0"/>
                <w:caps w:val="0"/>
                <w:color w:val="060A26"/>
                <w:spacing w:val="0"/>
                <w:kern w:val="0"/>
                <w:sz w:val="21"/>
                <w:szCs w:val="21"/>
                <w:lang w:val="en-US" w:eastAsia="zh-CN" w:bidi="ar"/>
              </w:rPr>
            </w:pPr>
            <w:r>
              <w:rPr>
                <w:rFonts w:hint="eastAsia" w:ascii="微软雅黑" w:hAnsi="微软雅黑" w:eastAsia="微软雅黑" w:cs="微软雅黑"/>
                <w:i w:val="0"/>
                <w:iCs w:val="0"/>
                <w:caps w:val="0"/>
                <w:color w:val="060A26"/>
                <w:spacing w:val="0"/>
                <w:kern w:val="0"/>
                <w:sz w:val="21"/>
                <w:szCs w:val="21"/>
                <w:lang w:val="en-US" w:eastAsia="zh-CN" w:bidi="ar"/>
              </w:rPr>
              <w:t>✓ 需配合HIS系统改造，支持与我院检查、治疗预约系统的数据对接及相关页面嵌入功能，实现在线预约功能。</w:t>
            </w:r>
          </w:p>
        </w:tc>
      </w:tr>
      <w:tr w14:paraId="38159ACA">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383" w:hRule="atLeast"/>
          <w:jc w:val="center"/>
        </w:trPr>
        <w:tc>
          <w:tcPr>
            <w:tcW w:w="1293" w:type="dxa"/>
            <w:tcBorders>
              <w:left w:val="single" w:color="auto" w:sz="6" w:space="0"/>
              <w:right w:val="single" w:color="auto" w:sz="6" w:space="0"/>
            </w:tcBorders>
            <w:shd w:val="clear" w:color="auto" w:fill="FFFFFF"/>
            <w:tcMar>
              <w:top w:w="150" w:type="dxa"/>
              <w:left w:w="210" w:type="dxa"/>
              <w:bottom w:w="150" w:type="dxa"/>
              <w:right w:w="210" w:type="dxa"/>
            </w:tcMar>
            <w:vAlign w:val="center"/>
          </w:tcPr>
          <w:p w14:paraId="5865EBCF">
            <w:pPr>
              <w:keepNext w:val="0"/>
              <w:keepLines w:val="0"/>
              <w:pageBreakBefore w:val="0"/>
              <w:kinsoku/>
              <w:overflowPunct/>
              <w:topLinePunct w:val="0"/>
              <w:autoSpaceDE/>
              <w:autoSpaceDN/>
              <w:bidi w:val="0"/>
              <w:adjustRightInd w:val="0"/>
              <w:snapToGrid w:val="0"/>
              <w:spacing w:line="240" w:lineRule="auto"/>
              <w:ind w:left="0" w:leftChars="0" w:right="0" w:rightChars="0" w:firstLine="0" w:firstLineChars="0"/>
              <w:jc w:val="left"/>
              <w:rPr>
                <w:rFonts w:hint="eastAsia" w:ascii="微软雅黑" w:hAnsi="微软雅黑" w:eastAsia="微软雅黑" w:cs="微软雅黑"/>
                <w:i w:val="0"/>
                <w:iCs w:val="0"/>
                <w:caps w:val="0"/>
                <w:color w:val="060A26"/>
                <w:spacing w:val="0"/>
                <w:sz w:val="21"/>
                <w:szCs w:val="21"/>
              </w:rPr>
            </w:pPr>
          </w:p>
        </w:tc>
        <w:tc>
          <w:tcPr>
            <w:tcW w:w="1580"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4FFD7A7C">
            <w:pPr>
              <w:keepNext w:val="0"/>
              <w:keepLines w:val="0"/>
              <w:pageBreakBefore w:val="0"/>
              <w:widowControl/>
              <w:suppressLineNumbers w:val="0"/>
              <w:kinsoku/>
              <w:wordWrap w:val="0"/>
              <w:overflowPunct/>
              <w:topLinePunct w:val="0"/>
              <w:autoSpaceDE/>
              <w:autoSpaceDN/>
              <w:bidi w:val="0"/>
              <w:adjustRightInd w:val="0"/>
              <w:snapToGrid w:val="0"/>
              <w:spacing w:line="240" w:lineRule="auto"/>
              <w:ind w:left="0" w:leftChars="0" w:right="0" w:rightChars="0" w:firstLine="0" w:firstLineChars="0"/>
              <w:jc w:val="left"/>
              <w:textAlignment w:val="center"/>
              <w:rPr>
                <w:rFonts w:hint="default" w:ascii="微软雅黑" w:hAnsi="微软雅黑" w:eastAsia="微软雅黑" w:cs="微软雅黑"/>
                <w:i w:val="0"/>
                <w:iCs w:val="0"/>
                <w:caps w:val="0"/>
                <w:color w:val="auto"/>
                <w:spacing w:val="0"/>
                <w:kern w:val="0"/>
                <w:sz w:val="21"/>
                <w:szCs w:val="21"/>
                <w:lang w:val="en-US" w:eastAsia="zh-CN" w:bidi="ar"/>
              </w:rPr>
            </w:pPr>
            <w:r>
              <w:rPr>
                <w:rFonts w:hint="eastAsia" w:ascii="微软雅黑" w:hAnsi="微软雅黑" w:eastAsia="微软雅黑" w:cs="微软雅黑"/>
                <w:i w:val="0"/>
                <w:iCs w:val="0"/>
                <w:caps w:val="0"/>
                <w:color w:val="auto"/>
                <w:spacing w:val="0"/>
                <w:kern w:val="0"/>
                <w:sz w:val="21"/>
                <w:szCs w:val="21"/>
                <w:lang w:val="en-US" w:eastAsia="zh-CN" w:bidi="ar"/>
              </w:rPr>
              <w:t>2.6等候状态查询</w:t>
            </w:r>
          </w:p>
        </w:tc>
        <w:tc>
          <w:tcPr>
            <w:tcW w:w="6686"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5847D52F">
            <w:pPr>
              <w:keepNext w:val="0"/>
              <w:keepLines w:val="0"/>
              <w:pageBreakBefore w:val="0"/>
              <w:widowControl/>
              <w:suppressLineNumbers w:val="0"/>
              <w:kinsoku/>
              <w:wordWrap w:val="0"/>
              <w:overflowPunct/>
              <w:topLinePunct w:val="0"/>
              <w:autoSpaceDE/>
              <w:autoSpaceDN/>
              <w:bidi w:val="0"/>
              <w:adjustRightInd w:val="0"/>
              <w:snapToGrid w:val="0"/>
              <w:spacing w:line="240" w:lineRule="auto"/>
              <w:ind w:left="0" w:leftChars="0" w:right="0" w:rightChars="0" w:firstLine="0" w:firstLineChars="0"/>
              <w:jc w:val="left"/>
              <w:textAlignment w:val="center"/>
              <w:rPr>
                <w:rFonts w:hint="default" w:ascii="微软雅黑" w:hAnsi="微软雅黑" w:eastAsia="微软雅黑" w:cs="微软雅黑"/>
                <w:i w:val="0"/>
                <w:iCs w:val="0"/>
                <w:caps w:val="0"/>
                <w:color w:val="auto"/>
                <w:spacing w:val="0"/>
                <w:kern w:val="0"/>
                <w:sz w:val="21"/>
                <w:szCs w:val="21"/>
                <w:lang w:val="en-US" w:eastAsia="zh-CN" w:bidi="ar"/>
              </w:rPr>
            </w:pPr>
            <w:r>
              <w:rPr>
                <w:rFonts w:hint="eastAsia" w:ascii="微软雅黑" w:hAnsi="微软雅黑" w:eastAsia="微软雅黑" w:cs="微软雅黑"/>
                <w:i w:val="0"/>
                <w:iCs w:val="0"/>
                <w:caps w:val="0"/>
                <w:color w:val="auto"/>
                <w:spacing w:val="0"/>
                <w:kern w:val="0"/>
                <w:sz w:val="21"/>
                <w:szCs w:val="21"/>
                <w:lang w:val="en-US" w:eastAsia="zh-CN" w:bidi="ar"/>
              </w:rPr>
              <w:t>✓ 与HIS系统对接，实现等候状态查询，包括：候诊、检查、治疗等队列的实时查询。</w:t>
            </w:r>
          </w:p>
        </w:tc>
      </w:tr>
      <w:tr w14:paraId="76F674AE">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383" w:hRule="atLeast"/>
          <w:jc w:val="center"/>
        </w:trPr>
        <w:tc>
          <w:tcPr>
            <w:tcW w:w="1293" w:type="dxa"/>
            <w:tcBorders>
              <w:left w:val="single" w:color="auto" w:sz="6" w:space="0"/>
              <w:right w:val="single" w:color="auto" w:sz="6" w:space="0"/>
            </w:tcBorders>
            <w:shd w:val="clear" w:color="auto" w:fill="FFFFFF"/>
            <w:tcMar>
              <w:top w:w="150" w:type="dxa"/>
              <w:left w:w="210" w:type="dxa"/>
              <w:bottom w:w="150" w:type="dxa"/>
              <w:right w:w="210" w:type="dxa"/>
            </w:tcMar>
            <w:vAlign w:val="center"/>
          </w:tcPr>
          <w:p w14:paraId="031CA2AE">
            <w:pPr>
              <w:keepNext w:val="0"/>
              <w:keepLines w:val="0"/>
              <w:pageBreakBefore w:val="0"/>
              <w:kinsoku/>
              <w:overflowPunct/>
              <w:topLinePunct w:val="0"/>
              <w:autoSpaceDE/>
              <w:autoSpaceDN/>
              <w:bidi w:val="0"/>
              <w:adjustRightInd w:val="0"/>
              <w:snapToGrid w:val="0"/>
              <w:spacing w:line="240" w:lineRule="auto"/>
              <w:ind w:left="0" w:leftChars="0" w:right="0" w:rightChars="0" w:firstLine="0" w:firstLineChars="0"/>
              <w:jc w:val="left"/>
              <w:rPr>
                <w:rFonts w:hint="eastAsia" w:ascii="微软雅黑" w:hAnsi="微软雅黑" w:eastAsia="微软雅黑" w:cs="微软雅黑"/>
                <w:i w:val="0"/>
                <w:iCs w:val="0"/>
                <w:caps w:val="0"/>
                <w:color w:val="060A26"/>
                <w:spacing w:val="0"/>
                <w:sz w:val="21"/>
                <w:szCs w:val="21"/>
              </w:rPr>
            </w:pPr>
          </w:p>
        </w:tc>
        <w:tc>
          <w:tcPr>
            <w:tcW w:w="1580"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7DE30B47">
            <w:pPr>
              <w:keepNext w:val="0"/>
              <w:keepLines w:val="0"/>
              <w:pageBreakBefore w:val="0"/>
              <w:widowControl/>
              <w:suppressLineNumbers w:val="0"/>
              <w:kinsoku/>
              <w:wordWrap w:val="0"/>
              <w:overflowPunct/>
              <w:topLinePunct w:val="0"/>
              <w:autoSpaceDE/>
              <w:autoSpaceDN/>
              <w:bidi w:val="0"/>
              <w:adjustRightInd w:val="0"/>
              <w:snapToGrid w:val="0"/>
              <w:spacing w:line="240" w:lineRule="auto"/>
              <w:ind w:left="0" w:leftChars="0" w:right="0" w:rightChars="0" w:firstLine="0" w:firstLineChars="0"/>
              <w:jc w:val="left"/>
              <w:textAlignment w:val="center"/>
              <w:rPr>
                <w:rFonts w:hint="default" w:ascii="微软雅黑" w:hAnsi="微软雅黑" w:eastAsia="微软雅黑" w:cs="微软雅黑"/>
                <w:i w:val="0"/>
                <w:iCs w:val="0"/>
                <w:caps w:val="0"/>
                <w:color w:val="060A26"/>
                <w:spacing w:val="0"/>
                <w:kern w:val="0"/>
                <w:sz w:val="21"/>
                <w:szCs w:val="21"/>
                <w:lang w:val="en-US" w:eastAsia="zh-CN" w:bidi="ar"/>
              </w:rPr>
            </w:pPr>
            <w:r>
              <w:rPr>
                <w:rFonts w:hint="eastAsia" w:ascii="微软雅黑" w:hAnsi="微软雅黑" w:eastAsia="微软雅黑" w:cs="微软雅黑"/>
                <w:i w:val="0"/>
                <w:iCs w:val="0"/>
                <w:caps w:val="0"/>
                <w:color w:val="060A26"/>
                <w:spacing w:val="0"/>
                <w:kern w:val="0"/>
                <w:sz w:val="21"/>
                <w:szCs w:val="21"/>
                <w:lang w:val="en-US" w:eastAsia="zh-CN" w:bidi="ar"/>
              </w:rPr>
              <w:t>2.7检查纸质报告查询</w:t>
            </w:r>
          </w:p>
        </w:tc>
        <w:tc>
          <w:tcPr>
            <w:tcW w:w="6686"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22F7D22C">
            <w:pPr>
              <w:keepNext w:val="0"/>
              <w:keepLines w:val="0"/>
              <w:pageBreakBefore w:val="0"/>
              <w:widowControl/>
              <w:suppressLineNumbers w:val="0"/>
              <w:kinsoku/>
              <w:wordWrap w:val="0"/>
              <w:overflowPunct/>
              <w:topLinePunct w:val="0"/>
              <w:autoSpaceDE/>
              <w:autoSpaceDN/>
              <w:bidi w:val="0"/>
              <w:adjustRightInd w:val="0"/>
              <w:snapToGrid w:val="0"/>
              <w:spacing w:line="240" w:lineRule="auto"/>
              <w:ind w:left="0" w:leftChars="0" w:right="0" w:rightChars="0" w:firstLine="0" w:firstLineChars="0"/>
              <w:jc w:val="left"/>
              <w:textAlignment w:val="center"/>
              <w:rPr>
                <w:rFonts w:hint="default" w:ascii="微软雅黑" w:hAnsi="微软雅黑" w:eastAsia="微软雅黑" w:cs="微软雅黑"/>
                <w:i w:val="0"/>
                <w:iCs w:val="0"/>
                <w:caps w:val="0"/>
                <w:color w:val="060A26"/>
                <w:spacing w:val="0"/>
                <w:kern w:val="0"/>
                <w:sz w:val="21"/>
                <w:szCs w:val="21"/>
                <w:lang w:val="en-US" w:eastAsia="zh-CN" w:bidi="ar"/>
              </w:rPr>
            </w:pPr>
            <w:r>
              <w:rPr>
                <w:rFonts w:hint="eastAsia" w:ascii="微软雅黑" w:hAnsi="微软雅黑" w:eastAsia="微软雅黑" w:cs="微软雅黑"/>
                <w:i w:val="0"/>
                <w:iCs w:val="0"/>
                <w:caps w:val="0"/>
                <w:color w:val="060A26"/>
                <w:spacing w:val="0"/>
                <w:kern w:val="0"/>
                <w:sz w:val="21"/>
                <w:szCs w:val="21"/>
                <w:lang w:val="en-US" w:eastAsia="zh-CN" w:bidi="ar"/>
              </w:rPr>
              <w:t>✓ 与检查系统对接，实现纸质报告PDF的展示。</w:t>
            </w:r>
          </w:p>
        </w:tc>
      </w:tr>
      <w:tr w14:paraId="14CB36A0">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383" w:hRule="atLeast"/>
          <w:jc w:val="center"/>
        </w:trPr>
        <w:tc>
          <w:tcPr>
            <w:tcW w:w="1293" w:type="dxa"/>
            <w:tcBorders>
              <w:left w:val="single" w:color="auto" w:sz="6" w:space="0"/>
              <w:right w:val="single" w:color="auto" w:sz="6" w:space="0"/>
            </w:tcBorders>
            <w:shd w:val="clear" w:color="auto" w:fill="FFFFFF"/>
            <w:tcMar>
              <w:top w:w="150" w:type="dxa"/>
              <w:left w:w="210" w:type="dxa"/>
              <w:bottom w:w="150" w:type="dxa"/>
              <w:right w:w="210" w:type="dxa"/>
            </w:tcMar>
            <w:vAlign w:val="center"/>
          </w:tcPr>
          <w:p w14:paraId="5403677D">
            <w:pPr>
              <w:keepNext w:val="0"/>
              <w:keepLines w:val="0"/>
              <w:pageBreakBefore w:val="0"/>
              <w:kinsoku/>
              <w:overflowPunct/>
              <w:topLinePunct w:val="0"/>
              <w:autoSpaceDE/>
              <w:autoSpaceDN/>
              <w:bidi w:val="0"/>
              <w:adjustRightInd w:val="0"/>
              <w:snapToGrid w:val="0"/>
              <w:spacing w:line="240" w:lineRule="auto"/>
              <w:ind w:left="0" w:leftChars="0" w:right="0" w:rightChars="0" w:firstLine="0" w:firstLineChars="0"/>
              <w:jc w:val="left"/>
              <w:rPr>
                <w:rFonts w:hint="eastAsia" w:ascii="微软雅黑" w:hAnsi="微软雅黑" w:eastAsia="微软雅黑" w:cs="微软雅黑"/>
                <w:i w:val="0"/>
                <w:iCs w:val="0"/>
                <w:caps w:val="0"/>
                <w:color w:val="060A26"/>
                <w:spacing w:val="0"/>
                <w:sz w:val="21"/>
                <w:szCs w:val="21"/>
              </w:rPr>
            </w:pPr>
          </w:p>
        </w:tc>
        <w:tc>
          <w:tcPr>
            <w:tcW w:w="1580"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64AB7D71">
            <w:pPr>
              <w:keepNext w:val="0"/>
              <w:keepLines w:val="0"/>
              <w:pageBreakBefore w:val="0"/>
              <w:widowControl/>
              <w:suppressLineNumbers w:val="0"/>
              <w:kinsoku/>
              <w:wordWrap w:val="0"/>
              <w:overflowPunct/>
              <w:topLinePunct w:val="0"/>
              <w:autoSpaceDE/>
              <w:autoSpaceDN/>
              <w:bidi w:val="0"/>
              <w:adjustRightInd w:val="0"/>
              <w:snapToGrid w:val="0"/>
              <w:spacing w:line="240" w:lineRule="auto"/>
              <w:ind w:left="0" w:leftChars="0" w:right="0" w:rightChars="0" w:firstLine="0" w:firstLineChars="0"/>
              <w:jc w:val="left"/>
              <w:textAlignment w:val="center"/>
              <w:rPr>
                <w:rFonts w:hint="default" w:ascii="微软雅黑" w:hAnsi="微软雅黑" w:eastAsia="微软雅黑" w:cs="微软雅黑"/>
                <w:i w:val="0"/>
                <w:iCs w:val="0"/>
                <w:caps w:val="0"/>
                <w:color w:val="060A26"/>
                <w:spacing w:val="0"/>
                <w:kern w:val="0"/>
                <w:sz w:val="21"/>
                <w:szCs w:val="21"/>
                <w:lang w:val="en-US" w:eastAsia="zh-CN" w:bidi="ar"/>
              </w:rPr>
            </w:pPr>
            <w:r>
              <w:rPr>
                <w:rFonts w:hint="eastAsia" w:ascii="微软雅黑" w:hAnsi="微软雅黑" w:eastAsia="微软雅黑" w:cs="微软雅黑"/>
                <w:i w:val="0"/>
                <w:iCs w:val="0"/>
                <w:caps w:val="0"/>
                <w:color w:val="060A26"/>
                <w:spacing w:val="0"/>
                <w:kern w:val="0"/>
                <w:sz w:val="21"/>
                <w:szCs w:val="21"/>
                <w:lang w:val="en-US" w:eastAsia="zh-CN" w:bidi="ar"/>
              </w:rPr>
              <w:t>2.8病历调阅</w:t>
            </w:r>
          </w:p>
        </w:tc>
        <w:tc>
          <w:tcPr>
            <w:tcW w:w="6686"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6A51B6A3">
            <w:pPr>
              <w:keepNext w:val="0"/>
              <w:keepLines w:val="0"/>
              <w:pageBreakBefore w:val="0"/>
              <w:widowControl/>
              <w:suppressLineNumbers w:val="0"/>
              <w:kinsoku/>
              <w:wordWrap w:val="0"/>
              <w:overflowPunct/>
              <w:topLinePunct w:val="0"/>
              <w:autoSpaceDE/>
              <w:autoSpaceDN/>
              <w:bidi w:val="0"/>
              <w:adjustRightInd w:val="0"/>
              <w:snapToGrid w:val="0"/>
              <w:spacing w:line="240" w:lineRule="auto"/>
              <w:ind w:left="0" w:leftChars="0" w:right="0" w:rightChars="0" w:firstLine="0" w:firstLineChars="0"/>
              <w:jc w:val="left"/>
              <w:textAlignment w:val="center"/>
              <w:rPr>
                <w:rFonts w:hint="default" w:ascii="微软雅黑" w:hAnsi="微软雅黑" w:eastAsia="微软雅黑" w:cs="微软雅黑"/>
                <w:i w:val="0"/>
                <w:iCs w:val="0"/>
                <w:caps w:val="0"/>
                <w:color w:val="060A26"/>
                <w:spacing w:val="0"/>
                <w:kern w:val="0"/>
                <w:sz w:val="21"/>
                <w:szCs w:val="21"/>
                <w:lang w:val="en-US" w:eastAsia="zh-CN" w:bidi="ar"/>
              </w:rPr>
            </w:pPr>
            <w:r>
              <w:rPr>
                <w:rFonts w:hint="eastAsia" w:ascii="微软雅黑" w:hAnsi="微软雅黑" w:eastAsia="微软雅黑" w:cs="微软雅黑"/>
                <w:i w:val="0"/>
                <w:iCs w:val="0"/>
                <w:caps w:val="0"/>
                <w:color w:val="060A26"/>
                <w:spacing w:val="0"/>
                <w:kern w:val="0"/>
                <w:sz w:val="21"/>
                <w:szCs w:val="21"/>
                <w:lang w:val="en-US" w:eastAsia="zh-CN" w:bidi="ar"/>
              </w:rPr>
              <w:t xml:space="preserve">✓ </w:t>
            </w:r>
            <w:r>
              <w:rPr>
                <w:rFonts w:hint="eastAsia" w:ascii="微软雅黑" w:hAnsi="微软雅黑" w:eastAsia="微软雅黑" w:cs="微软雅黑"/>
                <w:i w:val="0"/>
                <w:iCs w:val="0"/>
                <w:caps w:val="0"/>
                <w:color w:val="auto"/>
                <w:spacing w:val="0"/>
                <w:kern w:val="0"/>
                <w:sz w:val="21"/>
                <w:szCs w:val="21"/>
                <w:lang w:val="en-US" w:eastAsia="zh-CN" w:bidi="ar"/>
              </w:rPr>
              <w:t>支持患者线上查询电子版病历及影像资料，相关申请须经相关科室审核通过后方可在线查阅。</w:t>
            </w:r>
          </w:p>
        </w:tc>
      </w:tr>
      <w:tr w14:paraId="5CDD0F04">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shd w:val="clear" w:color="auto" w:fill="FFFFFF"/>
          <w:tblCellMar>
            <w:top w:w="15" w:type="dxa"/>
            <w:left w:w="15" w:type="dxa"/>
            <w:bottom w:w="15" w:type="dxa"/>
            <w:right w:w="15" w:type="dxa"/>
          </w:tblCellMar>
        </w:tblPrEx>
        <w:trPr>
          <w:trHeight w:val="493" w:hRule="atLeast"/>
          <w:jc w:val="center"/>
        </w:trPr>
        <w:tc>
          <w:tcPr>
            <w:tcW w:w="1293" w:type="dxa"/>
            <w:tcBorders>
              <w:left w:val="single" w:color="auto" w:sz="6" w:space="0"/>
              <w:right w:val="single" w:color="auto" w:sz="6" w:space="0"/>
            </w:tcBorders>
            <w:shd w:val="clear" w:color="auto" w:fill="FFFFFF"/>
            <w:tcMar>
              <w:top w:w="150" w:type="dxa"/>
              <w:left w:w="210" w:type="dxa"/>
              <w:bottom w:w="150" w:type="dxa"/>
              <w:right w:w="210" w:type="dxa"/>
            </w:tcMar>
            <w:vAlign w:val="center"/>
          </w:tcPr>
          <w:p w14:paraId="1997217A">
            <w:pPr>
              <w:keepNext w:val="0"/>
              <w:keepLines w:val="0"/>
              <w:pageBreakBefore w:val="0"/>
              <w:kinsoku/>
              <w:overflowPunct/>
              <w:topLinePunct w:val="0"/>
              <w:autoSpaceDE/>
              <w:autoSpaceDN/>
              <w:bidi w:val="0"/>
              <w:adjustRightInd w:val="0"/>
              <w:snapToGrid w:val="0"/>
              <w:spacing w:line="240" w:lineRule="auto"/>
              <w:ind w:left="0" w:leftChars="0" w:right="0" w:rightChars="0" w:firstLine="0" w:firstLineChars="0"/>
              <w:jc w:val="left"/>
              <w:rPr>
                <w:rFonts w:hint="eastAsia" w:ascii="微软雅黑" w:hAnsi="微软雅黑" w:eastAsia="微软雅黑" w:cs="微软雅黑"/>
                <w:i w:val="0"/>
                <w:iCs w:val="0"/>
                <w:caps w:val="0"/>
                <w:color w:val="060A26"/>
                <w:spacing w:val="0"/>
                <w:sz w:val="21"/>
                <w:szCs w:val="21"/>
              </w:rPr>
            </w:pPr>
          </w:p>
        </w:tc>
        <w:tc>
          <w:tcPr>
            <w:tcW w:w="1580"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47D5E823">
            <w:pPr>
              <w:keepNext w:val="0"/>
              <w:keepLines w:val="0"/>
              <w:pageBreakBefore w:val="0"/>
              <w:widowControl/>
              <w:suppressLineNumbers w:val="0"/>
              <w:kinsoku/>
              <w:wordWrap w:val="0"/>
              <w:overflowPunct/>
              <w:topLinePunct w:val="0"/>
              <w:autoSpaceDE/>
              <w:autoSpaceDN/>
              <w:bidi w:val="0"/>
              <w:adjustRightInd w:val="0"/>
              <w:snapToGrid w:val="0"/>
              <w:spacing w:line="240" w:lineRule="auto"/>
              <w:ind w:left="0" w:leftChars="0" w:right="0" w:rightChars="0" w:firstLine="0" w:firstLineChars="0"/>
              <w:jc w:val="left"/>
              <w:textAlignment w:val="center"/>
              <w:rPr>
                <w:rFonts w:hint="eastAsia" w:ascii="微软雅黑" w:hAnsi="微软雅黑" w:eastAsia="微软雅黑" w:cs="微软雅黑"/>
                <w:i w:val="0"/>
                <w:iCs w:val="0"/>
                <w:caps w:val="0"/>
                <w:color w:val="060A26"/>
                <w:spacing w:val="0"/>
                <w:kern w:val="0"/>
                <w:sz w:val="21"/>
                <w:szCs w:val="21"/>
                <w:lang w:val="en-US" w:eastAsia="zh-CN" w:bidi="ar"/>
              </w:rPr>
            </w:pPr>
            <w:r>
              <w:rPr>
                <w:rFonts w:hint="eastAsia" w:ascii="微软雅黑" w:hAnsi="微软雅黑" w:eastAsia="微软雅黑" w:cs="微软雅黑"/>
                <w:i w:val="0"/>
                <w:iCs w:val="0"/>
                <w:caps w:val="0"/>
                <w:color w:val="060A26"/>
                <w:spacing w:val="0"/>
                <w:kern w:val="0"/>
                <w:sz w:val="21"/>
                <w:szCs w:val="21"/>
                <w:lang w:val="en-US" w:eastAsia="zh-CN" w:bidi="ar"/>
              </w:rPr>
              <w:t>2.9</w:t>
            </w:r>
            <w:r>
              <w:rPr>
                <w:rFonts w:hint="eastAsia" w:ascii="微软雅黑" w:hAnsi="微软雅黑" w:eastAsia="微软雅黑" w:cs="微软雅黑"/>
                <w:color w:val="060A26"/>
                <w:kern w:val="0"/>
                <w:sz w:val="21"/>
                <w:szCs w:val="21"/>
                <w:lang w:bidi="ar"/>
              </w:rPr>
              <w:t>患者主索引接口</w:t>
            </w:r>
            <w:r>
              <w:rPr>
                <w:rFonts w:hint="eastAsia" w:ascii="微软雅黑" w:hAnsi="微软雅黑" w:eastAsia="微软雅黑" w:cs="微软雅黑"/>
                <w:color w:val="060A26"/>
                <w:kern w:val="0"/>
                <w:sz w:val="21"/>
                <w:szCs w:val="21"/>
                <w:lang w:val="en-US" w:eastAsia="zh-CN" w:bidi="ar"/>
              </w:rPr>
              <w:t>对接</w:t>
            </w:r>
          </w:p>
        </w:tc>
        <w:tc>
          <w:tcPr>
            <w:tcW w:w="6686"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01729FCA">
            <w:pPr>
              <w:keepNext w:val="0"/>
              <w:keepLines w:val="0"/>
              <w:pageBreakBefore w:val="0"/>
              <w:widowControl/>
              <w:suppressLineNumbers w:val="0"/>
              <w:kinsoku/>
              <w:wordWrap w:val="0"/>
              <w:overflowPunct/>
              <w:topLinePunct w:val="0"/>
              <w:autoSpaceDE/>
              <w:autoSpaceDN/>
              <w:bidi w:val="0"/>
              <w:adjustRightInd w:val="0"/>
              <w:snapToGrid w:val="0"/>
              <w:spacing w:line="240" w:lineRule="auto"/>
              <w:ind w:left="0" w:leftChars="0" w:right="0" w:rightChars="0" w:firstLine="0" w:firstLineChars="0"/>
              <w:jc w:val="left"/>
              <w:textAlignment w:val="center"/>
              <w:rPr>
                <w:rFonts w:hint="eastAsia" w:ascii="微软雅黑" w:hAnsi="微软雅黑" w:eastAsia="微软雅黑" w:cs="微软雅黑"/>
                <w:i w:val="0"/>
                <w:iCs w:val="0"/>
                <w:caps w:val="0"/>
                <w:color w:val="060A26"/>
                <w:spacing w:val="0"/>
                <w:kern w:val="0"/>
                <w:sz w:val="21"/>
                <w:szCs w:val="21"/>
                <w:lang w:val="en-US" w:eastAsia="zh-CN" w:bidi="ar"/>
              </w:rPr>
            </w:pPr>
            <w:r>
              <w:rPr>
                <w:rFonts w:hint="eastAsia" w:ascii="微软雅黑" w:hAnsi="微软雅黑" w:eastAsia="微软雅黑" w:cs="微软雅黑"/>
                <w:i w:val="0"/>
                <w:iCs w:val="0"/>
                <w:caps w:val="0"/>
                <w:color w:val="060A26"/>
                <w:spacing w:val="0"/>
                <w:kern w:val="0"/>
                <w:sz w:val="21"/>
                <w:szCs w:val="21"/>
                <w:lang w:val="en-US" w:eastAsia="zh-CN" w:bidi="ar"/>
              </w:rPr>
              <w:t xml:space="preserve">✓ </w:t>
            </w:r>
            <w:r>
              <w:rPr>
                <w:rFonts w:hint="eastAsia" w:ascii="微软雅黑" w:hAnsi="微软雅黑" w:eastAsia="微软雅黑" w:cs="微软雅黑"/>
                <w:color w:val="060A26"/>
                <w:kern w:val="0"/>
                <w:sz w:val="21"/>
                <w:szCs w:val="21"/>
                <w:lang w:bidi="ar"/>
              </w:rPr>
              <w:t>对接集成平台患者主索引信息，包括患者唯一标识、基本信息等，支持调取集成平台的患者身份标识，实现各业务系统间患者信息的共享和关联。</w:t>
            </w:r>
          </w:p>
        </w:tc>
      </w:tr>
      <w:tr w14:paraId="3F8170CD">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391" w:hRule="atLeast"/>
          <w:jc w:val="center"/>
        </w:trPr>
        <w:tc>
          <w:tcPr>
            <w:tcW w:w="1293" w:type="dxa"/>
            <w:tcBorders>
              <w:left w:val="single" w:color="auto" w:sz="6" w:space="0"/>
              <w:right w:val="single" w:color="auto" w:sz="6" w:space="0"/>
            </w:tcBorders>
            <w:shd w:val="clear" w:color="auto" w:fill="FFFFFF"/>
            <w:tcMar>
              <w:top w:w="150" w:type="dxa"/>
              <w:left w:w="210" w:type="dxa"/>
              <w:bottom w:w="150" w:type="dxa"/>
              <w:right w:w="210" w:type="dxa"/>
            </w:tcMar>
            <w:vAlign w:val="center"/>
          </w:tcPr>
          <w:p w14:paraId="43D462C5">
            <w:pPr>
              <w:keepNext w:val="0"/>
              <w:keepLines w:val="0"/>
              <w:pageBreakBefore w:val="0"/>
              <w:kinsoku/>
              <w:overflowPunct/>
              <w:topLinePunct w:val="0"/>
              <w:autoSpaceDE/>
              <w:autoSpaceDN/>
              <w:bidi w:val="0"/>
              <w:adjustRightInd w:val="0"/>
              <w:snapToGrid w:val="0"/>
              <w:spacing w:line="240" w:lineRule="auto"/>
              <w:ind w:left="0" w:leftChars="0" w:right="0" w:rightChars="0" w:firstLine="0" w:firstLineChars="0"/>
              <w:jc w:val="left"/>
              <w:rPr>
                <w:rFonts w:hint="eastAsia" w:ascii="微软雅黑" w:hAnsi="微软雅黑" w:eastAsia="微软雅黑" w:cs="微软雅黑"/>
                <w:i w:val="0"/>
                <w:iCs w:val="0"/>
                <w:caps w:val="0"/>
                <w:color w:val="060A26"/>
                <w:spacing w:val="0"/>
                <w:sz w:val="21"/>
                <w:szCs w:val="21"/>
              </w:rPr>
            </w:pPr>
          </w:p>
        </w:tc>
        <w:tc>
          <w:tcPr>
            <w:tcW w:w="1580"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20AD8A6B">
            <w:pPr>
              <w:widowControl/>
              <w:wordWrap w:val="0"/>
              <w:adjustRightInd w:val="0"/>
              <w:snapToGrid w:val="0"/>
              <w:spacing w:line="240" w:lineRule="auto"/>
              <w:jc w:val="left"/>
              <w:textAlignment w:val="center"/>
              <w:rPr>
                <w:rFonts w:hint="default" w:ascii="微软雅黑" w:hAnsi="微软雅黑" w:eastAsia="微软雅黑" w:cs="微软雅黑"/>
                <w:color w:val="060A26"/>
                <w:kern w:val="0"/>
                <w:szCs w:val="21"/>
                <w:lang w:val="en-US" w:eastAsia="zh-CN" w:bidi="ar"/>
              </w:rPr>
            </w:pPr>
            <w:r>
              <w:rPr>
                <w:rFonts w:hint="eastAsia" w:ascii="微软雅黑" w:hAnsi="微软雅黑" w:eastAsia="微软雅黑" w:cs="微软雅黑"/>
                <w:color w:val="060A26"/>
                <w:kern w:val="0"/>
                <w:szCs w:val="21"/>
                <w:lang w:val="en-US" w:eastAsia="zh-CN" w:bidi="ar"/>
              </w:rPr>
              <w:t>专病中心</w:t>
            </w:r>
          </w:p>
        </w:tc>
        <w:tc>
          <w:tcPr>
            <w:tcW w:w="6686"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7FE976D3">
            <w:pPr>
              <w:widowControl/>
              <w:wordWrap w:val="0"/>
              <w:adjustRightInd w:val="0"/>
              <w:snapToGrid w:val="0"/>
              <w:spacing w:line="240" w:lineRule="auto"/>
              <w:jc w:val="left"/>
              <w:textAlignment w:val="center"/>
              <w:rPr>
                <w:rFonts w:hint="default" w:ascii="微软雅黑" w:hAnsi="微软雅黑" w:eastAsia="微软雅黑" w:cs="微软雅黑"/>
                <w:color w:val="060A26"/>
                <w:kern w:val="0"/>
                <w:szCs w:val="21"/>
                <w:lang w:val="en-US" w:eastAsia="zh-CN" w:bidi="ar"/>
              </w:rPr>
            </w:pPr>
            <w:r>
              <w:rPr>
                <w:rFonts w:hint="eastAsia" w:ascii="微软雅黑" w:hAnsi="微软雅黑" w:eastAsia="微软雅黑" w:cs="微软雅黑"/>
                <w:color w:val="060A26"/>
                <w:kern w:val="0"/>
                <w:szCs w:val="21"/>
                <w:lang w:val="en-US" w:eastAsia="zh-CN" w:bidi="ar"/>
              </w:rPr>
              <w:t>支持按专病中心进行预约挂号</w:t>
            </w:r>
          </w:p>
        </w:tc>
      </w:tr>
      <w:tr w14:paraId="3EFFE736">
        <w:tblPrEx>
          <w:tblBorders>
            <w:top w:val="single" w:color="auto" w:sz="2" w:space="0"/>
            <w:left w:val="single" w:color="auto" w:sz="2" w:space="0"/>
            <w:bottom w:val="single" w:color="auto" w:sz="2" w:space="0"/>
            <w:right w:val="single" w:color="auto" w:sz="2" w:space="0"/>
            <w:insideH w:val="none" w:color="auto" w:sz="0" w:space="0"/>
            <w:insideV w:val="none" w:color="auto" w:sz="0" w:space="0"/>
          </w:tblBorders>
          <w:tblCellMar>
            <w:top w:w="15" w:type="dxa"/>
            <w:left w:w="15" w:type="dxa"/>
            <w:bottom w:w="15" w:type="dxa"/>
            <w:right w:w="15" w:type="dxa"/>
          </w:tblCellMar>
        </w:tblPrEx>
        <w:trPr>
          <w:trHeight w:val="391" w:hRule="atLeast"/>
          <w:jc w:val="center"/>
        </w:trPr>
        <w:tc>
          <w:tcPr>
            <w:tcW w:w="1293" w:type="dxa"/>
            <w:tcBorders>
              <w:left w:val="single" w:color="auto" w:sz="6" w:space="0"/>
              <w:right w:val="single" w:color="auto" w:sz="6" w:space="0"/>
            </w:tcBorders>
            <w:shd w:val="clear" w:color="auto" w:fill="FFFFFF"/>
            <w:tcMar>
              <w:top w:w="150" w:type="dxa"/>
              <w:left w:w="210" w:type="dxa"/>
              <w:bottom w:w="150" w:type="dxa"/>
              <w:right w:w="210" w:type="dxa"/>
            </w:tcMar>
            <w:vAlign w:val="center"/>
          </w:tcPr>
          <w:p w14:paraId="1CE40D07">
            <w:pPr>
              <w:keepNext w:val="0"/>
              <w:keepLines w:val="0"/>
              <w:pageBreakBefore w:val="0"/>
              <w:kinsoku/>
              <w:overflowPunct/>
              <w:topLinePunct w:val="0"/>
              <w:autoSpaceDE/>
              <w:autoSpaceDN/>
              <w:bidi w:val="0"/>
              <w:adjustRightInd w:val="0"/>
              <w:snapToGrid w:val="0"/>
              <w:spacing w:line="240" w:lineRule="auto"/>
              <w:ind w:left="0" w:leftChars="0" w:right="0" w:rightChars="0" w:firstLine="0" w:firstLineChars="0"/>
              <w:jc w:val="left"/>
              <w:rPr>
                <w:rFonts w:hint="eastAsia" w:ascii="微软雅黑" w:hAnsi="微软雅黑" w:eastAsia="微软雅黑" w:cs="微软雅黑"/>
                <w:i w:val="0"/>
                <w:iCs w:val="0"/>
                <w:caps w:val="0"/>
                <w:color w:val="060A26"/>
                <w:spacing w:val="0"/>
                <w:sz w:val="21"/>
                <w:szCs w:val="21"/>
              </w:rPr>
            </w:pPr>
          </w:p>
        </w:tc>
        <w:tc>
          <w:tcPr>
            <w:tcW w:w="1580"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13168804">
            <w:pPr>
              <w:widowControl/>
              <w:wordWrap w:val="0"/>
              <w:adjustRightInd w:val="0"/>
              <w:snapToGrid w:val="0"/>
              <w:spacing w:line="240" w:lineRule="auto"/>
              <w:jc w:val="left"/>
              <w:textAlignment w:val="center"/>
              <w:rPr>
                <w:rFonts w:hint="eastAsia" w:ascii="微软雅黑" w:hAnsi="微软雅黑" w:eastAsia="微软雅黑" w:cs="微软雅黑"/>
                <w:color w:val="060A26"/>
                <w:kern w:val="0"/>
                <w:sz w:val="21"/>
                <w:szCs w:val="21"/>
                <w:lang w:val="en-US" w:eastAsia="zh-CN" w:bidi="ar"/>
              </w:rPr>
            </w:pPr>
            <w:r>
              <w:rPr>
                <w:rFonts w:hint="default" w:ascii="微软雅黑" w:hAnsi="微软雅黑" w:eastAsia="微软雅黑" w:cs="微软雅黑"/>
                <w:color w:val="060A26"/>
                <w:kern w:val="0"/>
                <w:szCs w:val="21"/>
                <w:lang w:val="en-US" w:eastAsia="zh-CN" w:bidi="ar"/>
              </w:rPr>
              <w:t>业务发展需求</w:t>
            </w:r>
          </w:p>
        </w:tc>
        <w:tc>
          <w:tcPr>
            <w:tcW w:w="6686" w:type="dxa"/>
            <w:tcBorders>
              <w:top w:val="single" w:color="auto" w:sz="6" w:space="0"/>
              <w:left w:val="single" w:color="auto" w:sz="6" w:space="0"/>
              <w:bottom w:val="single" w:color="auto" w:sz="6" w:space="0"/>
              <w:right w:val="single" w:color="auto" w:sz="6" w:space="0"/>
            </w:tcBorders>
            <w:shd w:val="clear" w:color="auto" w:fill="FFFFFF"/>
            <w:tcMar>
              <w:top w:w="150" w:type="dxa"/>
              <w:left w:w="210" w:type="dxa"/>
              <w:bottom w:w="150" w:type="dxa"/>
              <w:right w:w="210" w:type="dxa"/>
            </w:tcMar>
            <w:vAlign w:val="center"/>
          </w:tcPr>
          <w:p w14:paraId="5D12C836">
            <w:pPr>
              <w:widowControl/>
              <w:wordWrap w:val="0"/>
              <w:adjustRightInd w:val="0"/>
              <w:snapToGrid w:val="0"/>
              <w:spacing w:line="240" w:lineRule="auto"/>
              <w:jc w:val="left"/>
              <w:textAlignment w:val="center"/>
              <w:rPr>
                <w:rFonts w:hint="eastAsia" w:ascii="微软雅黑" w:hAnsi="微软雅黑" w:eastAsia="微软雅黑" w:cs="微软雅黑"/>
                <w:color w:val="060A26"/>
                <w:kern w:val="0"/>
                <w:sz w:val="21"/>
                <w:szCs w:val="21"/>
                <w:lang w:val="en-US" w:eastAsia="zh-CN" w:bidi="ar"/>
              </w:rPr>
            </w:pPr>
            <w:r>
              <w:rPr>
                <w:rFonts w:hint="eastAsia" w:ascii="微软雅黑" w:hAnsi="微软雅黑" w:eastAsia="微软雅黑" w:cs="微软雅黑"/>
                <w:color w:val="060A26"/>
                <w:kern w:val="0"/>
                <w:szCs w:val="21"/>
                <w:lang w:val="en-US" w:eastAsia="zh-CN" w:bidi="ar"/>
              </w:rPr>
              <w:t>根据</w:t>
            </w:r>
            <w:r>
              <w:rPr>
                <w:rFonts w:hint="default" w:ascii="微软雅黑" w:hAnsi="微软雅黑" w:eastAsia="微软雅黑" w:cs="微软雅黑"/>
                <w:color w:val="060A26"/>
                <w:kern w:val="0"/>
                <w:szCs w:val="21"/>
                <w:lang w:val="en-US" w:eastAsia="zh-CN" w:bidi="ar"/>
              </w:rPr>
              <w:t>上级政策要求、医院管理制度及业务流程优化需要，完成相应功能的优化与改造。</w:t>
            </w:r>
          </w:p>
        </w:tc>
      </w:tr>
    </w:tbl>
    <w:p w14:paraId="665A5B4F"/>
    <w:p w14:paraId="4B60DFE1"/>
    <w:p w14:paraId="4F50202A">
      <w:pPr>
        <w:rPr>
          <w:rFonts w:hint="default"/>
          <w:lang w:val="en-US" w:eastAsia="zh-CN"/>
        </w:rPr>
      </w:pPr>
    </w:p>
    <w:p w14:paraId="105B2B3E">
      <w:pPr>
        <w:pStyle w:val="3"/>
        <w:bidi w:val="0"/>
      </w:pPr>
      <w:bookmarkStart w:id="291" w:name="_Toc32093"/>
      <w:bookmarkStart w:id="292" w:name="_Toc2259"/>
      <w:bookmarkStart w:id="293" w:name="_Toc9464"/>
      <w:bookmarkStart w:id="294" w:name="_Toc28928"/>
      <w:bookmarkStart w:id="295" w:name="_Toc7672"/>
      <w:r>
        <w:rPr>
          <w:rFonts w:hint="eastAsia"/>
        </w:rPr>
        <w:t>worker</w:t>
      </w:r>
      <w:r>
        <w:rPr>
          <w:rFonts w:hint="eastAsia"/>
          <w:lang w:val="en-US" w:eastAsia="zh-CN"/>
        </w:rPr>
        <w:t>服务</w:t>
      </w:r>
      <w:bookmarkEnd w:id="291"/>
      <w:bookmarkEnd w:id="292"/>
      <w:bookmarkEnd w:id="293"/>
      <w:bookmarkEnd w:id="294"/>
      <w:bookmarkEnd w:id="295"/>
    </w:p>
    <w:tbl>
      <w:tblPr>
        <w:tblStyle w:val="46"/>
        <w:tblW w:w="9218" w:type="dxa"/>
        <w:jc w:val="center"/>
        <w:tblLayout w:type="autofit"/>
        <w:tblCellMar>
          <w:top w:w="0" w:type="dxa"/>
          <w:left w:w="108" w:type="dxa"/>
          <w:bottom w:w="0" w:type="dxa"/>
          <w:right w:w="108" w:type="dxa"/>
        </w:tblCellMar>
      </w:tblPr>
      <w:tblGrid>
        <w:gridCol w:w="1661"/>
        <w:gridCol w:w="891"/>
        <w:gridCol w:w="6666"/>
      </w:tblGrid>
      <w:tr w14:paraId="108243F3">
        <w:tblPrEx>
          <w:tblCellMar>
            <w:top w:w="0" w:type="dxa"/>
            <w:left w:w="108" w:type="dxa"/>
            <w:bottom w:w="0" w:type="dxa"/>
            <w:right w:w="108" w:type="dxa"/>
          </w:tblCellMar>
        </w:tblPrEx>
        <w:trPr>
          <w:trHeight w:val="357" w:hRule="atLeast"/>
          <w:jc w:val="center"/>
        </w:trPr>
        <w:tc>
          <w:tcPr>
            <w:tcW w:w="1661" w:type="dxa"/>
            <w:tcBorders>
              <w:top w:val="single" w:color="auto" w:sz="8" w:space="0"/>
              <w:left w:val="single" w:color="auto" w:sz="8" w:space="0"/>
              <w:bottom w:val="single" w:color="auto" w:sz="8" w:space="0"/>
              <w:right w:val="single" w:color="auto" w:sz="8" w:space="0"/>
            </w:tcBorders>
            <w:vAlign w:val="center"/>
          </w:tcPr>
          <w:p w14:paraId="7FB3C25A">
            <w:pPr>
              <w:widowControl/>
              <w:jc w:val="center"/>
              <w:rPr>
                <w:rFonts w:ascii="宋体" w:hAnsi="宋体" w:cs="宋体"/>
                <w:color w:val="000000"/>
                <w:kern w:val="0"/>
                <w:szCs w:val="21"/>
              </w:rPr>
            </w:pPr>
            <w:r>
              <w:rPr>
                <w:rFonts w:hint="eastAsia" w:ascii="宋体" w:hAnsi="宋体" w:cs="宋体"/>
                <w:color w:val="000000"/>
                <w:kern w:val="0"/>
                <w:szCs w:val="21"/>
              </w:rPr>
              <w:t>需求名称</w:t>
            </w:r>
          </w:p>
        </w:tc>
        <w:tc>
          <w:tcPr>
            <w:tcW w:w="891" w:type="dxa"/>
            <w:tcBorders>
              <w:top w:val="single" w:color="auto" w:sz="8" w:space="0"/>
              <w:left w:val="nil"/>
              <w:bottom w:val="single" w:color="auto" w:sz="8" w:space="0"/>
              <w:right w:val="single" w:color="auto" w:sz="8" w:space="0"/>
            </w:tcBorders>
            <w:vAlign w:val="center"/>
          </w:tcPr>
          <w:p w14:paraId="2E33E1EB">
            <w:pPr>
              <w:widowControl/>
              <w:jc w:val="center"/>
              <w:rPr>
                <w:rFonts w:ascii="宋体" w:hAnsi="宋体" w:cs="宋体"/>
                <w:color w:val="000000"/>
                <w:kern w:val="0"/>
                <w:szCs w:val="21"/>
              </w:rPr>
            </w:pPr>
            <w:r>
              <w:rPr>
                <w:rFonts w:hint="eastAsia" w:ascii="宋体" w:hAnsi="宋体" w:cs="宋体"/>
                <w:color w:val="000000"/>
                <w:kern w:val="0"/>
                <w:szCs w:val="21"/>
              </w:rPr>
              <w:t>序号</w:t>
            </w:r>
          </w:p>
        </w:tc>
        <w:tc>
          <w:tcPr>
            <w:tcW w:w="6666" w:type="dxa"/>
            <w:tcBorders>
              <w:top w:val="single" w:color="auto" w:sz="8" w:space="0"/>
              <w:left w:val="nil"/>
              <w:bottom w:val="single" w:color="auto" w:sz="8" w:space="0"/>
              <w:right w:val="single" w:color="auto" w:sz="8" w:space="0"/>
            </w:tcBorders>
            <w:vAlign w:val="center"/>
          </w:tcPr>
          <w:p w14:paraId="176ECB84">
            <w:pPr>
              <w:widowControl/>
              <w:jc w:val="center"/>
              <w:rPr>
                <w:rFonts w:ascii="宋体" w:hAnsi="宋体" w:cs="宋体"/>
                <w:color w:val="000000"/>
                <w:kern w:val="0"/>
                <w:szCs w:val="21"/>
              </w:rPr>
            </w:pPr>
            <w:r>
              <w:rPr>
                <w:rFonts w:hint="eastAsia" w:ascii="宋体" w:hAnsi="宋体" w:cs="宋体"/>
                <w:color w:val="000000"/>
                <w:kern w:val="0"/>
                <w:szCs w:val="21"/>
              </w:rPr>
              <w:t>需求描述</w:t>
            </w:r>
          </w:p>
        </w:tc>
      </w:tr>
      <w:tr w14:paraId="64382B5A">
        <w:tblPrEx>
          <w:tblCellMar>
            <w:top w:w="0" w:type="dxa"/>
            <w:left w:w="108" w:type="dxa"/>
            <w:bottom w:w="0" w:type="dxa"/>
            <w:right w:w="108" w:type="dxa"/>
          </w:tblCellMar>
        </w:tblPrEx>
        <w:trPr>
          <w:trHeight w:val="400" w:hRule="atLeast"/>
          <w:jc w:val="center"/>
        </w:trPr>
        <w:tc>
          <w:tcPr>
            <w:tcW w:w="9218" w:type="dxa"/>
            <w:gridSpan w:val="3"/>
            <w:tcBorders>
              <w:top w:val="nil"/>
              <w:left w:val="single" w:color="auto" w:sz="8" w:space="0"/>
              <w:bottom w:val="single" w:color="auto" w:sz="4" w:space="0"/>
              <w:right w:val="single" w:color="auto" w:sz="8" w:space="0"/>
            </w:tcBorders>
            <w:vAlign w:val="center"/>
          </w:tcPr>
          <w:p w14:paraId="70756F35">
            <w:pPr>
              <w:widowControl/>
              <w:rPr>
                <w:rFonts w:ascii="宋体" w:hAnsi="宋体" w:cs="宋体"/>
                <w:b/>
                <w:bCs/>
                <w:kern w:val="0"/>
                <w:szCs w:val="21"/>
              </w:rPr>
            </w:pPr>
            <w:r>
              <w:rPr>
                <w:rFonts w:hint="eastAsia" w:ascii="宋体" w:hAnsi="宋体" w:cs="宋体"/>
                <w:b/>
                <w:bCs/>
                <w:kern w:val="0"/>
                <w:szCs w:val="21"/>
                <w:lang w:val="en-US" w:eastAsia="zh-CN"/>
              </w:rPr>
              <w:t>维护保障</w:t>
            </w:r>
            <w:r>
              <w:rPr>
                <w:rFonts w:hint="eastAsia" w:ascii="宋体" w:hAnsi="宋体" w:cs="宋体"/>
                <w:b/>
                <w:bCs/>
                <w:kern w:val="0"/>
                <w:szCs w:val="21"/>
              </w:rPr>
              <w:t>需求：</w:t>
            </w:r>
          </w:p>
        </w:tc>
      </w:tr>
      <w:tr w14:paraId="2A75709B">
        <w:tblPrEx>
          <w:tblCellMar>
            <w:top w:w="0" w:type="dxa"/>
            <w:left w:w="108" w:type="dxa"/>
            <w:bottom w:w="0" w:type="dxa"/>
            <w:right w:w="108" w:type="dxa"/>
          </w:tblCellMar>
        </w:tblPrEx>
        <w:trPr>
          <w:trHeight w:val="521" w:hRule="atLeast"/>
          <w:jc w:val="center"/>
        </w:trPr>
        <w:tc>
          <w:tcPr>
            <w:tcW w:w="1661" w:type="dxa"/>
            <w:vMerge w:val="restart"/>
            <w:tcBorders>
              <w:top w:val="single" w:color="auto" w:sz="4" w:space="0"/>
              <w:left w:val="single" w:color="auto" w:sz="4" w:space="0"/>
              <w:bottom w:val="single" w:color="auto" w:sz="4" w:space="0"/>
              <w:right w:val="single" w:color="auto" w:sz="4" w:space="0"/>
            </w:tcBorders>
            <w:vAlign w:val="center"/>
          </w:tcPr>
          <w:p w14:paraId="59E41980">
            <w:pPr>
              <w:widowControl/>
              <w:jc w:val="center"/>
              <w:rPr>
                <w:rFonts w:ascii="宋体" w:hAnsi="宋体" w:cs="宋体"/>
                <w:szCs w:val="21"/>
              </w:rPr>
            </w:pPr>
            <w:r>
              <w:rPr>
                <w:rFonts w:hint="eastAsia" w:ascii="宋体" w:hAnsi="宋体" w:cs="宋体"/>
                <w:szCs w:val="21"/>
              </w:rPr>
              <w:t>数据上报、提醒</w:t>
            </w:r>
          </w:p>
        </w:tc>
        <w:tc>
          <w:tcPr>
            <w:tcW w:w="891" w:type="dxa"/>
            <w:tcBorders>
              <w:top w:val="single" w:color="auto" w:sz="4" w:space="0"/>
              <w:left w:val="single" w:color="auto" w:sz="4" w:space="0"/>
              <w:bottom w:val="single" w:color="auto" w:sz="4" w:space="0"/>
              <w:right w:val="single" w:color="auto" w:sz="4" w:space="0"/>
            </w:tcBorders>
            <w:vAlign w:val="center"/>
          </w:tcPr>
          <w:p w14:paraId="1EB31C5E">
            <w:pPr>
              <w:widowControl/>
              <w:jc w:val="center"/>
              <w:rPr>
                <w:rFonts w:ascii="宋体" w:hAnsi="宋体" w:cs="宋体"/>
                <w:szCs w:val="21"/>
              </w:rPr>
            </w:pPr>
            <w:r>
              <w:rPr>
                <w:rFonts w:hint="eastAsia" w:ascii="宋体" w:hAnsi="宋体" w:cs="宋体"/>
                <w:szCs w:val="21"/>
              </w:rPr>
              <w:t>1.1</w:t>
            </w:r>
          </w:p>
        </w:tc>
        <w:tc>
          <w:tcPr>
            <w:tcW w:w="6666" w:type="dxa"/>
            <w:tcBorders>
              <w:top w:val="single" w:color="auto" w:sz="4" w:space="0"/>
              <w:left w:val="single" w:color="auto" w:sz="4" w:space="0"/>
              <w:bottom w:val="single" w:color="auto" w:sz="4" w:space="0"/>
              <w:right w:val="single" w:color="auto" w:sz="4" w:space="0"/>
            </w:tcBorders>
            <w:vAlign w:val="center"/>
          </w:tcPr>
          <w:p w14:paraId="585405F5">
            <w:pPr>
              <w:widowControl/>
              <w:rPr>
                <w:rFonts w:ascii="宋体" w:hAnsi="宋体" w:cs="宋体"/>
                <w:szCs w:val="21"/>
              </w:rPr>
            </w:pPr>
            <w:r>
              <w:rPr>
                <w:rFonts w:hint="eastAsia" w:ascii="宋体" w:hAnsi="宋体" w:cs="宋体"/>
                <w:szCs w:val="21"/>
              </w:rPr>
              <w:t>市妇幼平台数据上报</w:t>
            </w:r>
          </w:p>
        </w:tc>
      </w:tr>
      <w:tr w14:paraId="054CD3BD">
        <w:tblPrEx>
          <w:tblCellMar>
            <w:top w:w="0" w:type="dxa"/>
            <w:left w:w="108" w:type="dxa"/>
            <w:bottom w:w="0" w:type="dxa"/>
            <w:right w:w="108" w:type="dxa"/>
          </w:tblCellMar>
        </w:tblPrEx>
        <w:trPr>
          <w:trHeight w:val="521" w:hRule="atLeast"/>
          <w:jc w:val="center"/>
        </w:trPr>
        <w:tc>
          <w:tcPr>
            <w:tcW w:w="1661" w:type="dxa"/>
            <w:vMerge w:val="continue"/>
            <w:tcBorders>
              <w:top w:val="single" w:color="auto" w:sz="4" w:space="0"/>
              <w:left w:val="single" w:color="auto" w:sz="4" w:space="0"/>
              <w:bottom w:val="single" w:color="auto" w:sz="4" w:space="0"/>
              <w:right w:val="single" w:color="auto" w:sz="4" w:space="0"/>
            </w:tcBorders>
            <w:vAlign w:val="center"/>
          </w:tcPr>
          <w:p w14:paraId="766DB3A9">
            <w:pPr>
              <w:widowControl/>
              <w:jc w:val="center"/>
              <w:rPr>
                <w:rFonts w:ascii="宋体" w:hAnsi="宋体" w:cs="宋体"/>
                <w:szCs w:val="21"/>
              </w:rPr>
            </w:pPr>
          </w:p>
        </w:tc>
        <w:tc>
          <w:tcPr>
            <w:tcW w:w="891" w:type="dxa"/>
            <w:tcBorders>
              <w:top w:val="single" w:color="auto" w:sz="4" w:space="0"/>
              <w:left w:val="single" w:color="auto" w:sz="4" w:space="0"/>
              <w:bottom w:val="single" w:color="auto" w:sz="4" w:space="0"/>
              <w:right w:val="single" w:color="auto" w:sz="4" w:space="0"/>
            </w:tcBorders>
            <w:vAlign w:val="center"/>
          </w:tcPr>
          <w:p w14:paraId="699253ED">
            <w:pPr>
              <w:widowControl/>
              <w:jc w:val="center"/>
              <w:rPr>
                <w:rFonts w:ascii="宋体" w:hAnsi="宋体" w:cs="宋体"/>
                <w:szCs w:val="21"/>
              </w:rPr>
            </w:pPr>
            <w:r>
              <w:rPr>
                <w:rFonts w:hint="eastAsia" w:ascii="宋体" w:hAnsi="宋体" w:cs="宋体"/>
                <w:szCs w:val="21"/>
              </w:rPr>
              <w:t>1.2</w:t>
            </w:r>
          </w:p>
        </w:tc>
        <w:tc>
          <w:tcPr>
            <w:tcW w:w="6666" w:type="dxa"/>
            <w:tcBorders>
              <w:top w:val="single" w:color="auto" w:sz="4" w:space="0"/>
              <w:left w:val="single" w:color="auto" w:sz="4" w:space="0"/>
              <w:bottom w:val="single" w:color="auto" w:sz="4" w:space="0"/>
              <w:right w:val="single" w:color="auto" w:sz="4" w:space="0"/>
            </w:tcBorders>
            <w:vAlign w:val="center"/>
          </w:tcPr>
          <w:p w14:paraId="2DAA9CC4">
            <w:pPr>
              <w:widowControl/>
              <w:rPr>
                <w:rFonts w:ascii="宋体" w:hAnsi="宋体" w:cs="宋体"/>
                <w:szCs w:val="21"/>
              </w:rPr>
            </w:pPr>
            <w:r>
              <w:rPr>
                <w:rFonts w:hint="eastAsia" w:ascii="宋体" w:hAnsi="宋体" w:cs="宋体"/>
                <w:szCs w:val="21"/>
              </w:rPr>
              <w:t>智慧小七数据推送</w:t>
            </w:r>
          </w:p>
        </w:tc>
      </w:tr>
      <w:tr w14:paraId="18006371">
        <w:tblPrEx>
          <w:tblCellMar>
            <w:top w:w="0" w:type="dxa"/>
            <w:left w:w="108" w:type="dxa"/>
            <w:bottom w:w="0" w:type="dxa"/>
            <w:right w:w="108" w:type="dxa"/>
          </w:tblCellMar>
        </w:tblPrEx>
        <w:trPr>
          <w:trHeight w:val="521" w:hRule="atLeast"/>
          <w:jc w:val="center"/>
        </w:trPr>
        <w:tc>
          <w:tcPr>
            <w:tcW w:w="1661" w:type="dxa"/>
            <w:vMerge w:val="continue"/>
            <w:tcBorders>
              <w:top w:val="single" w:color="auto" w:sz="4" w:space="0"/>
              <w:left w:val="single" w:color="auto" w:sz="4" w:space="0"/>
              <w:bottom w:val="single" w:color="auto" w:sz="4" w:space="0"/>
              <w:right w:val="single" w:color="auto" w:sz="4" w:space="0"/>
            </w:tcBorders>
            <w:vAlign w:val="center"/>
          </w:tcPr>
          <w:p w14:paraId="6F63A68A">
            <w:pPr>
              <w:jc w:val="left"/>
              <w:rPr>
                <w:rFonts w:ascii="宋体" w:hAnsi="宋体" w:cs="宋体"/>
                <w:szCs w:val="21"/>
              </w:rPr>
            </w:pPr>
          </w:p>
        </w:tc>
        <w:tc>
          <w:tcPr>
            <w:tcW w:w="891" w:type="dxa"/>
            <w:tcBorders>
              <w:top w:val="single" w:color="auto" w:sz="4" w:space="0"/>
              <w:left w:val="single" w:color="auto" w:sz="4" w:space="0"/>
              <w:bottom w:val="single" w:color="auto" w:sz="4" w:space="0"/>
              <w:right w:val="single" w:color="auto" w:sz="4" w:space="0"/>
            </w:tcBorders>
            <w:vAlign w:val="center"/>
          </w:tcPr>
          <w:p w14:paraId="5CF8F4C4">
            <w:pPr>
              <w:widowControl/>
              <w:jc w:val="center"/>
              <w:rPr>
                <w:rFonts w:ascii="宋体" w:hAnsi="宋体" w:cs="宋体"/>
                <w:szCs w:val="21"/>
              </w:rPr>
            </w:pPr>
            <w:r>
              <w:rPr>
                <w:rFonts w:hint="eastAsia" w:ascii="宋体" w:hAnsi="宋体" w:cs="宋体"/>
                <w:szCs w:val="21"/>
              </w:rPr>
              <w:t>1.3</w:t>
            </w:r>
          </w:p>
        </w:tc>
        <w:tc>
          <w:tcPr>
            <w:tcW w:w="6666" w:type="dxa"/>
            <w:tcBorders>
              <w:top w:val="single" w:color="auto" w:sz="4" w:space="0"/>
              <w:left w:val="single" w:color="auto" w:sz="4" w:space="0"/>
              <w:bottom w:val="single" w:color="auto" w:sz="4" w:space="0"/>
              <w:right w:val="single" w:color="auto" w:sz="4" w:space="0"/>
            </w:tcBorders>
            <w:vAlign w:val="center"/>
          </w:tcPr>
          <w:p w14:paraId="55D2EDFA">
            <w:pPr>
              <w:rPr>
                <w:rFonts w:ascii="宋体" w:hAnsi="宋体" w:cs="宋体"/>
                <w:szCs w:val="21"/>
              </w:rPr>
            </w:pPr>
            <w:r>
              <w:rPr>
                <w:rFonts w:hint="eastAsia" w:ascii="宋体" w:hAnsi="宋体" w:cs="宋体"/>
                <w:szCs w:val="21"/>
              </w:rPr>
              <w:t>检验检查报告、影像上报</w:t>
            </w:r>
          </w:p>
        </w:tc>
      </w:tr>
      <w:tr w14:paraId="1EA7BD0C">
        <w:tblPrEx>
          <w:tblCellMar>
            <w:top w:w="0" w:type="dxa"/>
            <w:left w:w="108" w:type="dxa"/>
            <w:bottom w:w="0" w:type="dxa"/>
            <w:right w:w="108" w:type="dxa"/>
          </w:tblCellMar>
        </w:tblPrEx>
        <w:trPr>
          <w:trHeight w:val="572" w:hRule="atLeast"/>
          <w:jc w:val="center"/>
        </w:trPr>
        <w:tc>
          <w:tcPr>
            <w:tcW w:w="1661" w:type="dxa"/>
            <w:vMerge w:val="restart"/>
            <w:tcBorders>
              <w:top w:val="single" w:color="auto" w:sz="4" w:space="0"/>
              <w:left w:val="single" w:color="auto" w:sz="4" w:space="0"/>
              <w:right w:val="single" w:color="auto" w:sz="4" w:space="0"/>
            </w:tcBorders>
            <w:vAlign w:val="center"/>
          </w:tcPr>
          <w:p w14:paraId="61F3B4CC">
            <w:pPr>
              <w:jc w:val="left"/>
              <w:rPr>
                <w:rFonts w:ascii="宋体" w:hAnsi="宋体" w:cs="宋体"/>
                <w:szCs w:val="21"/>
              </w:rPr>
            </w:pPr>
            <w:r>
              <w:rPr>
                <w:rFonts w:hint="eastAsia" w:ascii="宋体" w:hAnsi="宋体" w:cs="宋体"/>
                <w:szCs w:val="21"/>
              </w:rPr>
              <w:t>消息发送提醒</w:t>
            </w:r>
          </w:p>
        </w:tc>
        <w:tc>
          <w:tcPr>
            <w:tcW w:w="891" w:type="dxa"/>
            <w:tcBorders>
              <w:top w:val="single" w:color="auto" w:sz="4" w:space="0"/>
              <w:left w:val="single" w:color="auto" w:sz="4" w:space="0"/>
              <w:bottom w:val="single" w:color="auto" w:sz="4" w:space="0"/>
              <w:right w:val="single" w:color="auto" w:sz="8" w:space="0"/>
            </w:tcBorders>
            <w:vAlign w:val="center"/>
          </w:tcPr>
          <w:p w14:paraId="5D6BF2A4">
            <w:pPr>
              <w:widowControl/>
              <w:jc w:val="center"/>
              <w:rPr>
                <w:rFonts w:ascii="宋体" w:hAnsi="宋体" w:cs="宋体"/>
                <w:szCs w:val="21"/>
              </w:rPr>
            </w:pPr>
            <w:r>
              <w:rPr>
                <w:rFonts w:hint="eastAsia" w:ascii="宋体" w:hAnsi="宋体" w:cs="宋体"/>
                <w:szCs w:val="21"/>
              </w:rPr>
              <w:t>2.1</w:t>
            </w:r>
          </w:p>
        </w:tc>
        <w:tc>
          <w:tcPr>
            <w:tcW w:w="6666" w:type="dxa"/>
            <w:tcBorders>
              <w:top w:val="single" w:color="auto" w:sz="4" w:space="0"/>
              <w:left w:val="nil"/>
              <w:bottom w:val="single" w:color="auto" w:sz="4" w:space="0"/>
              <w:right w:val="single" w:color="auto" w:sz="8" w:space="0"/>
            </w:tcBorders>
            <w:vAlign w:val="center"/>
          </w:tcPr>
          <w:p w14:paraId="11485313">
            <w:pPr>
              <w:rPr>
                <w:rFonts w:ascii="宋体" w:hAnsi="宋体" w:cs="宋体"/>
                <w:szCs w:val="21"/>
              </w:rPr>
            </w:pPr>
            <w:r>
              <w:rPr>
                <w:rFonts w:ascii="宋体" w:hAnsi="宋体" w:cs="宋体"/>
                <w:szCs w:val="21"/>
              </w:rPr>
              <w:t>短信定时发送</w:t>
            </w:r>
          </w:p>
        </w:tc>
      </w:tr>
      <w:tr w14:paraId="2C164E7E">
        <w:tblPrEx>
          <w:tblCellMar>
            <w:top w:w="0" w:type="dxa"/>
            <w:left w:w="108" w:type="dxa"/>
            <w:bottom w:w="0" w:type="dxa"/>
            <w:right w:w="108" w:type="dxa"/>
          </w:tblCellMar>
        </w:tblPrEx>
        <w:trPr>
          <w:trHeight w:val="572" w:hRule="atLeast"/>
          <w:jc w:val="center"/>
        </w:trPr>
        <w:tc>
          <w:tcPr>
            <w:tcW w:w="1661" w:type="dxa"/>
            <w:vMerge w:val="continue"/>
            <w:tcBorders>
              <w:left w:val="single" w:color="auto" w:sz="4" w:space="0"/>
              <w:right w:val="single" w:color="auto" w:sz="4" w:space="0"/>
            </w:tcBorders>
            <w:vAlign w:val="center"/>
          </w:tcPr>
          <w:p w14:paraId="240C313B">
            <w:pPr>
              <w:jc w:val="left"/>
              <w:rPr>
                <w:rFonts w:ascii="宋体" w:hAnsi="宋体" w:cs="宋体"/>
                <w:szCs w:val="21"/>
              </w:rPr>
            </w:pPr>
          </w:p>
        </w:tc>
        <w:tc>
          <w:tcPr>
            <w:tcW w:w="891" w:type="dxa"/>
            <w:tcBorders>
              <w:top w:val="nil"/>
              <w:left w:val="single" w:color="auto" w:sz="4" w:space="0"/>
              <w:bottom w:val="single" w:color="auto" w:sz="4" w:space="0"/>
              <w:right w:val="single" w:color="auto" w:sz="8" w:space="0"/>
            </w:tcBorders>
            <w:vAlign w:val="center"/>
          </w:tcPr>
          <w:p w14:paraId="02C95CEF">
            <w:pPr>
              <w:widowControl/>
              <w:jc w:val="center"/>
              <w:rPr>
                <w:rFonts w:ascii="宋体" w:hAnsi="宋体" w:cs="宋体"/>
                <w:szCs w:val="21"/>
              </w:rPr>
            </w:pPr>
            <w:r>
              <w:rPr>
                <w:rFonts w:hint="eastAsia" w:ascii="宋体" w:hAnsi="宋体" w:cs="宋体"/>
                <w:szCs w:val="21"/>
              </w:rPr>
              <w:t>2.2</w:t>
            </w:r>
          </w:p>
        </w:tc>
        <w:tc>
          <w:tcPr>
            <w:tcW w:w="6666" w:type="dxa"/>
            <w:tcBorders>
              <w:top w:val="nil"/>
              <w:left w:val="nil"/>
              <w:bottom w:val="single" w:color="auto" w:sz="4" w:space="0"/>
              <w:right w:val="single" w:color="auto" w:sz="8" w:space="0"/>
            </w:tcBorders>
            <w:vAlign w:val="center"/>
          </w:tcPr>
          <w:p w14:paraId="01FEEEA8">
            <w:pPr>
              <w:rPr>
                <w:rFonts w:ascii="宋体" w:hAnsi="宋体" w:cs="宋体"/>
                <w:szCs w:val="21"/>
              </w:rPr>
            </w:pPr>
            <w:r>
              <w:rPr>
                <w:rFonts w:ascii="宋体" w:hAnsi="宋体" w:cs="宋体"/>
                <w:szCs w:val="21"/>
              </w:rPr>
              <w:t>微信模板消息发送</w:t>
            </w:r>
          </w:p>
        </w:tc>
      </w:tr>
      <w:tr w14:paraId="0F0A4DAE">
        <w:tblPrEx>
          <w:tblCellMar>
            <w:top w:w="0" w:type="dxa"/>
            <w:left w:w="108" w:type="dxa"/>
            <w:bottom w:w="0" w:type="dxa"/>
            <w:right w:w="108" w:type="dxa"/>
          </w:tblCellMar>
        </w:tblPrEx>
        <w:trPr>
          <w:trHeight w:val="572" w:hRule="atLeast"/>
          <w:jc w:val="center"/>
        </w:trPr>
        <w:tc>
          <w:tcPr>
            <w:tcW w:w="1661" w:type="dxa"/>
            <w:vMerge w:val="continue"/>
            <w:tcBorders>
              <w:left w:val="single" w:color="auto" w:sz="4" w:space="0"/>
              <w:bottom w:val="single" w:color="auto" w:sz="4" w:space="0"/>
              <w:right w:val="single" w:color="auto" w:sz="4" w:space="0"/>
            </w:tcBorders>
            <w:vAlign w:val="center"/>
          </w:tcPr>
          <w:p w14:paraId="6ECE0FBB">
            <w:pPr>
              <w:jc w:val="left"/>
              <w:rPr>
                <w:rFonts w:ascii="宋体" w:hAnsi="宋体" w:cs="宋体"/>
                <w:szCs w:val="21"/>
              </w:rPr>
            </w:pPr>
          </w:p>
        </w:tc>
        <w:tc>
          <w:tcPr>
            <w:tcW w:w="891" w:type="dxa"/>
            <w:tcBorders>
              <w:top w:val="nil"/>
              <w:left w:val="single" w:color="auto" w:sz="4" w:space="0"/>
              <w:bottom w:val="single" w:color="auto" w:sz="4" w:space="0"/>
              <w:right w:val="single" w:color="auto" w:sz="8" w:space="0"/>
            </w:tcBorders>
            <w:vAlign w:val="center"/>
          </w:tcPr>
          <w:p w14:paraId="723E7AEE">
            <w:pPr>
              <w:widowControl/>
              <w:jc w:val="center"/>
              <w:rPr>
                <w:rFonts w:ascii="宋体" w:hAnsi="宋体" w:cs="宋体"/>
                <w:szCs w:val="21"/>
              </w:rPr>
            </w:pPr>
            <w:r>
              <w:rPr>
                <w:rFonts w:hint="eastAsia" w:ascii="宋体" w:hAnsi="宋体" w:cs="宋体"/>
                <w:szCs w:val="21"/>
              </w:rPr>
              <w:t>2.3</w:t>
            </w:r>
          </w:p>
        </w:tc>
        <w:tc>
          <w:tcPr>
            <w:tcW w:w="6666" w:type="dxa"/>
            <w:tcBorders>
              <w:top w:val="nil"/>
              <w:left w:val="nil"/>
              <w:bottom w:val="single" w:color="auto" w:sz="4" w:space="0"/>
              <w:right w:val="single" w:color="auto" w:sz="8" w:space="0"/>
            </w:tcBorders>
            <w:vAlign w:val="center"/>
          </w:tcPr>
          <w:p w14:paraId="61FF025B">
            <w:pPr>
              <w:rPr>
                <w:rFonts w:ascii="宋体" w:hAnsi="宋体" w:cs="宋体"/>
                <w:szCs w:val="21"/>
              </w:rPr>
            </w:pPr>
            <w:r>
              <w:rPr>
                <w:rFonts w:hint="eastAsia" w:ascii="宋体" w:hAnsi="宋体" w:cs="宋体"/>
                <w:szCs w:val="21"/>
              </w:rPr>
              <w:t>企业微信群消息及智慧小七消息推送</w:t>
            </w:r>
          </w:p>
        </w:tc>
      </w:tr>
      <w:tr w14:paraId="42816AA5">
        <w:tblPrEx>
          <w:tblCellMar>
            <w:top w:w="0" w:type="dxa"/>
            <w:left w:w="108" w:type="dxa"/>
            <w:bottom w:w="0" w:type="dxa"/>
            <w:right w:w="108" w:type="dxa"/>
          </w:tblCellMar>
        </w:tblPrEx>
        <w:trPr>
          <w:trHeight w:val="572" w:hRule="atLeast"/>
          <w:jc w:val="center"/>
        </w:trPr>
        <w:tc>
          <w:tcPr>
            <w:tcW w:w="1661" w:type="dxa"/>
            <w:vMerge w:val="restart"/>
            <w:tcBorders>
              <w:top w:val="single" w:color="auto" w:sz="4" w:space="0"/>
              <w:left w:val="single" w:color="auto" w:sz="4" w:space="0"/>
              <w:right w:val="single" w:color="auto" w:sz="4" w:space="0"/>
            </w:tcBorders>
            <w:vAlign w:val="center"/>
          </w:tcPr>
          <w:p w14:paraId="1952BFEA">
            <w:pPr>
              <w:jc w:val="left"/>
              <w:rPr>
                <w:rFonts w:ascii="宋体" w:hAnsi="宋体" w:cs="宋体"/>
                <w:szCs w:val="21"/>
              </w:rPr>
            </w:pPr>
            <w:r>
              <w:rPr>
                <w:rFonts w:ascii="宋体" w:hAnsi="宋体" w:cs="宋体"/>
                <w:szCs w:val="21"/>
              </w:rPr>
              <w:t>定时任务</w:t>
            </w:r>
          </w:p>
        </w:tc>
        <w:tc>
          <w:tcPr>
            <w:tcW w:w="891" w:type="dxa"/>
            <w:tcBorders>
              <w:top w:val="nil"/>
              <w:left w:val="single" w:color="auto" w:sz="4" w:space="0"/>
              <w:bottom w:val="single" w:color="auto" w:sz="4" w:space="0"/>
              <w:right w:val="single" w:color="auto" w:sz="8" w:space="0"/>
            </w:tcBorders>
            <w:vAlign w:val="center"/>
          </w:tcPr>
          <w:p w14:paraId="16993439">
            <w:pPr>
              <w:widowControl/>
              <w:jc w:val="center"/>
              <w:rPr>
                <w:rFonts w:ascii="宋体" w:hAnsi="宋体" w:cs="宋体"/>
                <w:szCs w:val="21"/>
              </w:rPr>
            </w:pPr>
            <w:r>
              <w:rPr>
                <w:rFonts w:hint="eastAsia" w:ascii="宋体" w:hAnsi="宋体" w:cs="宋体"/>
                <w:szCs w:val="21"/>
              </w:rPr>
              <w:t>3.1</w:t>
            </w:r>
          </w:p>
        </w:tc>
        <w:tc>
          <w:tcPr>
            <w:tcW w:w="6666" w:type="dxa"/>
            <w:tcBorders>
              <w:top w:val="nil"/>
              <w:left w:val="nil"/>
              <w:bottom w:val="single" w:color="auto" w:sz="4" w:space="0"/>
              <w:right w:val="single" w:color="auto" w:sz="8" w:space="0"/>
            </w:tcBorders>
            <w:vAlign w:val="center"/>
          </w:tcPr>
          <w:p w14:paraId="0E753BBD">
            <w:pPr>
              <w:rPr>
                <w:rFonts w:ascii="宋体" w:hAnsi="宋体" w:cs="宋体"/>
                <w:szCs w:val="21"/>
              </w:rPr>
            </w:pPr>
            <w:r>
              <w:rPr>
                <w:rFonts w:ascii="宋体" w:hAnsi="宋体" w:cs="宋体"/>
                <w:szCs w:val="21"/>
              </w:rPr>
              <w:t>电子发票定时生成</w:t>
            </w:r>
            <w:r>
              <w:rPr>
                <w:rFonts w:hint="eastAsia" w:ascii="宋体" w:hAnsi="宋体" w:cs="宋体"/>
                <w:szCs w:val="21"/>
              </w:rPr>
              <w:t>/换开/冲红/作废</w:t>
            </w:r>
          </w:p>
        </w:tc>
      </w:tr>
      <w:tr w14:paraId="60131D7B">
        <w:tblPrEx>
          <w:tblCellMar>
            <w:top w:w="0" w:type="dxa"/>
            <w:left w:w="108" w:type="dxa"/>
            <w:bottom w:w="0" w:type="dxa"/>
            <w:right w:w="108" w:type="dxa"/>
          </w:tblCellMar>
        </w:tblPrEx>
        <w:trPr>
          <w:trHeight w:val="572" w:hRule="atLeast"/>
          <w:jc w:val="center"/>
        </w:trPr>
        <w:tc>
          <w:tcPr>
            <w:tcW w:w="1661" w:type="dxa"/>
            <w:vMerge w:val="continue"/>
            <w:tcBorders>
              <w:left w:val="single" w:color="auto" w:sz="4" w:space="0"/>
              <w:right w:val="single" w:color="auto" w:sz="4" w:space="0"/>
            </w:tcBorders>
            <w:vAlign w:val="center"/>
          </w:tcPr>
          <w:p w14:paraId="79E5237D">
            <w:pPr>
              <w:jc w:val="left"/>
              <w:rPr>
                <w:rFonts w:ascii="宋体" w:hAnsi="宋体" w:cs="宋体"/>
                <w:szCs w:val="21"/>
              </w:rPr>
            </w:pPr>
          </w:p>
        </w:tc>
        <w:tc>
          <w:tcPr>
            <w:tcW w:w="891" w:type="dxa"/>
            <w:tcBorders>
              <w:top w:val="nil"/>
              <w:left w:val="single" w:color="auto" w:sz="4" w:space="0"/>
              <w:bottom w:val="single" w:color="auto" w:sz="4" w:space="0"/>
              <w:right w:val="single" w:color="auto" w:sz="8" w:space="0"/>
            </w:tcBorders>
            <w:vAlign w:val="center"/>
          </w:tcPr>
          <w:p w14:paraId="668F73A9">
            <w:pPr>
              <w:widowControl/>
              <w:jc w:val="center"/>
              <w:rPr>
                <w:rFonts w:ascii="宋体" w:hAnsi="宋体" w:cs="宋体"/>
                <w:szCs w:val="21"/>
              </w:rPr>
            </w:pPr>
            <w:r>
              <w:rPr>
                <w:rFonts w:hint="eastAsia" w:ascii="宋体" w:hAnsi="宋体" w:cs="宋体"/>
                <w:szCs w:val="21"/>
              </w:rPr>
              <w:t>3.2</w:t>
            </w:r>
          </w:p>
        </w:tc>
        <w:tc>
          <w:tcPr>
            <w:tcW w:w="6666" w:type="dxa"/>
            <w:tcBorders>
              <w:top w:val="nil"/>
              <w:left w:val="nil"/>
              <w:bottom w:val="single" w:color="auto" w:sz="4" w:space="0"/>
              <w:right w:val="single" w:color="auto" w:sz="8" w:space="0"/>
            </w:tcBorders>
            <w:vAlign w:val="center"/>
          </w:tcPr>
          <w:p w14:paraId="285500F9">
            <w:pPr>
              <w:rPr>
                <w:rFonts w:ascii="宋体" w:hAnsi="宋体" w:cs="宋体"/>
                <w:szCs w:val="21"/>
              </w:rPr>
            </w:pPr>
            <w:r>
              <w:rPr>
                <w:rFonts w:ascii="宋体" w:hAnsi="宋体" w:cs="宋体"/>
                <w:szCs w:val="21"/>
              </w:rPr>
              <w:t>追溯码定时下载与上传到医保</w:t>
            </w:r>
          </w:p>
        </w:tc>
      </w:tr>
      <w:tr w14:paraId="680E8EA5">
        <w:tblPrEx>
          <w:tblCellMar>
            <w:top w:w="0" w:type="dxa"/>
            <w:left w:w="108" w:type="dxa"/>
            <w:bottom w:w="0" w:type="dxa"/>
            <w:right w:w="108" w:type="dxa"/>
          </w:tblCellMar>
        </w:tblPrEx>
        <w:trPr>
          <w:trHeight w:val="572" w:hRule="atLeast"/>
          <w:jc w:val="center"/>
        </w:trPr>
        <w:tc>
          <w:tcPr>
            <w:tcW w:w="1661" w:type="dxa"/>
            <w:vMerge w:val="continue"/>
            <w:tcBorders>
              <w:left w:val="single" w:color="auto" w:sz="4" w:space="0"/>
              <w:right w:val="single" w:color="auto" w:sz="4" w:space="0"/>
            </w:tcBorders>
            <w:vAlign w:val="center"/>
          </w:tcPr>
          <w:p w14:paraId="585EED65">
            <w:pPr>
              <w:jc w:val="left"/>
              <w:rPr>
                <w:rFonts w:ascii="宋体" w:hAnsi="宋体" w:cs="宋体"/>
                <w:szCs w:val="21"/>
              </w:rPr>
            </w:pPr>
          </w:p>
        </w:tc>
        <w:tc>
          <w:tcPr>
            <w:tcW w:w="891" w:type="dxa"/>
            <w:tcBorders>
              <w:top w:val="nil"/>
              <w:left w:val="single" w:color="auto" w:sz="4" w:space="0"/>
              <w:bottom w:val="single" w:color="auto" w:sz="4" w:space="0"/>
              <w:right w:val="single" w:color="auto" w:sz="8" w:space="0"/>
            </w:tcBorders>
            <w:vAlign w:val="center"/>
          </w:tcPr>
          <w:p w14:paraId="4CC6233E">
            <w:pPr>
              <w:widowControl/>
              <w:jc w:val="center"/>
              <w:rPr>
                <w:rFonts w:ascii="宋体" w:hAnsi="宋体" w:cs="宋体"/>
                <w:szCs w:val="21"/>
              </w:rPr>
            </w:pPr>
            <w:r>
              <w:rPr>
                <w:rFonts w:hint="eastAsia" w:ascii="宋体" w:hAnsi="宋体" w:cs="宋体"/>
                <w:szCs w:val="21"/>
              </w:rPr>
              <w:t>3.3</w:t>
            </w:r>
          </w:p>
        </w:tc>
        <w:tc>
          <w:tcPr>
            <w:tcW w:w="6666" w:type="dxa"/>
            <w:tcBorders>
              <w:top w:val="nil"/>
              <w:left w:val="nil"/>
              <w:bottom w:val="single" w:color="auto" w:sz="4" w:space="0"/>
              <w:right w:val="single" w:color="auto" w:sz="8" w:space="0"/>
            </w:tcBorders>
            <w:vAlign w:val="center"/>
          </w:tcPr>
          <w:p w14:paraId="6842DC69">
            <w:pPr>
              <w:rPr>
                <w:rFonts w:ascii="宋体" w:hAnsi="宋体" w:cs="宋体"/>
                <w:szCs w:val="21"/>
              </w:rPr>
            </w:pPr>
            <w:r>
              <w:rPr>
                <w:rFonts w:ascii="宋体" w:hAnsi="宋体" w:cs="宋体"/>
                <w:szCs w:val="21"/>
              </w:rPr>
              <w:t>药品相关数据同步，比如麻精机，云药房等</w:t>
            </w:r>
          </w:p>
        </w:tc>
      </w:tr>
      <w:tr w14:paraId="2826FEDF">
        <w:tblPrEx>
          <w:tblCellMar>
            <w:top w:w="0" w:type="dxa"/>
            <w:left w:w="108" w:type="dxa"/>
            <w:bottom w:w="0" w:type="dxa"/>
            <w:right w:w="108" w:type="dxa"/>
          </w:tblCellMar>
        </w:tblPrEx>
        <w:trPr>
          <w:trHeight w:val="572" w:hRule="atLeast"/>
          <w:jc w:val="center"/>
        </w:trPr>
        <w:tc>
          <w:tcPr>
            <w:tcW w:w="1661" w:type="dxa"/>
            <w:vMerge w:val="continue"/>
            <w:tcBorders>
              <w:left w:val="single" w:color="auto" w:sz="4" w:space="0"/>
              <w:right w:val="single" w:color="auto" w:sz="4" w:space="0"/>
            </w:tcBorders>
            <w:vAlign w:val="center"/>
          </w:tcPr>
          <w:p w14:paraId="11833C5E">
            <w:pPr>
              <w:jc w:val="left"/>
              <w:rPr>
                <w:rFonts w:ascii="宋体" w:hAnsi="宋体" w:cs="宋体"/>
                <w:szCs w:val="21"/>
              </w:rPr>
            </w:pPr>
          </w:p>
        </w:tc>
        <w:tc>
          <w:tcPr>
            <w:tcW w:w="891" w:type="dxa"/>
            <w:tcBorders>
              <w:top w:val="nil"/>
              <w:left w:val="single" w:color="auto" w:sz="4" w:space="0"/>
              <w:bottom w:val="single" w:color="auto" w:sz="4" w:space="0"/>
              <w:right w:val="single" w:color="auto" w:sz="8" w:space="0"/>
            </w:tcBorders>
            <w:vAlign w:val="center"/>
          </w:tcPr>
          <w:p w14:paraId="72AF8F41">
            <w:pPr>
              <w:widowControl/>
              <w:jc w:val="center"/>
              <w:rPr>
                <w:rFonts w:ascii="宋体" w:hAnsi="宋体" w:cs="宋体"/>
                <w:szCs w:val="21"/>
              </w:rPr>
            </w:pPr>
            <w:r>
              <w:rPr>
                <w:rFonts w:hint="eastAsia" w:ascii="宋体" w:hAnsi="宋体" w:cs="宋体"/>
                <w:szCs w:val="21"/>
              </w:rPr>
              <w:t>3.4</w:t>
            </w:r>
          </w:p>
        </w:tc>
        <w:tc>
          <w:tcPr>
            <w:tcW w:w="6666" w:type="dxa"/>
            <w:tcBorders>
              <w:top w:val="nil"/>
              <w:left w:val="nil"/>
              <w:bottom w:val="single" w:color="auto" w:sz="4" w:space="0"/>
              <w:right w:val="single" w:color="auto" w:sz="8" w:space="0"/>
            </w:tcBorders>
            <w:vAlign w:val="center"/>
          </w:tcPr>
          <w:p w14:paraId="541797CA">
            <w:pPr>
              <w:rPr>
                <w:rFonts w:ascii="宋体" w:hAnsi="宋体" w:cs="宋体"/>
                <w:szCs w:val="21"/>
              </w:rPr>
            </w:pPr>
            <w:r>
              <w:rPr>
                <w:rFonts w:hint="eastAsia" w:ascii="宋体" w:hAnsi="宋体" w:cs="宋体"/>
                <w:szCs w:val="21"/>
              </w:rPr>
              <w:t>医保结算数据定时下载回写</w:t>
            </w:r>
          </w:p>
        </w:tc>
      </w:tr>
      <w:tr w14:paraId="6D6A8EFB">
        <w:tblPrEx>
          <w:tblCellMar>
            <w:top w:w="0" w:type="dxa"/>
            <w:left w:w="108" w:type="dxa"/>
            <w:bottom w:w="0" w:type="dxa"/>
            <w:right w:w="108" w:type="dxa"/>
          </w:tblCellMar>
        </w:tblPrEx>
        <w:trPr>
          <w:trHeight w:val="572" w:hRule="atLeast"/>
          <w:jc w:val="center"/>
        </w:trPr>
        <w:tc>
          <w:tcPr>
            <w:tcW w:w="1661" w:type="dxa"/>
            <w:vMerge w:val="continue"/>
            <w:tcBorders>
              <w:left w:val="single" w:color="auto" w:sz="4" w:space="0"/>
              <w:right w:val="single" w:color="auto" w:sz="4" w:space="0"/>
            </w:tcBorders>
            <w:vAlign w:val="center"/>
          </w:tcPr>
          <w:p w14:paraId="7B0C665B">
            <w:pPr>
              <w:jc w:val="left"/>
              <w:rPr>
                <w:rFonts w:ascii="宋体" w:hAnsi="宋体" w:cs="宋体"/>
                <w:szCs w:val="21"/>
              </w:rPr>
            </w:pPr>
          </w:p>
        </w:tc>
        <w:tc>
          <w:tcPr>
            <w:tcW w:w="891" w:type="dxa"/>
            <w:tcBorders>
              <w:top w:val="nil"/>
              <w:left w:val="single" w:color="auto" w:sz="4" w:space="0"/>
              <w:bottom w:val="single" w:color="auto" w:sz="4" w:space="0"/>
              <w:right w:val="single" w:color="auto" w:sz="8" w:space="0"/>
            </w:tcBorders>
            <w:vAlign w:val="center"/>
          </w:tcPr>
          <w:p w14:paraId="25BFBDDA">
            <w:pPr>
              <w:widowControl/>
              <w:jc w:val="center"/>
              <w:rPr>
                <w:rFonts w:ascii="宋体" w:hAnsi="宋体" w:cs="宋体"/>
                <w:szCs w:val="21"/>
              </w:rPr>
            </w:pPr>
            <w:r>
              <w:rPr>
                <w:rFonts w:hint="eastAsia" w:ascii="宋体" w:hAnsi="宋体" w:cs="宋体"/>
                <w:szCs w:val="21"/>
              </w:rPr>
              <w:t>3.5</w:t>
            </w:r>
          </w:p>
        </w:tc>
        <w:tc>
          <w:tcPr>
            <w:tcW w:w="6666" w:type="dxa"/>
            <w:tcBorders>
              <w:top w:val="nil"/>
              <w:left w:val="nil"/>
              <w:bottom w:val="single" w:color="auto" w:sz="4" w:space="0"/>
              <w:right w:val="single" w:color="auto" w:sz="8" w:space="0"/>
            </w:tcBorders>
            <w:vAlign w:val="center"/>
          </w:tcPr>
          <w:p w14:paraId="47E3135C">
            <w:pPr>
              <w:rPr>
                <w:rFonts w:ascii="宋体" w:hAnsi="宋体" w:cs="宋体"/>
                <w:szCs w:val="21"/>
              </w:rPr>
            </w:pPr>
            <w:r>
              <w:rPr>
                <w:rFonts w:hint="eastAsia" w:ascii="宋体" w:hAnsi="宋体" w:cs="宋体"/>
                <w:szCs w:val="21"/>
              </w:rPr>
              <w:t>健康云定时消息推送</w:t>
            </w:r>
          </w:p>
        </w:tc>
      </w:tr>
      <w:tr w14:paraId="13AB8E8A">
        <w:tblPrEx>
          <w:tblCellMar>
            <w:top w:w="0" w:type="dxa"/>
            <w:left w:w="108" w:type="dxa"/>
            <w:bottom w:w="0" w:type="dxa"/>
            <w:right w:w="108" w:type="dxa"/>
          </w:tblCellMar>
        </w:tblPrEx>
        <w:trPr>
          <w:trHeight w:val="572" w:hRule="atLeast"/>
          <w:jc w:val="center"/>
        </w:trPr>
        <w:tc>
          <w:tcPr>
            <w:tcW w:w="1661" w:type="dxa"/>
            <w:vMerge w:val="continue"/>
            <w:tcBorders>
              <w:left w:val="single" w:color="auto" w:sz="4" w:space="0"/>
              <w:right w:val="single" w:color="auto" w:sz="4" w:space="0"/>
            </w:tcBorders>
            <w:vAlign w:val="center"/>
          </w:tcPr>
          <w:p w14:paraId="2BFC15DE">
            <w:pPr>
              <w:jc w:val="left"/>
              <w:rPr>
                <w:rFonts w:ascii="宋体" w:hAnsi="宋体" w:cs="宋体"/>
                <w:szCs w:val="21"/>
              </w:rPr>
            </w:pPr>
          </w:p>
        </w:tc>
        <w:tc>
          <w:tcPr>
            <w:tcW w:w="891" w:type="dxa"/>
            <w:tcBorders>
              <w:top w:val="nil"/>
              <w:left w:val="single" w:color="auto" w:sz="4" w:space="0"/>
              <w:bottom w:val="single" w:color="auto" w:sz="4" w:space="0"/>
              <w:right w:val="single" w:color="auto" w:sz="8" w:space="0"/>
            </w:tcBorders>
            <w:vAlign w:val="center"/>
          </w:tcPr>
          <w:p w14:paraId="00DFA1AC">
            <w:pPr>
              <w:widowControl/>
              <w:jc w:val="center"/>
              <w:rPr>
                <w:rFonts w:ascii="宋体" w:hAnsi="宋体" w:cs="宋体"/>
                <w:szCs w:val="21"/>
              </w:rPr>
            </w:pPr>
            <w:r>
              <w:rPr>
                <w:rFonts w:hint="eastAsia" w:ascii="宋体" w:hAnsi="宋体" w:cs="宋体"/>
                <w:szCs w:val="21"/>
              </w:rPr>
              <w:t>3.6</w:t>
            </w:r>
          </w:p>
        </w:tc>
        <w:tc>
          <w:tcPr>
            <w:tcW w:w="6666" w:type="dxa"/>
            <w:tcBorders>
              <w:top w:val="nil"/>
              <w:left w:val="nil"/>
              <w:bottom w:val="single" w:color="auto" w:sz="4" w:space="0"/>
              <w:right w:val="single" w:color="auto" w:sz="8" w:space="0"/>
            </w:tcBorders>
            <w:vAlign w:val="center"/>
          </w:tcPr>
          <w:p w14:paraId="1E49E38E">
            <w:pPr>
              <w:rPr>
                <w:rFonts w:ascii="宋体" w:hAnsi="宋体" w:cs="宋体"/>
                <w:szCs w:val="21"/>
              </w:rPr>
            </w:pPr>
            <w:r>
              <w:rPr>
                <w:rFonts w:hint="eastAsia" w:ascii="宋体" w:hAnsi="宋体" w:cs="宋体"/>
                <w:szCs w:val="21"/>
              </w:rPr>
              <w:t>体检重大阳性预警、检前短信提醒服务、体检总检、审核分配</w:t>
            </w:r>
          </w:p>
        </w:tc>
      </w:tr>
      <w:tr w14:paraId="0534150B">
        <w:tblPrEx>
          <w:tblCellMar>
            <w:top w:w="0" w:type="dxa"/>
            <w:left w:w="108" w:type="dxa"/>
            <w:bottom w:w="0" w:type="dxa"/>
            <w:right w:w="108" w:type="dxa"/>
          </w:tblCellMar>
        </w:tblPrEx>
        <w:trPr>
          <w:trHeight w:val="572" w:hRule="atLeast"/>
          <w:jc w:val="center"/>
        </w:trPr>
        <w:tc>
          <w:tcPr>
            <w:tcW w:w="1661" w:type="dxa"/>
            <w:vMerge w:val="continue"/>
            <w:tcBorders>
              <w:left w:val="single" w:color="auto" w:sz="4" w:space="0"/>
              <w:right w:val="single" w:color="auto" w:sz="4" w:space="0"/>
            </w:tcBorders>
            <w:vAlign w:val="center"/>
          </w:tcPr>
          <w:p w14:paraId="3787FBD8">
            <w:pPr>
              <w:jc w:val="left"/>
              <w:rPr>
                <w:rFonts w:ascii="宋体" w:hAnsi="宋体" w:cs="宋体"/>
                <w:szCs w:val="21"/>
              </w:rPr>
            </w:pPr>
          </w:p>
        </w:tc>
        <w:tc>
          <w:tcPr>
            <w:tcW w:w="891" w:type="dxa"/>
            <w:tcBorders>
              <w:top w:val="nil"/>
              <w:left w:val="single" w:color="auto" w:sz="4" w:space="0"/>
              <w:bottom w:val="single" w:color="auto" w:sz="4" w:space="0"/>
              <w:right w:val="single" w:color="auto" w:sz="8" w:space="0"/>
            </w:tcBorders>
            <w:vAlign w:val="center"/>
          </w:tcPr>
          <w:p w14:paraId="76D55609">
            <w:pPr>
              <w:widowControl/>
              <w:jc w:val="center"/>
              <w:rPr>
                <w:rFonts w:ascii="宋体" w:hAnsi="宋体" w:cs="宋体"/>
                <w:szCs w:val="21"/>
              </w:rPr>
            </w:pPr>
            <w:r>
              <w:rPr>
                <w:rFonts w:hint="eastAsia" w:ascii="宋体" w:hAnsi="宋体" w:cs="宋体"/>
                <w:szCs w:val="21"/>
              </w:rPr>
              <w:t>3.7</w:t>
            </w:r>
          </w:p>
        </w:tc>
        <w:tc>
          <w:tcPr>
            <w:tcW w:w="6666" w:type="dxa"/>
            <w:tcBorders>
              <w:top w:val="nil"/>
              <w:left w:val="nil"/>
              <w:bottom w:val="single" w:color="auto" w:sz="4" w:space="0"/>
              <w:right w:val="single" w:color="auto" w:sz="8" w:space="0"/>
            </w:tcBorders>
            <w:vAlign w:val="center"/>
          </w:tcPr>
          <w:p w14:paraId="71528137">
            <w:pPr>
              <w:rPr>
                <w:rFonts w:ascii="宋体" w:hAnsi="宋体" w:cs="宋体"/>
                <w:szCs w:val="21"/>
              </w:rPr>
            </w:pPr>
            <w:r>
              <w:rPr>
                <w:rFonts w:hint="eastAsia" w:ascii="宋体" w:hAnsi="宋体" w:cs="宋体"/>
                <w:szCs w:val="21"/>
              </w:rPr>
              <w:t>公众号每日黑名单生成任务</w:t>
            </w:r>
          </w:p>
        </w:tc>
      </w:tr>
      <w:tr w14:paraId="1FF5BD04">
        <w:tblPrEx>
          <w:tblCellMar>
            <w:top w:w="0" w:type="dxa"/>
            <w:left w:w="108" w:type="dxa"/>
            <w:bottom w:w="0" w:type="dxa"/>
            <w:right w:w="108" w:type="dxa"/>
          </w:tblCellMar>
        </w:tblPrEx>
        <w:trPr>
          <w:trHeight w:val="572" w:hRule="atLeast"/>
          <w:jc w:val="center"/>
        </w:trPr>
        <w:tc>
          <w:tcPr>
            <w:tcW w:w="1661" w:type="dxa"/>
            <w:vMerge w:val="continue"/>
            <w:tcBorders>
              <w:left w:val="single" w:color="auto" w:sz="4" w:space="0"/>
              <w:right w:val="single" w:color="auto" w:sz="4" w:space="0"/>
            </w:tcBorders>
            <w:vAlign w:val="center"/>
          </w:tcPr>
          <w:p w14:paraId="3A17F66D">
            <w:pPr>
              <w:jc w:val="left"/>
              <w:rPr>
                <w:rFonts w:ascii="宋体" w:hAnsi="宋体" w:cs="宋体"/>
                <w:szCs w:val="21"/>
              </w:rPr>
            </w:pPr>
          </w:p>
        </w:tc>
        <w:tc>
          <w:tcPr>
            <w:tcW w:w="891" w:type="dxa"/>
            <w:tcBorders>
              <w:top w:val="nil"/>
              <w:left w:val="single" w:color="auto" w:sz="4" w:space="0"/>
              <w:bottom w:val="single" w:color="auto" w:sz="4" w:space="0"/>
              <w:right w:val="single" w:color="auto" w:sz="8" w:space="0"/>
            </w:tcBorders>
            <w:vAlign w:val="center"/>
          </w:tcPr>
          <w:p w14:paraId="44558C9D">
            <w:pPr>
              <w:widowControl/>
              <w:jc w:val="center"/>
              <w:rPr>
                <w:rFonts w:ascii="宋体" w:hAnsi="宋体" w:cs="宋体"/>
                <w:szCs w:val="21"/>
              </w:rPr>
            </w:pPr>
            <w:r>
              <w:rPr>
                <w:rFonts w:hint="eastAsia" w:ascii="宋体" w:hAnsi="宋体" w:cs="宋体"/>
                <w:szCs w:val="21"/>
              </w:rPr>
              <w:t>3.8</w:t>
            </w:r>
          </w:p>
        </w:tc>
        <w:tc>
          <w:tcPr>
            <w:tcW w:w="6666" w:type="dxa"/>
            <w:tcBorders>
              <w:top w:val="nil"/>
              <w:left w:val="nil"/>
              <w:bottom w:val="single" w:color="auto" w:sz="4" w:space="0"/>
              <w:right w:val="single" w:color="auto" w:sz="8" w:space="0"/>
            </w:tcBorders>
            <w:vAlign w:val="center"/>
          </w:tcPr>
          <w:p w14:paraId="210034C9">
            <w:pPr>
              <w:rPr>
                <w:rFonts w:ascii="宋体" w:hAnsi="宋体" w:cs="宋体"/>
                <w:szCs w:val="21"/>
              </w:rPr>
            </w:pPr>
            <w:r>
              <w:rPr>
                <w:rFonts w:ascii="宋体" w:hAnsi="宋体" w:cs="宋体"/>
                <w:szCs w:val="21"/>
              </w:rPr>
              <w:t>电子病历住院输血文书生成触发</w:t>
            </w:r>
          </w:p>
        </w:tc>
      </w:tr>
      <w:tr w14:paraId="4C64968F">
        <w:tblPrEx>
          <w:tblCellMar>
            <w:top w:w="0" w:type="dxa"/>
            <w:left w:w="108" w:type="dxa"/>
            <w:bottom w:w="0" w:type="dxa"/>
            <w:right w:w="108" w:type="dxa"/>
          </w:tblCellMar>
        </w:tblPrEx>
        <w:trPr>
          <w:trHeight w:val="572" w:hRule="atLeast"/>
          <w:jc w:val="center"/>
        </w:trPr>
        <w:tc>
          <w:tcPr>
            <w:tcW w:w="1661" w:type="dxa"/>
            <w:vMerge w:val="continue"/>
            <w:tcBorders>
              <w:left w:val="single" w:color="auto" w:sz="4" w:space="0"/>
              <w:right w:val="single" w:color="auto" w:sz="4" w:space="0"/>
            </w:tcBorders>
            <w:vAlign w:val="center"/>
          </w:tcPr>
          <w:p w14:paraId="31610C8F">
            <w:pPr>
              <w:jc w:val="left"/>
              <w:rPr>
                <w:rFonts w:ascii="宋体" w:hAnsi="宋体" w:cs="宋体"/>
                <w:szCs w:val="21"/>
              </w:rPr>
            </w:pPr>
          </w:p>
        </w:tc>
        <w:tc>
          <w:tcPr>
            <w:tcW w:w="891" w:type="dxa"/>
            <w:tcBorders>
              <w:top w:val="nil"/>
              <w:left w:val="single" w:color="auto" w:sz="4" w:space="0"/>
              <w:bottom w:val="single" w:color="auto" w:sz="4" w:space="0"/>
              <w:right w:val="single" w:color="auto" w:sz="8" w:space="0"/>
            </w:tcBorders>
            <w:vAlign w:val="center"/>
          </w:tcPr>
          <w:p w14:paraId="732B9613">
            <w:pPr>
              <w:widowControl/>
              <w:jc w:val="center"/>
              <w:rPr>
                <w:rFonts w:ascii="宋体" w:hAnsi="宋体" w:cs="宋体"/>
                <w:szCs w:val="21"/>
              </w:rPr>
            </w:pPr>
            <w:r>
              <w:rPr>
                <w:rFonts w:hint="eastAsia" w:ascii="宋体" w:hAnsi="宋体" w:cs="宋体"/>
                <w:szCs w:val="21"/>
              </w:rPr>
              <w:t>3.9</w:t>
            </w:r>
          </w:p>
        </w:tc>
        <w:tc>
          <w:tcPr>
            <w:tcW w:w="6666" w:type="dxa"/>
            <w:tcBorders>
              <w:top w:val="nil"/>
              <w:left w:val="nil"/>
              <w:bottom w:val="single" w:color="auto" w:sz="4" w:space="0"/>
              <w:right w:val="single" w:color="auto" w:sz="8" w:space="0"/>
            </w:tcBorders>
            <w:vAlign w:val="center"/>
          </w:tcPr>
          <w:p w14:paraId="6A2945B8">
            <w:pPr>
              <w:rPr>
                <w:rFonts w:ascii="宋体" w:hAnsi="宋体" w:cs="宋体"/>
                <w:szCs w:val="21"/>
              </w:rPr>
            </w:pPr>
            <w:r>
              <w:rPr>
                <w:rFonts w:hint="eastAsia" w:ascii="宋体" w:hAnsi="宋体" w:cs="宋体"/>
                <w:szCs w:val="21"/>
              </w:rPr>
              <w:t>病案系统同步数据至HIS系统（如肿瘤病人数据同步）</w:t>
            </w:r>
          </w:p>
        </w:tc>
      </w:tr>
      <w:tr w14:paraId="7AE7A212">
        <w:tblPrEx>
          <w:tblCellMar>
            <w:top w:w="0" w:type="dxa"/>
            <w:left w:w="108" w:type="dxa"/>
            <w:bottom w:w="0" w:type="dxa"/>
            <w:right w:w="108" w:type="dxa"/>
          </w:tblCellMar>
        </w:tblPrEx>
        <w:trPr>
          <w:trHeight w:val="572" w:hRule="atLeast"/>
          <w:jc w:val="center"/>
        </w:trPr>
        <w:tc>
          <w:tcPr>
            <w:tcW w:w="1661" w:type="dxa"/>
            <w:vMerge w:val="continue"/>
            <w:tcBorders>
              <w:left w:val="single" w:color="auto" w:sz="4" w:space="0"/>
              <w:right w:val="single" w:color="auto" w:sz="4" w:space="0"/>
            </w:tcBorders>
            <w:vAlign w:val="center"/>
          </w:tcPr>
          <w:p w14:paraId="49F0C94F">
            <w:pPr>
              <w:jc w:val="left"/>
              <w:rPr>
                <w:rFonts w:ascii="宋体" w:hAnsi="宋体" w:cs="宋体"/>
                <w:szCs w:val="21"/>
              </w:rPr>
            </w:pPr>
          </w:p>
        </w:tc>
        <w:tc>
          <w:tcPr>
            <w:tcW w:w="891" w:type="dxa"/>
            <w:tcBorders>
              <w:top w:val="nil"/>
              <w:left w:val="single" w:color="auto" w:sz="4" w:space="0"/>
              <w:bottom w:val="single" w:color="auto" w:sz="4" w:space="0"/>
              <w:right w:val="single" w:color="auto" w:sz="8" w:space="0"/>
            </w:tcBorders>
            <w:vAlign w:val="center"/>
          </w:tcPr>
          <w:p w14:paraId="3567C1FA">
            <w:pPr>
              <w:widowControl/>
              <w:jc w:val="center"/>
              <w:rPr>
                <w:rFonts w:ascii="宋体" w:hAnsi="宋体" w:cs="宋体"/>
                <w:szCs w:val="21"/>
              </w:rPr>
            </w:pPr>
            <w:r>
              <w:rPr>
                <w:rFonts w:hint="eastAsia" w:ascii="宋体" w:hAnsi="宋体" w:cs="宋体"/>
                <w:szCs w:val="21"/>
              </w:rPr>
              <w:t>3.10</w:t>
            </w:r>
          </w:p>
        </w:tc>
        <w:tc>
          <w:tcPr>
            <w:tcW w:w="6666" w:type="dxa"/>
            <w:tcBorders>
              <w:top w:val="nil"/>
              <w:left w:val="nil"/>
              <w:bottom w:val="single" w:color="auto" w:sz="4" w:space="0"/>
              <w:right w:val="single" w:color="auto" w:sz="8" w:space="0"/>
            </w:tcBorders>
            <w:vAlign w:val="center"/>
          </w:tcPr>
          <w:p w14:paraId="68896B56">
            <w:pPr>
              <w:rPr>
                <w:rFonts w:ascii="宋体" w:hAnsi="宋体" w:cs="宋体"/>
                <w:szCs w:val="21"/>
              </w:rPr>
            </w:pPr>
            <w:r>
              <w:rPr>
                <w:rFonts w:hint="eastAsia" w:ascii="宋体" w:hAnsi="宋体" w:cs="宋体"/>
                <w:szCs w:val="21"/>
              </w:rPr>
              <w:t>医院系统数据同步至国家传染病智能监测预警前置软件</w:t>
            </w:r>
          </w:p>
        </w:tc>
      </w:tr>
      <w:tr w14:paraId="3E9A7C5D">
        <w:tblPrEx>
          <w:tblCellMar>
            <w:top w:w="0" w:type="dxa"/>
            <w:left w:w="108" w:type="dxa"/>
            <w:bottom w:w="0" w:type="dxa"/>
            <w:right w:w="108" w:type="dxa"/>
          </w:tblCellMar>
        </w:tblPrEx>
        <w:trPr>
          <w:trHeight w:val="572" w:hRule="atLeast"/>
          <w:jc w:val="center"/>
        </w:trPr>
        <w:tc>
          <w:tcPr>
            <w:tcW w:w="1661" w:type="dxa"/>
            <w:vMerge w:val="continue"/>
            <w:tcBorders>
              <w:left w:val="single" w:color="auto" w:sz="4" w:space="0"/>
              <w:right w:val="single" w:color="auto" w:sz="4" w:space="0"/>
            </w:tcBorders>
            <w:vAlign w:val="center"/>
          </w:tcPr>
          <w:p w14:paraId="234198F5">
            <w:pPr>
              <w:jc w:val="left"/>
              <w:rPr>
                <w:rFonts w:ascii="宋体" w:hAnsi="宋体" w:cs="宋体"/>
                <w:szCs w:val="21"/>
              </w:rPr>
            </w:pPr>
          </w:p>
        </w:tc>
        <w:tc>
          <w:tcPr>
            <w:tcW w:w="891" w:type="dxa"/>
            <w:tcBorders>
              <w:top w:val="nil"/>
              <w:left w:val="single" w:color="auto" w:sz="4" w:space="0"/>
              <w:bottom w:val="single" w:color="auto" w:sz="4" w:space="0"/>
              <w:right w:val="single" w:color="auto" w:sz="8" w:space="0"/>
            </w:tcBorders>
            <w:vAlign w:val="center"/>
          </w:tcPr>
          <w:p w14:paraId="2695B19E">
            <w:pPr>
              <w:widowControl/>
              <w:jc w:val="center"/>
              <w:rPr>
                <w:rFonts w:ascii="宋体" w:hAnsi="宋体" w:cs="宋体"/>
                <w:szCs w:val="21"/>
              </w:rPr>
            </w:pPr>
            <w:r>
              <w:rPr>
                <w:rFonts w:hint="eastAsia" w:ascii="宋体" w:hAnsi="宋体" w:cs="宋体"/>
                <w:szCs w:val="21"/>
              </w:rPr>
              <w:t>3.11</w:t>
            </w:r>
          </w:p>
        </w:tc>
        <w:tc>
          <w:tcPr>
            <w:tcW w:w="6666" w:type="dxa"/>
            <w:tcBorders>
              <w:top w:val="nil"/>
              <w:left w:val="nil"/>
              <w:bottom w:val="single" w:color="auto" w:sz="4" w:space="0"/>
              <w:right w:val="single" w:color="auto" w:sz="8" w:space="0"/>
            </w:tcBorders>
            <w:vAlign w:val="center"/>
          </w:tcPr>
          <w:p w14:paraId="57CBC03B">
            <w:pPr>
              <w:rPr>
                <w:rFonts w:ascii="宋体" w:hAnsi="宋体" w:cs="宋体"/>
                <w:szCs w:val="21"/>
              </w:rPr>
            </w:pPr>
            <w:r>
              <w:rPr>
                <w:rFonts w:hint="eastAsia" w:ascii="宋体" w:hAnsi="宋体" w:cs="宋体"/>
                <w:szCs w:val="21"/>
              </w:rPr>
              <w:t>院内、中大社康核心运营数据每日/月/年定时抽取</w:t>
            </w:r>
          </w:p>
        </w:tc>
      </w:tr>
      <w:tr w14:paraId="10BA7576">
        <w:tblPrEx>
          <w:tblCellMar>
            <w:top w:w="0" w:type="dxa"/>
            <w:left w:w="108" w:type="dxa"/>
            <w:bottom w:w="0" w:type="dxa"/>
            <w:right w:w="108" w:type="dxa"/>
          </w:tblCellMar>
        </w:tblPrEx>
        <w:trPr>
          <w:trHeight w:val="572" w:hRule="atLeast"/>
          <w:jc w:val="center"/>
        </w:trPr>
        <w:tc>
          <w:tcPr>
            <w:tcW w:w="1661" w:type="dxa"/>
            <w:vMerge w:val="continue"/>
            <w:tcBorders>
              <w:left w:val="single" w:color="auto" w:sz="4" w:space="0"/>
              <w:right w:val="single" w:color="auto" w:sz="4" w:space="0"/>
            </w:tcBorders>
            <w:vAlign w:val="center"/>
          </w:tcPr>
          <w:p w14:paraId="47A1C8F6">
            <w:pPr>
              <w:jc w:val="left"/>
              <w:rPr>
                <w:rFonts w:ascii="宋体" w:hAnsi="宋体" w:cs="宋体"/>
                <w:szCs w:val="21"/>
              </w:rPr>
            </w:pPr>
          </w:p>
        </w:tc>
        <w:tc>
          <w:tcPr>
            <w:tcW w:w="891" w:type="dxa"/>
            <w:tcBorders>
              <w:top w:val="nil"/>
              <w:left w:val="single" w:color="auto" w:sz="4" w:space="0"/>
              <w:bottom w:val="single" w:color="auto" w:sz="4" w:space="0"/>
              <w:right w:val="single" w:color="auto" w:sz="8" w:space="0"/>
            </w:tcBorders>
            <w:vAlign w:val="center"/>
          </w:tcPr>
          <w:p w14:paraId="24A762A8">
            <w:pPr>
              <w:widowControl/>
              <w:jc w:val="center"/>
              <w:rPr>
                <w:rFonts w:ascii="宋体" w:hAnsi="宋体" w:cs="宋体"/>
                <w:szCs w:val="21"/>
              </w:rPr>
            </w:pPr>
            <w:r>
              <w:rPr>
                <w:rFonts w:hint="eastAsia" w:ascii="宋体" w:hAnsi="宋体" w:cs="宋体"/>
                <w:szCs w:val="21"/>
              </w:rPr>
              <w:t>3.12</w:t>
            </w:r>
          </w:p>
        </w:tc>
        <w:tc>
          <w:tcPr>
            <w:tcW w:w="6666" w:type="dxa"/>
            <w:tcBorders>
              <w:top w:val="nil"/>
              <w:left w:val="nil"/>
              <w:bottom w:val="single" w:color="auto" w:sz="4" w:space="0"/>
              <w:right w:val="single" w:color="auto" w:sz="8" w:space="0"/>
            </w:tcBorders>
            <w:vAlign w:val="center"/>
          </w:tcPr>
          <w:p w14:paraId="44807FFA">
            <w:pPr>
              <w:rPr>
                <w:rFonts w:ascii="宋体" w:hAnsi="宋体" w:cs="宋体"/>
                <w:szCs w:val="21"/>
              </w:rPr>
            </w:pPr>
            <w:r>
              <w:rPr>
                <w:rFonts w:hint="eastAsia" w:ascii="宋体" w:hAnsi="宋体" w:cs="宋体"/>
                <w:szCs w:val="21"/>
              </w:rPr>
              <w:t>取消预约挂号后未支付的订单号</w:t>
            </w:r>
          </w:p>
        </w:tc>
      </w:tr>
      <w:tr w14:paraId="0DC9EB88">
        <w:tblPrEx>
          <w:tblCellMar>
            <w:top w:w="0" w:type="dxa"/>
            <w:left w:w="108" w:type="dxa"/>
            <w:bottom w:w="0" w:type="dxa"/>
            <w:right w:w="108" w:type="dxa"/>
          </w:tblCellMar>
        </w:tblPrEx>
        <w:trPr>
          <w:trHeight w:val="572" w:hRule="atLeast"/>
          <w:jc w:val="center"/>
        </w:trPr>
        <w:tc>
          <w:tcPr>
            <w:tcW w:w="1661" w:type="dxa"/>
            <w:vMerge w:val="continue"/>
            <w:tcBorders>
              <w:left w:val="single" w:color="auto" w:sz="4" w:space="0"/>
              <w:right w:val="single" w:color="auto" w:sz="4" w:space="0"/>
            </w:tcBorders>
            <w:vAlign w:val="center"/>
          </w:tcPr>
          <w:p w14:paraId="5C38E8F6">
            <w:pPr>
              <w:jc w:val="left"/>
              <w:rPr>
                <w:rFonts w:ascii="宋体" w:hAnsi="宋体" w:cs="宋体"/>
                <w:szCs w:val="21"/>
              </w:rPr>
            </w:pPr>
          </w:p>
        </w:tc>
        <w:tc>
          <w:tcPr>
            <w:tcW w:w="891" w:type="dxa"/>
            <w:tcBorders>
              <w:top w:val="nil"/>
              <w:left w:val="single" w:color="auto" w:sz="4" w:space="0"/>
              <w:bottom w:val="single" w:color="auto" w:sz="4" w:space="0"/>
              <w:right w:val="single" w:color="auto" w:sz="8" w:space="0"/>
            </w:tcBorders>
            <w:vAlign w:val="center"/>
          </w:tcPr>
          <w:p w14:paraId="0E4E0EF2">
            <w:pPr>
              <w:widowControl/>
              <w:jc w:val="center"/>
              <w:rPr>
                <w:rFonts w:ascii="宋体" w:hAnsi="宋体" w:cs="宋体"/>
                <w:szCs w:val="21"/>
              </w:rPr>
            </w:pPr>
            <w:r>
              <w:rPr>
                <w:rFonts w:hint="eastAsia" w:ascii="宋体" w:hAnsi="宋体" w:cs="宋体"/>
                <w:szCs w:val="21"/>
              </w:rPr>
              <w:t>3.13</w:t>
            </w:r>
          </w:p>
        </w:tc>
        <w:tc>
          <w:tcPr>
            <w:tcW w:w="6666" w:type="dxa"/>
            <w:tcBorders>
              <w:top w:val="nil"/>
              <w:left w:val="nil"/>
              <w:bottom w:val="single" w:color="auto" w:sz="4" w:space="0"/>
              <w:right w:val="single" w:color="auto" w:sz="8" w:space="0"/>
            </w:tcBorders>
            <w:vAlign w:val="center"/>
          </w:tcPr>
          <w:p w14:paraId="63A00AC4">
            <w:pPr>
              <w:rPr>
                <w:rFonts w:ascii="宋体" w:hAnsi="宋体" w:cs="宋体"/>
                <w:szCs w:val="21"/>
              </w:rPr>
            </w:pPr>
            <w:r>
              <w:rPr>
                <w:rFonts w:hint="eastAsia" w:ascii="宋体" w:hAnsi="宋体" w:cs="宋体"/>
                <w:szCs w:val="21"/>
              </w:rPr>
              <w:t>取消预约超时入院申请</w:t>
            </w:r>
          </w:p>
        </w:tc>
      </w:tr>
      <w:tr w14:paraId="3A5AA4DC">
        <w:tblPrEx>
          <w:tblCellMar>
            <w:top w:w="0" w:type="dxa"/>
            <w:left w:w="108" w:type="dxa"/>
            <w:bottom w:w="0" w:type="dxa"/>
            <w:right w:w="108" w:type="dxa"/>
          </w:tblCellMar>
        </w:tblPrEx>
        <w:trPr>
          <w:trHeight w:val="572" w:hRule="atLeast"/>
          <w:jc w:val="center"/>
        </w:trPr>
        <w:tc>
          <w:tcPr>
            <w:tcW w:w="1661" w:type="dxa"/>
            <w:vMerge w:val="continue"/>
            <w:tcBorders>
              <w:left w:val="single" w:color="auto" w:sz="4" w:space="0"/>
              <w:right w:val="single" w:color="auto" w:sz="4" w:space="0"/>
            </w:tcBorders>
            <w:vAlign w:val="center"/>
          </w:tcPr>
          <w:p w14:paraId="165D6A38">
            <w:pPr>
              <w:jc w:val="left"/>
              <w:rPr>
                <w:rFonts w:ascii="宋体" w:hAnsi="宋体" w:cs="宋体"/>
                <w:szCs w:val="21"/>
              </w:rPr>
            </w:pPr>
          </w:p>
        </w:tc>
        <w:tc>
          <w:tcPr>
            <w:tcW w:w="891" w:type="dxa"/>
            <w:tcBorders>
              <w:top w:val="nil"/>
              <w:left w:val="single" w:color="auto" w:sz="4" w:space="0"/>
              <w:bottom w:val="single" w:color="auto" w:sz="4" w:space="0"/>
              <w:right w:val="single" w:color="auto" w:sz="8" w:space="0"/>
            </w:tcBorders>
            <w:vAlign w:val="center"/>
          </w:tcPr>
          <w:p w14:paraId="18C0A776">
            <w:pPr>
              <w:widowControl/>
              <w:jc w:val="center"/>
              <w:rPr>
                <w:rFonts w:ascii="宋体" w:hAnsi="宋体" w:cs="宋体"/>
                <w:szCs w:val="21"/>
              </w:rPr>
            </w:pPr>
            <w:r>
              <w:rPr>
                <w:rFonts w:hint="eastAsia" w:ascii="宋体" w:hAnsi="宋体" w:cs="宋体"/>
                <w:szCs w:val="21"/>
              </w:rPr>
              <w:t>3.14</w:t>
            </w:r>
          </w:p>
        </w:tc>
        <w:tc>
          <w:tcPr>
            <w:tcW w:w="6666" w:type="dxa"/>
            <w:tcBorders>
              <w:top w:val="nil"/>
              <w:left w:val="nil"/>
              <w:bottom w:val="single" w:color="auto" w:sz="4" w:space="0"/>
              <w:right w:val="single" w:color="auto" w:sz="8" w:space="0"/>
            </w:tcBorders>
            <w:vAlign w:val="center"/>
          </w:tcPr>
          <w:p w14:paraId="31E5076D">
            <w:pPr>
              <w:rPr>
                <w:rFonts w:ascii="宋体" w:hAnsi="宋体" w:cs="宋体"/>
                <w:szCs w:val="21"/>
              </w:rPr>
            </w:pPr>
            <w:r>
              <w:rPr>
                <w:rFonts w:hint="eastAsia" w:ascii="宋体" w:hAnsi="宋体" w:cs="宋体"/>
                <w:szCs w:val="21"/>
              </w:rPr>
              <w:t>取消留床超时记录</w:t>
            </w:r>
          </w:p>
        </w:tc>
      </w:tr>
      <w:tr w14:paraId="567749DD">
        <w:tblPrEx>
          <w:tblCellMar>
            <w:top w:w="0" w:type="dxa"/>
            <w:left w:w="108" w:type="dxa"/>
            <w:bottom w:w="0" w:type="dxa"/>
            <w:right w:w="108" w:type="dxa"/>
          </w:tblCellMar>
        </w:tblPrEx>
        <w:trPr>
          <w:trHeight w:val="572" w:hRule="atLeast"/>
          <w:jc w:val="center"/>
        </w:trPr>
        <w:tc>
          <w:tcPr>
            <w:tcW w:w="1661" w:type="dxa"/>
            <w:vMerge w:val="continue"/>
            <w:tcBorders>
              <w:left w:val="single" w:color="auto" w:sz="4" w:space="0"/>
              <w:right w:val="single" w:color="auto" w:sz="4" w:space="0"/>
            </w:tcBorders>
            <w:vAlign w:val="center"/>
          </w:tcPr>
          <w:p w14:paraId="4273519B">
            <w:pPr>
              <w:jc w:val="left"/>
              <w:rPr>
                <w:rFonts w:ascii="宋体" w:hAnsi="宋体" w:cs="宋体"/>
                <w:szCs w:val="21"/>
              </w:rPr>
            </w:pPr>
          </w:p>
        </w:tc>
        <w:tc>
          <w:tcPr>
            <w:tcW w:w="891" w:type="dxa"/>
            <w:tcBorders>
              <w:top w:val="nil"/>
              <w:left w:val="single" w:color="auto" w:sz="4" w:space="0"/>
              <w:bottom w:val="single" w:color="auto" w:sz="4" w:space="0"/>
              <w:right w:val="single" w:color="auto" w:sz="8" w:space="0"/>
            </w:tcBorders>
            <w:vAlign w:val="center"/>
          </w:tcPr>
          <w:p w14:paraId="5D0E7E4D">
            <w:pPr>
              <w:widowControl/>
              <w:jc w:val="center"/>
              <w:rPr>
                <w:rFonts w:ascii="宋体" w:hAnsi="宋体" w:cs="宋体"/>
                <w:szCs w:val="21"/>
              </w:rPr>
            </w:pPr>
            <w:r>
              <w:rPr>
                <w:rFonts w:hint="eastAsia" w:ascii="宋体" w:hAnsi="宋体" w:cs="宋体"/>
                <w:szCs w:val="21"/>
              </w:rPr>
              <w:t>3.15</w:t>
            </w:r>
          </w:p>
        </w:tc>
        <w:tc>
          <w:tcPr>
            <w:tcW w:w="6666" w:type="dxa"/>
            <w:tcBorders>
              <w:top w:val="nil"/>
              <w:left w:val="nil"/>
              <w:bottom w:val="single" w:color="auto" w:sz="4" w:space="0"/>
              <w:right w:val="single" w:color="auto" w:sz="8" w:space="0"/>
            </w:tcBorders>
            <w:vAlign w:val="center"/>
          </w:tcPr>
          <w:p w14:paraId="10102565">
            <w:pPr>
              <w:rPr>
                <w:rFonts w:ascii="宋体" w:hAnsi="宋体" w:cs="宋体"/>
                <w:szCs w:val="21"/>
              </w:rPr>
            </w:pPr>
            <w:r>
              <w:rPr>
                <w:rFonts w:hint="eastAsia" w:ascii="宋体" w:hAnsi="宋体" w:cs="宋体"/>
                <w:szCs w:val="21"/>
              </w:rPr>
              <w:t>退掉有一天前所有异常挂号单</w:t>
            </w:r>
          </w:p>
        </w:tc>
      </w:tr>
      <w:tr w14:paraId="262BC249">
        <w:tblPrEx>
          <w:tblCellMar>
            <w:top w:w="0" w:type="dxa"/>
            <w:left w:w="108" w:type="dxa"/>
            <w:bottom w:w="0" w:type="dxa"/>
            <w:right w:w="108" w:type="dxa"/>
          </w:tblCellMar>
        </w:tblPrEx>
        <w:trPr>
          <w:trHeight w:val="572" w:hRule="atLeast"/>
          <w:jc w:val="center"/>
        </w:trPr>
        <w:tc>
          <w:tcPr>
            <w:tcW w:w="1661" w:type="dxa"/>
            <w:vMerge w:val="continue"/>
            <w:tcBorders>
              <w:left w:val="single" w:color="auto" w:sz="4" w:space="0"/>
              <w:bottom w:val="single" w:color="auto" w:sz="4" w:space="0"/>
              <w:right w:val="single" w:color="auto" w:sz="4" w:space="0"/>
            </w:tcBorders>
            <w:vAlign w:val="center"/>
          </w:tcPr>
          <w:p w14:paraId="1ACF633E">
            <w:pPr>
              <w:jc w:val="left"/>
              <w:rPr>
                <w:rFonts w:ascii="宋体" w:hAnsi="宋体" w:cs="宋体"/>
                <w:szCs w:val="21"/>
              </w:rPr>
            </w:pPr>
          </w:p>
        </w:tc>
        <w:tc>
          <w:tcPr>
            <w:tcW w:w="891" w:type="dxa"/>
            <w:tcBorders>
              <w:top w:val="nil"/>
              <w:left w:val="single" w:color="auto" w:sz="4" w:space="0"/>
              <w:bottom w:val="single" w:color="auto" w:sz="4" w:space="0"/>
              <w:right w:val="single" w:color="auto" w:sz="8" w:space="0"/>
            </w:tcBorders>
            <w:vAlign w:val="center"/>
          </w:tcPr>
          <w:p w14:paraId="211EFCF2">
            <w:pPr>
              <w:widowControl/>
              <w:jc w:val="center"/>
              <w:rPr>
                <w:rFonts w:ascii="宋体" w:hAnsi="宋体" w:cs="宋体"/>
                <w:szCs w:val="21"/>
              </w:rPr>
            </w:pPr>
            <w:r>
              <w:rPr>
                <w:rFonts w:hint="eastAsia" w:ascii="宋体" w:hAnsi="宋体" w:cs="宋体"/>
                <w:szCs w:val="21"/>
              </w:rPr>
              <w:t>3.16</w:t>
            </w:r>
          </w:p>
        </w:tc>
        <w:tc>
          <w:tcPr>
            <w:tcW w:w="6666" w:type="dxa"/>
            <w:tcBorders>
              <w:top w:val="nil"/>
              <w:left w:val="nil"/>
              <w:bottom w:val="single" w:color="auto" w:sz="4" w:space="0"/>
              <w:right w:val="single" w:color="auto" w:sz="8" w:space="0"/>
            </w:tcBorders>
            <w:vAlign w:val="center"/>
          </w:tcPr>
          <w:p w14:paraId="3CDA84F7">
            <w:pPr>
              <w:rPr>
                <w:rFonts w:ascii="宋体" w:hAnsi="宋体" w:cs="宋体"/>
                <w:szCs w:val="21"/>
              </w:rPr>
            </w:pPr>
            <w:r>
              <w:rPr>
                <w:rFonts w:hint="eastAsia" w:ascii="宋体" w:hAnsi="宋体" w:cs="宋体"/>
                <w:szCs w:val="21"/>
              </w:rPr>
              <w:t>病案归档及对应生成pdf工具</w:t>
            </w:r>
          </w:p>
        </w:tc>
      </w:tr>
      <w:tr w14:paraId="1B09A983">
        <w:tblPrEx>
          <w:tblCellMar>
            <w:top w:w="0" w:type="dxa"/>
            <w:left w:w="108" w:type="dxa"/>
            <w:bottom w:w="0" w:type="dxa"/>
            <w:right w:w="108" w:type="dxa"/>
          </w:tblCellMar>
        </w:tblPrEx>
        <w:trPr>
          <w:trHeight w:val="572" w:hRule="atLeast"/>
          <w:jc w:val="center"/>
        </w:trPr>
        <w:tc>
          <w:tcPr>
            <w:tcW w:w="1661" w:type="dxa"/>
            <w:vMerge w:val="restart"/>
            <w:tcBorders>
              <w:left w:val="single" w:color="auto" w:sz="4" w:space="0"/>
              <w:right w:val="single" w:color="auto" w:sz="4" w:space="0"/>
            </w:tcBorders>
            <w:vAlign w:val="center"/>
          </w:tcPr>
          <w:p w14:paraId="14CC1188">
            <w:pPr>
              <w:jc w:val="left"/>
              <w:rPr>
                <w:rFonts w:hint="eastAsia" w:ascii="宋体" w:hAnsi="宋体" w:cs="宋体"/>
                <w:szCs w:val="21"/>
              </w:rPr>
            </w:pPr>
            <w:r>
              <w:rPr>
                <w:rFonts w:hint="eastAsia" w:ascii="宋体" w:hAnsi="宋体" w:cs="宋体"/>
                <w:szCs w:val="21"/>
              </w:rPr>
              <w:t>关联第三方服务</w:t>
            </w:r>
          </w:p>
        </w:tc>
        <w:tc>
          <w:tcPr>
            <w:tcW w:w="891" w:type="dxa"/>
            <w:tcBorders>
              <w:top w:val="nil"/>
              <w:left w:val="single" w:color="auto" w:sz="4" w:space="0"/>
              <w:bottom w:val="single" w:color="auto" w:sz="4" w:space="0"/>
              <w:right w:val="single" w:color="auto" w:sz="8" w:space="0"/>
            </w:tcBorders>
            <w:vAlign w:val="center"/>
          </w:tcPr>
          <w:p w14:paraId="73C94B65">
            <w:pPr>
              <w:widowControl/>
              <w:jc w:val="center"/>
              <w:rPr>
                <w:rFonts w:hint="eastAsia" w:ascii="宋体" w:hAnsi="宋体" w:cs="宋体"/>
                <w:szCs w:val="21"/>
              </w:rPr>
            </w:pPr>
            <w:r>
              <w:rPr>
                <w:rFonts w:hint="eastAsia" w:ascii="宋体" w:hAnsi="宋体" w:cs="宋体"/>
                <w:szCs w:val="21"/>
              </w:rPr>
              <w:t>4.1</w:t>
            </w:r>
          </w:p>
        </w:tc>
        <w:tc>
          <w:tcPr>
            <w:tcW w:w="6666" w:type="dxa"/>
            <w:tcBorders>
              <w:top w:val="nil"/>
              <w:left w:val="nil"/>
              <w:bottom w:val="single" w:color="auto" w:sz="4" w:space="0"/>
              <w:right w:val="single" w:color="auto" w:sz="8" w:space="0"/>
            </w:tcBorders>
            <w:vAlign w:val="center"/>
          </w:tcPr>
          <w:p w14:paraId="0C5E5C5A">
            <w:pPr>
              <w:rPr>
                <w:rFonts w:hint="eastAsia" w:ascii="宋体" w:hAnsi="宋体" w:cs="宋体"/>
                <w:szCs w:val="21"/>
              </w:rPr>
            </w:pPr>
            <w:r>
              <w:rPr>
                <w:rFonts w:hint="eastAsia" w:ascii="宋体" w:hAnsi="宋体" w:cs="宋体"/>
                <w:szCs w:val="21"/>
              </w:rPr>
              <w:t>linux版jenkins</w:t>
            </w:r>
          </w:p>
        </w:tc>
      </w:tr>
      <w:tr w14:paraId="4A183738">
        <w:tblPrEx>
          <w:tblCellMar>
            <w:top w:w="0" w:type="dxa"/>
            <w:left w:w="108" w:type="dxa"/>
            <w:bottom w:w="0" w:type="dxa"/>
            <w:right w:w="108" w:type="dxa"/>
          </w:tblCellMar>
        </w:tblPrEx>
        <w:trPr>
          <w:trHeight w:val="572" w:hRule="atLeast"/>
          <w:jc w:val="center"/>
        </w:trPr>
        <w:tc>
          <w:tcPr>
            <w:tcW w:w="1661" w:type="dxa"/>
            <w:vMerge w:val="continue"/>
            <w:tcBorders>
              <w:left w:val="single" w:color="auto" w:sz="4" w:space="0"/>
              <w:right w:val="single" w:color="auto" w:sz="4" w:space="0"/>
            </w:tcBorders>
            <w:vAlign w:val="center"/>
          </w:tcPr>
          <w:p w14:paraId="6858424C">
            <w:pPr>
              <w:jc w:val="left"/>
              <w:rPr>
                <w:rFonts w:ascii="宋体" w:hAnsi="宋体" w:cs="宋体"/>
                <w:szCs w:val="21"/>
              </w:rPr>
            </w:pPr>
          </w:p>
        </w:tc>
        <w:tc>
          <w:tcPr>
            <w:tcW w:w="891" w:type="dxa"/>
            <w:tcBorders>
              <w:top w:val="nil"/>
              <w:left w:val="single" w:color="auto" w:sz="4" w:space="0"/>
              <w:bottom w:val="single" w:color="auto" w:sz="4" w:space="0"/>
              <w:right w:val="single" w:color="auto" w:sz="8" w:space="0"/>
            </w:tcBorders>
            <w:vAlign w:val="center"/>
          </w:tcPr>
          <w:p w14:paraId="1CF45F2A">
            <w:pPr>
              <w:widowControl/>
              <w:jc w:val="center"/>
              <w:rPr>
                <w:rFonts w:hint="eastAsia" w:ascii="宋体" w:hAnsi="宋体" w:cs="宋体"/>
                <w:szCs w:val="21"/>
              </w:rPr>
            </w:pPr>
            <w:r>
              <w:rPr>
                <w:rFonts w:hint="eastAsia" w:ascii="宋体" w:hAnsi="宋体" w:cs="宋体"/>
                <w:szCs w:val="21"/>
              </w:rPr>
              <w:t>4.2</w:t>
            </w:r>
          </w:p>
        </w:tc>
        <w:tc>
          <w:tcPr>
            <w:tcW w:w="6666" w:type="dxa"/>
            <w:tcBorders>
              <w:top w:val="nil"/>
              <w:left w:val="nil"/>
              <w:bottom w:val="single" w:color="auto" w:sz="4" w:space="0"/>
              <w:right w:val="single" w:color="auto" w:sz="8" w:space="0"/>
            </w:tcBorders>
            <w:vAlign w:val="center"/>
          </w:tcPr>
          <w:p w14:paraId="65F383E8">
            <w:pPr>
              <w:rPr>
                <w:rFonts w:hint="eastAsia" w:ascii="宋体" w:hAnsi="宋体" w:cs="宋体"/>
                <w:szCs w:val="21"/>
              </w:rPr>
            </w:pPr>
            <w:r>
              <w:rPr>
                <w:rFonts w:hint="eastAsia" w:ascii="宋体" w:hAnsi="宋体" w:cs="宋体"/>
                <w:szCs w:val="21"/>
              </w:rPr>
              <w:t>windows版jenkins</w:t>
            </w:r>
          </w:p>
        </w:tc>
      </w:tr>
      <w:tr w14:paraId="228803CC">
        <w:tblPrEx>
          <w:tblCellMar>
            <w:top w:w="0" w:type="dxa"/>
            <w:left w:w="108" w:type="dxa"/>
            <w:bottom w:w="0" w:type="dxa"/>
            <w:right w:w="108" w:type="dxa"/>
          </w:tblCellMar>
        </w:tblPrEx>
        <w:trPr>
          <w:trHeight w:val="572" w:hRule="atLeast"/>
          <w:jc w:val="center"/>
        </w:trPr>
        <w:tc>
          <w:tcPr>
            <w:tcW w:w="1661" w:type="dxa"/>
            <w:vMerge w:val="continue"/>
            <w:tcBorders>
              <w:left w:val="single" w:color="auto" w:sz="4" w:space="0"/>
              <w:right w:val="single" w:color="auto" w:sz="4" w:space="0"/>
            </w:tcBorders>
            <w:vAlign w:val="center"/>
          </w:tcPr>
          <w:p w14:paraId="306EB457">
            <w:pPr>
              <w:jc w:val="left"/>
              <w:rPr>
                <w:rFonts w:ascii="宋体" w:hAnsi="宋体" w:cs="宋体"/>
                <w:szCs w:val="21"/>
              </w:rPr>
            </w:pPr>
          </w:p>
        </w:tc>
        <w:tc>
          <w:tcPr>
            <w:tcW w:w="891" w:type="dxa"/>
            <w:tcBorders>
              <w:top w:val="nil"/>
              <w:left w:val="single" w:color="auto" w:sz="4" w:space="0"/>
              <w:bottom w:val="single" w:color="auto" w:sz="4" w:space="0"/>
              <w:right w:val="single" w:color="auto" w:sz="8" w:space="0"/>
            </w:tcBorders>
            <w:vAlign w:val="center"/>
          </w:tcPr>
          <w:p w14:paraId="22093816">
            <w:pPr>
              <w:widowControl/>
              <w:jc w:val="center"/>
              <w:rPr>
                <w:rFonts w:hint="eastAsia" w:ascii="宋体" w:hAnsi="宋体" w:cs="宋体"/>
                <w:szCs w:val="21"/>
              </w:rPr>
            </w:pPr>
            <w:r>
              <w:rPr>
                <w:rFonts w:hint="eastAsia" w:ascii="宋体" w:hAnsi="宋体" w:cs="宋体"/>
                <w:szCs w:val="21"/>
              </w:rPr>
              <w:t>4.3</w:t>
            </w:r>
          </w:p>
        </w:tc>
        <w:tc>
          <w:tcPr>
            <w:tcW w:w="6666" w:type="dxa"/>
            <w:tcBorders>
              <w:top w:val="nil"/>
              <w:left w:val="nil"/>
              <w:bottom w:val="single" w:color="auto" w:sz="4" w:space="0"/>
              <w:right w:val="single" w:color="auto" w:sz="8" w:space="0"/>
            </w:tcBorders>
            <w:vAlign w:val="center"/>
          </w:tcPr>
          <w:p w14:paraId="56B96C99">
            <w:pPr>
              <w:rPr>
                <w:rFonts w:hint="eastAsia" w:ascii="宋体" w:hAnsi="宋体" w:cs="宋体"/>
                <w:szCs w:val="21"/>
              </w:rPr>
            </w:pPr>
            <w:r>
              <w:rPr>
                <w:rFonts w:hint="eastAsia" w:ascii="宋体" w:hAnsi="宋体" w:cs="宋体"/>
                <w:szCs w:val="21"/>
              </w:rPr>
              <w:t>gitlab服务</w:t>
            </w:r>
          </w:p>
        </w:tc>
      </w:tr>
      <w:tr w14:paraId="217809C1">
        <w:tblPrEx>
          <w:tblCellMar>
            <w:top w:w="0" w:type="dxa"/>
            <w:left w:w="108" w:type="dxa"/>
            <w:bottom w:w="0" w:type="dxa"/>
            <w:right w:w="108" w:type="dxa"/>
          </w:tblCellMar>
        </w:tblPrEx>
        <w:trPr>
          <w:trHeight w:val="572" w:hRule="atLeast"/>
          <w:jc w:val="center"/>
        </w:trPr>
        <w:tc>
          <w:tcPr>
            <w:tcW w:w="1661" w:type="dxa"/>
            <w:vMerge w:val="continue"/>
            <w:tcBorders>
              <w:left w:val="single" w:color="auto" w:sz="4" w:space="0"/>
              <w:right w:val="single" w:color="auto" w:sz="4" w:space="0"/>
            </w:tcBorders>
            <w:vAlign w:val="center"/>
          </w:tcPr>
          <w:p w14:paraId="6F63C2B6">
            <w:pPr>
              <w:jc w:val="left"/>
              <w:rPr>
                <w:rFonts w:ascii="宋体" w:hAnsi="宋体" w:cs="宋体"/>
                <w:szCs w:val="21"/>
              </w:rPr>
            </w:pPr>
          </w:p>
        </w:tc>
        <w:tc>
          <w:tcPr>
            <w:tcW w:w="891" w:type="dxa"/>
            <w:tcBorders>
              <w:top w:val="nil"/>
              <w:left w:val="single" w:color="auto" w:sz="4" w:space="0"/>
              <w:bottom w:val="single" w:color="auto" w:sz="4" w:space="0"/>
              <w:right w:val="single" w:color="auto" w:sz="8" w:space="0"/>
            </w:tcBorders>
            <w:vAlign w:val="center"/>
          </w:tcPr>
          <w:p w14:paraId="6131BE85">
            <w:pPr>
              <w:widowControl/>
              <w:jc w:val="center"/>
              <w:rPr>
                <w:rFonts w:hint="eastAsia" w:ascii="宋体" w:hAnsi="宋体" w:cs="宋体"/>
                <w:szCs w:val="21"/>
              </w:rPr>
            </w:pPr>
            <w:r>
              <w:rPr>
                <w:rFonts w:hint="eastAsia" w:ascii="宋体" w:hAnsi="宋体" w:cs="宋体"/>
                <w:szCs w:val="21"/>
              </w:rPr>
              <w:t>4.4</w:t>
            </w:r>
          </w:p>
        </w:tc>
        <w:tc>
          <w:tcPr>
            <w:tcW w:w="6666" w:type="dxa"/>
            <w:tcBorders>
              <w:top w:val="nil"/>
              <w:left w:val="nil"/>
              <w:bottom w:val="single" w:color="auto" w:sz="4" w:space="0"/>
              <w:right w:val="single" w:color="auto" w:sz="8" w:space="0"/>
            </w:tcBorders>
            <w:vAlign w:val="center"/>
          </w:tcPr>
          <w:p w14:paraId="4C66DEA4">
            <w:pPr>
              <w:rPr>
                <w:rFonts w:hint="eastAsia" w:ascii="宋体" w:hAnsi="宋体" w:cs="宋体"/>
                <w:szCs w:val="21"/>
              </w:rPr>
            </w:pPr>
            <w:r>
              <w:rPr>
                <w:rFonts w:hint="eastAsia" w:ascii="宋体" w:hAnsi="宋体" w:cs="宋体"/>
                <w:szCs w:val="21"/>
              </w:rPr>
              <w:t>harbor服务</w:t>
            </w:r>
          </w:p>
        </w:tc>
      </w:tr>
      <w:tr w14:paraId="67BB2F7E">
        <w:tblPrEx>
          <w:tblCellMar>
            <w:top w:w="0" w:type="dxa"/>
            <w:left w:w="108" w:type="dxa"/>
            <w:bottom w:w="0" w:type="dxa"/>
            <w:right w:w="108" w:type="dxa"/>
          </w:tblCellMar>
        </w:tblPrEx>
        <w:trPr>
          <w:trHeight w:val="572" w:hRule="atLeast"/>
          <w:jc w:val="center"/>
        </w:trPr>
        <w:tc>
          <w:tcPr>
            <w:tcW w:w="1661" w:type="dxa"/>
            <w:vMerge w:val="continue"/>
            <w:tcBorders>
              <w:left w:val="single" w:color="auto" w:sz="4" w:space="0"/>
              <w:right w:val="single" w:color="auto" w:sz="4" w:space="0"/>
            </w:tcBorders>
            <w:vAlign w:val="center"/>
          </w:tcPr>
          <w:p w14:paraId="0171171D">
            <w:pPr>
              <w:jc w:val="left"/>
              <w:rPr>
                <w:rFonts w:ascii="宋体" w:hAnsi="宋体" w:cs="宋体"/>
                <w:szCs w:val="21"/>
              </w:rPr>
            </w:pPr>
          </w:p>
        </w:tc>
        <w:tc>
          <w:tcPr>
            <w:tcW w:w="891" w:type="dxa"/>
            <w:tcBorders>
              <w:top w:val="nil"/>
              <w:left w:val="single" w:color="auto" w:sz="4" w:space="0"/>
              <w:bottom w:val="single" w:color="auto" w:sz="4" w:space="0"/>
              <w:right w:val="single" w:color="auto" w:sz="8" w:space="0"/>
            </w:tcBorders>
            <w:vAlign w:val="center"/>
          </w:tcPr>
          <w:p w14:paraId="6A90716C">
            <w:pPr>
              <w:widowControl/>
              <w:jc w:val="center"/>
              <w:rPr>
                <w:rFonts w:hint="eastAsia" w:ascii="宋体" w:hAnsi="宋体" w:cs="宋体"/>
                <w:szCs w:val="21"/>
              </w:rPr>
            </w:pPr>
            <w:r>
              <w:rPr>
                <w:rFonts w:hint="eastAsia" w:ascii="宋体" w:hAnsi="宋体" w:cs="宋体"/>
                <w:szCs w:val="21"/>
              </w:rPr>
              <w:t>4.5</w:t>
            </w:r>
          </w:p>
        </w:tc>
        <w:tc>
          <w:tcPr>
            <w:tcW w:w="6666" w:type="dxa"/>
            <w:tcBorders>
              <w:top w:val="nil"/>
              <w:left w:val="nil"/>
              <w:bottom w:val="single" w:color="auto" w:sz="4" w:space="0"/>
              <w:right w:val="single" w:color="auto" w:sz="8" w:space="0"/>
            </w:tcBorders>
            <w:vAlign w:val="center"/>
          </w:tcPr>
          <w:p w14:paraId="425C3DC9">
            <w:pPr>
              <w:rPr>
                <w:rFonts w:hint="eastAsia" w:ascii="宋体" w:hAnsi="宋体" w:cs="宋体"/>
                <w:szCs w:val="21"/>
              </w:rPr>
            </w:pPr>
            <w:r>
              <w:rPr>
                <w:rFonts w:hint="eastAsia" w:ascii="宋体" w:hAnsi="宋体" w:cs="宋体"/>
                <w:szCs w:val="21"/>
              </w:rPr>
              <w:t>单机报告系统</w:t>
            </w:r>
          </w:p>
        </w:tc>
      </w:tr>
      <w:tr w14:paraId="54AE7A68">
        <w:tblPrEx>
          <w:tblCellMar>
            <w:top w:w="0" w:type="dxa"/>
            <w:left w:w="108" w:type="dxa"/>
            <w:bottom w:w="0" w:type="dxa"/>
            <w:right w:w="108" w:type="dxa"/>
          </w:tblCellMar>
        </w:tblPrEx>
        <w:trPr>
          <w:trHeight w:val="572" w:hRule="atLeast"/>
          <w:jc w:val="center"/>
        </w:trPr>
        <w:tc>
          <w:tcPr>
            <w:tcW w:w="1661" w:type="dxa"/>
            <w:vMerge w:val="continue"/>
            <w:tcBorders>
              <w:left w:val="single" w:color="auto" w:sz="4" w:space="0"/>
              <w:right w:val="single" w:color="auto" w:sz="4" w:space="0"/>
            </w:tcBorders>
            <w:vAlign w:val="center"/>
          </w:tcPr>
          <w:p w14:paraId="06D41466">
            <w:pPr>
              <w:jc w:val="left"/>
              <w:rPr>
                <w:rFonts w:ascii="宋体" w:hAnsi="宋体" w:cs="宋体"/>
                <w:szCs w:val="21"/>
              </w:rPr>
            </w:pPr>
          </w:p>
        </w:tc>
        <w:tc>
          <w:tcPr>
            <w:tcW w:w="891" w:type="dxa"/>
            <w:tcBorders>
              <w:top w:val="nil"/>
              <w:left w:val="single" w:color="auto" w:sz="4" w:space="0"/>
              <w:bottom w:val="single" w:color="auto" w:sz="4" w:space="0"/>
              <w:right w:val="single" w:color="auto" w:sz="8" w:space="0"/>
            </w:tcBorders>
            <w:vAlign w:val="center"/>
          </w:tcPr>
          <w:p w14:paraId="111F4421">
            <w:pPr>
              <w:widowControl/>
              <w:jc w:val="center"/>
              <w:rPr>
                <w:rFonts w:hint="eastAsia" w:ascii="宋体" w:hAnsi="宋体" w:cs="宋体"/>
                <w:szCs w:val="21"/>
              </w:rPr>
            </w:pPr>
            <w:r>
              <w:rPr>
                <w:rFonts w:hint="eastAsia" w:ascii="宋体" w:hAnsi="宋体" w:cs="宋体"/>
                <w:szCs w:val="21"/>
              </w:rPr>
              <w:t>4.6</w:t>
            </w:r>
          </w:p>
        </w:tc>
        <w:tc>
          <w:tcPr>
            <w:tcW w:w="6666" w:type="dxa"/>
            <w:tcBorders>
              <w:top w:val="nil"/>
              <w:left w:val="nil"/>
              <w:bottom w:val="single" w:color="auto" w:sz="4" w:space="0"/>
              <w:right w:val="single" w:color="auto" w:sz="8" w:space="0"/>
            </w:tcBorders>
            <w:vAlign w:val="center"/>
          </w:tcPr>
          <w:p w14:paraId="77856CDE">
            <w:pPr>
              <w:rPr>
                <w:rFonts w:hint="eastAsia" w:ascii="宋体" w:hAnsi="宋体" w:cs="宋体"/>
                <w:szCs w:val="21"/>
              </w:rPr>
            </w:pPr>
            <w:r>
              <w:rPr>
                <w:rFonts w:hint="eastAsia" w:ascii="宋体" w:hAnsi="宋体" w:cs="宋体"/>
                <w:szCs w:val="21"/>
              </w:rPr>
              <w:t>CA验签系统</w:t>
            </w:r>
          </w:p>
        </w:tc>
      </w:tr>
      <w:tr w14:paraId="08C60C87">
        <w:tblPrEx>
          <w:tblCellMar>
            <w:top w:w="0" w:type="dxa"/>
            <w:left w:w="108" w:type="dxa"/>
            <w:bottom w:w="0" w:type="dxa"/>
            <w:right w:w="108" w:type="dxa"/>
          </w:tblCellMar>
        </w:tblPrEx>
        <w:trPr>
          <w:trHeight w:val="572" w:hRule="atLeast"/>
          <w:jc w:val="center"/>
        </w:trPr>
        <w:tc>
          <w:tcPr>
            <w:tcW w:w="1661" w:type="dxa"/>
            <w:vMerge w:val="continue"/>
            <w:tcBorders>
              <w:left w:val="single" w:color="auto" w:sz="4" w:space="0"/>
              <w:right w:val="single" w:color="auto" w:sz="4" w:space="0"/>
            </w:tcBorders>
            <w:vAlign w:val="center"/>
          </w:tcPr>
          <w:p w14:paraId="451D476A">
            <w:pPr>
              <w:jc w:val="left"/>
              <w:rPr>
                <w:rFonts w:ascii="宋体" w:hAnsi="宋体" w:cs="宋体"/>
                <w:szCs w:val="21"/>
              </w:rPr>
            </w:pPr>
          </w:p>
        </w:tc>
        <w:tc>
          <w:tcPr>
            <w:tcW w:w="891" w:type="dxa"/>
            <w:tcBorders>
              <w:top w:val="nil"/>
              <w:left w:val="single" w:color="auto" w:sz="4" w:space="0"/>
              <w:bottom w:val="single" w:color="auto" w:sz="4" w:space="0"/>
              <w:right w:val="single" w:color="auto" w:sz="8" w:space="0"/>
            </w:tcBorders>
            <w:vAlign w:val="center"/>
          </w:tcPr>
          <w:p w14:paraId="0F499536">
            <w:pPr>
              <w:widowControl/>
              <w:jc w:val="center"/>
              <w:rPr>
                <w:rFonts w:hint="eastAsia" w:ascii="宋体" w:hAnsi="宋体" w:cs="宋体"/>
                <w:szCs w:val="21"/>
              </w:rPr>
            </w:pPr>
            <w:r>
              <w:rPr>
                <w:rFonts w:hint="eastAsia" w:ascii="宋体" w:hAnsi="宋体" w:cs="宋体"/>
                <w:szCs w:val="21"/>
              </w:rPr>
              <w:t>4.7</w:t>
            </w:r>
          </w:p>
        </w:tc>
        <w:tc>
          <w:tcPr>
            <w:tcW w:w="6666" w:type="dxa"/>
            <w:tcBorders>
              <w:top w:val="nil"/>
              <w:left w:val="nil"/>
              <w:bottom w:val="single" w:color="auto" w:sz="4" w:space="0"/>
              <w:right w:val="single" w:color="auto" w:sz="8" w:space="0"/>
            </w:tcBorders>
            <w:vAlign w:val="center"/>
          </w:tcPr>
          <w:p w14:paraId="14EDFB15">
            <w:pPr>
              <w:rPr>
                <w:rFonts w:hint="eastAsia" w:ascii="宋体" w:hAnsi="宋体" w:cs="宋体"/>
                <w:szCs w:val="21"/>
              </w:rPr>
            </w:pPr>
            <w:r>
              <w:rPr>
                <w:rFonts w:hint="eastAsia" w:ascii="宋体" w:hAnsi="宋体" w:cs="宋体"/>
                <w:szCs w:val="21"/>
              </w:rPr>
              <w:t>图像质控系统</w:t>
            </w:r>
          </w:p>
        </w:tc>
      </w:tr>
      <w:tr w14:paraId="5BCC0715">
        <w:tblPrEx>
          <w:tblCellMar>
            <w:top w:w="0" w:type="dxa"/>
            <w:left w:w="108" w:type="dxa"/>
            <w:bottom w:w="0" w:type="dxa"/>
            <w:right w:w="108" w:type="dxa"/>
          </w:tblCellMar>
        </w:tblPrEx>
        <w:trPr>
          <w:trHeight w:val="572" w:hRule="atLeast"/>
          <w:jc w:val="center"/>
        </w:trPr>
        <w:tc>
          <w:tcPr>
            <w:tcW w:w="1661" w:type="dxa"/>
            <w:vMerge w:val="continue"/>
            <w:tcBorders>
              <w:left w:val="single" w:color="auto" w:sz="4" w:space="0"/>
              <w:right w:val="single" w:color="auto" w:sz="4" w:space="0"/>
            </w:tcBorders>
            <w:vAlign w:val="center"/>
          </w:tcPr>
          <w:p w14:paraId="17356C84">
            <w:pPr>
              <w:jc w:val="left"/>
              <w:rPr>
                <w:rFonts w:ascii="宋体" w:hAnsi="宋体" w:cs="宋体"/>
                <w:szCs w:val="21"/>
              </w:rPr>
            </w:pPr>
          </w:p>
        </w:tc>
        <w:tc>
          <w:tcPr>
            <w:tcW w:w="891" w:type="dxa"/>
            <w:tcBorders>
              <w:top w:val="nil"/>
              <w:left w:val="single" w:color="auto" w:sz="4" w:space="0"/>
              <w:bottom w:val="single" w:color="auto" w:sz="4" w:space="0"/>
              <w:right w:val="single" w:color="auto" w:sz="8" w:space="0"/>
            </w:tcBorders>
            <w:vAlign w:val="center"/>
          </w:tcPr>
          <w:p w14:paraId="7790B57A">
            <w:pPr>
              <w:widowControl/>
              <w:jc w:val="center"/>
              <w:rPr>
                <w:rFonts w:hint="eastAsia" w:ascii="宋体" w:hAnsi="宋体" w:cs="宋体"/>
                <w:szCs w:val="21"/>
              </w:rPr>
            </w:pPr>
            <w:r>
              <w:rPr>
                <w:rFonts w:hint="eastAsia" w:ascii="宋体" w:hAnsi="宋体" w:cs="宋体"/>
                <w:szCs w:val="21"/>
              </w:rPr>
              <w:t>4.8</w:t>
            </w:r>
          </w:p>
        </w:tc>
        <w:tc>
          <w:tcPr>
            <w:tcW w:w="6666" w:type="dxa"/>
            <w:tcBorders>
              <w:top w:val="nil"/>
              <w:left w:val="nil"/>
              <w:bottom w:val="single" w:color="auto" w:sz="4" w:space="0"/>
              <w:right w:val="single" w:color="auto" w:sz="8" w:space="0"/>
            </w:tcBorders>
            <w:vAlign w:val="center"/>
          </w:tcPr>
          <w:p w14:paraId="058F0C00">
            <w:pPr>
              <w:rPr>
                <w:rFonts w:hint="eastAsia" w:ascii="宋体" w:hAnsi="宋体" w:cs="宋体"/>
                <w:szCs w:val="21"/>
              </w:rPr>
            </w:pPr>
            <w:r>
              <w:rPr>
                <w:rFonts w:hint="eastAsia" w:ascii="宋体" w:hAnsi="宋体" w:cs="宋体"/>
                <w:szCs w:val="21"/>
              </w:rPr>
              <w:t>报告授权系统</w:t>
            </w:r>
          </w:p>
        </w:tc>
      </w:tr>
      <w:tr w14:paraId="4A987107">
        <w:tblPrEx>
          <w:tblCellMar>
            <w:top w:w="0" w:type="dxa"/>
            <w:left w:w="108" w:type="dxa"/>
            <w:bottom w:w="0" w:type="dxa"/>
            <w:right w:w="108" w:type="dxa"/>
          </w:tblCellMar>
        </w:tblPrEx>
        <w:trPr>
          <w:trHeight w:val="572" w:hRule="atLeast"/>
          <w:jc w:val="center"/>
        </w:trPr>
        <w:tc>
          <w:tcPr>
            <w:tcW w:w="1661" w:type="dxa"/>
            <w:vMerge w:val="continue"/>
            <w:tcBorders>
              <w:left w:val="single" w:color="auto" w:sz="4" w:space="0"/>
              <w:right w:val="single" w:color="auto" w:sz="4" w:space="0"/>
            </w:tcBorders>
            <w:vAlign w:val="center"/>
          </w:tcPr>
          <w:p w14:paraId="6208CDF8">
            <w:pPr>
              <w:jc w:val="left"/>
              <w:rPr>
                <w:rFonts w:ascii="宋体" w:hAnsi="宋体" w:cs="宋体"/>
                <w:szCs w:val="21"/>
              </w:rPr>
            </w:pPr>
          </w:p>
        </w:tc>
        <w:tc>
          <w:tcPr>
            <w:tcW w:w="891" w:type="dxa"/>
            <w:tcBorders>
              <w:top w:val="nil"/>
              <w:left w:val="single" w:color="auto" w:sz="4" w:space="0"/>
              <w:bottom w:val="single" w:color="auto" w:sz="4" w:space="0"/>
              <w:right w:val="single" w:color="auto" w:sz="8" w:space="0"/>
            </w:tcBorders>
            <w:vAlign w:val="center"/>
          </w:tcPr>
          <w:p w14:paraId="06D29B6F">
            <w:pPr>
              <w:widowControl/>
              <w:jc w:val="center"/>
              <w:rPr>
                <w:rFonts w:hint="eastAsia" w:ascii="宋体" w:hAnsi="宋体" w:cs="宋体"/>
                <w:szCs w:val="21"/>
              </w:rPr>
            </w:pPr>
            <w:r>
              <w:rPr>
                <w:rFonts w:hint="eastAsia" w:ascii="宋体" w:hAnsi="宋体" w:cs="宋体"/>
                <w:szCs w:val="21"/>
              </w:rPr>
              <w:t>4.9</w:t>
            </w:r>
          </w:p>
        </w:tc>
        <w:tc>
          <w:tcPr>
            <w:tcW w:w="6666" w:type="dxa"/>
            <w:tcBorders>
              <w:top w:val="nil"/>
              <w:left w:val="nil"/>
              <w:bottom w:val="single" w:color="auto" w:sz="4" w:space="0"/>
              <w:right w:val="single" w:color="auto" w:sz="8" w:space="0"/>
            </w:tcBorders>
            <w:vAlign w:val="center"/>
          </w:tcPr>
          <w:p w14:paraId="58A199DC">
            <w:pPr>
              <w:rPr>
                <w:rFonts w:hint="eastAsia" w:ascii="宋体" w:hAnsi="宋体" w:cs="宋体"/>
                <w:szCs w:val="21"/>
              </w:rPr>
            </w:pPr>
            <w:r>
              <w:rPr>
                <w:rFonts w:hint="eastAsia" w:ascii="宋体" w:hAnsi="宋体" w:cs="宋体"/>
                <w:szCs w:val="21"/>
              </w:rPr>
              <w:t>CA绑定系统</w:t>
            </w:r>
          </w:p>
        </w:tc>
      </w:tr>
      <w:tr w14:paraId="480A52DE">
        <w:tblPrEx>
          <w:tblCellMar>
            <w:top w:w="0" w:type="dxa"/>
            <w:left w:w="108" w:type="dxa"/>
            <w:bottom w:w="0" w:type="dxa"/>
            <w:right w:w="108" w:type="dxa"/>
          </w:tblCellMar>
        </w:tblPrEx>
        <w:trPr>
          <w:trHeight w:val="572" w:hRule="atLeast"/>
          <w:jc w:val="center"/>
        </w:trPr>
        <w:tc>
          <w:tcPr>
            <w:tcW w:w="1661" w:type="dxa"/>
            <w:vMerge w:val="continue"/>
            <w:tcBorders>
              <w:left w:val="single" w:color="auto" w:sz="4" w:space="0"/>
              <w:right w:val="single" w:color="auto" w:sz="4" w:space="0"/>
            </w:tcBorders>
            <w:vAlign w:val="center"/>
          </w:tcPr>
          <w:p w14:paraId="660BEA73">
            <w:pPr>
              <w:jc w:val="left"/>
              <w:rPr>
                <w:rFonts w:ascii="宋体" w:hAnsi="宋体" w:cs="宋体"/>
                <w:szCs w:val="21"/>
              </w:rPr>
            </w:pPr>
          </w:p>
        </w:tc>
        <w:tc>
          <w:tcPr>
            <w:tcW w:w="891" w:type="dxa"/>
            <w:tcBorders>
              <w:top w:val="nil"/>
              <w:left w:val="single" w:color="auto" w:sz="4" w:space="0"/>
              <w:bottom w:val="single" w:color="auto" w:sz="4" w:space="0"/>
              <w:right w:val="single" w:color="auto" w:sz="8" w:space="0"/>
            </w:tcBorders>
            <w:vAlign w:val="center"/>
          </w:tcPr>
          <w:p w14:paraId="722E19B6">
            <w:pPr>
              <w:widowControl/>
              <w:jc w:val="center"/>
              <w:rPr>
                <w:rFonts w:hint="eastAsia" w:ascii="宋体" w:hAnsi="宋体" w:cs="宋体"/>
                <w:szCs w:val="21"/>
              </w:rPr>
            </w:pPr>
            <w:r>
              <w:rPr>
                <w:rFonts w:hint="eastAsia" w:ascii="宋体" w:hAnsi="宋体" w:cs="宋体"/>
                <w:szCs w:val="21"/>
              </w:rPr>
              <w:t>4.10</w:t>
            </w:r>
          </w:p>
        </w:tc>
        <w:tc>
          <w:tcPr>
            <w:tcW w:w="6666" w:type="dxa"/>
            <w:tcBorders>
              <w:top w:val="nil"/>
              <w:left w:val="nil"/>
              <w:bottom w:val="single" w:color="auto" w:sz="4" w:space="0"/>
              <w:right w:val="single" w:color="auto" w:sz="8" w:space="0"/>
            </w:tcBorders>
            <w:vAlign w:val="center"/>
          </w:tcPr>
          <w:p w14:paraId="6D9D5672">
            <w:pPr>
              <w:rPr>
                <w:rFonts w:hint="eastAsia" w:ascii="宋体" w:hAnsi="宋体" w:cs="宋体"/>
                <w:szCs w:val="21"/>
              </w:rPr>
            </w:pPr>
            <w:r>
              <w:rPr>
                <w:rFonts w:hint="eastAsia" w:ascii="宋体" w:hAnsi="宋体" w:cs="宋体"/>
                <w:szCs w:val="21"/>
              </w:rPr>
              <w:t>his后端服务</w:t>
            </w:r>
          </w:p>
        </w:tc>
      </w:tr>
      <w:tr w14:paraId="1C11AA2A">
        <w:tblPrEx>
          <w:tblCellMar>
            <w:top w:w="0" w:type="dxa"/>
            <w:left w:w="108" w:type="dxa"/>
            <w:bottom w:w="0" w:type="dxa"/>
            <w:right w:w="108" w:type="dxa"/>
          </w:tblCellMar>
        </w:tblPrEx>
        <w:trPr>
          <w:trHeight w:val="572" w:hRule="atLeast"/>
          <w:jc w:val="center"/>
        </w:trPr>
        <w:tc>
          <w:tcPr>
            <w:tcW w:w="1661" w:type="dxa"/>
            <w:vMerge w:val="continue"/>
            <w:tcBorders>
              <w:left w:val="single" w:color="auto" w:sz="4" w:space="0"/>
              <w:right w:val="single" w:color="auto" w:sz="4" w:space="0"/>
            </w:tcBorders>
            <w:vAlign w:val="center"/>
          </w:tcPr>
          <w:p w14:paraId="6C2B0B33">
            <w:pPr>
              <w:jc w:val="left"/>
              <w:rPr>
                <w:rFonts w:ascii="宋体" w:hAnsi="宋体" w:cs="宋体"/>
                <w:szCs w:val="21"/>
              </w:rPr>
            </w:pPr>
          </w:p>
        </w:tc>
        <w:tc>
          <w:tcPr>
            <w:tcW w:w="891" w:type="dxa"/>
            <w:tcBorders>
              <w:top w:val="nil"/>
              <w:left w:val="single" w:color="auto" w:sz="4" w:space="0"/>
              <w:bottom w:val="single" w:color="auto" w:sz="4" w:space="0"/>
              <w:right w:val="single" w:color="auto" w:sz="8" w:space="0"/>
            </w:tcBorders>
            <w:vAlign w:val="center"/>
          </w:tcPr>
          <w:p w14:paraId="4A59A095">
            <w:pPr>
              <w:widowControl/>
              <w:jc w:val="center"/>
              <w:rPr>
                <w:rFonts w:hint="eastAsia" w:ascii="宋体" w:hAnsi="宋体" w:cs="宋体"/>
                <w:szCs w:val="21"/>
              </w:rPr>
            </w:pPr>
            <w:r>
              <w:rPr>
                <w:rFonts w:hint="eastAsia" w:ascii="宋体" w:hAnsi="宋体" w:cs="宋体"/>
                <w:szCs w:val="21"/>
              </w:rPr>
              <w:t>4.11</w:t>
            </w:r>
          </w:p>
        </w:tc>
        <w:tc>
          <w:tcPr>
            <w:tcW w:w="6666" w:type="dxa"/>
            <w:tcBorders>
              <w:top w:val="nil"/>
              <w:left w:val="nil"/>
              <w:bottom w:val="single" w:color="auto" w:sz="4" w:space="0"/>
              <w:right w:val="single" w:color="auto" w:sz="8" w:space="0"/>
            </w:tcBorders>
            <w:vAlign w:val="center"/>
          </w:tcPr>
          <w:p w14:paraId="6B72541C">
            <w:pPr>
              <w:rPr>
                <w:rFonts w:hint="eastAsia" w:ascii="宋体" w:hAnsi="宋体" w:cs="宋体"/>
                <w:szCs w:val="21"/>
              </w:rPr>
            </w:pPr>
            <w:r>
              <w:rPr>
                <w:rFonts w:hint="eastAsia" w:ascii="宋体" w:hAnsi="宋体" w:cs="宋体"/>
                <w:szCs w:val="21"/>
              </w:rPr>
              <w:t>超声后端服务</w:t>
            </w:r>
          </w:p>
        </w:tc>
      </w:tr>
      <w:tr w14:paraId="63B388AF">
        <w:tblPrEx>
          <w:tblCellMar>
            <w:top w:w="0" w:type="dxa"/>
            <w:left w:w="108" w:type="dxa"/>
            <w:bottom w:w="0" w:type="dxa"/>
            <w:right w:w="108" w:type="dxa"/>
          </w:tblCellMar>
        </w:tblPrEx>
        <w:trPr>
          <w:trHeight w:val="572" w:hRule="atLeast"/>
          <w:jc w:val="center"/>
        </w:trPr>
        <w:tc>
          <w:tcPr>
            <w:tcW w:w="1661" w:type="dxa"/>
            <w:vMerge w:val="continue"/>
            <w:tcBorders>
              <w:left w:val="single" w:color="auto" w:sz="4" w:space="0"/>
              <w:right w:val="single" w:color="auto" w:sz="4" w:space="0"/>
            </w:tcBorders>
            <w:vAlign w:val="center"/>
          </w:tcPr>
          <w:p w14:paraId="6EC1B1ED">
            <w:pPr>
              <w:jc w:val="left"/>
              <w:rPr>
                <w:rFonts w:ascii="宋体" w:hAnsi="宋体" w:cs="宋体"/>
                <w:szCs w:val="21"/>
              </w:rPr>
            </w:pPr>
          </w:p>
        </w:tc>
        <w:tc>
          <w:tcPr>
            <w:tcW w:w="891" w:type="dxa"/>
            <w:tcBorders>
              <w:top w:val="nil"/>
              <w:left w:val="single" w:color="auto" w:sz="4" w:space="0"/>
              <w:bottom w:val="single" w:color="auto" w:sz="4" w:space="0"/>
              <w:right w:val="single" w:color="auto" w:sz="8" w:space="0"/>
            </w:tcBorders>
            <w:vAlign w:val="center"/>
          </w:tcPr>
          <w:p w14:paraId="17D3B222">
            <w:pPr>
              <w:widowControl/>
              <w:jc w:val="center"/>
              <w:rPr>
                <w:rFonts w:hint="eastAsia" w:ascii="宋体" w:hAnsi="宋体" w:cs="宋体"/>
                <w:szCs w:val="21"/>
              </w:rPr>
            </w:pPr>
            <w:r>
              <w:rPr>
                <w:rFonts w:hint="eastAsia" w:ascii="宋体" w:hAnsi="宋体" w:cs="宋体"/>
                <w:szCs w:val="21"/>
              </w:rPr>
              <w:t>4.12</w:t>
            </w:r>
          </w:p>
        </w:tc>
        <w:tc>
          <w:tcPr>
            <w:tcW w:w="6666" w:type="dxa"/>
            <w:tcBorders>
              <w:top w:val="nil"/>
              <w:left w:val="nil"/>
              <w:bottom w:val="single" w:color="auto" w:sz="4" w:space="0"/>
              <w:right w:val="single" w:color="auto" w:sz="8" w:space="0"/>
            </w:tcBorders>
            <w:vAlign w:val="center"/>
          </w:tcPr>
          <w:p w14:paraId="2F657E85">
            <w:pPr>
              <w:rPr>
                <w:rFonts w:hint="eastAsia" w:ascii="宋体" w:hAnsi="宋体" w:cs="宋体"/>
                <w:szCs w:val="21"/>
              </w:rPr>
            </w:pPr>
            <w:r>
              <w:rPr>
                <w:rFonts w:hint="eastAsia" w:ascii="宋体" w:hAnsi="宋体" w:cs="宋体"/>
                <w:szCs w:val="21"/>
              </w:rPr>
              <w:t>放射后端服务</w:t>
            </w:r>
          </w:p>
        </w:tc>
      </w:tr>
      <w:tr w14:paraId="0513BF2D">
        <w:tblPrEx>
          <w:tblCellMar>
            <w:top w:w="0" w:type="dxa"/>
            <w:left w:w="108" w:type="dxa"/>
            <w:bottom w:w="0" w:type="dxa"/>
            <w:right w:w="108" w:type="dxa"/>
          </w:tblCellMar>
        </w:tblPrEx>
        <w:trPr>
          <w:trHeight w:val="572" w:hRule="atLeast"/>
          <w:jc w:val="center"/>
        </w:trPr>
        <w:tc>
          <w:tcPr>
            <w:tcW w:w="1661" w:type="dxa"/>
            <w:vMerge w:val="continue"/>
            <w:tcBorders>
              <w:left w:val="single" w:color="auto" w:sz="4" w:space="0"/>
              <w:right w:val="single" w:color="auto" w:sz="4" w:space="0"/>
            </w:tcBorders>
            <w:vAlign w:val="center"/>
          </w:tcPr>
          <w:p w14:paraId="79400B6A">
            <w:pPr>
              <w:jc w:val="left"/>
              <w:rPr>
                <w:rFonts w:ascii="宋体" w:hAnsi="宋体" w:cs="宋体"/>
                <w:szCs w:val="21"/>
              </w:rPr>
            </w:pPr>
          </w:p>
        </w:tc>
        <w:tc>
          <w:tcPr>
            <w:tcW w:w="891" w:type="dxa"/>
            <w:tcBorders>
              <w:top w:val="nil"/>
              <w:left w:val="single" w:color="auto" w:sz="4" w:space="0"/>
              <w:bottom w:val="single" w:color="auto" w:sz="4" w:space="0"/>
              <w:right w:val="single" w:color="auto" w:sz="8" w:space="0"/>
            </w:tcBorders>
            <w:vAlign w:val="center"/>
          </w:tcPr>
          <w:p w14:paraId="2902DBDE">
            <w:pPr>
              <w:widowControl/>
              <w:jc w:val="center"/>
              <w:rPr>
                <w:rFonts w:hint="eastAsia" w:ascii="宋体" w:hAnsi="宋体" w:cs="宋体"/>
                <w:szCs w:val="21"/>
              </w:rPr>
            </w:pPr>
            <w:r>
              <w:rPr>
                <w:rFonts w:hint="eastAsia" w:ascii="宋体" w:hAnsi="宋体" w:cs="宋体"/>
                <w:szCs w:val="21"/>
              </w:rPr>
              <w:t>4.13</w:t>
            </w:r>
          </w:p>
        </w:tc>
        <w:tc>
          <w:tcPr>
            <w:tcW w:w="6666" w:type="dxa"/>
            <w:tcBorders>
              <w:top w:val="nil"/>
              <w:left w:val="nil"/>
              <w:bottom w:val="single" w:color="auto" w:sz="4" w:space="0"/>
              <w:right w:val="single" w:color="auto" w:sz="8" w:space="0"/>
            </w:tcBorders>
            <w:vAlign w:val="center"/>
          </w:tcPr>
          <w:p w14:paraId="6DB99EF3">
            <w:pPr>
              <w:rPr>
                <w:rFonts w:hint="eastAsia" w:ascii="宋体" w:hAnsi="宋体" w:cs="宋体"/>
                <w:szCs w:val="21"/>
              </w:rPr>
            </w:pPr>
            <w:r>
              <w:rPr>
                <w:rFonts w:hint="eastAsia" w:ascii="宋体" w:hAnsi="宋体" w:cs="宋体"/>
                <w:szCs w:val="21"/>
              </w:rPr>
              <w:t>核医学后端服务</w:t>
            </w:r>
          </w:p>
        </w:tc>
      </w:tr>
      <w:tr w14:paraId="17413343">
        <w:tblPrEx>
          <w:tblCellMar>
            <w:top w:w="0" w:type="dxa"/>
            <w:left w:w="108" w:type="dxa"/>
            <w:bottom w:w="0" w:type="dxa"/>
            <w:right w:w="108" w:type="dxa"/>
          </w:tblCellMar>
        </w:tblPrEx>
        <w:trPr>
          <w:trHeight w:val="572" w:hRule="atLeast"/>
          <w:jc w:val="center"/>
        </w:trPr>
        <w:tc>
          <w:tcPr>
            <w:tcW w:w="1661" w:type="dxa"/>
            <w:vMerge w:val="continue"/>
            <w:tcBorders>
              <w:left w:val="single" w:color="auto" w:sz="4" w:space="0"/>
              <w:right w:val="single" w:color="auto" w:sz="4" w:space="0"/>
            </w:tcBorders>
            <w:vAlign w:val="center"/>
          </w:tcPr>
          <w:p w14:paraId="1820A9E1">
            <w:pPr>
              <w:jc w:val="left"/>
              <w:rPr>
                <w:rFonts w:ascii="宋体" w:hAnsi="宋体" w:cs="宋体"/>
                <w:szCs w:val="21"/>
              </w:rPr>
            </w:pPr>
          </w:p>
        </w:tc>
        <w:tc>
          <w:tcPr>
            <w:tcW w:w="891" w:type="dxa"/>
            <w:tcBorders>
              <w:top w:val="nil"/>
              <w:left w:val="single" w:color="auto" w:sz="4" w:space="0"/>
              <w:bottom w:val="single" w:color="auto" w:sz="4" w:space="0"/>
              <w:right w:val="single" w:color="auto" w:sz="8" w:space="0"/>
            </w:tcBorders>
            <w:vAlign w:val="center"/>
          </w:tcPr>
          <w:p w14:paraId="3821EB7D">
            <w:pPr>
              <w:widowControl/>
              <w:jc w:val="center"/>
              <w:rPr>
                <w:rFonts w:hint="eastAsia" w:ascii="宋体" w:hAnsi="宋体" w:cs="宋体"/>
                <w:szCs w:val="21"/>
              </w:rPr>
            </w:pPr>
            <w:r>
              <w:rPr>
                <w:rFonts w:hint="eastAsia" w:ascii="宋体" w:hAnsi="宋体" w:cs="宋体"/>
                <w:szCs w:val="21"/>
              </w:rPr>
              <w:t>4.14</w:t>
            </w:r>
          </w:p>
        </w:tc>
        <w:tc>
          <w:tcPr>
            <w:tcW w:w="6666" w:type="dxa"/>
            <w:tcBorders>
              <w:top w:val="nil"/>
              <w:left w:val="nil"/>
              <w:bottom w:val="single" w:color="auto" w:sz="4" w:space="0"/>
              <w:right w:val="single" w:color="auto" w:sz="8" w:space="0"/>
            </w:tcBorders>
            <w:vAlign w:val="center"/>
          </w:tcPr>
          <w:p w14:paraId="0853F095">
            <w:pPr>
              <w:rPr>
                <w:rFonts w:hint="eastAsia" w:ascii="宋体" w:hAnsi="宋体" w:cs="宋体"/>
                <w:szCs w:val="21"/>
              </w:rPr>
            </w:pPr>
            <w:r>
              <w:rPr>
                <w:rFonts w:hint="eastAsia" w:ascii="宋体" w:hAnsi="宋体" w:cs="宋体"/>
                <w:szCs w:val="21"/>
              </w:rPr>
              <w:t>病理后端服务</w:t>
            </w:r>
          </w:p>
        </w:tc>
      </w:tr>
      <w:tr w14:paraId="1EABEFEC">
        <w:tblPrEx>
          <w:tblCellMar>
            <w:top w:w="0" w:type="dxa"/>
            <w:left w:w="108" w:type="dxa"/>
            <w:bottom w:w="0" w:type="dxa"/>
            <w:right w:w="108" w:type="dxa"/>
          </w:tblCellMar>
        </w:tblPrEx>
        <w:trPr>
          <w:trHeight w:val="572" w:hRule="atLeast"/>
          <w:jc w:val="center"/>
        </w:trPr>
        <w:tc>
          <w:tcPr>
            <w:tcW w:w="1661" w:type="dxa"/>
            <w:vMerge w:val="continue"/>
            <w:tcBorders>
              <w:left w:val="single" w:color="auto" w:sz="4" w:space="0"/>
              <w:right w:val="single" w:color="auto" w:sz="4" w:space="0"/>
            </w:tcBorders>
            <w:vAlign w:val="center"/>
          </w:tcPr>
          <w:p w14:paraId="02776F11">
            <w:pPr>
              <w:jc w:val="left"/>
              <w:rPr>
                <w:rFonts w:ascii="宋体" w:hAnsi="宋体" w:cs="宋体"/>
                <w:szCs w:val="21"/>
              </w:rPr>
            </w:pPr>
          </w:p>
        </w:tc>
        <w:tc>
          <w:tcPr>
            <w:tcW w:w="891" w:type="dxa"/>
            <w:tcBorders>
              <w:top w:val="nil"/>
              <w:left w:val="single" w:color="auto" w:sz="4" w:space="0"/>
              <w:bottom w:val="single" w:color="auto" w:sz="4" w:space="0"/>
              <w:right w:val="single" w:color="auto" w:sz="8" w:space="0"/>
            </w:tcBorders>
            <w:vAlign w:val="center"/>
          </w:tcPr>
          <w:p w14:paraId="3AEC9413">
            <w:pPr>
              <w:widowControl/>
              <w:jc w:val="center"/>
              <w:rPr>
                <w:rFonts w:hint="eastAsia" w:ascii="宋体" w:hAnsi="宋体" w:cs="宋体"/>
                <w:szCs w:val="21"/>
              </w:rPr>
            </w:pPr>
            <w:r>
              <w:rPr>
                <w:rFonts w:hint="eastAsia" w:ascii="宋体" w:hAnsi="宋体" w:cs="宋体"/>
                <w:szCs w:val="21"/>
              </w:rPr>
              <w:t>4.15</w:t>
            </w:r>
          </w:p>
        </w:tc>
        <w:tc>
          <w:tcPr>
            <w:tcW w:w="6666" w:type="dxa"/>
            <w:tcBorders>
              <w:top w:val="nil"/>
              <w:left w:val="nil"/>
              <w:bottom w:val="single" w:color="auto" w:sz="4" w:space="0"/>
              <w:right w:val="single" w:color="auto" w:sz="8" w:space="0"/>
            </w:tcBorders>
            <w:vAlign w:val="center"/>
          </w:tcPr>
          <w:p w14:paraId="20F97FE3">
            <w:pPr>
              <w:rPr>
                <w:rFonts w:hint="eastAsia" w:ascii="宋体" w:hAnsi="宋体" w:cs="宋体"/>
                <w:szCs w:val="21"/>
              </w:rPr>
            </w:pPr>
            <w:r>
              <w:rPr>
                <w:rFonts w:hint="eastAsia" w:ascii="宋体" w:hAnsi="宋体" w:cs="宋体"/>
                <w:szCs w:val="21"/>
              </w:rPr>
              <w:t>放疗后端服务</w:t>
            </w:r>
          </w:p>
        </w:tc>
      </w:tr>
      <w:tr w14:paraId="774B0037">
        <w:tblPrEx>
          <w:tblCellMar>
            <w:top w:w="0" w:type="dxa"/>
            <w:left w:w="108" w:type="dxa"/>
            <w:bottom w:w="0" w:type="dxa"/>
            <w:right w:w="108" w:type="dxa"/>
          </w:tblCellMar>
        </w:tblPrEx>
        <w:trPr>
          <w:trHeight w:val="572" w:hRule="atLeast"/>
          <w:jc w:val="center"/>
        </w:trPr>
        <w:tc>
          <w:tcPr>
            <w:tcW w:w="1661" w:type="dxa"/>
            <w:vMerge w:val="continue"/>
            <w:tcBorders>
              <w:left w:val="single" w:color="auto" w:sz="4" w:space="0"/>
              <w:right w:val="single" w:color="auto" w:sz="4" w:space="0"/>
            </w:tcBorders>
            <w:vAlign w:val="center"/>
          </w:tcPr>
          <w:p w14:paraId="02DAFD8B">
            <w:pPr>
              <w:jc w:val="left"/>
              <w:rPr>
                <w:rFonts w:ascii="宋体" w:hAnsi="宋体" w:cs="宋体"/>
                <w:szCs w:val="21"/>
              </w:rPr>
            </w:pPr>
          </w:p>
        </w:tc>
        <w:tc>
          <w:tcPr>
            <w:tcW w:w="891" w:type="dxa"/>
            <w:tcBorders>
              <w:top w:val="nil"/>
              <w:left w:val="single" w:color="auto" w:sz="4" w:space="0"/>
              <w:bottom w:val="single" w:color="auto" w:sz="4" w:space="0"/>
              <w:right w:val="single" w:color="auto" w:sz="8" w:space="0"/>
            </w:tcBorders>
            <w:vAlign w:val="center"/>
          </w:tcPr>
          <w:p w14:paraId="263D60A4">
            <w:pPr>
              <w:widowControl/>
              <w:jc w:val="center"/>
              <w:rPr>
                <w:rFonts w:hint="eastAsia" w:ascii="宋体" w:hAnsi="宋体" w:cs="宋体"/>
                <w:szCs w:val="21"/>
              </w:rPr>
            </w:pPr>
            <w:r>
              <w:rPr>
                <w:rFonts w:hint="eastAsia" w:ascii="宋体" w:hAnsi="宋体" w:cs="宋体"/>
                <w:szCs w:val="21"/>
              </w:rPr>
              <w:t>4.16</w:t>
            </w:r>
          </w:p>
        </w:tc>
        <w:tc>
          <w:tcPr>
            <w:tcW w:w="6666" w:type="dxa"/>
            <w:tcBorders>
              <w:top w:val="nil"/>
              <w:left w:val="nil"/>
              <w:bottom w:val="single" w:color="auto" w:sz="4" w:space="0"/>
              <w:right w:val="single" w:color="auto" w:sz="8" w:space="0"/>
            </w:tcBorders>
            <w:vAlign w:val="center"/>
          </w:tcPr>
          <w:p w14:paraId="1BB12E54">
            <w:pPr>
              <w:rPr>
                <w:rFonts w:hint="eastAsia" w:ascii="宋体" w:hAnsi="宋体" w:cs="宋体"/>
                <w:szCs w:val="21"/>
              </w:rPr>
            </w:pPr>
            <w:r>
              <w:rPr>
                <w:rFonts w:hint="eastAsia" w:ascii="宋体" w:hAnsi="宋体" w:cs="宋体"/>
                <w:szCs w:val="21"/>
              </w:rPr>
              <w:t>hl7服务</w:t>
            </w:r>
          </w:p>
        </w:tc>
      </w:tr>
      <w:tr w14:paraId="01656496">
        <w:tblPrEx>
          <w:tblCellMar>
            <w:top w:w="0" w:type="dxa"/>
            <w:left w:w="108" w:type="dxa"/>
            <w:bottom w:w="0" w:type="dxa"/>
            <w:right w:w="108" w:type="dxa"/>
          </w:tblCellMar>
        </w:tblPrEx>
        <w:trPr>
          <w:trHeight w:val="572" w:hRule="atLeast"/>
          <w:jc w:val="center"/>
        </w:trPr>
        <w:tc>
          <w:tcPr>
            <w:tcW w:w="1661" w:type="dxa"/>
            <w:vMerge w:val="continue"/>
            <w:tcBorders>
              <w:left w:val="single" w:color="auto" w:sz="4" w:space="0"/>
              <w:right w:val="single" w:color="auto" w:sz="4" w:space="0"/>
            </w:tcBorders>
            <w:vAlign w:val="center"/>
          </w:tcPr>
          <w:p w14:paraId="226145D7">
            <w:pPr>
              <w:jc w:val="left"/>
              <w:rPr>
                <w:rFonts w:ascii="宋体" w:hAnsi="宋体" w:cs="宋体"/>
                <w:szCs w:val="21"/>
              </w:rPr>
            </w:pPr>
          </w:p>
        </w:tc>
        <w:tc>
          <w:tcPr>
            <w:tcW w:w="891" w:type="dxa"/>
            <w:tcBorders>
              <w:top w:val="nil"/>
              <w:left w:val="single" w:color="auto" w:sz="4" w:space="0"/>
              <w:bottom w:val="single" w:color="auto" w:sz="4" w:space="0"/>
              <w:right w:val="single" w:color="auto" w:sz="8" w:space="0"/>
            </w:tcBorders>
            <w:vAlign w:val="center"/>
          </w:tcPr>
          <w:p w14:paraId="08C11AEE">
            <w:pPr>
              <w:widowControl/>
              <w:jc w:val="center"/>
              <w:rPr>
                <w:rFonts w:hint="eastAsia" w:ascii="宋体" w:hAnsi="宋体" w:cs="宋体"/>
                <w:szCs w:val="21"/>
              </w:rPr>
            </w:pPr>
            <w:r>
              <w:rPr>
                <w:rFonts w:hint="eastAsia" w:ascii="宋体" w:hAnsi="宋体" w:cs="宋体"/>
                <w:szCs w:val="21"/>
              </w:rPr>
              <w:t>4.17</w:t>
            </w:r>
          </w:p>
        </w:tc>
        <w:tc>
          <w:tcPr>
            <w:tcW w:w="6666" w:type="dxa"/>
            <w:tcBorders>
              <w:top w:val="nil"/>
              <w:left w:val="nil"/>
              <w:bottom w:val="single" w:color="auto" w:sz="4" w:space="0"/>
              <w:right w:val="single" w:color="auto" w:sz="8" w:space="0"/>
            </w:tcBorders>
            <w:vAlign w:val="center"/>
          </w:tcPr>
          <w:p w14:paraId="7332DD6C">
            <w:pPr>
              <w:rPr>
                <w:rFonts w:hint="eastAsia" w:ascii="宋体" w:hAnsi="宋体" w:cs="宋体"/>
                <w:szCs w:val="21"/>
              </w:rPr>
            </w:pPr>
            <w:r>
              <w:rPr>
                <w:rFonts w:hint="eastAsia" w:ascii="宋体" w:hAnsi="宋体" w:cs="宋体"/>
                <w:szCs w:val="21"/>
              </w:rPr>
              <w:t>影像导出导入工具</w:t>
            </w:r>
          </w:p>
        </w:tc>
      </w:tr>
      <w:tr w14:paraId="76E9C6E6">
        <w:tblPrEx>
          <w:tblCellMar>
            <w:top w:w="0" w:type="dxa"/>
            <w:left w:w="108" w:type="dxa"/>
            <w:bottom w:w="0" w:type="dxa"/>
            <w:right w:w="108" w:type="dxa"/>
          </w:tblCellMar>
        </w:tblPrEx>
        <w:trPr>
          <w:trHeight w:val="572" w:hRule="atLeast"/>
          <w:jc w:val="center"/>
        </w:trPr>
        <w:tc>
          <w:tcPr>
            <w:tcW w:w="1661" w:type="dxa"/>
            <w:vMerge w:val="continue"/>
            <w:tcBorders>
              <w:left w:val="single" w:color="auto" w:sz="4" w:space="0"/>
              <w:bottom w:val="single" w:color="auto" w:sz="4" w:space="0"/>
              <w:right w:val="single" w:color="auto" w:sz="4" w:space="0"/>
            </w:tcBorders>
            <w:vAlign w:val="center"/>
          </w:tcPr>
          <w:p w14:paraId="1105686B">
            <w:pPr>
              <w:jc w:val="left"/>
              <w:rPr>
                <w:rFonts w:ascii="宋体" w:hAnsi="宋体" w:cs="宋体"/>
                <w:szCs w:val="21"/>
              </w:rPr>
            </w:pPr>
          </w:p>
        </w:tc>
        <w:tc>
          <w:tcPr>
            <w:tcW w:w="891" w:type="dxa"/>
            <w:tcBorders>
              <w:top w:val="nil"/>
              <w:left w:val="single" w:color="auto" w:sz="4" w:space="0"/>
              <w:bottom w:val="single" w:color="auto" w:sz="4" w:space="0"/>
              <w:right w:val="single" w:color="auto" w:sz="8" w:space="0"/>
            </w:tcBorders>
            <w:vAlign w:val="center"/>
          </w:tcPr>
          <w:p w14:paraId="17839596">
            <w:pPr>
              <w:widowControl/>
              <w:jc w:val="center"/>
              <w:rPr>
                <w:rFonts w:hint="eastAsia" w:ascii="宋体" w:hAnsi="宋体" w:cs="宋体"/>
                <w:szCs w:val="21"/>
              </w:rPr>
            </w:pPr>
            <w:r>
              <w:rPr>
                <w:rFonts w:hint="eastAsia" w:ascii="宋体" w:hAnsi="宋体" w:cs="宋体"/>
                <w:szCs w:val="21"/>
              </w:rPr>
              <w:t>4.18</w:t>
            </w:r>
          </w:p>
        </w:tc>
        <w:tc>
          <w:tcPr>
            <w:tcW w:w="6666" w:type="dxa"/>
            <w:tcBorders>
              <w:top w:val="nil"/>
              <w:left w:val="nil"/>
              <w:bottom w:val="single" w:color="auto" w:sz="4" w:space="0"/>
              <w:right w:val="single" w:color="auto" w:sz="8" w:space="0"/>
            </w:tcBorders>
            <w:vAlign w:val="center"/>
          </w:tcPr>
          <w:p w14:paraId="2E0E5543">
            <w:pPr>
              <w:rPr>
                <w:rFonts w:hint="eastAsia" w:ascii="宋体" w:hAnsi="宋体" w:cs="宋体"/>
                <w:szCs w:val="21"/>
              </w:rPr>
            </w:pPr>
            <w:r>
              <w:rPr>
                <w:rFonts w:hint="eastAsia" w:ascii="宋体" w:hAnsi="宋体" w:cs="宋体"/>
                <w:szCs w:val="21"/>
              </w:rPr>
              <w:t>工具库服务(各种加密算法，dicom上传等)</w:t>
            </w:r>
          </w:p>
        </w:tc>
      </w:tr>
      <w:tr w14:paraId="7AA7D471">
        <w:tblPrEx>
          <w:tblCellMar>
            <w:top w:w="0" w:type="dxa"/>
            <w:left w:w="108" w:type="dxa"/>
            <w:bottom w:w="0" w:type="dxa"/>
            <w:right w:w="108" w:type="dxa"/>
          </w:tblCellMar>
        </w:tblPrEx>
        <w:trPr>
          <w:trHeight w:val="707" w:hRule="atLeast"/>
          <w:jc w:val="center"/>
        </w:trPr>
        <w:tc>
          <w:tcPr>
            <w:tcW w:w="1661" w:type="dxa"/>
            <w:tcBorders>
              <w:top w:val="single" w:color="auto" w:sz="4" w:space="0"/>
              <w:left w:val="single" w:color="auto" w:sz="8" w:space="0"/>
              <w:bottom w:val="single" w:color="auto" w:sz="4" w:space="0"/>
              <w:right w:val="single" w:color="auto" w:sz="8" w:space="0"/>
            </w:tcBorders>
            <w:vAlign w:val="center"/>
          </w:tcPr>
          <w:p w14:paraId="395989A3">
            <w:pPr>
              <w:widowControl/>
              <w:jc w:val="center"/>
              <w:rPr>
                <w:rFonts w:ascii="宋体" w:hAnsi="宋体" w:cs="宋体"/>
                <w:szCs w:val="21"/>
              </w:rPr>
            </w:pPr>
            <w:r>
              <w:rPr>
                <w:rFonts w:hint="eastAsia" w:ascii="宋体" w:hAnsi="宋体" w:cs="宋体"/>
                <w:szCs w:val="21"/>
              </w:rPr>
              <w:t>对接需求</w:t>
            </w:r>
          </w:p>
        </w:tc>
        <w:tc>
          <w:tcPr>
            <w:tcW w:w="891" w:type="dxa"/>
            <w:tcBorders>
              <w:top w:val="single" w:color="auto" w:sz="4" w:space="0"/>
              <w:left w:val="nil"/>
              <w:bottom w:val="single" w:color="auto" w:sz="4" w:space="0"/>
              <w:right w:val="single" w:color="auto" w:sz="8" w:space="0"/>
            </w:tcBorders>
            <w:vAlign w:val="center"/>
          </w:tcPr>
          <w:p w14:paraId="3B0210B3">
            <w:pPr>
              <w:widowControl/>
              <w:jc w:val="center"/>
              <w:rPr>
                <w:rFonts w:ascii="宋体" w:hAnsi="宋体" w:cs="宋体"/>
                <w:szCs w:val="21"/>
              </w:rPr>
            </w:pPr>
            <w:r>
              <w:rPr>
                <w:rFonts w:hint="eastAsia" w:ascii="宋体" w:hAnsi="宋体" w:cs="宋体"/>
                <w:szCs w:val="21"/>
              </w:rPr>
              <w:t>5</w:t>
            </w:r>
            <w:r>
              <w:rPr>
                <w:rFonts w:ascii="宋体" w:hAnsi="宋体" w:cs="宋体"/>
                <w:szCs w:val="21"/>
              </w:rPr>
              <w:t>.1</w:t>
            </w:r>
          </w:p>
        </w:tc>
        <w:tc>
          <w:tcPr>
            <w:tcW w:w="6666" w:type="dxa"/>
            <w:tcBorders>
              <w:top w:val="single" w:color="auto" w:sz="4" w:space="0"/>
              <w:left w:val="nil"/>
              <w:bottom w:val="single" w:color="auto" w:sz="4" w:space="0"/>
              <w:right w:val="single" w:color="auto" w:sz="8" w:space="0"/>
            </w:tcBorders>
            <w:vAlign w:val="center"/>
          </w:tcPr>
          <w:p w14:paraId="59477EBD">
            <w:pPr>
              <w:pStyle w:val="58"/>
              <w:spacing w:line="240" w:lineRule="auto"/>
              <w:ind w:firstLine="0" w:firstLineChars="0"/>
              <w:rPr>
                <w:rFonts w:ascii="宋体" w:hAnsi="宋体" w:cs="宋体"/>
                <w:kern w:val="2"/>
                <w:szCs w:val="21"/>
              </w:rPr>
            </w:pPr>
            <w:r>
              <w:rPr>
                <w:rFonts w:hint="eastAsia" w:ascii="宋体" w:hAnsi="宋体" w:cs="宋体"/>
                <w:kern w:val="2"/>
                <w:szCs w:val="21"/>
              </w:rPr>
              <w:t>所有升级，不能和医院智慧服务四级评级要求冲突。</w:t>
            </w:r>
          </w:p>
          <w:p w14:paraId="26D5FF17">
            <w:pPr>
              <w:pStyle w:val="58"/>
              <w:spacing w:line="240" w:lineRule="auto"/>
              <w:ind w:firstLine="0" w:firstLineChars="0"/>
              <w:rPr>
                <w:rFonts w:ascii="宋体" w:hAnsi="宋体" w:cs="宋体"/>
                <w:kern w:val="2"/>
                <w:szCs w:val="21"/>
              </w:rPr>
            </w:pPr>
            <w:r>
              <w:rPr>
                <w:rFonts w:hint="eastAsia" w:ascii="宋体" w:hAnsi="宋体" w:cs="宋体"/>
                <w:kern w:val="2"/>
                <w:szCs w:val="21"/>
              </w:rPr>
              <w:t>符合网络安全等级保护2</w:t>
            </w:r>
            <w:r>
              <w:rPr>
                <w:rFonts w:ascii="宋体" w:hAnsi="宋体" w:cs="宋体"/>
                <w:kern w:val="2"/>
                <w:szCs w:val="21"/>
              </w:rPr>
              <w:t>.0</w:t>
            </w:r>
            <w:r>
              <w:rPr>
                <w:rFonts w:hint="eastAsia" w:ascii="宋体" w:hAnsi="宋体" w:cs="宋体"/>
                <w:kern w:val="2"/>
                <w:szCs w:val="21"/>
              </w:rPr>
              <w:t>标准要求。</w:t>
            </w:r>
          </w:p>
        </w:tc>
      </w:tr>
      <w:tr w14:paraId="19F03975">
        <w:tblPrEx>
          <w:tblCellMar>
            <w:top w:w="0" w:type="dxa"/>
            <w:left w:w="108" w:type="dxa"/>
            <w:bottom w:w="0" w:type="dxa"/>
            <w:right w:w="108" w:type="dxa"/>
          </w:tblCellMar>
        </w:tblPrEx>
        <w:trPr>
          <w:trHeight w:val="707" w:hRule="atLeast"/>
          <w:jc w:val="center"/>
        </w:trPr>
        <w:tc>
          <w:tcPr>
            <w:tcW w:w="1661" w:type="dxa"/>
            <w:tcBorders>
              <w:top w:val="single" w:color="auto" w:sz="4" w:space="0"/>
              <w:left w:val="single" w:color="auto" w:sz="8" w:space="0"/>
              <w:bottom w:val="single" w:color="000000" w:sz="8" w:space="0"/>
              <w:right w:val="single" w:color="auto" w:sz="8" w:space="0"/>
            </w:tcBorders>
            <w:vAlign w:val="center"/>
          </w:tcPr>
          <w:p w14:paraId="69EBA1AF">
            <w:pPr>
              <w:widowControl/>
              <w:jc w:val="center"/>
              <w:rPr>
                <w:rFonts w:hint="eastAsia" w:ascii="宋体" w:hAnsi="宋体" w:cs="宋体"/>
                <w:szCs w:val="21"/>
              </w:rPr>
            </w:pPr>
            <w:r>
              <w:rPr>
                <w:rFonts w:hint="default" w:ascii="微软雅黑" w:hAnsi="微软雅黑" w:eastAsia="微软雅黑" w:cs="微软雅黑"/>
                <w:color w:val="060A26"/>
                <w:kern w:val="0"/>
                <w:szCs w:val="21"/>
                <w:lang w:val="en-US" w:eastAsia="zh-CN" w:bidi="ar"/>
              </w:rPr>
              <w:t>业务发展需求</w:t>
            </w:r>
          </w:p>
        </w:tc>
        <w:tc>
          <w:tcPr>
            <w:tcW w:w="891" w:type="dxa"/>
            <w:tcBorders>
              <w:top w:val="single" w:color="auto" w:sz="4" w:space="0"/>
              <w:left w:val="nil"/>
              <w:bottom w:val="single" w:color="auto" w:sz="8" w:space="0"/>
              <w:right w:val="single" w:color="auto" w:sz="8" w:space="0"/>
            </w:tcBorders>
            <w:shd w:val="clear" w:color="auto" w:fill="FFFFFF"/>
            <w:vAlign w:val="center"/>
          </w:tcPr>
          <w:p w14:paraId="4F50F70F">
            <w:pPr>
              <w:widowControl/>
              <w:wordWrap w:val="0"/>
              <w:snapToGrid w:val="0"/>
              <w:jc w:val="center"/>
              <w:textAlignment w:val="center"/>
              <w:rPr>
                <w:rFonts w:hint="default" w:ascii="微软雅黑" w:hAnsi="微软雅黑" w:eastAsia="微软雅黑" w:cs="微软雅黑"/>
                <w:color w:val="060A26"/>
                <w:kern w:val="0"/>
                <w:sz w:val="21"/>
                <w:szCs w:val="21"/>
                <w:lang w:val="en-US" w:eastAsia="zh-CN" w:bidi="ar"/>
              </w:rPr>
            </w:pPr>
            <w:r>
              <w:rPr>
                <w:rFonts w:hint="eastAsia" w:ascii="微软雅黑" w:hAnsi="微软雅黑" w:eastAsia="微软雅黑" w:cs="微软雅黑"/>
                <w:color w:val="060A26"/>
                <w:kern w:val="0"/>
                <w:sz w:val="21"/>
                <w:szCs w:val="21"/>
                <w:lang w:val="en-US" w:eastAsia="zh-CN" w:bidi="ar"/>
              </w:rPr>
              <w:t>6.1</w:t>
            </w:r>
          </w:p>
        </w:tc>
        <w:tc>
          <w:tcPr>
            <w:tcW w:w="6666" w:type="dxa"/>
            <w:tcBorders>
              <w:top w:val="single" w:color="auto" w:sz="4" w:space="0"/>
              <w:left w:val="nil"/>
              <w:bottom w:val="single" w:color="auto" w:sz="8" w:space="0"/>
              <w:right w:val="single" w:color="auto" w:sz="8" w:space="0"/>
            </w:tcBorders>
            <w:shd w:val="clear" w:color="auto" w:fill="FFFFFF"/>
            <w:vAlign w:val="center"/>
          </w:tcPr>
          <w:p w14:paraId="5ECD6F2B">
            <w:pPr>
              <w:widowControl/>
              <w:wordWrap w:val="0"/>
              <w:snapToGrid w:val="0"/>
              <w:jc w:val="left"/>
              <w:textAlignment w:val="center"/>
              <w:rPr>
                <w:rFonts w:hint="eastAsia" w:ascii="微软雅黑" w:hAnsi="微软雅黑" w:eastAsia="微软雅黑" w:cs="微软雅黑"/>
                <w:color w:val="060A26"/>
                <w:kern w:val="0"/>
                <w:sz w:val="21"/>
                <w:szCs w:val="21"/>
                <w:lang w:val="en-US" w:eastAsia="zh-CN" w:bidi="ar"/>
              </w:rPr>
            </w:pPr>
            <w:r>
              <w:rPr>
                <w:rFonts w:hint="eastAsia" w:ascii="微软雅黑" w:hAnsi="微软雅黑" w:eastAsia="微软雅黑" w:cs="微软雅黑"/>
                <w:color w:val="060A26"/>
                <w:kern w:val="0"/>
                <w:szCs w:val="21"/>
                <w:lang w:val="en-US" w:eastAsia="zh-CN" w:bidi="ar"/>
              </w:rPr>
              <w:t>根据</w:t>
            </w:r>
            <w:r>
              <w:rPr>
                <w:rFonts w:hint="default" w:ascii="微软雅黑" w:hAnsi="微软雅黑" w:eastAsia="微软雅黑" w:cs="微软雅黑"/>
                <w:color w:val="060A26"/>
                <w:kern w:val="0"/>
                <w:szCs w:val="21"/>
                <w:lang w:val="en-US" w:eastAsia="zh-CN" w:bidi="ar"/>
              </w:rPr>
              <w:t>上级政策要求、医院管理制度及业务流程优化需要，完成相应功能的优化与改造。</w:t>
            </w:r>
          </w:p>
        </w:tc>
      </w:tr>
    </w:tbl>
    <w:p w14:paraId="244E836A">
      <w:pPr>
        <w:rPr>
          <w:rFonts w:hint="default"/>
          <w:b/>
          <w:bCs/>
          <w:lang w:val="en-US" w:eastAsia="zh-CN"/>
        </w:rPr>
      </w:pPr>
    </w:p>
    <w:p w14:paraId="21DB9C4F">
      <w:pPr>
        <w:pStyle w:val="3"/>
        <w:bidi w:val="0"/>
        <w:rPr>
          <w:rFonts w:hint="default"/>
          <w:lang w:val="en-US" w:eastAsia="zh-CN"/>
        </w:rPr>
      </w:pPr>
      <w:bookmarkStart w:id="296" w:name="_Toc13765"/>
      <w:bookmarkStart w:id="297" w:name="_Toc1807"/>
      <w:bookmarkStart w:id="298" w:name="_Toc16097"/>
      <w:bookmarkStart w:id="299" w:name="_Toc19303"/>
      <w:bookmarkStart w:id="300" w:name="_Toc12944"/>
      <w:r>
        <w:rPr>
          <w:rFonts w:hint="default"/>
          <w:lang w:val="en-US" w:eastAsia="zh-CN"/>
        </w:rPr>
        <w:t>需定制开发产品</w:t>
      </w:r>
      <w:bookmarkEnd w:id="296"/>
      <w:bookmarkEnd w:id="297"/>
      <w:bookmarkEnd w:id="298"/>
      <w:bookmarkEnd w:id="299"/>
      <w:bookmarkEnd w:id="300"/>
    </w:p>
    <w:tbl>
      <w:tblPr>
        <w:tblStyle w:val="46"/>
        <w:tblW w:w="97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4"/>
        <w:gridCol w:w="7585"/>
      </w:tblGrid>
      <w:tr w14:paraId="1D7AC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2134" w:type="dxa"/>
            <w:vMerge w:val="restart"/>
            <w:vAlign w:val="center"/>
          </w:tcPr>
          <w:p w14:paraId="3E9E5F7C">
            <w:pPr>
              <w:keepNext w:val="0"/>
              <w:keepLines w:val="0"/>
              <w:pageBreakBefore w:val="0"/>
              <w:widowControl/>
              <w:kinsoku/>
              <w:wordWrap/>
              <w:overflowPunct/>
              <w:topLinePunct w:val="0"/>
              <w:autoSpaceDE/>
              <w:autoSpaceDN/>
              <w:bidi w:val="0"/>
              <w:adjustRightInd w:val="0"/>
              <w:snapToGrid w:val="0"/>
              <w:spacing w:line="360" w:lineRule="auto"/>
              <w:textAlignment w:val="center"/>
              <w:rPr>
                <w:rFonts w:ascii="宋体" w:hAnsi="宋体" w:eastAsia="宋体" w:cs="宋体"/>
                <w:color w:val="auto"/>
                <w:kern w:val="0"/>
                <w:sz w:val="21"/>
                <w:szCs w:val="21"/>
                <w:highlight w:val="none"/>
                <w:lang w:bidi="ar"/>
              </w:rPr>
            </w:pPr>
            <w:r>
              <w:rPr>
                <w:rFonts w:ascii="宋体" w:hAnsi="宋体" w:eastAsia="宋体" w:cs="宋体"/>
                <w:color w:val="auto"/>
                <w:kern w:val="0"/>
                <w:sz w:val="21"/>
                <w:szCs w:val="21"/>
                <w:highlight w:val="none"/>
                <w:lang w:bidi="ar"/>
              </w:rPr>
              <w:t>TNM</w:t>
            </w:r>
          </w:p>
          <w:p w14:paraId="5CC1F6E8">
            <w:pPr>
              <w:keepNext w:val="0"/>
              <w:keepLines w:val="0"/>
              <w:pageBreakBefore w:val="0"/>
              <w:widowControl/>
              <w:kinsoku/>
              <w:wordWrap/>
              <w:overflowPunct/>
              <w:topLinePunct w:val="0"/>
              <w:autoSpaceDE/>
              <w:autoSpaceDN/>
              <w:bidi w:val="0"/>
              <w:adjustRightInd w:val="0"/>
              <w:snapToGrid w:val="0"/>
              <w:spacing w:line="360" w:lineRule="auto"/>
              <w:textAlignment w:val="center"/>
              <w:rPr>
                <w:rFonts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（需求需细化，属于业务系统的建设内容，不属于医务管理系统的建设内容。）</w:t>
            </w:r>
          </w:p>
        </w:tc>
        <w:tc>
          <w:tcPr>
            <w:tcW w:w="7585" w:type="dxa"/>
          </w:tcPr>
          <w:p w14:paraId="1829FA79">
            <w:pPr>
              <w:keepNext w:val="0"/>
              <w:keepLines w:val="0"/>
              <w:pageBreakBefore w:val="0"/>
              <w:widowControl/>
              <w:kinsoku/>
              <w:wordWrap/>
              <w:overflowPunct/>
              <w:topLinePunct w:val="0"/>
              <w:autoSpaceDE/>
              <w:autoSpaceDN/>
              <w:bidi w:val="0"/>
              <w:adjustRightInd w:val="0"/>
              <w:snapToGrid w:val="0"/>
              <w:spacing w:line="360" w:lineRule="auto"/>
              <w:textAlignment w:val="top"/>
              <w:rPr>
                <w:rFonts w:ascii="宋体" w:hAnsi="宋体" w:eastAsia="宋体" w:cs="宋体"/>
                <w:color w:val="auto"/>
                <w:sz w:val="21"/>
                <w:szCs w:val="21"/>
                <w:highlight w:val="none"/>
              </w:rPr>
            </w:pPr>
            <w:r>
              <w:rPr>
                <w:rFonts w:ascii="宋体" w:hAnsi="宋体" w:eastAsia="宋体" w:cs="宋体"/>
                <w:color w:val="auto"/>
                <w:kern w:val="0"/>
                <w:sz w:val="21"/>
                <w:szCs w:val="21"/>
                <w:highlight w:val="none"/>
                <w:lang w:bidi="ar"/>
              </w:rPr>
              <w:t>1.当患者本次来院后，临床医师在门诊或住院电子病历初步诊断中包含“癌”“恶性肿瘤”“肉瘤”等字段。在医生开具治疗相关医嘱时（例如抗肿瘤药物、放疗等）电子病历系统会出现 TNM 分期弹窗。如本次入院后已有评估，则自动获取相关信息并支持修改。</w:t>
            </w:r>
          </w:p>
        </w:tc>
      </w:tr>
      <w:tr w14:paraId="28991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2134" w:type="dxa"/>
            <w:vMerge w:val="continue"/>
            <w:vAlign w:val="center"/>
          </w:tcPr>
          <w:p w14:paraId="0A024A9F">
            <w:pPr>
              <w:keepNext w:val="0"/>
              <w:keepLines w:val="0"/>
              <w:pageBreakBefore w:val="0"/>
              <w:kinsoku/>
              <w:wordWrap/>
              <w:overflowPunct/>
              <w:topLinePunct w:val="0"/>
              <w:autoSpaceDE/>
              <w:autoSpaceDN/>
              <w:bidi w:val="0"/>
              <w:adjustRightInd w:val="0"/>
              <w:snapToGrid w:val="0"/>
              <w:spacing w:line="360" w:lineRule="auto"/>
              <w:rPr>
                <w:rFonts w:ascii="宋体" w:hAnsi="宋体" w:eastAsia="宋体" w:cs="宋体"/>
                <w:color w:val="auto"/>
                <w:sz w:val="21"/>
                <w:szCs w:val="21"/>
                <w:highlight w:val="none"/>
              </w:rPr>
            </w:pPr>
          </w:p>
        </w:tc>
        <w:tc>
          <w:tcPr>
            <w:tcW w:w="7585" w:type="dxa"/>
          </w:tcPr>
          <w:p w14:paraId="14F57BBF">
            <w:pPr>
              <w:keepNext w:val="0"/>
              <w:keepLines w:val="0"/>
              <w:pageBreakBefore w:val="0"/>
              <w:widowControl/>
              <w:kinsoku/>
              <w:wordWrap/>
              <w:overflowPunct/>
              <w:topLinePunct w:val="0"/>
              <w:autoSpaceDE/>
              <w:autoSpaceDN/>
              <w:bidi w:val="0"/>
              <w:adjustRightInd w:val="0"/>
              <w:snapToGrid w:val="0"/>
              <w:spacing w:line="360" w:lineRule="auto"/>
              <w:textAlignment w:val="top"/>
              <w:rPr>
                <w:rFonts w:ascii="宋体" w:hAnsi="宋体" w:eastAsia="宋体" w:cs="宋体"/>
                <w:color w:val="auto"/>
                <w:sz w:val="21"/>
                <w:szCs w:val="21"/>
                <w:highlight w:val="none"/>
              </w:rPr>
            </w:pPr>
            <w:r>
              <w:rPr>
                <w:rFonts w:ascii="宋体" w:hAnsi="宋体" w:eastAsia="宋体" w:cs="宋体"/>
                <w:color w:val="auto"/>
                <w:kern w:val="0"/>
                <w:sz w:val="21"/>
                <w:szCs w:val="21"/>
                <w:highlight w:val="none"/>
                <w:lang w:bidi="ar"/>
              </w:rPr>
              <w:t>2.当医生书写术前讨论时，系统自动判断该病人的诊断是否为恶性肿瘤（诊断中包含“癌”“恶性肿瘤”“肉瘤”等字段）以及既往是否有TNM分期记录，如该病例为恶性肿瘤病人且本次入院无肿瘤分期记录，电子病历系统会出现 TNM 分期弹窗，如本次入院后已有评估，则自动获取相关信息并支持修改。</w:t>
            </w:r>
          </w:p>
        </w:tc>
      </w:tr>
      <w:tr w14:paraId="5D569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2134" w:type="dxa"/>
            <w:vMerge w:val="continue"/>
            <w:vAlign w:val="center"/>
          </w:tcPr>
          <w:p w14:paraId="14A961C4">
            <w:pPr>
              <w:keepNext w:val="0"/>
              <w:keepLines w:val="0"/>
              <w:pageBreakBefore w:val="0"/>
              <w:kinsoku/>
              <w:wordWrap/>
              <w:overflowPunct/>
              <w:topLinePunct w:val="0"/>
              <w:autoSpaceDE/>
              <w:autoSpaceDN/>
              <w:bidi w:val="0"/>
              <w:adjustRightInd w:val="0"/>
              <w:snapToGrid w:val="0"/>
              <w:spacing w:line="360" w:lineRule="auto"/>
              <w:rPr>
                <w:rFonts w:ascii="宋体" w:hAnsi="宋体" w:eastAsia="宋体" w:cs="宋体"/>
                <w:color w:val="auto"/>
                <w:sz w:val="21"/>
                <w:szCs w:val="21"/>
                <w:highlight w:val="none"/>
              </w:rPr>
            </w:pPr>
          </w:p>
        </w:tc>
        <w:tc>
          <w:tcPr>
            <w:tcW w:w="7585" w:type="dxa"/>
          </w:tcPr>
          <w:p w14:paraId="411853E0">
            <w:pPr>
              <w:keepNext w:val="0"/>
              <w:keepLines w:val="0"/>
              <w:pageBreakBefore w:val="0"/>
              <w:widowControl/>
              <w:kinsoku/>
              <w:wordWrap/>
              <w:overflowPunct/>
              <w:topLinePunct w:val="0"/>
              <w:autoSpaceDE/>
              <w:autoSpaceDN/>
              <w:bidi w:val="0"/>
              <w:adjustRightInd w:val="0"/>
              <w:snapToGrid w:val="0"/>
              <w:spacing w:line="360" w:lineRule="auto"/>
              <w:textAlignment w:val="top"/>
              <w:rPr>
                <w:rFonts w:ascii="宋体" w:hAnsi="宋体" w:eastAsia="宋体" w:cs="宋体"/>
                <w:color w:val="auto"/>
                <w:sz w:val="21"/>
                <w:szCs w:val="21"/>
                <w:highlight w:val="none"/>
              </w:rPr>
            </w:pPr>
            <w:r>
              <w:rPr>
                <w:rFonts w:ascii="宋体" w:hAnsi="宋体" w:eastAsia="宋体" w:cs="宋体"/>
                <w:color w:val="auto"/>
                <w:kern w:val="0"/>
                <w:sz w:val="21"/>
                <w:szCs w:val="21"/>
                <w:highlight w:val="none"/>
                <w:lang w:bidi="ar"/>
              </w:rPr>
              <w:t>3.弹窗内容需包含点选是否为首次诊疗的肿瘤患者，评估内容需由医师点选对应选项后系统自动根据最新各病种TNM分期指南，呈现TNM分期结果并传回电子病历指定位置（例如目前惠每类似的TNM评估表）。内需含各肿瘤相关科室最新版TNM分期指南，并能在发布新版指南后实时更新。</w:t>
            </w:r>
          </w:p>
        </w:tc>
      </w:tr>
      <w:tr w14:paraId="1D2B7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2134" w:type="dxa"/>
            <w:vMerge w:val="continue"/>
            <w:vAlign w:val="center"/>
          </w:tcPr>
          <w:p w14:paraId="5CF7BC5E">
            <w:pPr>
              <w:keepNext w:val="0"/>
              <w:keepLines w:val="0"/>
              <w:pageBreakBefore w:val="0"/>
              <w:kinsoku/>
              <w:wordWrap/>
              <w:overflowPunct/>
              <w:topLinePunct w:val="0"/>
              <w:autoSpaceDE/>
              <w:autoSpaceDN/>
              <w:bidi w:val="0"/>
              <w:adjustRightInd w:val="0"/>
              <w:snapToGrid w:val="0"/>
              <w:spacing w:line="360" w:lineRule="auto"/>
              <w:rPr>
                <w:rFonts w:ascii="宋体" w:hAnsi="宋体" w:eastAsia="宋体" w:cs="宋体"/>
                <w:color w:val="auto"/>
                <w:sz w:val="21"/>
                <w:szCs w:val="21"/>
                <w:highlight w:val="none"/>
              </w:rPr>
            </w:pPr>
          </w:p>
        </w:tc>
        <w:tc>
          <w:tcPr>
            <w:tcW w:w="7585" w:type="dxa"/>
          </w:tcPr>
          <w:p w14:paraId="2702455B">
            <w:pPr>
              <w:keepNext w:val="0"/>
              <w:keepLines w:val="0"/>
              <w:pageBreakBefore w:val="0"/>
              <w:widowControl/>
              <w:kinsoku/>
              <w:wordWrap/>
              <w:overflowPunct/>
              <w:topLinePunct w:val="0"/>
              <w:autoSpaceDE/>
              <w:autoSpaceDN/>
              <w:bidi w:val="0"/>
              <w:adjustRightInd w:val="0"/>
              <w:snapToGrid w:val="0"/>
              <w:spacing w:line="360" w:lineRule="auto"/>
              <w:textAlignment w:val="top"/>
              <w:rPr>
                <w:rFonts w:ascii="宋体" w:hAnsi="宋体" w:eastAsia="宋体" w:cs="宋体"/>
                <w:color w:val="auto"/>
                <w:sz w:val="21"/>
                <w:szCs w:val="21"/>
                <w:highlight w:val="none"/>
              </w:rPr>
            </w:pPr>
            <w:r>
              <w:rPr>
                <w:rFonts w:ascii="宋体" w:hAnsi="宋体" w:eastAsia="宋体" w:cs="宋体"/>
                <w:color w:val="auto"/>
                <w:kern w:val="0"/>
                <w:sz w:val="21"/>
                <w:szCs w:val="21"/>
                <w:highlight w:val="none"/>
                <w:lang w:bidi="ar"/>
              </w:rPr>
              <w:t>4.在出院前肿瘤报卡及病案首页填写时自动判断是否本次入院已进行TNM评估，如本次入院后已有评估，则自动获取相关信息并请医师二次确认并支持修改。</w:t>
            </w:r>
          </w:p>
        </w:tc>
      </w:tr>
      <w:tr w14:paraId="51F33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2134" w:type="dxa"/>
            <w:vMerge w:val="continue"/>
            <w:vAlign w:val="center"/>
          </w:tcPr>
          <w:p w14:paraId="280423DA">
            <w:pPr>
              <w:keepNext w:val="0"/>
              <w:keepLines w:val="0"/>
              <w:pageBreakBefore w:val="0"/>
              <w:kinsoku/>
              <w:wordWrap/>
              <w:overflowPunct/>
              <w:topLinePunct w:val="0"/>
              <w:autoSpaceDE/>
              <w:autoSpaceDN/>
              <w:bidi w:val="0"/>
              <w:adjustRightInd w:val="0"/>
              <w:snapToGrid w:val="0"/>
              <w:spacing w:line="360" w:lineRule="auto"/>
              <w:rPr>
                <w:rFonts w:ascii="宋体" w:hAnsi="宋体" w:eastAsia="宋体" w:cs="宋体"/>
                <w:color w:val="auto"/>
                <w:sz w:val="21"/>
                <w:szCs w:val="21"/>
                <w:highlight w:val="none"/>
              </w:rPr>
            </w:pPr>
          </w:p>
        </w:tc>
        <w:tc>
          <w:tcPr>
            <w:tcW w:w="7585" w:type="dxa"/>
          </w:tcPr>
          <w:p w14:paraId="41E038E3">
            <w:pPr>
              <w:keepNext w:val="0"/>
              <w:keepLines w:val="0"/>
              <w:pageBreakBefore w:val="0"/>
              <w:widowControl/>
              <w:kinsoku/>
              <w:wordWrap/>
              <w:overflowPunct/>
              <w:topLinePunct w:val="0"/>
              <w:autoSpaceDE/>
              <w:autoSpaceDN/>
              <w:bidi w:val="0"/>
              <w:adjustRightInd w:val="0"/>
              <w:snapToGrid w:val="0"/>
              <w:spacing w:line="360" w:lineRule="auto"/>
              <w:textAlignment w:val="top"/>
              <w:rPr>
                <w:rFonts w:ascii="宋体" w:hAnsi="宋体" w:eastAsia="宋体" w:cs="宋体"/>
                <w:color w:val="auto"/>
                <w:sz w:val="21"/>
                <w:szCs w:val="21"/>
                <w:highlight w:val="none"/>
              </w:rPr>
            </w:pPr>
            <w:r>
              <w:rPr>
                <w:rFonts w:ascii="宋体" w:hAnsi="宋体" w:eastAsia="宋体" w:cs="宋体"/>
                <w:color w:val="auto"/>
                <w:kern w:val="0"/>
                <w:sz w:val="21"/>
                <w:szCs w:val="21"/>
                <w:highlight w:val="none"/>
                <w:lang w:bidi="ar"/>
              </w:rPr>
              <w:t>5.管理部门及临床科室授予不同权限，管理部门可查看全院，临床科室仅查看各科室范畴，并含由医务派发任务给对应科室或人员进行二次质控功能。</w:t>
            </w:r>
          </w:p>
        </w:tc>
      </w:tr>
      <w:tr w14:paraId="67C99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9" w:hRule="atLeast"/>
          <w:jc w:val="center"/>
        </w:trPr>
        <w:tc>
          <w:tcPr>
            <w:tcW w:w="2134" w:type="dxa"/>
            <w:vMerge w:val="continue"/>
            <w:vAlign w:val="center"/>
          </w:tcPr>
          <w:p w14:paraId="7B5FF587">
            <w:pPr>
              <w:keepNext w:val="0"/>
              <w:keepLines w:val="0"/>
              <w:pageBreakBefore w:val="0"/>
              <w:kinsoku/>
              <w:wordWrap/>
              <w:overflowPunct/>
              <w:topLinePunct w:val="0"/>
              <w:autoSpaceDE/>
              <w:autoSpaceDN/>
              <w:bidi w:val="0"/>
              <w:adjustRightInd w:val="0"/>
              <w:snapToGrid w:val="0"/>
              <w:spacing w:line="360" w:lineRule="auto"/>
              <w:rPr>
                <w:rFonts w:ascii="宋体" w:hAnsi="宋体" w:eastAsia="宋体" w:cs="宋体"/>
                <w:color w:val="auto"/>
                <w:sz w:val="21"/>
                <w:szCs w:val="21"/>
                <w:highlight w:val="none"/>
              </w:rPr>
            </w:pPr>
          </w:p>
        </w:tc>
        <w:tc>
          <w:tcPr>
            <w:tcW w:w="7585" w:type="dxa"/>
          </w:tcPr>
          <w:p w14:paraId="2B5B4743">
            <w:pPr>
              <w:keepNext w:val="0"/>
              <w:keepLines w:val="0"/>
              <w:pageBreakBefore w:val="0"/>
              <w:widowControl/>
              <w:kinsoku/>
              <w:wordWrap/>
              <w:overflowPunct/>
              <w:topLinePunct w:val="0"/>
              <w:autoSpaceDE/>
              <w:autoSpaceDN/>
              <w:bidi w:val="0"/>
              <w:adjustRightInd w:val="0"/>
              <w:snapToGrid w:val="0"/>
              <w:spacing w:line="360" w:lineRule="auto"/>
              <w:textAlignment w:val="top"/>
              <w:rPr>
                <w:rFonts w:ascii="宋体" w:hAnsi="宋体" w:eastAsia="宋体" w:cs="宋体"/>
                <w:color w:val="auto"/>
                <w:sz w:val="21"/>
                <w:szCs w:val="21"/>
                <w:highlight w:val="none"/>
              </w:rPr>
            </w:pPr>
            <w:r>
              <w:rPr>
                <w:rFonts w:ascii="宋体" w:hAnsi="宋体" w:eastAsia="宋体" w:cs="宋体"/>
                <w:color w:val="auto"/>
                <w:kern w:val="0"/>
                <w:sz w:val="21"/>
                <w:szCs w:val="21"/>
                <w:highlight w:val="none"/>
                <w:lang w:bidi="ar"/>
              </w:rPr>
              <w:t>6.统计需求：</w:t>
            </w:r>
            <w:r>
              <w:rPr>
                <w:rFonts w:ascii="宋体" w:hAnsi="宋体" w:eastAsia="宋体" w:cs="宋体"/>
                <w:color w:val="auto"/>
                <w:kern w:val="0"/>
                <w:sz w:val="21"/>
                <w:szCs w:val="21"/>
                <w:highlight w:val="none"/>
                <w:lang w:bidi="ar"/>
              </w:rPr>
              <w:br w:type="textWrapping"/>
            </w:r>
            <w:r>
              <w:rPr>
                <w:rFonts w:ascii="宋体" w:hAnsi="宋体" w:eastAsia="宋体" w:cs="宋体"/>
                <w:color w:val="auto"/>
                <w:kern w:val="0"/>
                <w:sz w:val="21"/>
                <w:szCs w:val="21"/>
                <w:highlight w:val="none"/>
                <w:lang w:bidi="ar"/>
              </w:rPr>
              <w:t>（1）首次诊疗的肿瘤患者治疗前TNM评估率（可按照门诊和住院分别统计，也可合并统计）</w:t>
            </w:r>
            <w:r>
              <w:rPr>
                <w:rFonts w:ascii="宋体" w:hAnsi="宋体" w:eastAsia="宋体" w:cs="宋体"/>
                <w:color w:val="auto"/>
                <w:kern w:val="0"/>
                <w:sz w:val="21"/>
                <w:szCs w:val="21"/>
                <w:highlight w:val="none"/>
                <w:lang w:bidi="ar"/>
              </w:rPr>
              <w:br w:type="textWrapping"/>
            </w:r>
            <w:r>
              <w:rPr>
                <w:rFonts w:ascii="宋体" w:hAnsi="宋体" w:eastAsia="宋体" w:cs="宋体"/>
                <w:color w:val="auto"/>
                <w:kern w:val="0"/>
                <w:sz w:val="21"/>
                <w:szCs w:val="21"/>
                <w:highlight w:val="none"/>
                <w:lang w:bidi="ar"/>
              </w:rPr>
              <w:t>（2）所有肿瘤患者的治疗前TNM评估率（可按照门诊和住院分别统计，也可合并统计）</w:t>
            </w:r>
            <w:r>
              <w:rPr>
                <w:rFonts w:ascii="宋体" w:hAnsi="宋体" w:eastAsia="宋体" w:cs="宋体"/>
                <w:color w:val="auto"/>
                <w:kern w:val="0"/>
                <w:sz w:val="21"/>
                <w:szCs w:val="21"/>
                <w:highlight w:val="none"/>
                <w:lang w:bidi="ar"/>
              </w:rPr>
              <w:br w:type="textWrapping"/>
            </w:r>
            <w:r>
              <w:rPr>
                <w:rFonts w:ascii="宋体" w:hAnsi="宋体" w:eastAsia="宋体" w:cs="宋体"/>
                <w:color w:val="auto"/>
                <w:kern w:val="0"/>
                <w:sz w:val="21"/>
                <w:szCs w:val="21"/>
                <w:highlight w:val="none"/>
                <w:lang w:bidi="ar"/>
              </w:rPr>
              <w:t>（3）出院患者病案首页TNM评估率。</w:t>
            </w:r>
            <w:r>
              <w:rPr>
                <w:rFonts w:ascii="宋体" w:hAnsi="宋体" w:eastAsia="宋体" w:cs="宋体"/>
                <w:color w:val="auto"/>
                <w:kern w:val="0"/>
                <w:sz w:val="21"/>
                <w:szCs w:val="21"/>
                <w:highlight w:val="none"/>
                <w:lang w:bidi="ar"/>
              </w:rPr>
              <w:br w:type="textWrapping"/>
            </w:r>
            <w:r>
              <w:rPr>
                <w:rFonts w:ascii="宋体" w:hAnsi="宋体" w:eastAsia="宋体" w:cs="宋体"/>
                <w:color w:val="auto"/>
                <w:kern w:val="0"/>
                <w:sz w:val="21"/>
                <w:szCs w:val="21"/>
                <w:highlight w:val="none"/>
                <w:lang w:bidi="ar"/>
              </w:rPr>
              <w:t>（4）统计数据需按照病种和科室分别进行统计，且查看权限需进行分级（如医务科可查看全院，科室仅能查看自己科室数据）。对于统计数据报表支持导出</w:t>
            </w:r>
          </w:p>
        </w:tc>
      </w:tr>
      <w:tr w14:paraId="40B11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2134" w:type="dxa"/>
            <w:vMerge w:val="restart"/>
            <w:vAlign w:val="center"/>
          </w:tcPr>
          <w:p w14:paraId="6ABEAEB9">
            <w:pPr>
              <w:keepNext w:val="0"/>
              <w:keepLines w:val="0"/>
              <w:pageBreakBefore w:val="0"/>
              <w:kinsoku/>
              <w:wordWrap/>
              <w:overflowPunct/>
              <w:topLinePunct w:val="0"/>
              <w:autoSpaceDE/>
              <w:autoSpaceDN/>
              <w:bidi w:val="0"/>
              <w:adjustRightInd w:val="0"/>
              <w:snapToGrid w:val="0"/>
              <w:spacing w:line="360" w:lineRule="auto"/>
              <w:rPr>
                <w:rFonts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上级部门政策性要求及计划外的信息系统开发需求（未涵盖在本次信息系统新建、更换和升级需求中）</w:t>
            </w:r>
          </w:p>
        </w:tc>
        <w:tc>
          <w:tcPr>
            <w:tcW w:w="7585" w:type="dxa"/>
            <w:vAlign w:val="top"/>
          </w:tcPr>
          <w:p w14:paraId="67431FB8">
            <w:pPr>
              <w:keepNext w:val="0"/>
              <w:keepLines w:val="0"/>
              <w:pageBreakBefore w:val="0"/>
              <w:widowControl/>
              <w:kinsoku/>
              <w:wordWrap/>
              <w:overflowPunct/>
              <w:topLinePunct w:val="0"/>
              <w:autoSpaceDE/>
              <w:autoSpaceDN/>
              <w:bidi w:val="0"/>
              <w:adjustRightInd w:val="0"/>
              <w:snapToGrid w:val="0"/>
              <w:spacing w:line="360" w:lineRule="auto"/>
              <w:textAlignment w:val="top"/>
              <w:rPr>
                <w:rFonts w:ascii="宋体" w:hAnsi="宋体" w:eastAsia="宋体" w:cs="宋体"/>
                <w:color w:val="auto"/>
                <w:kern w:val="0"/>
                <w:sz w:val="21"/>
                <w:szCs w:val="21"/>
                <w:highlight w:val="none"/>
                <w:lang w:bidi="ar"/>
              </w:rPr>
            </w:pPr>
            <w:r>
              <w:rPr>
                <w:rFonts w:hint="eastAsia" w:ascii="宋体" w:hAnsi="宋体" w:eastAsia="宋体" w:cs="宋体"/>
                <w:color w:val="auto"/>
                <w:sz w:val="21"/>
                <w:szCs w:val="21"/>
                <w:highlight w:val="none"/>
              </w:rPr>
              <w:t>1. 系统升级：基于最新政策标准，对</w:t>
            </w:r>
            <w:r>
              <w:rPr>
                <w:rFonts w:hint="eastAsia" w:ascii="宋体" w:hAnsi="宋体" w:eastAsia="宋体" w:cs="宋体"/>
                <w:color w:val="auto"/>
                <w:sz w:val="21"/>
                <w:szCs w:val="21"/>
                <w:highlight w:val="none"/>
                <w:lang w:val="en-US" w:eastAsia="zh-CN"/>
              </w:rPr>
              <w:t>本次建设的</w:t>
            </w:r>
            <w:r>
              <w:rPr>
                <w:rFonts w:hint="eastAsia" w:ascii="宋体" w:hAnsi="宋体" w:eastAsia="宋体" w:cs="宋体"/>
                <w:color w:val="auto"/>
                <w:sz w:val="21"/>
                <w:szCs w:val="21"/>
                <w:highlight w:val="none"/>
              </w:rPr>
              <w:t>HIS、LIS、PACS等核心系统进行功能升级，包括但不限于数据标准化改造、业务流程优化、接口协议适配等。</w:t>
            </w:r>
          </w:p>
        </w:tc>
      </w:tr>
      <w:tr w14:paraId="3AFE4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9" w:hRule="atLeast"/>
          <w:jc w:val="center"/>
        </w:trPr>
        <w:tc>
          <w:tcPr>
            <w:tcW w:w="2134" w:type="dxa"/>
            <w:vMerge w:val="continue"/>
            <w:vAlign w:val="center"/>
          </w:tcPr>
          <w:p w14:paraId="4D956F49">
            <w:pPr>
              <w:keepNext w:val="0"/>
              <w:keepLines w:val="0"/>
              <w:pageBreakBefore w:val="0"/>
              <w:kinsoku/>
              <w:wordWrap/>
              <w:overflowPunct/>
              <w:topLinePunct w:val="0"/>
              <w:autoSpaceDE/>
              <w:autoSpaceDN/>
              <w:bidi w:val="0"/>
              <w:adjustRightInd w:val="0"/>
              <w:snapToGrid w:val="0"/>
              <w:spacing w:line="360" w:lineRule="auto"/>
              <w:rPr>
                <w:rFonts w:ascii="宋体" w:hAnsi="宋体" w:eastAsia="宋体" w:cs="宋体"/>
                <w:color w:val="auto"/>
                <w:sz w:val="21"/>
                <w:szCs w:val="21"/>
                <w:highlight w:val="none"/>
              </w:rPr>
            </w:pPr>
          </w:p>
        </w:tc>
        <w:tc>
          <w:tcPr>
            <w:tcW w:w="7585" w:type="dxa"/>
            <w:vAlign w:val="top"/>
          </w:tcPr>
          <w:p w14:paraId="3DC4917D">
            <w:pPr>
              <w:keepNext w:val="0"/>
              <w:keepLines w:val="0"/>
              <w:pageBreakBefore w:val="0"/>
              <w:widowControl/>
              <w:kinsoku/>
              <w:wordWrap/>
              <w:overflowPunct/>
              <w:topLinePunct w:val="0"/>
              <w:autoSpaceDE/>
              <w:autoSpaceDN/>
              <w:bidi w:val="0"/>
              <w:adjustRightInd w:val="0"/>
              <w:snapToGrid w:val="0"/>
              <w:spacing w:line="360" w:lineRule="auto"/>
              <w:textAlignment w:val="top"/>
              <w:rPr>
                <w:rFonts w:ascii="宋体" w:hAnsi="宋体" w:eastAsia="宋体" w:cs="宋体"/>
                <w:color w:val="auto"/>
                <w:kern w:val="0"/>
                <w:sz w:val="21"/>
                <w:szCs w:val="21"/>
                <w:highlight w:val="none"/>
                <w:lang w:bidi="ar"/>
              </w:rPr>
            </w:pPr>
            <w:r>
              <w:rPr>
                <w:rFonts w:hint="eastAsia" w:ascii="宋体" w:hAnsi="宋体" w:eastAsia="宋体" w:cs="宋体"/>
                <w:color w:val="auto"/>
                <w:sz w:val="21"/>
                <w:szCs w:val="21"/>
                <w:highlight w:val="none"/>
              </w:rPr>
              <w:t>2. 系统改造：对</w:t>
            </w:r>
            <w:r>
              <w:rPr>
                <w:rFonts w:hint="eastAsia" w:ascii="宋体" w:hAnsi="宋体" w:eastAsia="宋体" w:cs="宋体"/>
                <w:color w:val="auto"/>
                <w:sz w:val="21"/>
                <w:szCs w:val="21"/>
                <w:highlight w:val="none"/>
                <w:lang w:val="en-US" w:eastAsia="zh-CN"/>
              </w:rPr>
              <w:t>本次建设的</w:t>
            </w:r>
            <w:r>
              <w:rPr>
                <w:rFonts w:hint="eastAsia" w:ascii="宋体" w:hAnsi="宋体" w:eastAsia="宋体" w:cs="宋体"/>
                <w:color w:val="auto"/>
                <w:sz w:val="21"/>
                <w:szCs w:val="21"/>
                <w:highlight w:val="none"/>
              </w:rPr>
              <w:t>HIS、LIS、PACS等核心系统模块进行深度改造，实现</w:t>
            </w:r>
            <w:r>
              <w:rPr>
                <w:rFonts w:hint="eastAsia" w:ascii="宋体" w:hAnsi="宋体" w:eastAsia="宋体" w:cs="宋体"/>
                <w:color w:val="auto"/>
                <w:sz w:val="21"/>
                <w:szCs w:val="21"/>
                <w:highlight w:val="none"/>
                <w:lang w:val="en-US" w:eastAsia="zh-CN"/>
              </w:rPr>
              <w:t>最新</w:t>
            </w:r>
            <w:r>
              <w:rPr>
                <w:rFonts w:hint="eastAsia" w:ascii="宋体" w:hAnsi="宋体" w:eastAsia="宋体" w:cs="宋体"/>
                <w:color w:val="auto"/>
                <w:sz w:val="21"/>
                <w:szCs w:val="21"/>
                <w:highlight w:val="none"/>
              </w:rPr>
              <w:t>政策要求的</w:t>
            </w:r>
            <w:r>
              <w:rPr>
                <w:rFonts w:hint="eastAsia" w:ascii="宋体" w:hAnsi="宋体" w:eastAsia="宋体" w:cs="宋体"/>
                <w:color w:val="auto"/>
                <w:sz w:val="21"/>
                <w:szCs w:val="21"/>
                <w:highlight w:val="none"/>
                <w:lang w:val="en-US" w:eastAsia="zh-CN"/>
              </w:rPr>
              <w:t>功能，包括但不限于</w:t>
            </w:r>
            <w:r>
              <w:rPr>
                <w:rFonts w:hint="eastAsia" w:ascii="宋体" w:hAnsi="宋体" w:eastAsia="宋体" w:cs="宋体"/>
                <w:color w:val="auto"/>
                <w:sz w:val="21"/>
                <w:szCs w:val="21"/>
                <w:highlight w:val="none"/>
              </w:rPr>
              <w:t>业务闭环管理、数据质量管控、智能审核等功能。</w:t>
            </w:r>
          </w:p>
        </w:tc>
      </w:tr>
      <w:tr w14:paraId="3FE6D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9" w:hRule="atLeast"/>
          <w:jc w:val="center"/>
        </w:trPr>
        <w:tc>
          <w:tcPr>
            <w:tcW w:w="2134" w:type="dxa"/>
            <w:vMerge w:val="continue"/>
            <w:vAlign w:val="center"/>
          </w:tcPr>
          <w:p w14:paraId="31A2F392">
            <w:pPr>
              <w:keepNext w:val="0"/>
              <w:keepLines w:val="0"/>
              <w:pageBreakBefore w:val="0"/>
              <w:kinsoku/>
              <w:wordWrap/>
              <w:overflowPunct/>
              <w:topLinePunct w:val="0"/>
              <w:autoSpaceDE/>
              <w:autoSpaceDN/>
              <w:bidi w:val="0"/>
              <w:adjustRightInd w:val="0"/>
              <w:snapToGrid w:val="0"/>
              <w:spacing w:line="360" w:lineRule="auto"/>
              <w:rPr>
                <w:rFonts w:ascii="宋体" w:hAnsi="宋体" w:eastAsia="宋体" w:cs="宋体"/>
                <w:color w:val="auto"/>
                <w:sz w:val="21"/>
                <w:szCs w:val="21"/>
                <w:highlight w:val="none"/>
              </w:rPr>
            </w:pPr>
          </w:p>
        </w:tc>
        <w:tc>
          <w:tcPr>
            <w:tcW w:w="7585" w:type="dxa"/>
            <w:vAlign w:val="top"/>
          </w:tcPr>
          <w:p w14:paraId="362F7FDB">
            <w:pPr>
              <w:keepNext w:val="0"/>
              <w:keepLines w:val="0"/>
              <w:pageBreakBefore w:val="0"/>
              <w:widowControl/>
              <w:kinsoku/>
              <w:wordWrap/>
              <w:overflowPunct/>
              <w:topLinePunct w:val="0"/>
              <w:autoSpaceDE/>
              <w:autoSpaceDN/>
              <w:bidi w:val="0"/>
              <w:adjustRightInd w:val="0"/>
              <w:snapToGrid w:val="0"/>
              <w:spacing w:line="360" w:lineRule="auto"/>
              <w:textAlignment w:val="top"/>
              <w:rPr>
                <w:rFonts w:ascii="宋体" w:hAnsi="宋体" w:eastAsia="宋体" w:cs="宋体"/>
                <w:color w:val="auto"/>
                <w:kern w:val="0"/>
                <w:sz w:val="21"/>
                <w:szCs w:val="21"/>
                <w:highlight w:val="none"/>
                <w:lang w:bidi="ar"/>
              </w:rPr>
            </w:pPr>
            <w:r>
              <w:rPr>
                <w:rFonts w:hint="eastAsia" w:ascii="宋体" w:hAnsi="宋体" w:eastAsia="宋体" w:cs="宋体"/>
                <w:color w:val="auto"/>
                <w:sz w:val="21"/>
                <w:szCs w:val="21"/>
                <w:highlight w:val="none"/>
              </w:rPr>
              <w:t>3. 多系统对接：完成与对</w:t>
            </w:r>
            <w:r>
              <w:rPr>
                <w:rFonts w:hint="eastAsia" w:ascii="宋体" w:hAnsi="宋体" w:eastAsia="宋体" w:cs="宋体"/>
                <w:color w:val="auto"/>
                <w:sz w:val="21"/>
                <w:szCs w:val="21"/>
                <w:highlight w:val="none"/>
                <w:lang w:val="en-US" w:eastAsia="zh-CN"/>
              </w:rPr>
              <w:t>本次建设的</w:t>
            </w:r>
            <w:r>
              <w:rPr>
                <w:rFonts w:hint="eastAsia" w:ascii="宋体" w:hAnsi="宋体" w:eastAsia="宋体" w:cs="宋体"/>
                <w:color w:val="auto"/>
                <w:sz w:val="21"/>
                <w:szCs w:val="21"/>
                <w:highlight w:val="none"/>
              </w:rPr>
              <w:t>HIS、LIS、PACS等核心系统、第三方系统（如医保、</w:t>
            </w:r>
            <w:r>
              <w:rPr>
                <w:rFonts w:hint="eastAsia" w:ascii="宋体" w:hAnsi="宋体" w:eastAsia="宋体" w:cs="宋体"/>
                <w:color w:val="auto"/>
                <w:sz w:val="21"/>
                <w:szCs w:val="21"/>
                <w:highlight w:val="none"/>
                <w:lang w:val="en-US" w:eastAsia="zh-CN"/>
              </w:rPr>
              <w:t>市健康信息平台</w:t>
            </w:r>
            <w:r>
              <w:rPr>
                <w:rFonts w:hint="eastAsia" w:ascii="宋体" w:hAnsi="宋体" w:eastAsia="宋体" w:cs="宋体"/>
                <w:color w:val="auto"/>
                <w:sz w:val="21"/>
                <w:szCs w:val="21"/>
                <w:highlight w:val="none"/>
              </w:rPr>
              <w:t>）的数据对接，确保数据实时同步、合规传输及安全共享。</w:t>
            </w:r>
          </w:p>
        </w:tc>
      </w:tr>
      <w:tr w14:paraId="6FDDC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2134" w:type="dxa"/>
            <w:vMerge w:val="continue"/>
            <w:vAlign w:val="center"/>
          </w:tcPr>
          <w:p w14:paraId="4EBF835F">
            <w:pPr>
              <w:keepNext w:val="0"/>
              <w:keepLines w:val="0"/>
              <w:pageBreakBefore w:val="0"/>
              <w:kinsoku/>
              <w:wordWrap/>
              <w:overflowPunct/>
              <w:topLinePunct w:val="0"/>
              <w:autoSpaceDE/>
              <w:autoSpaceDN/>
              <w:bidi w:val="0"/>
              <w:adjustRightInd w:val="0"/>
              <w:snapToGrid w:val="0"/>
              <w:spacing w:line="360" w:lineRule="auto"/>
              <w:rPr>
                <w:rFonts w:ascii="宋体" w:hAnsi="宋体" w:eastAsia="宋体" w:cs="宋体"/>
                <w:color w:val="auto"/>
                <w:sz w:val="21"/>
                <w:szCs w:val="21"/>
                <w:highlight w:val="none"/>
              </w:rPr>
            </w:pPr>
          </w:p>
        </w:tc>
        <w:tc>
          <w:tcPr>
            <w:tcW w:w="7585" w:type="dxa"/>
            <w:vAlign w:val="top"/>
          </w:tcPr>
          <w:p w14:paraId="4B79E35A">
            <w:pPr>
              <w:keepNext w:val="0"/>
              <w:keepLines w:val="0"/>
              <w:pageBreakBefore w:val="0"/>
              <w:widowControl/>
              <w:kinsoku/>
              <w:wordWrap/>
              <w:overflowPunct/>
              <w:topLinePunct w:val="0"/>
              <w:autoSpaceDE/>
              <w:autoSpaceDN/>
              <w:bidi w:val="0"/>
              <w:adjustRightInd w:val="0"/>
              <w:snapToGrid w:val="0"/>
              <w:spacing w:line="360" w:lineRule="auto"/>
              <w:textAlignment w:val="top"/>
              <w:rPr>
                <w:rFonts w:ascii="宋体" w:hAnsi="宋体" w:eastAsia="宋体" w:cs="宋体"/>
                <w:color w:val="auto"/>
                <w:kern w:val="0"/>
                <w:sz w:val="21"/>
                <w:szCs w:val="21"/>
                <w:highlight w:val="none"/>
                <w:lang w:bidi="ar"/>
              </w:rPr>
            </w:pPr>
            <w:r>
              <w:rPr>
                <w:rFonts w:hint="eastAsia" w:ascii="宋体" w:hAnsi="宋体" w:eastAsia="宋体" w:cs="宋体"/>
                <w:color w:val="auto"/>
                <w:sz w:val="21"/>
                <w:szCs w:val="21"/>
                <w:highlight w:val="none"/>
              </w:rPr>
              <w:t>4. 集成测试与优化：开展</w:t>
            </w:r>
            <w:r>
              <w:rPr>
                <w:rFonts w:hint="eastAsia" w:ascii="宋体" w:hAnsi="宋体" w:eastAsia="宋体" w:cs="宋体"/>
                <w:color w:val="auto"/>
                <w:sz w:val="21"/>
                <w:szCs w:val="21"/>
                <w:highlight w:val="none"/>
                <w:lang w:val="en-US" w:eastAsia="zh-CN"/>
              </w:rPr>
              <w:t>与</w:t>
            </w:r>
            <w:r>
              <w:rPr>
                <w:rFonts w:hint="eastAsia" w:ascii="宋体" w:hAnsi="宋体" w:eastAsia="宋体" w:cs="宋体"/>
                <w:color w:val="auto"/>
                <w:sz w:val="21"/>
                <w:szCs w:val="21"/>
                <w:highlight w:val="none"/>
              </w:rPr>
              <w:t>全流程联调测试、性能压力测试及安全渗透测试，修复缺陷并进行系统调优</w:t>
            </w:r>
            <w:r>
              <w:rPr>
                <w:rFonts w:hint="eastAsia" w:ascii="宋体" w:hAnsi="宋体" w:eastAsia="宋体" w:cs="宋体"/>
                <w:color w:val="auto"/>
                <w:sz w:val="21"/>
                <w:szCs w:val="21"/>
                <w:highlight w:val="none"/>
                <w:lang w:val="en-US" w:eastAsia="zh-CN"/>
              </w:rPr>
              <w:t>开发工作</w:t>
            </w:r>
            <w:r>
              <w:rPr>
                <w:rFonts w:hint="eastAsia" w:ascii="宋体" w:hAnsi="宋体" w:eastAsia="宋体" w:cs="宋体"/>
                <w:color w:val="auto"/>
                <w:sz w:val="21"/>
                <w:szCs w:val="21"/>
                <w:highlight w:val="none"/>
              </w:rPr>
              <w:t>，确保改造后的系统稳定运行。</w:t>
            </w:r>
          </w:p>
        </w:tc>
      </w:tr>
      <w:tr w14:paraId="5FCE2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2134" w:type="dxa"/>
            <w:vMerge w:val="continue"/>
            <w:vAlign w:val="center"/>
          </w:tcPr>
          <w:p w14:paraId="6B9EF0B8">
            <w:pPr>
              <w:keepNext w:val="0"/>
              <w:keepLines w:val="0"/>
              <w:pageBreakBefore w:val="0"/>
              <w:kinsoku/>
              <w:wordWrap/>
              <w:overflowPunct/>
              <w:topLinePunct w:val="0"/>
              <w:autoSpaceDE/>
              <w:autoSpaceDN/>
              <w:bidi w:val="0"/>
              <w:adjustRightInd w:val="0"/>
              <w:snapToGrid w:val="0"/>
              <w:spacing w:line="360" w:lineRule="auto"/>
              <w:rPr>
                <w:rFonts w:ascii="宋体" w:hAnsi="宋体" w:eastAsia="宋体" w:cs="宋体"/>
                <w:color w:val="auto"/>
                <w:sz w:val="21"/>
                <w:szCs w:val="21"/>
                <w:highlight w:val="none"/>
              </w:rPr>
            </w:pPr>
          </w:p>
        </w:tc>
        <w:tc>
          <w:tcPr>
            <w:tcW w:w="7585" w:type="dxa"/>
            <w:vAlign w:val="top"/>
          </w:tcPr>
          <w:p w14:paraId="5ED68E84">
            <w:pPr>
              <w:keepNext w:val="0"/>
              <w:keepLines w:val="0"/>
              <w:pageBreakBefore w:val="0"/>
              <w:widowControl/>
              <w:kinsoku/>
              <w:wordWrap/>
              <w:overflowPunct/>
              <w:topLinePunct w:val="0"/>
              <w:autoSpaceDE/>
              <w:autoSpaceDN/>
              <w:bidi w:val="0"/>
              <w:adjustRightInd w:val="0"/>
              <w:snapToGrid w:val="0"/>
              <w:spacing w:line="360" w:lineRule="auto"/>
              <w:textAlignment w:val="top"/>
              <w:rPr>
                <w:rFonts w:ascii="宋体" w:hAnsi="宋体" w:eastAsia="宋体" w:cs="宋体"/>
                <w:color w:val="auto"/>
                <w:kern w:val="0"/>
                <w:sz w:val="21"/>
                <w:szCs w:val="21"/>
                <w:highlight w:val="none"/>
                <w:lang w:bidi="ar"/>
              </w:rPr>
            </w:pPr>
            <w:r>
              <w:rPr>
                <w:rFonts w:hint="eastAsia" w:ascii="宋体" w:hAnsi="宋体" w:eastAsia="宋体" w:cs="宋体"/>
                <w:color w:val="auto"/>
                <w:sz w:val="21"/>
                <w:szCs w:val="21"/>
                <w:highlight w:val="none"/>
              </w:rPr>
              <w:t>5. 项目交付要求：提供完整的需求文档、设计文档、测试报告、操作手册及运维方案，并配合甲方完成验收及政策符合性审查。</w:t>
            </w:r>
          </w:p>
        </w:tc>
      </w:tr>
    </w:tbl>
    <w:p w14:paraId="1A9764E4">
      <w:pPr>
        <w:rPr>
          <w:color w:val="auto"/>
          <w:highlight w:val="none"/>
        </w:rPr>
      </w:pPr>
    </w:p>
    <w:p w14:paraId="35A9FEF8">
      <w:pPr>
        <w:keepNext w:val="0"/>
        <w:keepLines w:val="0"/>
        <w:pageBreakBefore w:val="0"/>
        <w:kinsoku/>
        <w:wordWrap/>
        <w:overflowPunct/>
        <w:topLinePunct w:val="0"/>
        <w:autoSpaceDE/>
        <w:autoSpaceDN/>
        <w:bidi w:val="0"/>
        <w:adjustRightInd/>
        <w:snapToGrid/>
        <w:spacing w:line="360" w:lineRule="auto"/>
        <w:rPr>
          <w:color w:val="auto"/>
          <w:sz w:val="24"/>
          <w:szCs w:val="24"/>
          <w:highlight w:val="none"/>
        </w:rPr>
      </w:pPr>
    </w:p>
    <w:p w14:paraId="683BE864">
      <w:pPr>
        <w:rPr>
          <w:rFonts w:ascii="宋体" w:hAnsi="宋体" w:cs="宋体"/>
          <w:b/>
          <w:bCs/>
          <w:color w:val="auto"/>
          <w:kern w:val="0"/>
          <w:sz w:val="36"/>
          <w:szCs w:val="36"/>
          <w:highlight w:val="none"/>
        </w:rPr>
      </w:pPr>
      <w:r>
        <w:rPr>
          <w:rFonts w:hint="default"/>
          <w:lang w:val="en-US" w:eastAsia="zh-CN"/>
        </w:rPr>
        <w:br w:type="page"/>
      </w:r>
    </w:p>
    <w:p w14:paraId="2D74A3A4">
      <w:pPr>
        <w:pStyle w:val="2"/>
        <w:keepNext/>
        <w:keepLines/>
        <w:numPr>
          <w:ilvl w:val="0"/>
          <w:numId w:val="1"/>
        </w:numPr>
        <w:spacing w:before="480" w:after="80" w:line="240" w:lineRule="auto"/>
        <w:ind w:left="425" w:hanging="425"/>
        <w:jc w:val="both"/>
        <w:rPr>
          <w:rFonts w:ascii="宋体" w:hAnsi="宋体"/>
          <w:b/>
          <w:bCs/>
          <w:color w:val="auto"/>
          <w:sz w:val="30"/>
          <w:szCs w:val="30"/>
          <w:highlight w:val="none"/>
        </w:rPr>
      </w:pPr>
      <w:bookmarkStart w:id="301" w:name="_Toc3953"/>
      <w:bookmarkStart w:id="302" w:name="_Toc14518"/>
      <w:bookmarkStart w:id="303" w:name="_Toc16710"/>
      <w:bookmarkStart w:id="304" w:name="_Toc8916"/>
      <w:bookmarkStart w:id="305" w:name="_Toc31653"/>
      <w:r>
        <w:rPr>
          <w:rFonts w:hint="eastAsia" w:ascii="宋体" w:hAnsi="宋体" w:eastAsia="宋体"/>
          <w:b/>
          <w:bCs/>
          <w:color w:val="auto"/>
          <w:kern w:val="2"/>
          <w:sz w:val="30"/>
          <w:szCs w:val="30"/>
          <w:highlight w:val="none"/>
        </w:rPr>
        <w:t>HIS系统对接需求</w:t>
      </w:r>
      <w:bookmarkEnd w:id="301"/>
      <w:bookmarkEnd w:id="302"/>
      <w:bookmarkEnd w:id="303"/>
      <w:bookmarkEnd w:id="304"/>
      <w:bookmarkEnd w:id="305"/>
    </w:p>
    <w:tbl>
      <w:tblPr>
        <w:tblStyle w:val="46"/>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1"/>
        <w:gridCol w:w="1190"/>
        <w:gridCol w:w="7638"/>
      </w:tblGrid>
      <w:tr w14:paraId="3E30C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71" w:type="dxa"/>
            <w:shd w:val="clear" w:color="auto" w:fill="FFFFFF"/>
            <w:vAlign w:val="center"/>
          </w:tcPr>
          <w:p w14:paraId="09D183C2">
            <w:pPr>
              <w:jc w:val="center"/>
              <w:rPr>
                <w:rFonts w:ascii="宋体" w:hAnsi="宋体" w:cs="宋体"/>
                <w:color w:val="auto"/>
                <w:szCs w:val="21"/>
                <w:highlight w:val="none"/>
              </w:rPr>
            </w:pPr>
            <w:r>
              <w:rPr>
                <w:rFonts w:hint="eastAsia" w:ascii="宋体" w:hAnsi="宋体" w:cs="宋体"/>
                <w:color w:val="auto"/>
                <w:kern w:val="0"/>
                <w:szCs w:val="21"/>
                <w:highlight w:val="none"/>
              </w:rPr>
              <w:t>需求名称</w:t>
            </w:r>
          </w:p>
        </w:tc>
        <w:tc>
          <w:tcPr>
            <w:tcW w:w="1190" w:type="dxa"/>
            <w:shd w:val="clear" w:color="auto" w:fill="FFFFFF"/>
            <w:vAlign w:val="center"/>
          </w:tcPr>
          <w:p w14:paraId="45B86977">
            <w:pPr>
              <w:widowControl/>
              <w:jc w:val="center"/>
              <w:rPr>
                <w:rFonts w:ascii="宋体" w:hAnsi="宋体" w:cs="宋体"/>
                <w:color w:val="auto"/>
                <w:kern w:val="0"/>
                <w:szCs w:val="21"/>
                <w:highlight w:val="none"/>
              </w:rPr>
            </w:pPr>
            <w:r>
              <w:rPr>
                <w:rFonts w:hint="eastAsia" w:ascii="宋体" w:hAnsi="宋体" w:cs="宋体"/>
                <w:color w:val="auto"/>
                <w:kern w:val="0"/>
                <w:szCs w:val="21"/>
                <w:highlight w:val="none"/>
              </w:rPr>
              <w:t>序号</w:t>
            </w:r>
          </w:p>
        </w:tc>
        <w:tc>
          <w:tcPr>
            <w:tcW w:w="7638" w:type="dxa"/>
            <w:shd w:val="clear" w:color="auto" w:fill="FFFFFF"/>
            <w:vAlign w:val="center"/>
          </w:tcPr>
          <w:p w14:paraId="4EB2D8B7">
            <w:pPr>
              <w:jc w:val="center"/>
              <w:rPr>
                <w:rFonts w:ascii="宋体" w:hAnsi="宋体" w:cs="宋体"/>
                <w:color w:val="auto"/>
                <w:kern w:val="0"/>
                <w:szCs w:val="21"/>
                <w:highlight w:val="none"/>
              </w:rPr>
            </w:pPr>
            <w:r>
              <w:rPr>
                <w:rFonts w:hint="eastAsia" w:ascii="宋体" w:hAnsi="宋体" w:cs="宋体"/>
                <w:color w:val="auto"/>
                <w:kern w:val="0"/>
                <w:szCs w:val="21"/>
                <w:highlight w:val="none"/>
              </w:rPr>
              <w:t>需求描述</w:t>
            </w:r>
          </w:p>
        </w:tc>
      </w:tr>
      <w:tr w14:paraId="04AAD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9799" w:type="dxa"/>
            <w:gridSpan w:val="3"/>
            <w:vAlign w:val="center"/>
          </w:tcPr>
          <w:p w14:paraId="6F49FE3A">
            <w:pPr>
              <w:numPr>
                <w:ilvl w:val="0"/>
                <w:numId w:val="0"/>
              </w:numPr>
              <w:ind w:left="425" w:hanging="425"/>
              <w:rPr>
                <w:rFonts w:ascii="宋体" w:hAnsi="宋体" w:cs="宋体"/>
                <w:color w:val="auto"/>
                <w:kern w:val="0"/>
                <w:szCs w:val="21"/>
                <w:highlight w:val="none"/>
              </w:rPr>
            </w:pPr>
            <w:r>
              <w:rPr>
                <w:rFonts w:ascii="宋体" w:hAnsi="宋体" w:eastAsia="宋体" w:cs="宋体"/>
                <w:color w:val="auto"/>
                <w:kern w:val="0"/>
                <w:sz w:val="21"/>
                <w:szCs w:val="21"/>
                <w:lang w:val="en-US" w:eastAsia="zh-CN" w:bidi="ar-SA"/>
              </w:rPr>
              <w:t>6</w:t>
            </w:r>
            <w:r>
              <w:rPr>
                <w:rFonts w:hint="eastAsia" w:ascii="宋体" w:hAnsi="宋体"/>
                <w:color w:val="auto"/>
                <w:highlight w:val="none"/>
              </w:rPr>
              <w:t>双向</w:t>
            </w:r>
            <w:r>
              <w:rPr>
                <w:rFonts w:hint="eastAsia" w:ascii="宋体" w:hAnsi="宋体" w:cs="宋体"/>
                <w:color w:val="auto"/>
                <w:kern w:val="0"/>
                <w:szCs w:val="21"/>
                <w:highlight w:val="none"/>
              </w:rPr>
              <w:t>对接</w:t>
            </w:r>
            <w:r>
              <w:rPr>
                <w:rFonts w:hint="eastAsia" w:ascii="宋体" w:hAnsi="宋体"/>
                <w:color w:val="auto"/>
                <w:highlight w:val="none"/>
              </w:rPr>
              <w:t>（</w:t>
            </w:r>
            <w:r>
              <w:rPr>
                <w:rFonts w:ascii="宋体" w:hAnsi="宋体"/>
                <w:color w:val="auto"/>
                <w:highlight w:val="none"/>
              </w:rPr>
              <w:t>HIS提供接口、HIS接入）</w:t>
            </w:r>
          </w:p>
        </w:tc>
      </w:tr>
      <w:tr w14:paraId="48DBD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7" w:hRule="atLeast"/>
          <w:jc w:val="center"/>
        </w:trPr>
        <w:tc>
          <w:tcPr>
            <w:tcW w:w="971" w:type="dxa"/>
            <w:vMerge w:val="restart"/>
            <w:vAlign w:val="center"/>
          </w:tcPr>
          <w:p w14:paraId="29DAD86C">
            <w:pPr>
              <w:numPr>
                <w:ilvl w:val="1"/>
                <w:numId w:val="0"/>
              </w:numPr>
              <w:ind w:left="0" w:firstLine="0"/>
              <w:rPr>
                <w:rFonts w:ascii="宋体" w:hAnsi="宋体" w:cs="宋体"/>
                <w:color w:val="auto"/>
                <w:kern w:val="0"/>
                <w:szCs w:val="21"/>
                <w:highlight w:val="none"/>
              </w:rPr>
            </w:pPr>
            <w:r>
              <w:rPr>
                <w:rFonts w:ascii="宋体" w:hAnsi="宋体" w:eastAsia="宋体" w:cs="宋体"/>
                <w:color w:val="auto"/>
                <w:kern w:val="0"/>
                <w:sz w:val="21"/>
                <w:szCs w:val="21"/>
                <w:lang w:val="en-US" w:eastAsia="zh-CN" w:bidi="ar-SA"/>
              </w:rPr>
              <w:t>6.1</w:t>
            </w:r>
            <w:r>
              <w:rPr>
                <w:rFonts w:hint="eastAsia" w:ascii="宋体" w:hAnsi="宋体"/>
                <w:color w:val="auto"/>
                <w:highlight w:val="none"/>
              </w:rPr>
              <w:t>医疗业务系统对接</w:t>
            </w:r>
          </w:p>
        </w:tc>
        <w:tc>
          <w:tcPr>
            <w:tcW w:w="1190" w:type="dxa"/>
            <w:vAlign w:val="center"/>
          </w:tcPr>
          <w:p w14:paraId="4BAD759C">
            <w:pPr>
              <w:numPr>
                <w:ilvl w:val="2"/>
                <w:numId w:val="0"/>
              </w:numPr>
              <w:ind w:left="0" w:firstLine="0"/>
              <w:rPr>
                <w:rFonts w:ascii="宋体" w:hAnsi="宋体" w:cs="宋体"/>
                <w:color w:val="auto"/>
                <w:kern w:val="0"/>
                <w:szCs w:val="21"/>
                <w:highlight w:val="none"/>
                <w:shd w:val="clear" w:color="auto" w:fill="FFFF00"/>
              </w:rPr>
            </w:pPr>
            <w:r>
              <w:rPr>
                <w:rFonts w:ascii="宋体" w:hAnsi="宋体" w:eastAsia="宋体" w:cs="宋体"/>
                <w:color w:val="auto"/>
                <w:kern w:val="0"/>
                <w:sz w:val="21"/>
                <w:szCs w:val="21"/>
                <w:shd w:val="clear" w:fill="FFFF00"/>
                <w:lang w:val="en-US" w:eastAsia="zh-CN" w:bidi="ar-SA"/>
              </w:rPr>
              <w:t>6.1.1</w:t>
            </w:r>
            <w:r>
              <w:rPr>
                <w:rFonts w:hint="eastAsia" w:ascii="宋体" w:hAnsi="宋体" w:cs="宋体"/>
                <w:color w:val="auto"/>
                <w:kern w:val="0"/>
                <w:szCs w:val="21"/>
                <w:highlight w:val="none"/>
                <w:shd w:val="clear" w:color="auto"/>
              </w:rPr>
              <w:t>住院电子病历系统</w:t>
            </w:r>
          </w:p>
        </w:tc>
        <w:tc>
          <w:tcPr>
            <w:tcW w:w="7638" w:type="dxa"/>
            <w:vAlign w:val="center"/>
          </w:tcPr>
          <w:p w14:paraId="5885BB5C">
            <w:pPr>
              <w:numPr>
                <w:ilvl w:val="0"/>
                <w:numId w:val="12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HIS 提供接口</w:t>
            </w:r>
          </w:p>
          <w:p w14:paraId="1D71A286">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患者基本信息查询接口：支持住院电子病历系统按患者 ID、住院号等条件，快速查询患者姓名、性别、年龄、联系方式、既往病史等基本信息，为病历书写提供基础数据。</w:t>
            </w:r>
          </w:p>
          <w:p w14:paraId="2B74A9F3">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住院医嘱信息查询接口：允许住院电子病历系统获取患者在 HIS 系统中的医嘱信息，包括医嘱类型（长期医嘱、临时医嘱）、医嘱内容、开立时间、执行状态等，便于医生 在病历中记录医嘱执行情况。</w:t>
            </w:r>
          </w:p>
          <w:p w14:paraId="35A89CC1">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患者费用信息查询接口：提供患者住院期间各项医疗费用明细查询功能，住院电子病历系统可获取药品费用、检查检验费用、治疗费用等信息，辅助医生合理控制医疗成本，并在病历中进行费用相关记录。</w:t>
            </w:r>
          </w:p>
          <w:p w14:paraId="20926AE9">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床位信息查询与分配接口：住院电子病历系统可通过该接口查询病房床位使用情况（空床、占用、预订等状态），并根据患者病情和科室需求，向 HIS 系统提交床位分配申请，由 HIS 系统完成床位实际分配操作。</w:t>
            </w:r>
          </w:p>
          <w:p w14:paraId="2C1C3B78">
            <w:pPr>
              <w:numPr>
                <w:ilvl w:val="0"/>
                <w:numId w:val="12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住院电子病历系统提供接口</w:t>
            </w:r>
          </w:p>
          <w:p w14:paraId="522247BB">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病历文档上传接口：将医生书写完成的病历文档（包括入院记录、病程记录、手术记录等）上传至 HIS 系统，实现病历数据的集中存储和管理，方便其他系统调用查阅。</w:t>
            </w:r>
          </w:p>
          <w:p w14:paraId="0826A24F">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病历状态更新通知接口：当病历处于新建、修改、审核、归档等不同状态时，通过该接口向 HIS 系统发送状态变更通知，HIS 系统可根据病历状态控制相关业务流程（如未审核病历对应的医嘱暂不执行）。</w:t>
            </w:r>
          </w:p>
          <w:p w14:paraId="4D2D6E37">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诊断信息同步接口：将医生在病历中录入的诊断信息（包括初步诊断、修正诊断、出院诊断等）同步至 HIS 系统，为医疗统计分析、医保结算等业务提供准确的诊断数据。</w:t>
            </w:r>
          </w:p>
          <w:p w14:paraId="62EA12B0">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手术信息同步接口：在手术完成后，将手术名称、手术时间、手术医生、手术方式等手术相关信息同步到 HIS 系统，便于 HIS 系统更新患者住院信息和费用结算。</w:t>
            </w:r>
          </w:p>
        </w:tc>
      </w:tr>
      <w:tr w14:paraId="4A656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3" w:hRule="atLeast"/>
          <w:jc w:val="center"/>
        </w:trPr>
        <w:tc>
          <w:tcPr>
            <w:tcW w:w="971" w:type="dxa"/>
            <w:vMerge w:val="continue"/>
            <w:vAlign w:val="center"/>
          </w:tcPr>
          <w:p w14:paraId="355C53A7">
            <w:pPr>
              <w:widowControl/>
              <w:jc w:val="center"/>
              <w:rPr>
                <w:rFonts w:ascii="宋体" w:hAnsi="宋体"/>
                <w:color w:val="auto"/>
                <w:highlight w:val="none"/>
              </w:rPr>
            </w:pPr>
          </w:p>
        </w:tc>
        <w:tc>
          <w:tcPr>
            <w:tcW w:w="1190" w:type="dxa"/>
            <w:vAlign w:val="center"/>
          </w:tcPr>
          <w:p w14:paraId="3201EDE2">
            <w:pPr>
              <w:numPr>
                <w:ilvl w:val="2"/>
                <w:numId w:val="0"/>
              </w:numPr>
              <w:ind w:left="0" w:firstLine="0"/>
              <w:rPr>
                <w:rFonts w:ascii="宋体" w:hAnsi="宋体" w:cs="宋体"/>
                <w:color w:val="auto"/>
                <w:kern w:val="0"/>
                <w:szCs w:val="21"/>
                <w:highlight w:val="none"/>
              </w:rPr>
            </w:pPr>
            <w:r>
              <w:rPr>
                <w:rFonts w:ascii="宋体" w:hAnsi="宋体" w:eastAsia="宋体" w:cs="宋体"/>
                <w:color w:val="auto"/>
                <w:kern w:val="0"/>
                <w:sz w:val="21"/>
                <w:szCs w:val="21"/>
                <w:lang w:val="en-US" w:eastAsia="zh-CN" w:bidi="ar-SA"/>
              </w:rPr>
              <w:t>6.1.2</w:t>
            </w:r>
            <w:r>
              <w:rPr>
                <w:rFonts w:hint="eastAsia" w:ascii="宋体" w:hAnsi="宋体" w:cs="宋体"/>
                <w:color w:val="auto"/>
                <w:kern w:val="0"/>
                <w:szCs w:val="21"/>
                <w:highlight w:val="none"/>
              </w:rPr>
              <w:t>住院护理平台</w:t>
            </w:r>
          </w:p>
        </w:tc>
        <w:tc>
          <w:tcPr>
            <w:tcW w:w="7638" w:type="dxa"/>
            <w:vAlign w:val="center"/>
          </w:tcPr>
          <w:p w14:paraId="0F0FC422">
            <w:pPr>
              <w:numPr>
                <w:ilvl w:val="0"/>
                <w:numId w:val="123"/>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HIS 提供接口</w:t>
            </w:r>
          </w:p>
          <w:p w14:paraId="6AE3F556">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患者基本信息查询接口：住院护理平台可查询患者基本信息，以便护理人员了解患者情况，开展护理工作。</w:t>
            </w:r>
          </w:p>
          <w:p w14:paraId="4647CBCB">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医嘱执行状态查询接口：用于获取医嘱在 HIS 系统中的执行状态（已执行、未执行、执行中），帮助护理人员及时掌握医嘱执行进度，安排护理任务。</w:t>
            </w:r>
          </w:p>
          <w:p w14:paraId="4B6205C9">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床位信息查询接口：提供病房床位使用状态信息，方便护理人员进行床位管理、患者转床安排等工作。</w:t>
            </w:r>
          </w:p>
          <w:p w14:paraId="0A84BE19">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护理级别信息查询接口：支持查询医生为患者开具的护理级别（特级护理、一级护理等），指导护理人员按照相应标准提供护理服务。</w:t>
            </w:r>
          </w:p>
          <w:p w14:paraId="217D82E6">
            <w:pPr>
              <w:numPr>
                <w:ilvl w:val="0"/>
                <w:numId w:val="123"/>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住院护理平台提供接口</w:t>
            </w:r>
          </w:p>
          <w:p w14:paraId="671385C6">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护理记录上传接口：将护理人员记录的日常护理内容（如生命体征测量结果、护理措施实施情况、患者病情变化等）上传至 HIS 系统，实现护理记录的统一存储和共享，为医生诊疗提供参考。</w:t>
            </w:r>
          </w:p>
          <w:p w14:paraId="72FFDD0F">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生命体征数据同步接口：实时将患者的体温、脉搏、呼吸、血压等生命体征数据同步到 HIS 系统，HIS 系统可对数据进行分析，当出现异常时及时提醒医护人员。</w:t>
            </w:r>
          </w:p>
          <w:p w14:paraId="5CD08A60">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护理计划执行反馈接口：针对医生制定的护理计划，护理人员通过该接口反馈执行情况（已完成、部分完成、未完成及原因），便于医生调整护理计划。</w:t>
            </w:r>
          </w:p>
          <w:p w14:paraId="47595D84">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护理评估结果同步接口：将对患者进行的压疮风险评估、跌倒风险评估等护理评估结果同步至 HIS 系统，为护理质量管理和患者安全管理提供数据支持。</w:t>
            </w:r>
          </w:p>
        </w:tc>
      </w:tr>
      <w:tr w14:paraId="0783D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7" w:hRule="atLeast"/>
          <w:jc w:val="center"/>
        </w:trPr>
        <w:tc>
          <w:tcPr>
            <w:tcW w:w="971" w:type="dxa"/>
            <w:vMerge w:val="continue"/>
            <w:vAlign w:val="center"/>
          </w:tcPr>
          <w:p w14:paraId="2F0F674F">
            <w:pPr>
              <w:widowControl/>
              <w:jc w:val="center"/>
              <w:rPr>
                <w:rFonts w:ascii="宋体" w:hAnsi="宋体"/>
                <w:color w:val="auto"/>
                <w:highlight w:val="none"/>
              </w:rPr>
            </w:pPr>
          </w:p>
        </w:tc>
        <w:tc>
          <w:tcPr>
            <w:tcW w:w="1190" w:type="dxa"/>
            <w:vAlign w:val="center"/>
          </w:tcPr>
          <w:p w14:paraId="7CFB09ED">
            <w:pPr>
              <w:numPr>
                <w:ilvl w:val="2"/>
                <w:numId w:val="0"/>
              </w:numPr>
              <w:ind w:left="0" w:firstLine="0"/>
              <w:rPr>
                <w:rFonts w:ascii="宋体" w:hAnsi="宋体" w:cs="宋体"/>
                <w:color w:val="auto"/>
                <w:kern w:val="0"/>
                <w:szCs w:val="21"/>
                <w:highlight w:val="none"/>
              </w:rPr>
            </w:pPr>
            <w:r>
              <w:rPr>
                <w:rFonts w:ascii="宋体" w:hAnsi="宋体" w:eastAsia="宋体" w:cs="宋体"/>
                <w:color w:val="auto"/>
                <w:kern w:val="0"/>
                <w:sz w:val="21"/>
                <w:szCs w:val="21"/>
                <w:lang w:val="en-US" w:eastAsia="zh-CN" w:bidi="ar-SA"/>
              </w:rPr>
              <w:t>6.1.3</w:t>
            </w:r>
            <w:r>
              <w:rPr>
                <w:rFonts w:hint="eastAsia" w:ascii="宋体" w:hAnsi="宋体" w:cs="宋体"/>
                <w:color w:val="auto"/>
                <w:kern w:val="0"/>
                <w:szCs w:val="21"/>
                <w:highlight w:val="none"/>
              </w:rPr>
              <w:t>康复诊疗管理系统</w:t>
            </w:r>
          </w:p>
        </w:tc>
        <w:tc>
          <w:tcPr>
            <w:tcW w:w="7638" w:type="dxa"/>
            <w:vAlign w:val="center"/>
          </w:tcPr>
          <w:p w14:paraId="45B8CD32">
            <w:pPr>
              <w:numPr>
                <w:ilvl w:val="0"/>
                <w:numId w:val="124"/>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HIS 提供接口</w:t>
            </w:r>
          </w:p>
          <w:p w14:paraId="5DA4D9FE">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患者基本信息同步接口：支持康复诊疗管理系统获取患者姓名、性别、年龄、既往病史等基础信息，便于快速建立康复档案。提供按住院号、身份证号等多条件检索方式，保障数据获取的准确性与及时性。</w:t>
            </w:r>
          </w:p>
          <w:p w14:paraId="184BD585">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诊断信息交互接口：推送患者在 HIS 系统中的诊断结果，包含疾病名称、诊断时间、诊断医师等内容。同时支持康复系统反馈修正诊断信息，确保诊疗数据动态更新。</w:t>
            </w:r>
          </w:p>
          <w:p w14:paraId="304B068A">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医嘱查询与执行反馈接口：康复系统可查询患者的康复相关医嘱，如理疗项目、康复训练计划等。执行完成后，通过该接口将执行时间、执行效果等信息回传至 HIS 系统，形成闭环管理。</w:t>
            </w:r>
          </w:p>
          <w:p w14:paraId="4946B0F4">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费用明细获取接口：提供患者康复治疗过程中的费用明细，包括项目名称、单价、数量、总金额等，方便康复系统进行费用核对与统计，辅助患者费用告知与结算工作。</w:t>
            </w:r>
          </w:p>
          <w:p w14:paraId="37FF4BCB">
            <w:pPr>
              <w:numPr>
                <w:ilvl w:val="0"/>
                <w:numId w:val="124"/>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康复诊疗管理系统提供接口</w:t>
            </w:r>
          </w:p>
          <w:p w14:paraId="580B8BB4">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康复评估报告上传接口：将患者的初期评估、中期评估及末期评估报告同步至 HIS系统，报告内容涵盖肢体功能、认知能力等多维度评估数据，为临床医师调整治疗方案提供依据。</w:t>
            </w:r>
          </w:p>
          <w:p w14:paraId="4DFB53E1">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治疗计划与进度同步接口：向 HIS 系统推送个性化康复治疗计划，包括治疗项目、频次、时长等信息。治疗过程中，实时更新治疗进度，如已完成次数、剩余次数等，便于医护人员整体把控康复进程。</w:t>
            </w:r>
          </w:p>
          <w:p w14:paraId="3DCDB043">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设备使用记录共享接口：记录康复设备的使用情况，如设备名称、使用时间、患者信息等，同步至 HIS 系统。有助于医院进行设备管理与维护，同时为成本核算提供数据支持。</w:t>
            </w:r>
          </w:p>
          <w:p w14:paraId="16EFC5CC">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患者康复效果反馈接口：将患者在康复过程中的症状改善情况、功能恢复程度等信息反馈至 HIS 系统，为医疗质量评估与科研数据分析提供真实数据。</w:t>
            </w:r>
          </w:p>
        </w:tc>
      </w:tr>
      <w:tr w14:paraId="7C6C5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5" w:hRule="atLeast"/>
          <w:jc w:val="center"/>
        </w:trPr>
        <w:tc>
          <w:tcPr>
            <w:tcW w:w="971" w:type="dxa"/>
            <w:vMerge w:val="continue"/>
            <w:vAlign w:val="center"/>
          </w:tcPr>
          <w:p w14:paraId="674AAFFB">
            <w:pPr>
              <w:widowControl/>
              <w:jc w:val="center"/>
              <w:rPr>
                <w:rFonts w:ascii="宋体" w:hAnsi="宋体"/>
                <w:color w:val="auto"/>
                <w:highlight w:val="none"/>
              </w:rPr>
            </w:pPr>
          </w:p>
        </w:tc>
        <w:tc>
          <w:tcPr>
            <w:tcW w:w="1190" w:type="dxa"/>
            <w:vAlign w:val="center"/>
          </w:tcPr>
          <w:p w14:paraId="374E2991">
            <w:pPr>
              <w:numPr>
                <w:ilvl w:val="2"/>
                <w:numId w:val="0"/>
              </w:numPr>
              <w:ind w:left="0" w:firstLine="0"/>
              <w:rPr>
                <w:rFonts w:ascii="宋体" w:hAnsi="宋体" w:cs="宋体"/>
                <w:color w:val="auto"/>
                <w:kern w:val="0"/>
                <w:szCs w:val="21"/>
                <w:highlight w:val="none"/>
              </w:rPr>
            </w:pPr>
            <w:r>
              <w:rPr>
                <w:rFonts w:ascii="宋体" w:hAnsi="宋体" w:eastAsia="宋体" w:cs="宋体"/>
                <w:color w:val="auto"/>
                <w:kern w:val="0"/>
                <w:sz w:val="21"/>
                <w:szCs w:val="21"/>
                <w:lang w:val="en-US" w:eastAsia="zh-CN" w:bidi="ar-SA"/>
              </w:rPr>
              <w:t>6.1.4</w:t>
            </w:r>
            <w:r>
              <w:rPr>
                <w:rFonts w:hint="eastAsia" w:ascii="宋体" w:hAnsi="宋体" w:cs="宋体"/>
                <w:color w:val="auto"/>
                <w:kern w:val="0"/>
                <w:szCs w:val="21"/>
                <w:highlight w:val="none"/>
              </w:rPr>
              <w:t>产前诊断系统</w:t>
            </w:r>
          </w:p>
        </w:tc>
        <w:tc>
          <w:tcPr>
            <w:tcW w:w="7638" w:type="dxa"/>
            <w:vAlign w:val="center"/>
          </w:tcPr>
          <w:p w14:paraId="4C9D8368">
            <w:pPr>
              <w:numPr>
                <w:ilvl w:val="0"/>
                <w:numId w:val="125"/>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HIS 提供接口</w:t>
            </w:r>
          </w:p>
          <w:p w14:paraId="51C6FD8E">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孕妇档案信息接口：提供孕妇基本信息、既往孕产史、家族遗传病史等详细档案资料，支持按孕周、预产期等条件筛选，助力产前诊断系统精准分析孕妇情况。</w:t>
            </w:r>
          </w:p>
          <w:p w14:paraId="59FA0315">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产检记录同步接口：推送孕妇历次产检的检查结果，如唐筛、B 超等数据，以及产检医师的诊断建议。确保产前诊断系统全面了解孕妇孕期状况，辅助诊断决策。</w:t>
            </w:r>
          </w:p>
          <w:p w14:paraId="675515F1">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医嘱与用药信息接口：共享孕期医嘱及用药情况，包括药物名称、剂量、服用时间等。产前诊断系统可据此评估药物对胎儿的潜在影响，保障孕期用药安全。</w:t>
            </w:r>
          </w:p>
          <w:p w14:paraId="4637AC2C">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预约信息管理接口：实现产前诊断相关检查的预约信息交互，包括预约时间、检查项目、预约状态等，方便孕妇管理检查日程，同时便于医院合理安排资源。</w:t>
            </w:r>
          </w:p>
          <w:p w14:paraId="60D4E3DB">
            <w:pPr>
              <w:numPr>
                <w:ilvl w:val="0"/>
                <w:numId w:val="125"/>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产前诊断系统提供接口</w:t>
            </w:r>
          </w:p>
          <w:p w14:paraId="62363A86">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筛查与诊断结果上传接口：将唐筛、羊水穿刺等筛查诊断结果，以及胎儿基因检测报告等同步至 HIS 系统，使临床医师及时掌握胎儿健康状况，制定后续诊疗方案。</w:t>
            </w:r>
          </w:p>
          <w:p w14:paraId="55700B15">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遗传咨询记录共享接口：记录孕妇接受遗传咨询的内容，如咨询问题、专家建议等，反馈至 HIS 系统。为孕妇的全孕期管理提供完整的医疗记录，也为遗传疾病研究积累数据。</w:t>
            </w:r>
          </w:p>
          <w:p w14:paraId="46660DC1">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高危孕妇预警接口：当发现孕妇存在高危因素时，通过该接口向 HIS 系统发送预警信息，包括高危原因、风险等级等，提醒医护人员加强关注与干预。</w:t>
            </w:r>
          </w:p>
          <w:p w14:paraId="542A78E2">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随访信息同步接口：将产后随访的母婴健康数据，如新生儿发育情况、产妇恢复状况等同步至 HIS 系统，完善妇幼健康档案，实现全周期健康管理。</w:t>
            </w:r>
          </w:p>
        </w:tc>
      </w:tr>
      <w:tr w14:paraId="5C724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6" w:hRule="atLeast"/>
          <w:jc w:val="center"/>
        </w:trPr>
        <w:tc>
          <w:tcPr>
            <w:tcW w:w="971" w:type="dxa"/>
            <w:vMerge w:val="continue"/>
            <w:vAlign w:val="center"/>
          </w:tcPr>
          <w:p w14:paraId="62B0DD4E">
            <w:pPr>
              <w:widowControl/>
              <w:jc w:val="center"/>
              <w:rPr>
                <w:rFonts w:ascii="宋体" w:hAnsi="宋体"/>
                <w:color w:val="auto"/>
                <w:highlight w:val="none"/>
              </w:rPr>
            </w:pPr>
          </w:p>
        </w:tc>
        <w:tc>
          <w:tcPr>
            <w:tcW w:w="1190" w:type="dxa"/>
            <w:vAlign w:val="center"/>
          </w:tcPr>
          <w:p w14:paraId="3626F5F1">
            <w:pPr>
              <w:numPr>
                <w:ilvl w:val="2"/>
                <w:numId w:val="0"/>
              </w:numPr>
              <w:ind w:left="0" w:firstLine="0"/>
              <w:rPr>
                <w:rFonts w:ascii="宋体" w:hAnsi="宋体" w:cs="宋体"/>
                <w:color w:val="auto"/>
                <w:kern w:val="0"/>
                <w:szCs w:val="21"/>
                <w:highlight w:val="none"/>
              </w:rPr>
            </w:pPr>
            <w:r>
              <w:rPr>
                <w:rFonts w:ascii="宋体" w:hAnsi="宋体" w:eastAsia="宋体" w:cs="宋体"/>
                <w:color w:val="auto"/>
                <w:kern w:val="0"/>
                <w:sz w:val="21"/>
                <w:szCs w:val="21"/>
                <w:lang w:val="en-US" w:eastAsia="zh-CN" w:bidi="ar-SA"/>
              </w:rPr>
              <w:t>6.1.5</w:t>
            </w:r>
            <w:r>
              <w:rPr>
                <w:rFonts w:hint="eastAsia" w:ascii="宋体" w:hAnsi="宋体" w:cs="宋体"/>
                <w:color w:val="auto"/>
                <w:kern w:val="0"/>
                <w:szCs w:val="21"/>
                <w:highlight w:val="none"/>
              </w:rPr>
              <w:t>急诊系统</w:t>
            </w:r>
          </w:p>
        </w:tc>
        <w:tc>
          <w:tcPr>
            <w:tcW w:w="7638" w:type="dxa"/>
            <w:vAlign w:val="center"/>
          </w:tcPr>
          <w:p w14:paraId="0FB5FB04">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HIS 提供接口</w:t>
            </w:r>
          </w:p>
          <w:p w14:paraId="536B8179">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快速挂号与患者信息接口：支持急诊系统快速调取患者基本信息，实现急诊患者的快速挂号建档。同时提供患者既往病史、过敏史等关键信息，为急诊抢救争取时间。</w:t>
            </w:r>
          </w:p>
          <w:p w14:paraId="5E52E190">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急诊医嘱处理接口：接收急诊系统开立的医嘱，如急救用药、检查检验申请等，并反馈医嘱执行状态，确保急诊诊疗流程顺畅。</w:t>
            </w:r>
          </w:p>
          <w:p w14:paraId="2CA42CA7">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床位调配接口：提供急诊留观床位、抢救床位的使用状态信息，急诊系统可申请床位占用与释放，HIS 系统实时更新床位信息，优化资源配置。</w:t>
            </w:r>
          </w:p>
          <w:p w14:paraId="3151C641">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费用结算接口：实现急诊费用的实时结算，包括挂号费、诊疗费、药品费等，支持多种支付方式。同时将费用明细同步至 HIS 系统，便于财务核算与患者查询。</w:t>
            </w:r>
          </w:p>
          <w:p w14:paraId="2705E0C2">
            <w:pPr>
              <w:numPr>
                <w:ilvl w:val="0"/>
                <w:numId w:val="12"/>
              </w:numPr>
              <w:tabs>
                <w:tab w:val="left" w:pos="525"/>
                <w:tab w:val="left" w:pos="630"/>
              </w:tabs>
              <w:spacing w:line="360" w:lineRule="auto"/>
              <w:rPr>
                <w:rFonts w:ascii="宋体" w:hAnsi="宋体" w:cs="宋体"/>
                <w:bCs/>
                <w:color w:val="auto"/>
                <w:szCs w:val="21"/>
                <w:highlight w:val="none"/>
              </w:rPr>
            </w:pPr>
            <w:r>
              <w:rPr>
                <w:rFonts w:hint="eastAsia" w:ascii="宋体" w:hAnsi="宋体" w:cs="宋体"/>
                <w:bCs/>
                <w:color w:val="auto"/>
                <w:szCs w:val="21"/>
                <w:highlight w:val="none"/>
              </w:rPr>
              <w:t>检验报告</w:t>
            </w:r>
            <w:r>
              <w:rPr>
                <w:rFonts w:hint="eastAsia" w:ascii="宋体" w:hAnsi="宋体" w:cs="宋体"/>
                <w:bCs/>
                <w:color w:val="auto"/>
                <w:szCs w:val="21"/>
                <w:highlight w:val="none"/>
                <w:lang w:eastAsia="zh-CN"/>
              </w:rPr>
              <w:t>接口：抓取肾功能及电解质报告时间及血肌酐值，对接“急诊纤溶二项”、“急诊纤溶二项”化验报告。</w:t>
            </w:r>
          </w:p>
          <w:p w14:paraId="6DFC6377">
            <w:pPr>
              <w:numPr>
                <w:ilvl w:val="0"/>
                <w:numId w:val="12"/>
              </w:numPr>
              <w:tabs>
                <w:tab w:val="left" w:pos="525"/>
                <w:tab w:val="left" w:pos="630"/>
              </w:tabs>
              <w:spacing w:line="360" w:lineRule="auto"/>
              <w:rPr>
                <w:rFonts w:ascii="宋体" w:hAnsi="宋体" w:cs="宋体"/>
                <w:bCs/>
                <w:color w:val="auto"/>
                <w:szCs w:val="21"/>
                <w:highlight w:val="none"/>
              </w:rPr>
            </w:pPr>
            <w:r>
              <w:rPr>
                <w:rFonts w:hint="eastAsia" w:ascii="宋体" w:hAnsi="宋体" w:cs="宋体"/>
                <w:bCs/>
                <w:color w:val="auto"/>
                <w:szCs w:val="21"/>
                <w:highlight w:val="none"/>
                <w:lang w:eastAsia="zh-CN"/>
              </w:rPr>
              <w:t>会诊单接口：如门诊系统有会诊，提供会诊申请单会诊记录。</w:t>
            </w:r>
          </w:p>
          <w:p w14:paraId="1DEB1196">
            <w:pPr>
              <w:numPr>
                <w:ilvl w:val="0"/>
                <w:numId w:val="12"/>
              </w:numPr>
              <w:tabs>
                <w:tab w:val="left" w:pos="525"/>
                <w:tab w:val="left" w:pos="630"/>
              </w:tabs>
              <w:spacing w:line="360" w:lineRule="auto"/>
              <w:rPr>
                <w:rFonts w:ascii="宋体" w:hAnsi="宋体" w:cs="宋体"/>
                <w:bCs/>
                <w:color w:val="auto"/>
                <w:szCs w:val="21"/>
                <w:highlight w:val="none"/>
              </w:rPr>
            </w:pPr>
            <w:r>
              <w:rPr>
                <w:rFonts w:hint="eastAsia" w:ascii="宋体" w:hAnsi="宋体" w:cs="宋体"/>
                <w:bCs/>
                <w:color w:val="auto"/>
                <w:szCs w:val="21"/>
                <w:highlight w:val="none"/>
                <w:lang w:eastAsia="zh-CN"/>
              </w:rPr>
              <w:t>手术记录接口：</w:t>
            </w:r>
            <w:r>
              <w:rPr>
                <w:rFonts w:hint="eastAsia" w:ascii="宋体" w:hAnsi="宋体" w:cs="宋体"/>
                <w:bCs/>
                <w:color w:val="auto"/>
                <w:szCs w:val="21"/>
                <w:highlight w:val="none"/>
              </w:rPr>
              <w:t>脑出血手术/颅内动脉瘤手术开始时间及结束时间</w:t>
            </w:r>
            <w:r>
              <w:rPr>
                <w:rFonts w:hint="eastAsia" w:ascii="宋体" w:hAnsi="宋体" w:cs="宋体"/>
                <w:bCs/>
                <w:color w:val="auto"/>
                <w:szCs w:val="21"/>
                <w:highlight w:val="none"/>
                <w:lang w:eastAsia="zh-CN"/>
              </w:rPr>
              <w:t>。</w:t>
            </w:r>
          </w:p>
          <w:p w14:paraId="292F7F4F">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急诊系统提供接口</w:t>
            </w:r>
          </w:p>
          <w:p w14:paraId="1E33CF6B">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分诊信息上传接口：将患者的急诊分诊等级（如Ⅰ级濒危、Ⅱ级危重等）、分诊时间、分诊医师等信息同步至 HIS 系统，方便医院掌握急诊患者流量与病情分布，合理调配医疗资源。</w:t>
            </w:r>
          </w:p>
          <w:p w14:paraId="44A90DEB">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抢救记录共享接口：记录患者抢救过程中的生命体征变化、抢救措施、用药情况等详细信息，上传至 HIS 系统。为后续治疗提供重要参考，也为医疗质量分析提供数据。</w:t>
            </w:r>
          </w:p>
          <w:p w14:paraId="2487C63E">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留观与转归信息接口：实时更新患者的留观状态（如留观中、转出、离院等），以及转归信息（如转入科室、出院时间等），使 HIS 系统全面掌握患者去向，实现信息闭环。</w:t>
            </w:r>
          </w:p>
          <w:p w14:paraId="60A83330">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急诊数据统计接口：定期向 HIS 系统提供急诊患者数量、病种分布、抢救成功率等统计数据，为医院运营管理与决策分析提供依据。</w:t>
            </w:r>
          </w:p>
          <w:p w14:paraId="0B6F7433">
            <w:pPr>
              <w:numPr>
                <w:ilvl w:val="0"/>
                <w:numId w:val="12"/>
              </w:numPr>
              <w:tabs>
                <w:tab w:val="left" w:pos="525"/>
                <w:tab w:val="left" w:pos="630"/>
              </w:tabs>
              <w:spacing w:line="360" w:lineRule="auto"/>
              <w:rPr>
                <w:rFonts w:ascii="宋体" w:hAnsi="宋体" w:cs="宋体"/>
                <w:bCs/>
                <w:color w:val="auto"/>
                <w:szCs w:val="21"/>
                <w:highlight w:val="none"/>
              </w:rPr>
            </w:pPr>
            <w:r>
              <w:rPr>
                <w:rFonts w:hint="eastAsia" w:ascii="宋体" w:hAnsi="宋体" w:cs="宋体"/>
                <w:bCs/>
                <w:color w:val="auto"/>
                <w:szCs w:val="21"/>
                <w:highlight w:val="none"/>
                <w:lang w:eastAsia="zh-CN"/>
              </w:rPr>
              <w:t>急诊抢救留观区病情记录表：获取</w:t>
            </w:r>
            <w:r>
              <w:rPr>
                <w:rFonts w:hint="eastAsia" w:ascii="宋体" w:hAnsi="宋体" w:cs="宋体"/>
                <w:bCs/>
                <w:color w:val="auto"/>
                <w:szCs w:val="21"/>
                <w:highlight w:val="none"/>
              </w:rPr>
              <w:t>溶栓开始时间</w:t>
            </w:r>
            <w:r>
              <w:rPr>
                <w:rFonts w:hint="eastAsia" w:ascii="宋体" w:hAnsi="宋体" w:cs="宋体"/>
                <w:bCs/>
                <w:color w:val="auto"/>
                <w:szCs w:val="21"/>
                <w:highlight w:val="none"/>
                <w:lang w:eastAsia="zh-CN"/>
              </w:rPr>
              <w:t>，提供急诊抢救留观区病情记录表数据。</w:t>
            </w:r>
          </w:p>
        </w:tc>
      </w:tr>
      <w:tr w14:paraId="06315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3" w:hRule="atLeast"/>
          <w:jc w:val="center"/>
        </w:trPr>
        <w:tc>
          <w:tcPr>
            <w:tcW w:w="971" w:type="dxa"/>
            <w:vMerge w:val="continue"/>
            <w:vAlign w:val="center"/>
          </w:tcPr>
          <w:p w14:paraId="2683C3E9">
            <w:pPr>
              <w:widowControl/>
              <w:jc w:val="center"/>
              <w:rPr>
                <w:rFonts w:ascii="宋体" w:hAnsi="宋体"/>
                <w:color w:val="auto"/>
                <w:highlight w:val="none"/>
              </w:rPr>
            </w:pPr>
          </w:p>
        </w:tc>
        <w:tc>
          <w:tcPr>
            <w:tcW w:w="1190" w:type="dxa"/>
            <w:vAlign w:val="center"/>
          </w:tcPr>
          <w:p w14:paraId="27FF883B">
            <w:pPr>
              <w:numPr>
                <w:ilvl w:val="2"/>
                <w:numId w:val="0"/>
              </w:numPr>
              <w:ind w:left="0" w:firstLine="0"/>
              <w:rPr>
                <w:rFonts w:ascii="宋体" w:hAnsi="宋体" w:cs="宋体"/>
                <w:color w:val="auto"/>
                <w:kern w:val="0"/>
                <w:szCs w:val="21"/>
                <w:highlight w:val="none"/>
              </w:rPr>
            </w:pPr>
            <w:r>
              <w:rPr>
                <w:rFonts w:ascii="宋体" w:hAnsi="宋体" w:eastAsia="宋体" w:cs="宋体"/>
                <w:color w:val="auto"/>
                <w:kern w:val="0"/>
                <w:sz w:val="21"/>
                <w:szCs w:val="21"/>
                <w:lang w:val="en-US" w:eastAsia="zh-CN" w:bidi="ar-SA"/>
              </w:rPr>
              <w:t>6.1.6</w:t>
            </w:r>
            <w:r>
              <w:rPr>
                <w:rFonts w:hint="eastAsia" w:ascii="宋体" w:hAnsi="宋体" w:cs="宋体"/>
                <w:color w:val="auto"/>
                <w:kern w:val="0"/>
                <w:szCs w:val="21"/>
                <w:highlight w:val="none"/>
              </w:rPr>
              <w:t>重症系统</w:t>
            </w:r>
          </w:p>
        </w:tc>
        <w:tc>
          <w:tcPr>
            <w:tcW w:w="7638" w:type="dxa"/>
            <w:vAlign w:val="center"/>
          </w:tcPr>
          <w:p w14:paraId="1119F6F5">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HIS 提供接口</w:t>
            </w:r>
          </w:p>
          <w:p w14:paraId="2C23DF56">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重症患者信息接口：提供重症患者的基本信息、诊断结果、入院时间等资料，同时推送患者在 HIS 系统中的既往病史、过敏史等信息，帮助重症系统全面了解患者状况。</w:t>
            </w:r>
          </w:p>
          <w:p w14:paraId="773BA0E8">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医嘱协同接口：支持重症系统查询与执行 HIS 系统下达的医嘱，如特殊用药、检查检验等。同时接收重症系统对医嘱的调整建议，实现医嘱的动态管理。</w:t>
            </w:r>
          </w:p>
          <w:p w14:paraId="4598ED1A">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设备资源接口：提供重症监护设备的使用状态、配置信息等，重症系统可申请设备占用与释放，HIS 系统实时更新设备资源情况，保障重症救治需求。</w:t>
            </w:r>
          </w:p>
          <w:p w14:paraId="16CCCC00">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费用管理接口：共享重症患者的费用明细，包括呼吸机使用费用、监护费用等。重症系统可进行费用核对与补充计费，确保费用准确无误。</w:t>
            </w:r>
          </w:p>
          <w:p w14:paraId="49BACF67">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重症系统提供接口</w:t>
            </w:r>
          </w:p>
          <w:p w14:paraId="1EB36D20">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生命体征实时监测接口：将患者的心率、血压、血氧饱和度等生命体征数据实时推送至 HIS 系统，设置异常数据预警阈值，当出现异常时及时通知相关医护人员。</w:t>
            </w:r>
          </w:p>
          <w:p w14:paraId="646E1BC5">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重症护理记录接口：记录重症患者的护理措施、出入量管理、皮肤状况等信息，同步至 HIS 系统。为医护团队提供全面的护理信息，支持多学科协作。</w:t>
            </w:r>
          </w:p>
          <w:p w14:paraId="6F2C48C7">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治疗方案与效果反馈接口：向 HIS 系统推送重症患者的治疗方案，如机械通气策略、抗感染治疗等。治疗过程中，反馈治疗效果与病情变化，便于临床医师调整治疗方案。</w:t>
            </w:r>
          </w:p>
          <w:p w14:paraId="10F0EFEF">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转出与预后信息接口：当患者转出重症病房时，将转出时间、转入科室、转出原因等信息同步至 HIS 系统。后续将患者的预后情况，如康复程度、生存状态等反馈给 HIS系统，完善患者医疗记录。</w:t>
            </w:r>
          </w:p>
        </w:tc>
      </w:tr>
      <w:tr w14:paraId="463F7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5" w:hRule="atLeast"/>
          <w:jc w:val="center"/>
        </w:trPr>
        <w:tc>
          <w:tcPr>
            <w:tcW w:w="971" w:type="dxa"/>
            <w:vMerge w:val="continue"/>
            <w:vAlign w:val="center"/>
          </w:tcPr>
          <w:p w14:paraId="2EF76ABF">
            <w:pPr>
              <w:widowControl/>
              <w:jc w:val="center"/>
              <w:rPr>
                <w:rFonts w:ascii="宋体" w:hAnsi="宋体"/>
                <w:color w:val="auto"/>
                <w:highlight w:val="none"/>
              </w:rPr>
            </w:pPr>
          </w:p>
        </w:tc>
        <w:tc>
          <w:tcPr>
            <w:tcW w:w="1190" w:type="dxa"/>
            <w:vAlign w:val="center"/>
          </w:tcPr>
          <w:p w14:paraId="64C6FF45">
            <w:pPr>
              <w:numPr>
                <w:ilvl w:val="2"/>
                <w:numId w:val="0"/>
              </w:numPr>
              <w:ind w:left="0" w:firstLine="0"/>
              <w:rPr>
                <w:rFonts w:ascii="宋体" w:hAnsi="宋体" w:cs="宋体"/>
                <w:color w:val="auto"/>
                <w:kern w:val="0"/>
                <w:szCs w:val="21"/>
                <w:highlight w:val="none"/>
              </w:rPr>
            </w:pPr>
            <w:r>
              <w:rPr>
                <w:rFonts w:ascii="宋体" w:hAnsi="宋体" w:eastAsia="宋体" w:cs="宋体"/>
                <w:color w:val="auto"/>
                <w:kern w:val="0"/>
                <w:sz w:val="21"/>
                <w:szCs w:val="21"/>
                <w:lang w:val="en-US" w:eastAsia="zh-CN" w:bidi="ar-SA"/>
              </w:rPr>
              <w:t>6.1.7</w:t>
            </w:r>
            <w:r>
              <w:rPr>
                <w:rFonts w:hint="eastAsia" w:ascii="宋体" w:hAnsi="宋体"/>
                <w:color w:val="auto"/>
                <w:highlight w:val="none"/>
              </w:rPr>
              <w:tab/>
            </w:r>
            <w:r>
              <w:rPr>
                <w:rFonts w:hint="eastAsia" w:ascii="宋体" w:hAnsi="宋体"/>
                <w:color w:val="auto"/>
                <w:highlight w:val="none"/>
              </w:rPr>
              <w:t>营养管理系统</w:t>
            </w:r>
          </w:p>
        </w:tc>
        <w:tc>
          <w:tcPr>
            <w:tcW w:w="7638" w:type="dxa"/>
            <w:vAlign w:val="center"/>
          </w:tcPr>
          <w:p w14:paraId="413BEAC2">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HIS 提供接口</w:t>
            </w:r>
          </w:p>
          <w:p w14:paraId="32A9F583">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患者饮食医嘱接口：推送医师开具的饮食医嘱，如低盐饮食、糖尿病饮食等，包括饮食种类、餐次、特殊要求等信息，为营养管理系统制定营养方案提供依据。</w:t>
            </w:r>
          </w:p>
          <w:p w14:paraId="3D3C5EAF">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患者基本信息与病情接口：提供患者年龄、性别、疾病诊断、身体状况等信息，帮助营养系统评估患者营养需求，制定个性化营养计划。</w:t>
            </w:r>
          </w:p>
          <w:p w14:paraId="50092CF9">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费用关联接口：与 HIS 系统实现营养治疗费用的关联，包括营养餐费用、营养制剂费用等，确保费用准确计入患者医疗账单。</w:t>
            </w:r>
          </w:p>
          <w:p w14:paraId="0B0F3EA7">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科室订餐需求接口：接收各科室提交的患者订餐需求，包括订餐时间、餐品选择等，反馈至 HIS 系统进行费用结算与统计。</w:t>
            </w:r>
          </w:p>
          <w:p w14:paraId="62E33940">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营养管理系统提供接口</w:t>
            </w:r>
          </w:p>
          <w:p w14:paraId="42182903">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营养评估报告接口：将患者的营养状况评估结果，如 BMI 指数、血清蛋白水平等，以及营养风险评估报告同步至 HIS 系统，为临床治疗提供营养支持依据。</w:t>
            </w:r>
          </w:p>
          <w:p w14:paraId="33EA2CFC">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个性化营养方案接口：向 HIS 系统推送针对患者制定的个性化营养方案，包括每日热量摄入、营养素配比、食谱推荐等内容，便于医护人员监督执行。</w:t>
            </w:r>
          </w:p>
          <w:p w14:paraId="39CC91AB">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饮食执行情况反馈接口：记录患者每餐饮食摄入情况，如实际食用量、剩余量等，反馈至 HIS 系统。同时对患者饮食依从性进行评价，为调整营养方案提供参考。</w:t>
            </w:r>
          </w:p>
          <w:p w14:paraId="77FD29F4">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营养治疗效果评估接口：定期评估营养治疗效果，如患者体重变化、营养指标改善情况等，将评估结果同步至 HIS 系统，辅助医师判断治疗效果，优化治疗方案。</w:t>
            </w:r>
          </w:p>
        </w:tc>
      </w:tr>
      <w:tr w14:paraId="1BB1A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3" w:hRule="atLeast"/>
          <w:jc w:val="center"/>
        </w:trPr>
        <w:tc>
          <w:tcPr>
            <w:tcW w:w="971" w:type="dxa"/>
            <w:vMerge w:val="continue"/>
            <w:vAlign w:val="center"/>
          </w:tcPr>
          <w:p w14:paraId="0BE64DCD">
            <w:pPr>
              <w:widowControl/>
              <w:jc w:val="center"/>
              <w:rPr>
                <w:rFonts w:ascii="宋体" w:hAnsi="宋体"/>
                <w:color w:val="auto"/>
                <w:highlight w:val="none"/>
              </w:rPr>
            </w:pPr>
          </w:p>
        </w:tc>
        <w:tc>
          <w:tcPr>
            <w:tcW w:w="1190" w:type="dxa"/>
            <w:vAlign w:val="center"/>
          </w:tcPr>
          <w:p w14:paraId="1D437642">
            <w:pPr>
              <w:numPr>
                <w:ilvl w:val="2"/>
                <w:numId w:val="0"/>
              </w:numPr>
              <w:ind w:left="0" w:firstLine="0"/>
              <w:rPr>
                <w:rFonts w:ascii="宋体" w:hAnsi="宋体" w:cs="宋体"/>
                <w:color w:val="auto"/>
                <w:kern w:val="0"/>
                <w:szCs w:val="21"/>
                <w:highlight w:val="none"/>
              </w:rPr>
            </w:pPr>
            <w:r>
              <w:rPr>
                <w:rFonts w:ascii="宋体" w:hAnsi="宋体" w:eastAsia="宋体" w:cs="宋体"/>
                <w:color w:val="auto"/>
                <w:kern w:val="0"/>
                <w:sz w:val="21"/>
                <w:szCs w:val="21"/>
                <w:lang w:val="en-US" w:eastAsia="zh-CN" w:bidi="ar-SA"/>
              </w:rPr>
              <w:t>6.1.8</w:t>
            </w:r>
            <w:r>
              <w:rPr>
                <w:rFonts w:hint="eastAsia" w:ascii="宋体" w:hAnsi="宋体" w:cs="宋体"/>
                <w:color w:val="auto"/>
                <w:kern w:val="0"/>
                <w:szCs w:val="21"/>
                <w:highlight w:val="none"/>
              </w:rPr>
              <w:t>血透临床信息系统</w:t>
            </w:r>
          </w:p>
        </w:tc>
        <w:tc>
          <w:tcPr>
            <w:tcW w:w="7638" w:type="dxa"/>
            <w:vAlign w:val="center"/>
          </w:tcPr>
          <w:p w14:paraId="401C9213">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HIS 提供接口</w:t>
            </w:r>
          </w:p>
          <w:p w14:paraId="231CC369">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血透患者档案接口：提供血透患者基本信息、病史、诊断结果等档案资料，支持按透析周期、病情严重程度等条件检索，便于血透系统管理患者。</w:t>
            </w:r>
          </w:p>
          <w:p w14:paraId="21816B30">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医嘱与用药接口：推送血透相关医嘱，如透析频率、透析方式、用药处方等。血透系统执行后，将执行情况反馈至 HIS 系统，实现医嘱闭环管理。</w:t>
            </w:r>
          </w:p>
          <w:p w14:paraId="7CF9D452">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费用结算接口：实现血透治疗费用的实时结算，包括透析费、药品费、耗材费等，将费用明细同步至 HIS 系统，方便患者查询与财务核算。</w:t>
            </w:r>
          </w:p>
          <w:p w14:paraId="17533D5C">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设备预约接口：提供血透设备的使用状态与预约信息，血透系统可根据患者需求预约设备，HIS 系统实时更新设备预约情况，提高设备利用率。</w:t>
            </w:r>
          </w:p>
          <w:p w14:paraId="6F65B7BA">
            <w:pPr>
              <w:pStyle w:val="19"/>
              <w:spacing w:before="276"/>
              <w:rPr>
                <w:rFonts w:ascii="宋体" w:hAnsi="宋体" w:cs="宋体"/>
                <w:b w:val="0"/>
                <w:color w:val="auto"/>
                <w:sz w:val="21"/>
                <w:szCs w:val="21"/>
                <w:highlight w:val="none"/>
              </w:rPr>
            </w:pPr>
            <w:r>
              <w:rPr>
                <w:rFonts w:ascii="宋体" w:hAnsi="宋体" w:cs="宋体"/>
                <w:b w:val="0"/>
                <w:color w:val="auto"/>
                <w:sz w:val="21"/>
                <w:szCs w:val="21"/>
                <w:highlight w:val="none"/>
              </w:rPr>
              <w:t>血透临床信息系统提供接口</w:t>
            </w:r>
          </w:p>
          <w:p w14:paraId="2C465B73">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透析治疗记录接口：将每次透析治疗的详细记录，如透析时间、血流量、透析液参数等同步至 HIS 系统，为患者病情跟踪与治疗方案调整提供数据支持。</w:t>
            </w:r>
          </w:p>
          <w:p w14:paraId="222F0E71">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并发症监测接口：实时监测患者透析过程中的并发症发生情况，如低血压、肌肉痉挛等，当出现异常时，及时向 HIS 系统发送预警信息，通知医护人员处理。</w:t>
            </w:r>
          </w:p>
          <w:p w14:paraId="0249B95B">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患者状态与随访接口：更新患者透析后的状态，如体力恢复情况、实验室指标变化等。同时将患者的随访计划与随访结果同步至 HIS 系统，实现患者全周期管理。</w:t>
            </w:r>
          </w:p>
          <w:p w14:paraId="6158834A">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耗材使用与库存接口：记录血透耗材的使用情况，如透析器、管路等，同步至 HIS系统。反馈耗材库存状态，便于医院进行耗材采购与库存管理。</w:t>
            </w:r>
          </w:p>
        </w:tc>
      </w:tr>
      <w:tr w14:paraId="1CF82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5" w:hRule="atLeast"/>
          <w:jc w:val="center"/>
        </w:trPr>
        <w:tc>
          <w:tcPr>
            <w:tcW w:w="971" w:type="dxa"/>
            <w:vMerge w:val="continue"/>
            <w:vAlign w:val="center"/>
          </w:tcPr>
          <w:p w14:paraId="0953D779">
            <w:pPr>
              <w:widowControl/>
              <w:jc w:val="center"/>
              <w:rPr>
                <w:rFonts w:ascii="宋体" w:hAnsi="宋体"/>
                <w:color w:val="auto"/>
                <w:highlight w:val="none"/>
              </w:rPr>
            </w:pPr>
          </w:p>
        </w:tc>
        <w:tc>
          <w:tcPr>
            <w:tcW w:w="1190" w:type="dxa"/>
            <w:vAlign w:val="center"/>
          </w:tcPr>
          <w:p w14:paraId="707DFF44">
            <w:pPr>
              <w:numPr>
                <w:ilvl w:val="2"/>
                <w:numId w:val="0"/>
              </w:numPr>
              <w:ind w:left="0" w:firstLine="0"/>
              <w:rPr>
                <w:rFonts w:ascii="宋体" w:hAnsi="宋体" w:cs="宋体"/>
                <w:color w:val="auto"/>
                <w:kern w:val="0"/>
                <w:szCs w:val="21"/>
                <w:highlight w:val="none"/>
              </w:rPr>
            </w:pPr>
            <w:r>
              <w:rPr>
                <w:rFonts w:ascii="宋体" w:hAnsi="宋体" w:eastAsia="宋体" w:cs="宋体"/>
                <w:color w:val="auto"/>
                <w:kern w:val="0"/>
                <w:sz w:val="21"/>
                <w:szCs w:val="21"/>
                <w:lang w:val="en-US" w:eastAsia="zh-CN" w:bidi="ar-SA"/>
              </w:rPr>
              <w:t>6.1.9</w:t>
            </w:r>
            <w:r>
              <w:rPr>
                <w:rFonts w:hint="eastAsia" w:ascii="宋体" w:hAnsi="宋体" w:cs="宋体"/>
                <w:color w:val="auto"/>
                <w:kern w:val="0"/>
                <w:szCs w:val="21"/>
                <w:highlight w:val="none"/>
              </w:rPr>
              <w:t>静配系统</w:t>
            </w:r>
          </w:p>
        </w:tc>
        <w:tc>
          <w:tcPr>
            <w:tcW w:w="7638" w:type="dxa"/>
            <w:vAlign w:val="center"/>
          </w:tcPr>
          <w:p w14:paraId="2CB6CA64">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HIS 提供接口</w:t>
            </w:r>
          </w:p>
          <w:p w14:paraId="7B7F2D60">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静脉用药医嘱接口：向静配系统推送静脉用药医嘱，包括药品名称、剂量、用法、用药时间等信息，支持按科室、患者类型等条件筛选，确保医嘱准确传递。</w:t>
            </w:r>
          </w:p>
          <w:p w14:paraId="58FCADEA">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患者基本信息接口：提供患者年龄、性别、过敏史等基本信息，辅助静配系统进行药物配伍禁忌审核与用药安全评估。</w:t>
            </w:r>
          </w:p>
          <w:p w14:paraId="70A8D587">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科室信息与配送需求接口：提供各科室信息及药品配送时间、地点等需求，静配系统根据需求安排药品配置与配送计划，HIS 系统实时跟踪配送状态。</w:t>
            </w:r>
          </w:p>
          <w:p w14:paraId="18148EFC">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药品库存与价格接口：共享药品库存数量、有效期、单价等信息，静配系统可据此进行药品库存管理与成本核算。</w:t>
            </w:r>
          </w:p>
          <w:p w14:paraId="67BE2599">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静配系统提供接口</w:t>
            </w:r>
          </w:p>
          <w:p w14:paraId="04B54670">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静配批次信息接口：将药品配置批次信息，如批次号、配置时间、配置人员等同步至 HIS 系统，便于追溯药品配置过程，保障用药安全。</w:t>
            </w:r>
          </w:p>
          <w:p w14:paraId="395BE0B9">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药品消耗与库存接口：实时反馈药品消耗数量、剩余库存等信息，HIS 系统根据消耗情况及时补充药品库存，确保临床用药需求。</w:t>
            </w:r>
          </w:p>
          <w:p w14:paraId="14C8EF3A">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配置过程监控接口：将药品配置过程中的关键环节信息，如药品核对、配置操作、质量检查等同步至 HIS 系统，实现配置过程透明化管理。</w:t>
            </w:r>
          </w:p>
          <w:p w14:paraId="7B8E4BA0">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成品输液配送接口：推送成品输液的配送信息，如配送时间、送达科室、签收人员等，HIS 系统更新患者用药状态，确保药品及时准确送达患者。</w:t>
            </w:r>
          </w:p>
        </w:tc>
      </w:tr>
      <w:tr w14:paraId="55B20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6" w:hRule="atLeast"/>
          <w:jc w:val="center"/>
        </w:trPr>
        <w:tc>
          <w:tcPr>
            <w:tcW w:w="971" w:type="dxa"/>
            <w:vMerge w:val="continue"/>
            <w:vAlign w:val="center"/>
          </w:tcPr>
          <w:p w14:paraId="76AB60A4">
            <w:pPr>
              <w:widowControl/>
              <w:jc w:val="center"/>
              <w:rPr>
                <w:rFonts w:ascii="宋体" w:hAnsi="宋体"/>
                <w:color w:val="auto"/>
                <w:highlight w:val="none"/>
              </w:rPr>
            </w:pPr>
          </w:p>
        </w:tc>
        <w:tc>
          <w:tcPr>
            <w:tcW w:w="1190" w:type="dxa"/>
            <w:vAlign w:val="center"/>
          </w:tcPr>
          <w:p w14:paraId="27A7676B">
            <w:pPr>
              <w:numPr>
                <w:ilvl w:val="2"/>
                <w:numId w:val="0"/>
              </w:numPr>
              <w:ind w:left="0" w:firstLine="0"/>
              <w:rPr>
                <w:rFonts w:ascii="宋体" w:hAnsi="宋体" w:cs="宋体"/>
                <w:color w:val="auto"/>
                <w:kern w:val="0"/>
                <w:szCs w:val="21"/>
                <w:highlight w:val="none"/>
              </w:rPr>
            </w:pPr>
            <w:r>
              <w:rPr>
                <w:rFonts w:ascii="宋体" w:hAnsi="宋体" w:eastAsia="宋体" w:cs="宋体"/>
                <w:color w:val="auto"/>
                <w:kern w:val="0"/>
                <w:sz w:val="21"/>
                <w:szCs w:val="21"/>
                <w:lang w:val="en-US" w:eastAsia="zh-CN" w:bidi="ar-SA"/>
              </w:rPr>
              <w:t>6.1.10</w:t>
            </w:r>
            <w:r>
              <w:rPr>
                <w:rFonts w:hint="eastAsia" w:ascii="宋体" w:hAnsi="宋体" w:cs="宋体"/>
                <w:color w:val="auto"/>
                <w:kern w:val="0"/>
                <w:szCs w:val="21"/>
                <w:highlight w:val="none"/>
              </w:rPr>
              <w:t>体检系统</w:t>
            </w:r>
          </w:p>
        </w:tc>
        <w:tc>
          <w:tcPr>
            <w:tcW w:w="7638" w:type="dxa"/>
            <w:vAlign w:val="center"/>
          </w:tcPr>
          <w:p w14:paraId="5C3746D1">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HIS 提供接口</w:t>
            </w:r>
          </w:p>
          <w:p w14:paraId="4FA49CB0">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体检者信息接口：提供体检者基本信息、联系方式、既往健康史等资料，支持批量导入与单个查询，方便体检系统快速建立体检档案。</w:t>
            </w:r>
          </w:p>
          <w:p w14:paraId="791BE0D4">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体检套餐与项目接口：共享医院提供的体检套餐内容、项目价格等信息，体检系统可根据体检者需求选择套餐与项目，并将选择结果反馈至 HIS 系统进行费用结算。</w:t>
            </w:r>
          </w:p>
          <w:p w14:paraId="3D8D1D80">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预约与排期接口：实现体检预约信息的交互，包括预约时间、体检项目、预约状态等。HIS 系统根据预约情况合理安排体检资源，体检系统实时更新预约状态。</w:t>
            </w:r>
          </w:p>
          <w:p w14:paraId="69B19455">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费用结算接口：与体检系统进行费用结算，包括体检套餐费用、额外加项费用等，将费用明细同步至 HIS 系统，便于财务统计与体检者查询。</w:t>
            </w:r>
          </w:p>
          <w:p w14:paraId="5C94831A">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体检系统提供接口</w:t>
            </w:r>
          </w:p>
          <w:p w14:paraId="487670CF">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体检结果报告接口：将体检者的各项检查结果，如血液检查、影像检查等报告，以及综合健康评估报告同步至 HIS 系统，为体检者健康管理提供完整记录。</w:t>
            </w:r>
          </w:p>
          <w:p w14:paraId="02D2926A">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异常结果预警接口：当体检结果出现异常时，及时向 HIS 系统发送预警信息，包括异常项目、异常值、建议复查时间等，提醒体检者及时就医。</w:t>
            </w:r>
          </w:p>
          <w:p w14:paraId="63479E7C">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体检统计分析接口：定期向 HIS 系统提供体检数据统计分析报告，如不同年龄段疾病分布、高发疾病趋势等，为医院健康管理与疾病预防决策提供数据支持。</w:t>
            </w:r>
          </w:p>
          <w:p w14:paraId="4D97DACF">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体检满意度反馈接口：收集体检者对体检服务的满意度评价，包括服务态度、检查流程、环境设施等方面，反馈至 HIS 系统，便于医院改进服务质量。</w:t>
            </w:r>
          </w:p>
        </w:tc>
      </w:tr>
      <w:tr w14:paraId="3B300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8" w:hRule="atLeast"/>
          <w:jc w:val="center"/>
        </w:trPr>
        <w:tc>
          <w:tcPr>
            <w:tcW w:w="971" w:type="dxa"/>
            <w:vMerge w:val="continue"/>
            <w:vAlign w:val="center"/>
          </w:tcPr>
          <w:p w14:paraId="29C06FC4">
            <w:pPr>
              <w:widowControl/>
              <w:jc w:val="center"/>
              <w:rPr>
                <w:rFonts w:ascii="宋体" w:hAnsi="宋体"/>
                <w:color w:val="auto"/>
                <w:highlight w:val="none"/>
              </w:rPr>
            </w:pPr>
          </w:p>
        </w:tc>
        <w:tc>
          <w:tcPr>
            <w:tcW w:w="1190" w:type="dxa"/>
            <w:vAlign w:val="center"/>
          </w:tcPr>
          <w:p w14:paraId="568C787C">
            <w:pPr>
              <w:numPr>
                <w:ilvl w:val="2"/>
                <w:numId w:val="0"/>
              </w:numPr>
              <w:ind w:left="0" w:firstLine="0"/>
              <w:rPr>
                <w:rFonts w:ascii="宋体" w:hAnsi="宋体" w:cs="宋体"/>
                <w:color w:val="auto"/>
                <w:kern w:val="0"/>
                <w:szCs w:val="21"/>
                <w:highlight w:val="none"/>
              </w:rPr>
            </w:pPr>
            <w:r>
              <w:rPr>
                <w:rFonts w:ascii="宋体" w:hAnsi="宋体" w:eastAsia="宋体" w:cs="宋体"/>
                <w:color w:val="auto"/>
                <w:kern w:val="0"/>
                <w:sz w:val="21"/>
                <w:szCs w:val="21"/>
                <w:lang w:val="en-US" w:eastAsia="zh-CN" w:bidi="ar-SA"/>
              </w:rPr>
              <w:t>6.1.11</w:t>
            </w:r>
            <w:r>
              <w:rPr>
                <w:rFonts w:hint="eastAsia" w:ascii="宋体" w:hAnsi="宋体" w:cs="宋体"/>
                <w:color w:val="auto"/>
                <w:kern w:val="0"/>
                <w:szCs w:val="21"/>
                <w:highlight w:val="none"/>
              </w:rPr>
              <w:t>手术麻醉系统</w:t>
            </w:r>
          </w:p>
        </w:tc>
        <w:tc>
          <w:tcPr>
            <w:tcW w:w="7638" w:type="dxa"/>
            <w:vAlign w:val="center"/>
          </w:tcPr>
          <w:p w14:paraId="65F7156C">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HIS 提供接口</w:t>
            </w:r>
          </w:p>
          <w:p w14:paraId="52FDAB0C">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手术患者信息接口：提供手术患者基本信息、诊断结果、术前检查报告等资料，支持按手术时间、科室等条件筛选，帮助手术麻醉系统做好术前准备。</w:t>
            </w:r>
          </w:p>
          <w:p w14:paraId="6897CAE4">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手术申请与排班接口：接收手术科室提交的手术申请，包括手术名称、手术时间、手术医师等信息，反馈手术排班结果至 HIS 系统，实现手术安排的协同管理。</w:t>
            </w:r>
          </w:p>
          <w:p w14:paraId="224F7D5F">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术前医嘱接口：推送术前医嘱，如禁食禁水要求、术前用药等，手术麻醉系统执行后将执行情况反馈至 HIS 系统，确保术前准备工作规范执行。</w:t>
            </w:r>
          </w:p>
          <w:p w14:paraId="5E89789B">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费用管理接口：实现手术相关费用的实时结算，包括手术费、麻醉费、耗材费等，将费用明细同步至 HIS 系统，便于患者费用查询与财务核算。</w:t>
            </w:r>
          </w:p>
          <w:p w14:paraId="5AE4BD01">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手术麻醉系统提供接口</w:t>
            </w:r>
          </w:p>
          <w:p w14:paraId="1433C262">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手术过程记录接口：将手术开始时间、结束时间、手术步骤、术中出血量等手术过程信息实时同步至 HIS 系统，为术后总结与医疗质量评估提供详细资料。</w:t>
            </w:r>
          </w:p>
          <w:p w14:paraId="20B4D61C">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麻醉记录与监测接口：记录麻醉诱导、维持、苏醒等过程中的麻醉用药、生命体征监测数据等，同步至 HIS 系统。设置异常数据预警，保障患者麻醉安全。</w:t>
            </w:r>
          </w:p>
          <w:p w14:paraId="5486C5F7">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术后复苏与转归接口：更新患者术后复苏状态，如苏醒时间、生命体征平稳情况等。当患者转出手术室时，将转归信息（如转入病房、ICU 等）同步至 HIS 系统，实现患者手术全流程管理。</w:t>
            </w:r>
          </w:p>
          <w:p w14:paraId="51656DBF">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手术设备与耗材使用接口：记录手术设备的使用情况、耗材消耗数量等信息，同步至 HIS 系统。反馈设备故障与耗材库存不足等情况，便于医院进行设备维护与耗材管理。</w:t>
            </w:r>
          </w:p>
        </w:tc>
      </w:tr>
      <w:tr w14:paraId="01EE6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5" w:hRule="atLeast"/>
          <w:jc w:val="center"/>
        </w:trPr>
        <w:tc>
          <w:tcPr>
            <w:tcW w:w="971" w:type="dxa"/>
            <w:vMerge w:val="continue"/>
            <w:vAlign w:val="center"/>
          </w:tcPr>
          <w:p w14:paraId="3D019AB6">
            <w:pPr>
              <w:widowControl/>
              <w:jc w:val="center"/>
              <w:rPr>
                <w:rFonts w:ascii="宋体" w:hAnsi="宋体"/>
                <w:color w:val="auto"/>
                <w:highlight w:val="none"/>
              </w:rPr>
            </w:pPr>
          </w:p>
        </w:tc>
        <w:tc>
          <w:tcPr>
            <w:tcW w:w="1190" w:type="dxa"/>
            <w:vAlign w:val="center"/>
          </w:tcPr>
          <w:p w14:paraId="0199023A">
            <w:pPr>
              <w:numPr>
                <w:ilvl w:val="2"/>
                <w:numId w:val="0"/>
              </w:numPr>
              <w:ind w:left="0" w:firstLine="0"/>
              <w:rPr>
                <w:rFonts w:ascii="宋体" w:hAnsi="宋体" w:cs="宋体"/>
                <w:color w:val="auto"/>
                <w:kern w:val="0"/>
                <w:szCs w:val="21"/>
                <w:highlight w:val="none"/>
              </w:rPr>
            </w:pPr>
            <w:r>
              <w:rPr>
                <w:rFonts w:ascii="宋体" w:hAnsi="宋体" w:eastAsia="宋体" w:cs="宋体"/>
                <w:color w:val="auto"/>
                <w:kern w:val="0"/>
                <w:sz w:val="21"/>
                <w:szCs w:val="21"/>
                <w:lang w:val="en-US" w:eastAsia="zh-CN" w:bidi="ar-SA"/>
              </w:rPr>
              <w:t>6.1.12</w:t>
            </w:r>
            <w:r>
              <w:rPr>
                <w:rFonts w:hint="eastAsia" w:ascii="宋体" w:hAnsi="宋体" w:cs="宋体"/>
                <w:color w:val="auto"/>
                <w:kern w:val="0"/>
                <w:szCs w:val="21"/>
                <w:highlight w:val="none"/>
              </w:rPr>
              <w:t>移动护理PDA</w:t>
            </w:r>
          </w:p>
        </w:tc>
        <w:tc>
          <w:tcPr>
            <w:tcW w:w="7638" w:type="dxa"/>
            <w:vAlign w:val="center"/>
          </w:tcPr>
          <w:p w14:paraId="65F710D5">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HIS 提供接口</w:t>
            </w:r>
          </w:p>
          <w:p w14:paraId="524DAA33">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患者实时信息接口：向移动护理 PDA 推送患者基本信息、医嘱信息、生命体征历史数据等，支持离线缓存，确保护理人员在无网络环境下也能获取必要信息。</w:t>
            </w:r>
          </w:p>
          <w:p w14:paraId="08873E46">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医嘱执行确认接口：护理人员通过 PDA 扫描患者腕带与药品条码，确认医嘱执行情况，将执行时间、执行人员等信息实时反馈至 HIS 系统，实现医嘱执行的精准记录与监控。</w:t>
            </w:r>
          </w:p>
          <w:p w14:paraId="476CAB71">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护理任务提醒接口：根据医嘱与护理计划，向 PDA 发送护理任务提醒，如按时测量生命体征、更换输液等，提醒护理人员及时完成任务，提高护理工作效率。</w:t>
            </w:r>
          </w:p>
          <w:p w14:paraId="2EF9E7BE">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床位状态查询接口：提供病房床位使用状态信息，护理人员可通过 PDA 查询空床、占用床等情况，方便患者转床、入院安排等工作。</w:t>
            </w:r>
          </w:p>
          <w:p w14:paraId="443C27C2">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移动护理 PDA 提供接口</w:t>
            </w:r>
          </w:p>
          <w:p w14:paraId="52CE1F1B">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生命体征采集接口：护理人员使用 PDA 现场采集患者生命体征数据，如体温、脉搏等，实时上传至 HIS 系统，自动生成生命体征曲线，为医师诊断提供动态数据。</w:t>
            </w:r>
          </w:p>
          <w:p w14:paraId="488C42A6">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护理记录实时上传接口：在 PDA 上实时记录护理措施实施情况、患者病情变化等内容，同步至 HIS 系统，确保护理记录的及时性与准确性，为医疗团队提供最新信息。</w:t>
            </w:r>
          </w:p>
          <w:p w14:paraId="47E5AD1A">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药品核对与使用反馈接口：扫描药品条码核对药品信息，记录药品使用时间、剂量等情况，反馈至 HIS 系统。对药品过期、配伍禁忌等问题及时预警，保障用药安全。</w:t>
            </w:r>
          </w:p>
          <w:p w14:paraId="512E8D45">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护理问题与建议反馈接口：护理人员通过 PDA 将护理过程中发现的问题，如设备故障、流程不合理等，以及改进建议反馈至 HIS 系统，促进医院护理管理持续优化。</w:t>
            </w:r>
          </w:p>
        </w:tc>
      </w:tr>
      <w:tr w14:paraId="57EDB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9" w:hRule="atLeast"/>
          <w:jc w:val="center"/>
        </w:trPr>
        <w:tc>
          <w:tcPr>
            <w:tcW w:w="971" w:type="dxa"/>
            <w:vMerge w:val="continue"/>
            <w:vAlign w:val="center"/>
          </w:tcPr>
          <w:p w14:paraId="32E03544">
            <w:pPr>
              <w:widowControl/>
              <w:jc w:val="center"/>
              <w:rPr>
                <w:rFonts w:ascii="宋体" w:hAnsi="宋体"/>
                <w:color w:val="auto"/>
                <w:highlight w:val="none"/>
              </w:rPr>
            </w:pPr>
          </w:p>
        </w:tc>
        <w:tc>
          <w:tcPr>
            <w:tcW w:w="1190" w:type="dxa"/>
            <w:vAlign w:val="center"/>
          </w:tcPr>
          <w:p w14:paraId="5E682F38">
            <w:pPr>
              <w:numPr>
                <w:ilvl w:val="2"/>
                <w:numId w:val="0"/>
              </w:numPr>
              <w:ind w:left="0" w:firstLine="0"/>
              <w:rPr>
                <w:rFonts w:ascii="宋体" w:hAnsi="宋体" w:cs="宋体"/>
                <w:color w:val="auto"/>
                <w:kern w:val="0"/>
                <w:szCs w:val="21"/>
                <w:highlight w:val="none"/>
              </w:rPr>
            </w:pPr>
            <w:r>
              <w:rPr>
                <w:rFonts w:ascii="宋体" w:hAnsi="宋体" w:eastAsia="宋体" w:cs="宋体"/>
                <w:color w:val="auto"/>
                <w:kern w:val="0"/>
                <w:sz w:val="21"/>
                <w:szCs w:val="21"/>
                <w:lang w:val="en-US" w:eastAsia="zh-CN" w:bidi="ar-SA"/>
              </w:rPr>
              <w:t>6.1.13</w:t>
            </w:r>
            <w:r>
              <w:rPr>
                <w:rFonts w:hint="eastAsia" w:ascii="宋体" w:hAnsi="宋体" w:cs="宋体"/>
                <w:color w:val="auto"/>
                <w:kern w:val="0"/>
                <w:szCs w:val="21"/>
                <w:highlight w:val="none"/>
              </w:rPr>
              <w:t>互联网医院</w:t>
            </w:r>
          </w:p>
        </w:tc>
        <w:tc>
          <w:tcPr>
            <w:tcW w:w="7638" w:type="dxa"/>
            <w:vAlign w:val="center"/>
          </w:tcPr>
          <w:p w14:paraId="5DE86D0E">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HIS 提供接口</w:t>
            </w:r>
          </w:p>
          <w:p w14:paraId="38AC99A3">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患者电子健康档案接口：向互联网医院提供患者在院内的诊疗记录、检查检验报告、诊断结果等电子健康档案资料，支持按时间、疾病类型等条件检索，便于线上医师全面了解患者病情。</w:t>
            </w:r>
          </w:p>
          <w:p w14:paraId="508EDD1A">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在线处方审核与流转接口：接收互联网医院医师开具的处方，进行用药合理性审核</w:t>
            </w:r>
          </w:p>
          <w:p w14:paraId="13C514F3">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（如剂量、配伍禁忌等）。审核通过后，处方流转至 HIS 系统进行调配，或推送至合作药房进行药品配送。</w:t>
            </w:r>
          </w:p>
          <w:p w14:paraId="0AC17457">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线上复诊预约接口：互联网医院将患者的线上复诊预约信息（如预约时间、复诊科室、医师等）同步至 HIS 系统，HIS 系统安排线下复诊资源，并反馈预约结果。</w:t>
            </w:r>
          </w:p>
          <w:p w14:paraId="3A98DAB7">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费用结算接口：实现互联网医院诊疗费用的线上结算，包括挂号费、问诊费、药品费等，将费用明细同步至 HIS 系统，便于患者查询与财务对账。</w:t>
            </w:r>
          </w:p>
          <w:p w14:paraId="150B5F4C">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互联网医院提供接口</w:t>
            </w:r>
          </w:p>
          <w:p w14:paraId="70539EA7">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在线问诊记录接口：将患者与医师的在线问诊记录（文字、语音、视频片段等）、诊断意见同步至 HIS 系统，完善患者的全流程医疗记录，为后续线下诊疗提供参考。</w:t>
            </w:r>
          </w:p>
          <w:p w14:paraId="52FA67C6">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远程会诊信息接口：当开展远程会诊时，将会诊专家意见、讨论结果等信息及时反馈至 HIS 系统，院内医师可据此调整患者的治疗方案。</w:t>
            </w:r>
          </w:p>
          <w:p w14:paraId="6B6C018D">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线上患者反馈接口：收集患者对线上服务（如问诊体验、药师指导、物流配送等）的满意度评价及改进建议，同步至 HIS 系统，帮助医院优化互联网医疗服务质量。</w:t>
            </w:r>
          </w:p>
          <w:p w14:paraId="29846A45">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健康宣教资料推送接口：向 HIS 系统推送定制化的健康宣教内容（如疾病预防知识、康复指导等），供院内医护人员在查房、随访时向患者展示，实现线上线下健康管理的协同。</w:t>
            </w:r>
          </w:p>
        </w:tc>
      </w:tr>
      <w:tr w14:paraId="78AD2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9" w:hRule="atLeast"/>
          <w:jc w:val="center"/>
        </w:trPr>
        <w:tc>
          <w:tcPr>
            <w:tcW w:w="971" w:type="dxa"/>
            <w:vMerge w:val="continue"/>
            <w:vAlign w:val="center"/>
          </w:tcPr>
          <w:p w14:paraId="548DC49C">
            <w:pPr>
              <w:widowControl/>
              <w:jc w:val="center"/>
              <w:rPr>
                <w:rFonts w:ascii="宋体" w:hAnsi="宋体"/>
                <w:color w:val="auto"/>
                <w:highlight w:val="none"/>
              </w:rPr>
            </w:pPr>
          </w:p>
        </w:tc>
        <w:tc>
          <w:tcPr>
            <w:tcW w:w="1190" w:type="dxa"/>
            <w:vAlign w:val="center"/>
          </w:tcPr>
          <w:p w14:paraId="5DBC68F7">
            <w:pPr>
              <w:numPr>
                <w:ilvl w:val="2"/>
                <w:numId w:val="0"/>
              </w:numPr>
              <w:ind w:left="0" w:firstLine="0"/>
              <w:rPr>
                <w:rFonts w:ascii="宋体" w:hAnsi="宋体" w:cs="宋体"/>
                <w:color w:val="auto"/>
                <w:kern w:val="0"/>
                <w:szCs w:val="21"/>
                <w:highlight w:val="none"/>
              </w:rPr>
            </w:pPr>
            <w:r>
              <w:rPr>
                <w:rFonts w:ascii="宋体" w:hAnsi="宋体" w:eastAsia="宋体" w:cs="宋体"/>
                <w:color w:val="auto"/>
                <w:kern w:val="0"/>
                <w:sz w:val="21"/>
                <w:szCs w:val="21"/>
                <w:lang w:val="en-US" w:eastAsia="zh-CN" w:bidi="ar-SA"/>
              </w:rPr>
              <w:t>6.1.14</w:t>
            </w:r>
            <w:r>
              <w:rPr>
                <w:rFonts w:hint="eastAsia" w:ascii="宋体" w:hAnsi="宋体" w:cs="宋体"/>
                <w:color w:val="auto"/>
                <w:kern w:val="0"/>
                <w:szCs w:val="21"/>
                <w:highlight w:val="none"/>
              </w:rPr>
              <w:t>公众号</w:t>
            </w:r>
          </w:p>
        </w:tc>
        <w:tc>
          <w:tcPr>
            <w:tcW w:w="7638" w:type="dxa"/>
            <w:vAlign w:val="center"/>
          </w:tcPr>
          <w:p w14:paraId="2013B2D6">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HIS 提供接口</w:t>
            </w:r>
          </w:p>
          <w:p w14:paraId="2EC06CD2">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患者信息查询接口：支持公众号用户通过身份验证后，查询个人基本信息、就诊记录、检查检验报告、费用明细等，方便患者随时掌握自身医疗信息。</w:t>
            </w:r>
          </w:p>
          <w:p w14:paraId="271B8D28">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挂号预约接口：接收公众号端的挂号预约请求，包括预约科室、医师、时间等信息，在 HIS 系统中完成号源分配，并将预约结果（成功或失败原因）实时反馈至公众号展示给患者。</w:t>
            </w:r>
          </w:p>
          <w:p w14:paraId="6702FB57">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缴费通知与支付接口：当患者产生新的医疗费用时，向公众号推送缴费通知，包含费用金额、项目明细等。患者可通过公众号完成在线支付，支付成功信息同步至 HIS系统更新费用状态。</w:t>
            </w:r>
          </w:p>
          <w:p w14:paraId="78712134">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 xml:space="preserve">推送接口：检查检验报告出具后，主动推送消息至公众号提醒患者，并提供报告在线查看功能，报告数据从 HIS 系统实时调取。手术通知单审批通过后，推送消息至公众号。推送患者用药、检查、治疗、手术注意事项。 </w:t>
            </w:r>
          </w:p>
          <w:p w14:paraId="2713B79C">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公众号提供接口</w:t>
            </w:r>
          </w:p>
          <w:p w14:paraId="3A77AEEB">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用户行为数据接口：将用户在公众号的操作行为数据（如挂号预约次数、文章阅读量、菜单点击量等）反馈至 HIS 系统，帮助医院分析患者需求，优化服务流程与内容推送策略。</w:t>
            </w:r>
          </w:p>
          <w:p w14:paraId="1C7E3FA5">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消息模板定制接口：允许 HIS 系统根据业务需求定制消息模板（如检查提醒、复诊通知等），通过公众号精准推送至目标患者，提升患者服务体验。</w:t>
            </w:r>
          </w:p>
          <w:p w14:paraId="325C615A">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在线咨询接口：将患者在公众号发起的在线咨询内容（文字、图片等）同步至 HIS系统，由院内医护人员统一处理，并将回复内容回传至公众号反馈给患者。</w:t>
            </w:r>
          </w:p>
          <w:p w14:paraId="1D0F8D51">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满意度调查接口：在公众号发起患者满意度调查，收集患者对医院服务、医疗质量等方面的评价，结果汇总后同步至 HIS 系统，为医院管理决策提供依据。</w:t>
            </w:r>
          </w:p>
        </w:tc>
      </w:tr>
      <w:tr w14:paraId="354EB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3" w:hRule="atLeast"/>
          <w:jc w:val="center"/>
        </w:trPr>
        <w:tc>
          <w:tcPr>
            <w:tcW w:w="971" w:type="dxa"/>
            <w:vMerge w:val="continue"/>
            <w:vAlign w:val="center"/>
          </w:tcPr>
          <w:p w14:paraId="265E3384">
            <w:pPr>
              <w:widowControl/>
              <w:jc w:val="center"/>
              <w:rPr>
                <w:rFonts w:ascii="宋体" w:hAnsi="宋体"/>
                <w:color w:val="auto"/>
                <w:highlight w:val="none"/>
              </w:rPr>
            </w:pPr>
          </w:p>
        </w:tc>
        <w:tc>
          <w:tcPr>
            <w:tcW w:w="1190" w:type="dxa"/>
            <w:vAlign w:val="center"/>
          </w:tcPr>
          <w:p w14:paraId="06EB249A">
            <w:pPr>
              <w:numPr>
                <w:ilvl w:val="2"/>
                <w:numId w:val="0"/>
              </w:numPr>
              <w:ind w:left="0" w:firstLine="0"/>
              <w:rPr>
                <w:rFonts w:ascii="宋体" w:hAnsi="宋体" w:cs="宋体"/>
                <w:color w:val="auto"/>
                <w:kern w:val="0"/>
                <w:szCs w:val="21"/>
                <w:highlight w:val="none"/>
              </w:rPr>
            </w:pPr>
            <w:r>
              <w:rPr>
                <w:rFonts w:ascii="宋体" w:hAnsi="宋体" w:eastAsia="宋体" w:cs="宋体"/>
                <w:color w:val="auto"/>
                <w:kern w:val="0"/>
                <w:sz w:val="21"/>
                <w:szCs w:val="21"/>
                <w:lang w:val="en-US" w:eastAsia="zh-CN" w:bidi="ar-SA"/>
              </w:rPr>
              <w:t>6.1.15</w:t>
            </w:r>
            <w:r>
              <w:rPr>
                <w:rFonts w:hint="eastAsia" w:ascii="宋体" w:hAnsi="宋体" w:cs="宋体"/>
                <w:color w:val="auto"/>
                <w:kern w:val="0"/>
                <w:szCs w:val="21"/>
                <w:highlight w:val="none"/>
              </w:rPr>
              <w:t>云药房</w:t>
            </w:r>
          </w:p>
        </w:tc>
        <w:tc>
          <w:tcPr>
            <w:tcW w:w="7638" w:type="dxa"/>
            <w:vAlign w:val="center"/>
          </w:tcPr>
          <w:p w14:paraId="588A71D5">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HIS 提供接口</w:t>
            </w:r>
          </w:p>
          <w:p w14:paraId="28A34963">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处方审核与授权接口：向云药房推送经过 HIS 系统审核通过的处方，包含患者信息、药品名称、规格、用法用量等内容，同时对处方的合法性和有效性进行授权。</w:t>
            </w:r>
          </w:p>
          <w:p w14:paraId="1B431436">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患者收货信息接口：提供患者预留的收货地址、联系方式等信息，确保云药房准确配送药品。若患者信息有变更，HIS 系统实时更新并同步至云药房。</w:t>
            </w:r>
          </w:p>
          <w:p w14:paraId="776B2CC3">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药品库存与价格同步接口：实时共享院内药品库存状态、价格调整信息，云药房据此调整药品可售状态与售价，避免出现无药可售或价格不一致的情况。</w:t>
            </w:r>
          </w:p>
          <w:p w14:paraId="65A12A2D">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医保结算接口：与云药房对接医保结算规则，处理处方中的医保报销部分，将医保结算结果（报销金额、自费金额等）同步至 HIS 系统，完善患者费用结算数据。</w:t>
            </w:r>
          </w:p>
          <w:p w14:paraId="53957729">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云药房提供接口</w:t>
            </w:r>
          </w:p>
          <w:p w14:paraId="79E9171A">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处方接收与处理接口：接收 HIS 系统推送的处方后，反馈接收状态（成功或失败原因），并将处方处理进度（如审核中、配药中、已发货等）实时同步至 HIS 系统，方便患者和医护人员跟踪。</w:t>
            </w:r>
          </w:p>
          <w:p w14:paraId="7E284357">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药品配送信息接口：推送药品配送单号、物流公司、配送进度等信息，HIS 系统可将这些信息通过公众号或短信等方式告知患者，提升患者购药体验。</w:t>
            </w:r>
          </w:p>
          <w:p w14:paraId="69AC6D65">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用药指导反馈接口：药师在云药房平台为患者提供的用药指导（如服药时间、注意事项等）同步至 HIS 系统，供医护人员在后续诊疗中参考。</w:t>
            </w:r>
          </w:p>
          <w:p w14:paraId="16EDA139">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售后与退药接口：当患者发起药品退换货申请时，云药房将申请原因、处理结果等信息反馈至 HIS 系统，HIS 系统据此调整患者费用和库存状态。</w:t>
            </w:r>
          </w:p>
          <w:p w14:paraId="4CE18EA1">
            <w:pPr>
              <w:numPr>
                <w:ilvl w:val="0"/>
                <w:numId w:val="12"/>
              </w:numPr>
              <w:tabs>
                <w:tab w:val="left" w:pos="525"/>
                <w:tab w:val="left" w:pos="630"/>
              </w:tabs>
              <w:spacing w:line="360" w:lineRule="auto"/>
              <w:rPr>
                <w:rFonts w:ascii="宋体" w:hAnsi="宋体" w:cs="宋体"/>
                <w:bCs/>
                <w:color w:val="auto"/>
                <w:szCs w:val="21"/>
                <w:highlight w:val="none"/>
              </w:rPr>
            </w:pPr>
            <w:r>
              <w:rPr>
                <w:rFonts w:hint="eastAsia" w:ascii="宋体" w:hAnsi="宋体" w:cs="宋体"/>
                <w:bCs/>
                <w:color w:val="auto"/>
                <w:szCs w:val="21"/>
                <w:highlight w:val="none"/>
              </w:rPr>
              <w:t>对接云药房腹透液平台：医师开具医嘱时，若选择腹膜透析液，有“腹透配送处方”选项供医师选择，若选择“平台配送”，处方缴费、药房确认发药后，HIS提供接口，将“平台配送”类型的腹透液处方推送至云药房腹透液平台（需厂家提供接口文档）。医院公众号增加腹透处方配送入口，用于患者填写快递地址提交订单。云药房腹透液提供接口，HIS获取处方配送状态。</w:t>
            </w:r>
          </w:p>
        </w:tc>
      </w:tr>
      <w:tr w14:paraId="7F727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5" w:hRule="atLeast"/>
          <w:jc w:val="center"/>
        </w:trPr>
        <w:tc>
          <w:tcPr>
            <w:tcW w:w="971" w:type="dxa"/>
            <w:vMerge w:val="continue"/>
            <w:vAlign w:val="center"/>
          </w:tcPr>
          <w:p w14:paraId="2924E39A">
            <w:pPr>
              <w:widowControl/>
              <w:jc w:val="center"/>
              <w:rPr>
                <w:rFonts w:ascii="宋体" w:hAnsi="宋体"/>
                <w:color w:val="auto"/>
                <w:highlight w:val="none"/>
              </w:rPr>
            </w:pPr>
          </w:p>
        </w:tc>
        <w:tc>
          <w:tcPr>
            <w:tcW w:w="1190" w:type="dxa"/>
            <w:vAlign w:val="center"/>
          </w:tcPr>
          <w:p w14:paraId="073C46E4">
            <w:pPr>
              <w:numPr>
                <w:ilvl w:val="2"/>
                <w:numId w:val="0"/>
              </w:numPr>
              <w:ind w:left="0" w:firstLine="0"/>
              <w:rPr>
                <w:rFonts w:ascii="宋体" w:hAnsi="宋体" w:cs="宋体"/>
                <w:color w:val="auto"/>
                <w:kern w:val="0"/>
                <w:szCs w:val="21"/>
                <w:highlight w:val="none"/>
              </w:rPr>
            </w:pPr>
            <w:r>
              <w:rPr>
                <w:rFonts w:ascii="宋体" w:hAnsi="宋体" w:eastAsia="宋体" w:cs="宋体"/>
                <w:color w:val="auto"/>
                <w:kern w:val="0"/>
                <w:sz w:val="21"/>
                <w:szCs w:val="21"/>
                <w:lang w:val="en-US" w:eastAsia="zh-CN" w:bidi="ar-SA"/>
              </w:rPr>
              <w:t>6.1.16</w:t>
            </w:r>
            <w:r>
              <w:rPr>
                <w:rFonts w:hint="eastAsia" w:ascii="宋体" w:hAnsi="宋体" w:cs="宋体"/>
                <w:color w:val="auto"/>
                <w:kern w:val="0"/>
                <w:szCs w:val="21"/>
                <w:highlight w:val="none"/>
              </w:rPr>
              <w:t>放疗系统</w:t>
            </w:r>
          </w:p>
        </w:tc>
        <w:tc>
          <w:tcPr>
            <w:tcW w:w="7638" w:type="dxa"/>
            <w:vAlign w:val="center"/>
          </w:tcPr>
          <w:p w14:paraId="2E78584B">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HIS 提供接口</w:t>
            </w:r>
          </w:p>
          <w:p w14:paraId="59E00950">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放疗患者基本信息接口：提供患者姓名、性别、年龄、病史、诊断结果等基本资料，以及已完成的检查检验报告，帮助放疗系统制定个性化放疗方案。</w:t>
            </w:r>
          </w:p>
          <w:p w14:paraId="02D23AA0">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放疗医嘱接口：将医师开具的放疗医嘱（如放疗方式、剂量、次数、疗程安排等）推送至放疗系统，同时接收放疗系统对医嘱的确认与调整反馈。</w:t>
            </w:r>
          </w:p>
          <w:p w14:paraId="561FC991">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费用关联接口：实现放疗费用与 HIS 系统的关联，包括放疗设备使用费用、耗材费用、治疗费用等，确保费用准确计入患者医疗账单。</w:t>
            </w:r>
          </w:p>
          <w:p w14:paraId="1C84976C">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床位与设备预约接口：提供放疗相关床位、设备的使用状态与预约信息，放疗系统可根据治疗计划预约资源，HIS 系统实时更新预约情况，优化资源调配。</w:t>
            </w:r>
          </w:p>
          <w:p w14:paraId="25B1C940">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放疗系统提供接口</w:t>
            </w:r>
          </w:p>
          <w:p w14:paraId="30826CE0">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放疗计划与方案接口：将制定好的放疗计划（包括靶区勾画、剂量分布、照射野设计等）和治疗方案同步至 HIS 系统，供医师审核与调整，实现多学科协作。</w:t>
            </w:r>
          </w:p>
          <w:p w14:paraId="169791F0">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治疗过程记录接口：实时记录每次放疗的时间、剂量、设备参数等治疗过程信息，同步至 HIS 系统，形成完整的放疗治疗档案，便于医疗质量评估与患者随访。</w:t>
            </w:r>
          </w:p>
          <w:p w14:paraId="4FC65F61">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不良反应监测接口：监测患者放疗过程中出现的不良反应（如皮肤损伤、恶心呕吐等），及时向 HIS 系统发送预警信息，提醒临床医师采取相应处理措施。</w:t>
            </w:r>
          </w:p>
          <w:p w14:paraId="0845F91D">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治疗效果评估接口：定期对患者的放疗效果进行评估（如肿瘤缩小情况、症状缓解程度等），将评估结果同步至 HIS 系统，为后续治疗决策提供依据。</w:t>
            </w:r>
          </w:p>
        </w:tc>
      </w:tr>
      <w:tr w14:paraId="1D3F2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6" w:hRule="atLeast"/>
          <w:jc w:val="center"/>
        </w:trPr>
        <w:tc>
          <w:tcPr>
            <w:tcW w:w="971" w:type="dxa"/>
            <w:vMerge w:val="continue"/>
            <w:vAlign w:val="center"/>
          </w:tcPr>
          <w:p w14:paraId="665C06CE">
            <w:pPr>
              <w:widowControl/>
              <w:jc w:val="center"/>
              <w:rPr>
                <w:rFonts w:ascii="宋体" w:hAnsi="宋体"/>
                <w:color w:val="auto"/>
                <w:highlight w:val="none"/>
              </w:rPr>
            </w:pPr>
          </w:p>
        </w:tc>
        <w:tc>
          <w:tcPr>
            <w:tcW w:w="1190" w:type="dxa"/>
            <w:vAlign w:val="center"/>
          </w:tcPr>
          <w:p w14:paraId="737DED91">
            <w:pPr>
              <w:numPr>
                <w:ilvl w:val="2"/>
                <w:numId w:val="0"/>
              </w:numPr>
              <w:ind w:left="0" w:firstLine="0"/>
              <w:rPr>
                <w:rFonts w:ascii="宋体" w:hAnsi="宋体" w:cs="宋体"/>
                <w:color w:val="auto"/>
                <w:kern w:val="0"/>
                <w:szCs w:val="21"/>
                <w:highlight w:val="none"/>
              </w:rPr>
            </w:pPr>
            <w:r>
              <w:rPr>
                <w:rFonts w:ascii="宋体" w:hAnsi="宋体" w:eastAsia="宋体" w:cs="宋体"/>
                <w:color w:val="auto"/>
                <w:kern w:val="0"/>
                <w:sz w:val="21"/>
                <w:szCs w:val="21"/>
                <w:lang w:val="en-US" w:eastAsia="zh-CN" w:bidi="ar-SA"/>
              </w:rPr>
              <w:t>6.1.17</w:t>
            </w:r>
            <w:r>
              <w:rPr>
                <w:rFonts w:hint="eastAsia" w:ascii="宋体" w:hAnsi="宋体" w:cs="宋体"/>
                <w:color w:val="auto"/>
                <w:kern w:val="0"/>
                <w:szCs w:val="21"/>
                <w:highlight w:val="none"/>
              </w:rPr>
              <w:t>门诊西药房艾隆智能二级库(艾隆智能二级库提供接口)</w:t>
            </w:r>
          </w:p>
        </w:tc>
        <w:tc>
          <w:tcPr>
            <w:tcW w:w="7638" w:type="dxa"/>
            <w:vAlign w:val="center"/>
          </w:tcPr>
          <w:p w14:paraId="410FC09F">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HIS 提供接口</w:t>
            </w:r>
          </w:p>
          <w:p w14:paraId="145D71CD">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药品需求预测接口：基于历史用药数据、门诊量趋势等信息，向智能二级库提供药品需求预测结果，辅助其提前备货，保障药品供应。</w:t>
            </w:r>
          </w:p>
          <w:p w14:paraId="5FE37760">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处方发药指令接口：当患者完成缴费后，HIS 系统向智能二级库发送处方发药指令，包含药品名称、数量、患者信息等，智能二级库按指令调配药品。</w:t>
            </w:r>
          </w:p>
          <w:p w14:paraId="346776AB">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库存预警接口：设置药品库存上下限阈值，当 HIS 系统监测到库存低于下限或高于上限时，向智能二级库发送预警信息，以便及时补货或调整库存。</w:t>
            </w:r>
          </w:p>
          <w:p w14:paraId="00403AF8">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药品基础信息接口：同步药品名称、规格、剂型、生产厂家、保质期等基础信息，确保智能二级库与 HIS 系统数据一致，准确管理药品。</w:t>
            </w:r>
          </w:p>
          <w:p w14:paraId="3B22DC17">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门诊西药房艾隆智能二级库提供接口</w:t>
            </w:r>
          </w:p>
          <w:p w14:paraId="43622756">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药品库存实时更新接口：将智能二级库的药品库存数量、存放位置等信息实时同步至 HIS 系统，HIS 系统可据此更新门诊药房药品可发状态，避免发药冲突。</w:t>
            </w:r>
          </w:p>
          <w:p w14:paraId="278BF353">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药品出入库记录接口：记录药品的入库时间、批次、数量，以及出库时间、对应处方号、领取人员等信息，同步至 HIS 系统，实现药品全流程追溯。</w:t>
            </w:r>
          </w:p>
          <w:p w14:paraId="3F026BE7">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设备运行状态接口：反馈智能二级库设备（如发药机、传送带等）的运行状态（正常、故障、维护中），若出现故障及时通知 HIS 系统，便于安排维修，保障发药流程顺畅。</w:t>
            </w:r>
          </w:p>
          <w:p w14:paraId="5AF251F6">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异常处理反馈接口：当遇到药品短缺、发药错误等异常情况时，将异常原因、处理措施及结果反馈至 HIS 系统，HIS 系统可据此调整处方处理流程或通知患者。</w:t>
            </w:r>
          </w:p>
        </w:tc>
      </w:tr>
      <w:tr w14:paraId="2BE58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5" w:hRule="atLeast"/>
          <w:jc w:val="center"/>
        </w:trPr>
        <w:tc>
          <w:tcPr>
            <w:tcW w:w="971" w:type="dxa"/>
            <w:vMerge w:val="continue"/>
            <w:vAlign w:val="center"/>
          </w:tcPr>
          <w:p w14:paraId="1B4B6C32">
            <w:pPr>
              <w:widowControl/>
              <w:jc w:val="center"/>
              <w:rPr>
                <w:rFonts w:ascii="宋体" w:hAnsi="宋体"/>
                <w:color w:val="auto"/>
                <w:highlight w:val="none"/>
              </w:rPr>
            </w:pPr>
          </w:p>
        </w:tc>
        <w:tc>
          <w:tcPr>
            <w:tcW w:w="1190" w:type="dxa"/>
            <w:vAlign w:val="center"/>
          </w:tcPr>
          <w:p w14:paraId="3782706A">
            <w:pPr>
              <w:numPr>
                <w:ilvl w:val="2"/>
                <w:numId w:val="0"/>
              </w:numPr>
              <w:ind w:left="0" w:firstLine="0"/>
              <w:rPr>
                <w:rFonts w:ascii="宋体" w:hAnsi="宋体" w:cs="宋体"/>
                <w:color w:val="auto"/>
                <w:kern w:val="0"/>
                <w:szCs w:val="21"/>
                <w:highlight w:val="none"/>
              </w:rPr>
            </w:pPr>
            <w:r>
              <w:rPr>
                <w:rFonts w:ascii="宋体" w:hAnsi="宋体" w:eastAsia="宋体" w:cs="宋体"/>
                <w:color w:val="auto"/>
                <w:kern w:val="0"/>
                <w:sz w:val="21"/>
                <w:szCs w:val="21"/>
                <w:lang w:val="en-US" w:eastAsia="zh-CN" w:bidi="ar-SA"/>
              </w:rPr>
              <w:t>6.1.18</w:t>
            </w:r>
            <w:r>
              <w:rPr>
                <w:rFonts w:hint="eastAsia" w:ascii="宋体" w:hAnsi="宋体" w:cs="宋体"/>
                <w:color w:val="auto"/>
                <w:kern w:val="0"/>
                <w:szCs w:val="21"/>
                <w:highlight w:val="none"/>
              </w:rPr>
              <w:t>西药库智能链收货平台</w:t>
            </w:r>
          </w:p>
        </w:tc>
        <w:tc>
          <w:tcPr>
            <w:tcW w:w="7638" w:type="dxa"/>
            <w:vAlign w:val="center"/>
          </w:tcPr>
          <w:p w14:paraId="221F5978">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HIS 提供接口</w:t>
            </w:r>
          </w:p>
          <w:p w14:paraId="27B80499">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采购订单接口：将审核通过的药品采购订单（包含药品名称、规格、数量、供应商等信息）推送至智能链收货平台，作为收货依据。</w:t>
            </w:r>
          </w:p>
          <w:p w14:paraId="5995174E">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供应商资质信息接口：提供供应商的营业执照、药品经营许可证、质量认证文件等资质信息，智能链收货平台据此验证供应商合法性，确保药品来源可靠。</w:t>
            </w:r>
          </w:p>
          <w:p w14:paraId="47ABEE3E">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药品验收标准接口：明确药品验收的质量标准、检验项目、抽样规则等内容，指导智能链收货平台规范开展药品验收工作。</w:t>
            </w:r>
          </w:p>
          <w:p w14:paraId="29DF915F">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库存管理策略接口：共享药品库存管理策略（如安全库存水平、补货周期等），智能链收货平台根据策略优化收货计划，提高库存管理效率。</w:t>
            </w:r>
          </w:p>
          <w:p w14:paraId="00D8C2FB">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西药库智能链收货平台提供接口</w:t>
            </w:r>
          </w:p>
          <w:p w14:paraId="16BCC604">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收货确认接口：完成药品收货后，向 HIS 系统反馈收货确认信息，包括实际收货数量、批次、生产日期、有效期等，HIS 系统更新库存数量。</w:t>
            </w:r>
          </w:p>
          <w:p w14:paraId="63054F15">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验收结果反馈接口：将药品验收结果（合格、不合格及原因）同步至 HIS 系统，若验收不合格，HIS 系统可启动退货流程或联系供应商处理。</w:t>
            </w:r>
          </w:p>
          <w:p w14:paraId="5DB7D6D8">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不合格品处理记录接口：记录不合格药品的处理过程（如退货、销毁等）及相关责任人，同步至 HIS 系统，便于追溯和质量分析。</w:t>
            </w:r>
          </w:p>
          <w:p w14:paraId="70BA0883">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库存动态同步接口：实时将智能链收货平台的药品库存变化情况（入库、出库、库存调拨等）反馈至 HIS 系统，确保 HIS 系统库存数据与实际一致。</w:t>
            </w:r>
          </w:p>
        </w:tc>
      </w:tr>
      <w:tr w14:paraId="48859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5" w:hRule="atLeast"/>
          <w:jc w:val="center"/>
        </w:trPr>
        <w:tc>
          <w:tcPr>
            <w:tcW w:w="971" w:type="dxa"/>
            <w:vMerge w:val="continue"/>
            <w:vAlign w:val="center"/>
          </w:tcPr>
          <w:p w14:paraId="1F76C769">
            <w:pPr>
              <w:widowControl/>
              <w:jc w:val="center"/>
              <w:rPr>
                <w:rFonts w:ascii="宋体" w:hAnsi="宋体"/>
                <w:color w:val="auto"/>
                <w:highlight w:val="none"/>
              </w:rPr>
            </w:pPr>
          </w:p>
        </w:tc>
        <w:tc>
          <w:tcPr>
            <w:tcW w:w="1190" w:type="dxa"/>
            <w:vAlign w:val="center"/>
          </w:tcPr>
          <w:p w14:paraId="2ACCC44A">
            <w:pPr>
              <w:numPr>
                <w:ilvl w:val="2"/>
                <w:numId w:val="0"/>
              </w:numPr>
              <w:ind w:left="0" w:firstLine="0"/>
              <w:rPr>
                <w:rFonts w:ascii="宋体" w:hAnsi="宋体" w:cs="宋体"/>
                <w:color w:val="auto"/>
                <w:kern w:val="0"/>
                <w:szCs w:val="21"/>
                <w:highlight w:val="none"/>
              </w:rPr>
            </w:pPr>
            <w:r>
              <w:rPr>
                <w:rFonts w:ascii="宋体" w:hAnsi="宋体" w:eastAsia="宋体" w:cs="宋体"/>
                <w:color w:val="auto"/>
                <w:kern w:val="0"/>
                <w:sz w:val="21"/>
                <w:szCs w:val="21"/>
                <w:lang w:val="en-US" w:eastAsia="zh-CN" w:bidi="ar-SA"/>
              </w:rPr>
              <w:t>6.1.19</w:t>
            </w:r>
            <w:r>
              <w:rPr>
                <w:rFonts w:hint="eastAsia" w:ascii="宋体" w:hAnsi="宋体" w:cs="宋体"/>
                <w:color w:val="auto"/>
                <w:kern w:val="0"/>
                <w:szCs w:val="21"/>
                <w:highlight w:val="none"/>
              </w:rPr>
              <w:t>平台科室知情同意书系统</w:t>
            </w:r>
          </w:p>
        </w:tc>
        <w:tc>
          <w:tcPr>
            <w:tcW w:w="7638" w:type="dxa"/>
            <w:vAlign w:val="center"/>
          </w:tcPr>
          <w:p w14:paraId="0C9306C1">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HIS 提供接口</w:t>
            </w:r>
          </w:p>
          <w:p w14:paraId="7F76D29B">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患者诊疗信息接口：向知情同意书系统提供患者当前诊疗项目、风险等级、替代方案等信息，帮助医师撰写知情同意书内容，确保信息准确完整。</w:t>
            </w:r>
          </w:p>
          <w:p w14:paraId="0C7A82DE">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患者授权信息接口：提供患者指定的授权代理人信息（如姓名、关系、联系方式等），若患者无法自主签署同意书，由授权代理人代为办理相关手续。</w:t>
            </w:r>
          </w:p>
          <w:p w14:paraId="52FB2A2E">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诊疗流程节点接口：在关键诊疗流程节点（如手术前、特殊检查前），向知情同意书系统发送触发信号，提醒医师发起知情同意书签署流程。</w:t>
            </w:r>
          </w:p>
          <w:p w14:paraId="088E1502">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费用关联接口：将与知情同意书相关的诊疗项目费用信息同步至知情同意书系统，患者或授权代理人签署同意书时可查看费用明细。</w:t>
            </w:r>
          </w:p>
          <w:p w14:paraId="4DC8AF97">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平台科室知情同意书系统提供接口</w:t>
            </w:r>
          </w:p>
          <w:p w14:paraId="270500BC">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知情同意书签署记录接口：将同意书签署时间、签署人（患者或代理人）、签署方式（电子签名、手写签名）等记录同步至 HIS 系统，作为医疗法律依据。</w:t>
            </w:r>
          </w:p>
          <w:p w14:paraId="05F9EDB7">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同意书文档存储与调阅接口：将签署完成的知情同意书文档存储，并提供调阅接口， HIS 系统可随时调取查看，方便医疗档案管理与审计。</w:t>
            </w:r>
          </w:p>
          <w:p w14:paraId="6021288C">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签署状态变更通知接口：当同意书状态发生变化（如待签署、已签署、拒签等）时，及时通知 HIS 系统，HIS 系统根据状态调整诊疗流程（如拒签则终止相关诊疗项目）。</w:t>
            </w:r>
          </w:p>
          <w:p w14:paraId="731D5CFF">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模板定制与更新接口：允许 HIS 系统根据不同科室、诊疗项目需求定制知情同意书模板，并将模板更新信息同步至知情同意书系统，确保模板适用性。</w:t>
            </w:r>
          </w:p>
        </w:tc>
      </w:tr>
      <w:tr w14:paraId="14C07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6" w:hRule="atLeast"/>
          <w:jc w:val="center"/>
        </w:trPr>
        <w:tc>
          <w:tcPr>
            <w:tcW w:w="971" w:type="dxa"/>
            <w:vMerge w:val="continue"/>
            <w:vAlign w:val="center"/>
          </w:tcPr>
          <w:p w14:paraId="46F92421">
            <w:pPr>
              <w:widowControl/>
              <w:jc w:val="center"/>
              <w:rPr>
                <w:rFonts w:ascii="宋体" w:hAnsi="宋体"/>
                <w:color w:val="auto"/>
                <w:highlight w:val="none"/>
              </w:rPr>
            </w:pPr>
          </w:p>
        </w:tc>
        <w:tc>
          <w:tcPr>
            <w:tcW w:w="1190" w:type="dxa"/>
            <w:vAlign w:val="center"/>
          </w:tcPr>
          <w:p w14:paraId="5EEBE3A6">
            <w:pPr>
              <w:numPr>
                <w:ilvl w:val="2"/>
                <w:numId w:val="0"/>
              </w:numPr>
              <w:ind w:left="0" w:firstLine="0"/>
              <w:rPr>
                <w:rFonts w:ascii="宋体" w:hAnsi="宋体" w:cs="宋体"/>
                <w:color w:val="auto"/>
                <w:kern w:val="0"/>
                <w:szCs w:val="21"/>
                <w:highlight w:val="none"/>
              </w:rPr>
            </w:pPr>
            <w:r>
              <w:rPr>
                <w:rFonts w:ascii="宋体" w:hAnsi="宋体" w:eastAsia="宋体" w:cs="宋体"/>
                <w:color w:val="auto"/>
                <w:kern w:val="0"/>
                <w:sz w:val="21"/>
                <w:szCs w:val="21"/>
                <w:lang w:val="en-US" w:eastAsia="zh-CN" w:bidi="ar-SA"/>
              </w:rPr>
              <w:t>6.1.20</w:t>
            </w:r>
            <w:r>
              <w:rPr>
                <w:rFonts w:hint="eastAsia" w:ascii="宋体" w:hAnsi="宋体" w:cs="宋体"/>
                <w:color w:val="auto"/>
                <w:kern w:val="0"/>
                <w:szCs w:val="21"/>
                <w:highlight w:val="none"/>
              </w:rPr>
              <w:t>住院医师交接班系统</w:t>
            </w:r>
          </w:p>
        </w:tc>
        <w:tc>
          <w:tcPr>
            <w:tcW w:w="7638" w:type="dxa"/>
            <w:vAlign w:val="center"/>
          </w:tcPr>
          <w:p w14:paraId="1A893318">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HIS 提供接口</w:t>
            </w:r>
          </w:p>
          <w:p w14:paraId="1C79E6C1">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患者病情动态接口：向交接班系统推送患者最新的生命体征数据、检验检查结果、治疗措施及效果等病情信息，帮助接班医师快速了解患者情况。</w:t>
            </w:r>
          </w:p>
          <w:p w14:paraId="0B963516">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医嘱执行状态接口：提供患者医嘱的执行进度（已执行、执行中、未执行）、未执行原因等信息，便于接班医师掌握治疗计划执行情况，合理安排后续工作。</w:t>
            </w:r>
          </w:p>
          <w:p w14:paraId="1C7F3E99">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诊疗计划接口：将医师制定的患者诊疗计划（如手术安排、检查预约、用药调整等）同步至交接班系统，确保医疗工作的连续性。</w:t>
            </w:r>
          </w:p>
          <w:p w14:paraId="5891307F">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患者特殊需求接口：记录患者的特殊需求（如饮食禁忌、护理要求、心理关怀等），并同步至交接班系统，提醒接班医师关注。</w:t>
            </w:r>
          </w:p>
          <w:p w14:paraId="54FE6BD3">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住院医师交接班系统提供接口</w:t>
            </w:r>
          </w:p>
          <w:p w14:paraId="3F7B68E0">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交接班记录接口：将交接班过程中的详细记录（交班医师、接班医师、交接班时间、患者病情总结、待办事项等）同步至 HIS 系统，形成完整的医疗记录。</w:t>
            </w:r>
          </w:p>
          <w:p w14:paraId="7C733070">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重点患者标识接口：标记需要重点关注的患者（如危重患者、术后患者等），并将标识信息同步至 HIS 系统，方便医护人员快速筛选和查看。</w:t>
            </w:r>
          </w:p>
          <w:p w14:paraId="6A163B6F">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待办事项跟踪接口：对接班后待办事项（如安排检查、调整用药等）的完成情况进行跟踪记录，将结果反馈至 HIS 系统，确保各项工作落实到位。</w:t>
            </w:r>
          </w:p>
          <w:p w14:paraId="71F3102D">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交接班评价接口：收集接班医师对交班质量的评价（如信息完整性、准确性、清晰度等），同步至 HIS 系统，促进交接班质量持续改进。</w:t>
            </w:r>
          </w:p>
        </w:tc>
      </w:tr>
      <w:tr w14:paraId="45B68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5" w:hRule="atLeast"/>
          <w:jc w:val="center"/>
        </w:trPr>
        <w:tc>
          <w:tcPr>
            <w:tcW w:w="971" w:type="dxa"/>
            <w:vMerge w:val="continue"/>
            <w:vAlign w:val="center"/>
          </w:tcPr>
          <w:p w14:paraId="376388D7">
            <w:pPr>
              <w:widowControl/>
              <w:jc w:val="center"/>
              <w:rPr>
                <w:rFonts w:ascii="宋体" w:hAnsi="宋体"/>
                <w:color w:val="auto"/>
                <w:highlight w:val="none"/>
              </w:rPr>
            </w:pPr>
          </w:p>
        </w:tc>
        <w:tc>
          <w:tcPr>
            <w:tcW w:w="1190" w:type="dxa"/>
            <w:vAlign w:val="center"/>
          </w:tcPr>
          <w:p w14:paraId="00856797">
            <w:pPr>
              <w:numPr>
                <w:ilvl w:val="2"/>
                <w:numId w:val="0"/>
              </w:numPr>
              <w:ind w:left="0" w:firstLine="0"/>
              <w:rPr>
                <w:rFonts w:ascii="宋体" w:hAnsi="宋体" w:cs="宋体"/>
                <w:color w:val="auto"/>
                <w:kern w:val="0"/>
                <w:szCs w:val="21"/>
                <w:highlight w:val="none"/>
              </w:rPr>
            </w:pPr>
            <w:r>
              <w:rPr>
                <w:rFonts w:ascii="宋体" w:hAnsi="宋体" w:eastAsia="宋体" w:cs="宋体"/>
                <w:color w:val="auto"/>
                <w:kern w:val="0"/>
                <w:sz w:val="21"/>
                <w:szCs w:val="21"/>
                <w:lang w:val="en-US" w:eastAsia="zh-CN" w:bidi="ar-SA"/>
              </w:rPr>
              <w:t>6.1.21</w:t>
            </w:r>
            <w:r>
              <w:rPr>
                <w:rFonts w:hint="eastAsia" w:ascii="宋体" w:hAnsi="宋体" w:cs="宋体"/>
                <w:color w:val="auto"/>
                <w:kern w:val="0"/>
                <w:szCs w:val="21"/>
                <w:highlight w:val="none"/>
              </w:rPr>
              <w:t>SPD系统</w:t>
            </w:r>
          </w:p>
        </w:tc>
        <w:tc>
          <w:tcPr>
            <w:tcW w:w="7638" w:type="dxa"/>
            <w:vAlign w:val="center"/>
          </w:tcPr>
          <w:p w14:paraId="18E3CA46">
            <w:pPr>
              <w:tabs>
                <w:tab w:val="left" w:pos="525"/>
                <w:tab w:val="left" w:pos="630"/>
              </w:tabs>
              <w:spacing w:line="360" w:lineRule="auto"/>
              <w:rPr>
                <w:rFonts w:hint="eastAsia" w:ascii="宋体" w:hAnsi="宋体" w:eastAsia="宋体" w:cs="宋体"/>
                <w:bCs/>
                <w:color w:val="C00000"/>
                <w:szCs w:val="21"/>
                <w:highlight w:val="none"/>
                <w:lang w:eastAsia="zh-CN"/>
              </w:rPr>
            </w:pPr>
            <w:r>
              <w:rPr>
                <w:rFonts w:ascii="宋体" w:hAnsi="宋体" w:cs="宋体"/>
                <w:bCs/>
                <w:color w:val="C00000"/>
                <w:szCs w:val="21"/>
                <w:highlight w:val="none"/>
              </w:rPr>
              <w:t xml:space="preserve">HIS </w:t>
            </w:r>
            <w:r>
              <w:rPr>
                <w:rFonts w:hint="eastAsia" w:ascii="宋体" w:hAnsi="宋体" w:cs="宋体"/>
                <w:bCs/>
                <w:color w:val="C00000"/>
                <w:szCs w:val="21"/>
                <w:highlight w:val="none"/>
                <w:lang w:val="en-US" w:eastAsia="zh-CN"/>
              </w:rPr>
              <w:t>系统</w:t>
            </w:r>
          </w:p>
          <w:p w14:paraId="4E9AD95D">
            <w:pPr>
              <w:numPr>
                <w:ilvl w:val="0"/>
                <w:numId w:val="12"/>
              </w:numPr>
              <w:tabs>
                <w:tab w:val="left" w:pos="525"/>
                <w:tab w:val="left" w:pos="630"/>
              </w:tabs>
              <w:spacing w:line="360" w:lineRule="auto"/>
              <w:rPr>
                <w:rFonts w:hint="eastAsia" w:ascii="宋体" w:hAnsi="宋体" w:cs="宋体"/>
                <w:bCs/>
                <w:color w:val="C00000"/>
                <w:szCs w:val="21"/>
                <w:highlight w:val="none"/>
              </w:rPr>
            </w:pPr>
            <w:r>
              <w:rPr>
                <w:rFonts w:hint="eastAsia" w:ascii="宋体" w:hAnsi="宋体" w:cs="宋体"/>
                <w:bCs/>
                <w:color w:val="C00000"/>
                <w:szCs w:val="21"/>
                <w:highlight w:val="none"/>
              </w:rPr>
              <w:t>物料对接：接收物价收费管理部门审批的新增、修改耗材物料信息，同步新增、更新收费目录，将收费目录编码返回给SPD系统，实现收费目录与耗材物料目录的一一对应，信息同步</w:t>
            </w:r>
          </w:p>
          <w:p w14:paraId="41EDF103">
            <w:pPr>
              <w:numPr>
                <w:ilvl w:val="0"/>
                <w:numId w:val="12"/>
              </w:numPr>
              <w:tabs>
                <w:tab w:val="left" w:pos="525"/>
                <w:tab w:val="left" w:pos="630"/>
              </w:tabs>
              <w:spacing w:line="360" w:lineRule="auto"/>
              <w:rPr>
                <w:rFonts w:hint="eastAsia" w:ascii="宋体" w:hAnsi="宋体" w:cs="宋体"/>
                <w:bCs/>
                <w:color w:val="C00000"/>
                <w:szCs w:val="21"/>
                <w:highlight w:val="none"/>
              </w:rPr>
            </w:pPr>
            <w:r>
              <w:rPr>
                <w:rFonts w:hint="eastAsia" w:ascii="宋体" w:hAnsi="宋体" w:cs="宋体"/>
                <w:bCs/>
                <w:color w:val="C00000"/>
                <w:szCs w:val="21"/>
                <w:highlight w:val="none"/>
              </w:rPr>
              <w:t>进销存对接：接收SPD的出库数据，在收费界面实时显示出科室现有库存，对无库存的耗材进行限制收费。科室收费（销售）后进行库存扣减，退货（退费）后进行库存增加。将耗材销售的病案号、病人号、收费人员、收费科室等信息返回给SPD系统</w:t>
            </w:r>
          </w:p>
          <w:p w14:paraId="085657FE">
            <w:pPr>
              <w:numPr>
                <w:ilvl w:val="0"/>
                <w:numId w:val="12"/>
              </w:numPr>
              <w:tabs>
                <w:tab w:val="left" w:pos="525"/>
                <w:tab w:val="left" w:pos="630"/>
              </w:tabs>
              <w:spacing w:line="360" w:lineRule="auto"/>
              <w:rPr>
                <w:rFonts w:ascii="宋体" w:hAnsi="宋体" w:cs="宋体"/>
                <w:bCs/>
                <w:color w:val="C00000"/>
                <w:szCs w:val="21"/>
                <w:highlight w:val="none"/>
              </w:rPr>
            </w:pPr>
            <w:r>
              <w:rPr>
                <w:rFonts w:hint="eastAsia" w:ascii="宋体" w:hAnsi="宋体" w:cs="宋体"/>
                <w:bCs/>
                <w:color w:val="C00000"/>
                <w:szCs w:val="21"/>
                <w:highlight w:val="none"/>
              </w:rPr>
              <w:t>耗材收费统计报表：形成能够按时间、按科室、按收费单元查询和导出的耗材收费（销售）报表，包含耗材收费（销售）明细、耗材的物料信息和耗材出库信息</w:t>
            </w:r>
            <w:r>
              <w:rPr>
                <w:rFonts w:ascii="宋体" w:hAnsi="宋体" w:cs="宋体"/>
                <w:bCs/>
                <w:color w:val="C00000"/>
                <w:szCs w:val="21"/>
                <w:highlight w:val="none"/>
              </w:rPr>
              <w:t>。</w:t>
            </w:r>
          </w:p>
          <w:p w14:paraId="737A60FF">
            <w:pPr>
              <w:tabs>
                <w:tab w:val="left" w:pos="525"/>
                <w:tab w:val="left" w:pos="630"/>
              </w:tabs>
              <w:spacing w:line="360" w:lineRule="auto"/>
              <w:rPr>
                <w:rFonts w:ascii="宋体" w:hAnsi="宋体" w:cs="宋体"/>
                <w:bCs/>
                <w:color w:val="C00000"/>
                <w:szCs w:val="21"/>
                <w:highlight w:val="none"/>
              </w:rPr>
            </w:pPr>
            <w:r>
              <w:rPr>
                <w:rFonts w:ascii="宋体" w:hAnsi="宋体" w:cs="宋体"/>
                <w:bCs/>
                <w:color w:val="C00000"/>
                <w:szCs w:val="21"/>
                <w:highlight w:val="none"/>
              </w:rPr>
              <w:t>SPD 系统</w:t>
            </w:r>
          </w:p>
          <w:p w14:paraId="328908D5">
            <w:pPr>
              <w:numPr>
                <w:ilvl w:val="0"/>
                <w:numId w:val="12"/>
              </w:numPr>
              <w:tabs>
                <w:tab w:val="left" w:pos="525"/>
                <w:tab w:val="left" w:pos="630"/>
              </w:tabs>
              <w:spacing w:line="360" w:lineRule="auto"/>
              <w:rPr>
                <w:rFonts w:hint="eastAsia" w:ascii="宋体" w:hAnsi="宋体" w:cs="宋体"/>
                <w:bCs/>
                <w:color w:val="C00000"/>
                <w:szCs w:val="21"/>
                <w:highlight w:val="none"/>
              </w:rPr>
            </w:pPr>
            <w:r>
              <w:rPr>
                <w:rFonts w:hint="eastAsia" w:ascii="宋体" w:hAnsi="宋体" w:cs="宋体"/>
                <w:bCs/>
                <w:color w:val="C00000"/>
                <w:szCs w:val="21"/>
                <w:highlight w:val="none"/>
              </w:rPr>
              <w:t>物料对接：开放接口，提供耗材物料信息，包含耗材编码、耗材名称、规格型号、价格、单位、销售价格、销售单位、产地、品牌、厂家、十八大类重点监控耗材分类、财务分类、医保编码、UDI等重点信息</w:t>
            </w:r>
          </w:p>
          <w:p w14:paraId="784331CF">
            <w:pPr>
              <w:numPr>
                <w:ilvl w:val="0"/>
                <w:numId w:val="12"/>
              </w:numPr>
              <w:tabs>
                <w:tab w:val="left" w:pos="525"/>
                <w:tab w:val="left" w:pos="630"/>
              </w:tabs>
              <w:spacing w:line="360" w:lineRule="auto"/>
              <w:rPr>
                <w:rFonts w:hint="eastAsia" w:ascii="宋体" w:hAnsi="宋体" w:cs="宋体"/>
                <w:bCs/>
                <w:color w:val="C00000"/>
                <w:szCs w:val="21"/>
                <w:highlight w:val="none"/>
              </w:rPr>
            </w:pPr>
            <w:r>
              <w:rPr>
                <w:rFonts w:hint="eastAsia" w:ascii="宋体" w:hAnsi="宋体" w:cs="宋体"/>
                <w:bCs/>
                <w:color w:val="C00000"/>
                <w:szCs w:val="21"/>
                <w:highlight w:val="none"/>
              </w:rPr>
              <w:t>物料审批：开放系统部分操作权限，允许物价收费管理部门对新增耗材物料信息和修改耗材物料信息进行审批</w:t>
            </w:r>
          </w:p>
          <w:p w14:paraId="22342685">
            <w:pPr>
              <w:numPr>
                <w:ilvl w:val="0"/>
                <w:numId w:val="12"/>
              </w:numPr>
              <w:tabs>
                <w:tab w:val="left" w:pos="525"/>
                <w:tab w:val="left" w:pos="630"/>
              </w:tabs>
              <w:spacing w:line="360" w:lineRule="auto"/>
              <w:rPr>
                <w:rFonts w:ascii="宋体" w:hAnsi="宋体" w:cs="宋体"/>
                <w:bCs/>
                <w:color w:val="auto"/>
                <w:szCs w:val="21"/>
                <w:highlight w:val="none"/>
              </w:rPr>
            </w:pPr>
            <w:r>
              <w:rPr>
                <w:rFonts w:hint="eastAsia" w:ascii="宋体" w:hAnsi="宋体" w:cs="宋体"/>
                <w:bCs/>
                <w:color w:val="C00000"/>
                <w:szCs w:val="21"/>
                <w:highlight w:val="none"/>
              </w:rPr>
              <w:t>进销存对接：开放接口，提供耗材出库到科室的信息。包括耗材出库时间、出库科室、出库数量、采购单位和销售单位的转换系数等。在耗材销售后，接收耗材销售数据，扣减系统库存，退货（退费）后增加系统库存</w:t>
            </w:r>
            <w:r>
              <w:rPr>
                <w:rFonts w:ascii="宋体" w:hAnsi="宋体" w:cs="宋体"/>
                <w:bCs/>
                <w:color w:val="C00000"/>
                <w:szCs w:val="21"/>
                <w:highlight w:val="none"/>
              </w:rPr>
              <w:t>。</w:t>
            </w:r>
          </w:p>
        </w:tc>
      </w:tr>
      <w:tr w14:paraId="26CC3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4" w:hRule="atLeast"/>
          <w:jc w:val="center"/>
        </w:trPr>
        <w:tc>
          <w:tcPr>
            <w:tcW w:w="971" w:type="dxa"/>
            <w:vAlign w:val="center"/>
          </w:tcPr>
          <w:p w14:paraId="40192E69">
            <w:pPr>
              <w:widowControl/>
              <w:jc w:val="center"/>
              <w:rPr>
                <w:rFonts w:ascii="宋体" w:hAnsi="宋体"/>
                <w:color w:val="auto"/>
                <w:highlight w:val="none"/>
              </w:rPr>
            </w:pPr>
          </w:p>
        </w:tc>
        <w:tc>
          <w:tcPr>
            <w:tcW w:w="1190" w:type="dxa"/>
            <w:vAlign w:val="center"/>
          </w:tcPr>
          <w:p w14:paraId="2CD273F7">
            <w:pPr>
              <w:numPr>
                <w:ilvl w:val="2"/>
                <w:numId w:val="0"/>
              </w:numPr>
              <w:ind w:left="0" w:firstLine="0"/>
              <w:rPr>
                <w:rFonts w:hint="eastAsia" w:ascii="宋体" w:hAnsi="宋体" w:cs="宋体"/>
                <w:color w:val="auto"/>
                <w:kern w:val="0"/>
                <w:szCs w:val="21"/>
                <w:highlight w:val="none"/>
              </w:rPr>
            </w:pPr>
            <w:r>
              <w:rPr>
                <w:rFonts w:hint="eastAsia" w:ascii="宋体" w:hAnsi="宋体" w:eastAsia="宋体" w:cs="宋体"/>
                <w:color w:val="auto"/>
                <w:kern w:val="0"/>
                <w:sz w:val="21"/>
                <w:szCs w:val="21"/>
                <w:lang w:val="en-US" w:eastAsia="zh-CN" w:bidi="ar-SA"/>
              </w:rPr>
              <w:t>6.1.22</w:t>
            </w:r>
            <w:r>
              <w:rPr>
                <w:rFonts w:hint="eastAsia" w:ascii="宋体" w:hAnsi="宋体" w:cs="宋体"/>
                <w:color w:val="auto"/>
                <w:kern w:val="0"/>
                <w:szCs w:val="21"/>
                <w:highlight w:val="none"/>
                <w:lang w:val="en-US" w:eastAsia="zh-CN"/>
              </w:rPr>
              <w:t>危急值消息</w:t>
            </w:r>
          </w:p>
        </w:tc>
        <w:tc>
          <w:tcPr>
            <w:tcW w:w="7638" w:type="dxa"/>
            <w:vAlign w:val="center"/>
          </w:tcPr>
          <w:p w14:paraId="48018AEE">
            <w:pPr>
              <w:numPr>
                <w:ilvl w:val="0"/>
                <w:numId w:val="12"/>
              </w:numPr>
              <w:rPr>
                <w:color w:val="auto"/>
                <w:highlight w:val="none"/>
              </w:rPr>
            </w:pPr>
            <w:r>
              <w:rPr>
                <w:rFonts w:hint="eastAsia" w:ascii="宋体" w:hAnsi="宋体" w:cs="宋体"/>
                <w:color w:val="auto"/>
                <w:highlight w:val="none"/>
              </w:rPr>
              <w:t>危急值消息弹窗：</w:t>
            </w:r>
            <w:r>
              <w:rPr>
                <w:rFonts w:ascii="宋体" w:hAnsi="宋体" w:cs="宋体"/>
                <w:color w:val="auto"/>
                <w:highlight w:val="none"/>
              </w:rPr>
              <w:t>默认登录医生站时自动弹窗处理。并支持与移动端对接，满足医生通过移动端处理患者危机值需求。</w:t>
            </w:r>
            <w:r>
              <w:rPr>
                <w:rFonts w:hint="eastAsia" w:ascii="宋体" w:hAnsi="宋体" w:cs="宋体"/>
                <w:color w:val="auto"/>
                <w:highlight w:val="none"/>
              </w:rPr>
              <w:t>（检验检查系统将危急值推送给院方统一消息推送系统，由统一消息推送系统推送给H</w:t>
            </w:r>
            <w:r>
              <w:rPr>
                <w:rFonts w:ascii="宋体" w:hAnsi="宋体" w:cs="宋体"/>
                <w:color w:val="auto"/>
                <w:highlight w:val="none"/>
              </w:rPr>
              <w:t>IS</w:t>
            </w:r>
            <w:r>
              <w:rPr>
                <w:rFonts w:hint="eastAsia" w:ascii="宋体" w:hAnsi="宋体" w:cs="宋体"/>
                <w:color w:val="auto"/>
                <w:highlight w:val="none"/>
              </w:rPr>
              <w:t>医生站和企业微信，医生处理后统一消息推送系统将处理结果回写给H</w:t>
            </w:r>
            <w:r>
              <w:rPr>
                <w:rFonts w:ascii="宋体" w:hAnsi="宋体" w:cs="宋体"/>
                <w:color w:val="auto"/>
                <w:highlight w:val="none"/>
              </w:rPr>
              <w:t>IS</w:t>
            </w:r>
            <w:r>
              <w:rPr>
                <w:rFonts w:hint="eastAsia" w:ascii="宋体" w:hAnsi="宋体" w:cs="宋体"/>
                <w:color w:val="auto"/>
                <w:highlight w:val="none"/>
              </w:rPr>
              <w:t>系统）</w:t>
            </w:r>
          </w:p>
          <w:p w14:paraId="1EED2468">
            <w:pPr>
              <w:numPr>
                <w:ilvl w:val="0"/>
                <w:numId w:val="12"/>
              </w:numPr>
              <w:tabs>
                <w:tab w:val="left" w:pos="525"/>
                <w:tab w:val="left" w:pos="630"/>
              </w:tabs>
              <w:spacing w:line="360" w:lineRule="auto"/>
              <w:rPr>
                <w:rFonts w:hint="eastAsia" w:ascii="宋体" w:hAnsi="宋体" w:cs="宋体"/>
                <w:bCs/>
                <w:color w:val="C00000"/>
                <w:szCs w:val="21"/>
                <w:highlight w:val="none"/>
              </w:rPr>
            </w:pPr>
            <w:r>
              <w:rPr>
                <w:rFonts w:ascii="宋体" w:hAnsi="宋体" w:cs="宋体"/>
                <w:color w:val="auto"/>
                <w:highlight w:val="none"/>
              </w:rPr>
              <w:t>对于危急值通知具有按时效管控、分级通知、反馈功能</w:t>
            </w:r>
            <w:r>
              <w:rPr>
                <w:rFonts w:ascii="'宋体'" w:hAnsi="'宋体'" w:cs="'宋体'"/>
                <w:color w:val="auto"/>
                <w:sz w:val="18"/>
                <w:highlight w:val="none"/>
              </w:rPr>
              <w:t xml:space="preserve"> </w:t>
            </w:r>
            <w:r>
              <w:rPr>
                <w:rFonts w:hint="eastAsia" w:ascii="'宋体'" w:hAnsi="'宋体'" w:cs="'宋体'"/>
                <w:color w:val="auto"/>
                <w:sz w:val="18"/>
                <w:highlight w:val="none"/>
              </w:rPr>
              <w:t>（对接院方统一消息系统，由统一消息系统推送危急值通知）</w:t>
            </w:r>
          </w:p>
        </w:tc>
      </w:tr>
      <w:tr w14:paraId="00406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2" w:hRule="atLeast"/>
          <w:jc w:val="center"/>
        </w:trPr>
        <w:tc>
          <w:tcPr>
            <w:tcW w:w="971" w:type="dxa"/>
            <w:vAlign w:val="center"/>
          </w:tcPr>
          <w:p w14:paraId="72AA91CB">
            <w:pPr>
              <w:widowControl/>
              <w:jc w:val="center"/>
              <w:rPr>
                <w:rFonts w:ascii="宋体" w:hAnsi="宋体"/>
                <w:color w:val="auto"/>
                <w:highlight w:val="none"/>
              </w:rPr>
            </w:pPr>
          </w:p>
        </w:tc>
        <w:tc>
          <w:tcPr>
            <w:tcW w:w="1190" w:type="dxa"/>
            <w:vAlign w:val="center"/>
          </w:tcPr>
          <w:p w14:paraId="73365544">
            <w:pPr>
              <w:numPr>
                <w:ilvl w:val="2"/>
                <w:numId w:val="0"/>
              </w:numPr>
              <w:ind w:left="0" w:firstLine="0"/>
              <w:rPr>
                <w:rFonts w:hint="eastAsia" w:ascii="宋体" w:hAnsi="宋体" w:cs="宋体"/>
                <w:color w:val="auto"/>
                <w:kern w:val="0"/>
                <w:szCs w:val="21"/>
                <w:highlight w:val="none"/>
                <w:lang w:val="en-US" w:eastAsia="zh-CN"/>
              </w:rPr>
            </w:pPr>
            <w:r>
              <w:rPr>
                <w:rFonts w:hint="eastAsia" w:ascii="宋体" w:hAnsi="宋体" w:eastAsia="宋体" w:cs="宋体"/>
                <w:color w:val="auto"/>
                <w:kern w:val="0"/>
                <w:sz w:val="21"/>
                <w:szCs w:val="21"/>
                <w:lang w:val="en-US" w:eastAsia="zh-CN" w:bidi="ar-SA"/>
              </w:rPr>
              <w:t>6.1.23</w:t>
            </w:r>
            <w:r>
              <w:rPr>
                <w:rFonts w:hint="eastAsia" w:ascii="宋体" w:hAnsi="宋体" w:cs="宋体"/>
                <w:color w:val="auto"/>
                <w:kern w:val="0"/>
                <w:szCs w:val="21"/>
                <w:highlight w:val="none"/>
                <w:lang w:val="en-US" w:eastAsia="zh-CN"/>
              </w:rPr>
              <w:t>数字手术室</w:t>
            </w:r>
          </w:p>
        </w:tc>
        <w:tc>
          <w:tcPr>
            <w:tcW w:w="7638" w:type="dxa"/>
            <w:vAlign w:val="center"/>
          </w:tcPr>
          <w:p w14:paraId="0DA4FD92">
            <w:pPr>
              <w:numPr>
                <w:ilvl w:val="-1"/>
                <w:numId w:val="0"/>
              </w:numPr>
              <w:tabs>
                <w:tab w:val="left" w:pos="525"/>
                <w:tab w:val="left" w:pos="630"/>
              </w:tabs>
              <w:spacing w:line="360" w:lineRule="auto"/>
              <w:ind w:left="0" w:firstLine="0"/>
              <w:rPr>
                <w:rFonts w:hint="eastAsia" w:ascii="宋体" w:hAnsi="宋体" w:cs="宋体"/>
                <w:bCs/>
                <w:color w:val="auto"/>
                <w:szCs w:val="21"/>
                <w:highlight w:val="none"/>
              </w:rPr>
            </w:pPr>
            <w:r>
              <w:rPr>
                <w:rFonts w:hint="eastAsia" w:ascii="宋体" w:hAnsi="宋体" w:cs="宋体"/>
                <w:bCs/>
                <w:color w:val="auto"/>
                <w:szCs w:val="21"/>
                <w:highlight w:val="none"/>
              </w:rPr>
              <w:t>需要HIS/手麻系统提供的</w:t>
            </w:r>
          </w:p>
          <w:p w14:paraId="390888C5">
            <w:pPr>
              <w:numPr>
                <w:ilvl w:val="0"/>
                <w:numId w:val="12"/>
              </w:numPr>
              <w:tabs>
                <w:tab w:val="left" w:pos="525"/>
                <w:tab w:val="left" w:pos="630"/>
              </w:tabs>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患者信息</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rPr>
              <w:t>手术患者基本信息（病人编号（全局唯一）、病人姓名、年龄、性别、住院号、科室、床号</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rPr>
              <w:t>诊断结果、术前检查报告等资料</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rPr>
              <w:t>支持按手术时间、科室等条件筛选，</w:t>
            </w:r>
          </w:p>
          <w:p w14:paraId="66585F13">
            <w:pPr>
              <w:numPr>
                <w:ilvl w:val="0"/>
                <w:numId w:val="12"/>
              </w:numPr>
              <w:tabs>
                <w:tab w:val="left" w:pos="525"/>
                <w:tab w:val="left" w:pos="630"/>
              </w:tabs>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医护信息</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rPr>
              <w:t>查询参与手术的手术医师（主刀、助手）、麻醉医师（主麻、副麻）、手术室护士（巡回、器械）的姓名、工号等信息</w:t>
            </w:r>
          </w:p>
          <w:p w14:paraId="29CBD276">
            <w:pPr>
              <w:numPr>
                <w:ilvl w:val="0"/>
                <w:numId w:val="12"/>
              </w:numPr>
              <w:tabs>
                <w:tab w:val="left" w:pos="525"/>
                <w:tab w:val="left" w:pos="630"/>
              </w:tabs>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手术排班进程</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rPr>
              <w:t>推送手术申请、审批通过、取消等消息</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rPr>
              <w:t>提供排班信息，除患者和术者信息外，还包括手术间名称，台次等信息，支持按时间范围查询</w:t>
            </w:r>
          </w:p>
          <w:p w14:paraId="3EE8A094">
            <w:pPr>
              <w:numPr>
                <w:ilvl w:val="0"/>
                <w:numId w:val="12"/>
              </w:numPr>
              <w:tabs>
                <w:tab w:val="left" w:pos="525"/>
                <w:tab w:val="left" w:pos="630"/>
              </w:tabs>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手术过程信息</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rPr>
              <w:t>查询手术计划开始时间、预计时长</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rPr>
              <w:t>推送手术开始时间、结束时间</w:t>
            </w:r>
          </w:p>
          <w:p w14:paraId="11D71C2B">
            <w:pPr>
              <w:numPr>
                <w:ilvl w:val="0"/>
                <w:numId w:val="12"/>
              </w:numPr>
              <w:tabs>
                <w:tab w:val="left" w:pos="525"/>
                <w:tab w:val="left" w:pos="630"/>
              </w:tabs>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麻醉信息</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rPr>
              <w:t>推送麻醉开始时间、麻醉结束、入复苏室和出复苏室（苏醒）时间</w:t>
            </w:r>
          </w:p>
          <w:p w14:paraId="413A7239">
            <w:pPr>
              <w:numPr>
                <w:ilvl w:val="0"/>
                <w:numId w:val="12"/>
              </w:numPr>
              <w:tabs>
                <w:tab w:val="left" w:pos="525"/>
                <w:tab w:val="left" w:pos="630"/>
              </w:tabs>
              <w:spacing w:line="360" w:lineRule="auto"/>
              <w:rPr>
                <w:rFonts w:hint="eastAsia" w:ascii="宋体" w:hAnsi="宋体" w:cs="宋体"/>
                <w:bCs/>
                <w:color w:val="auto"/>
                <w:szCs w:val="21"/>
                <w:highlight w:val="none"/>
              </w:rPr>
            </w:pPr>
            <w:r>
              <w:rPr>
                <w:rFonts w:hint="eastAsia" w:ascii="宋体" w:hAnsi="宋体" w:cs="宋体"/>
                <w:bCs/>
                <w:color w:val="auto"/>
                <w:szCs w:val="21"/>
                <w:highlight w:val="none"/>
              </w:rPr>
              <w:t>标本管理</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rPr>
              <w:t>推送标本的相关信息：包括标本类型（如组织标本、体液标本）、标本数量、标本编号、采集时间、送检科室（如病理科、检验科）、送检状态（已送检 / 待送检 / 检验完成）</w:t>
            </w:r>
          </w:p>
          <w:p w14:paraId="340FC7ED">
            <w:pPr>
              <w:numPr>
                <w:ilvl w:val="0"/>
                <w:numId w:val="12"/>
              </w:numPr>
              <w:tabs>
                <w:tab w:val="left" w:pos="525"/>
                <w:tab w:val="left" w:pos="630"/>
              </w:tabs>
              <w:spacing w:line="360" w:lineRule="auto"/>
              <w:rPr>
                <w:rFonts w:hint="eastAsia" w:ascii="宋体" w:hAnsi="宋体" w:cs="宋体"/>
                <w:bCs/>
                <w:color w:val="C00000"/>
                <w:szCs w:val="21"/>
                <w:highlight w:val="none"/>
              </w:rPr>
            </w:pPr>
            <w:r>
              <w:rPr>
                <w:rFonts w:hint="eastAsia" w:ascii="宋体" w:hAnsi="宋体" w:cs="宋体"/>
                <w:bCs/>
                <w:color w:val="auto"/>
                <w:szCs w:val="21"/>
                <w:highlight w:val="none"/>
              </w:rPr>
              <w:t>输血管理</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rPr>
              <w:t>推送“输血申请审核结果”（通过 / 驳回）、“血液制品备血状态”（已备好 / 待备血 / 血液不足）等信息</w:t>
            </w:r>
          </w:p>
        </w:tc>
      </w:tr>
      <w:tr w14:paraId="7A930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1" w:type="dxa"/>
            <w:vAlign w:val="center"/>
          </w:tcPr>
          <w:p w14:paraId="7E285E8D">
            <w:pPr>
              <w:widowControl/>
              <w:jc w:val="center"/>
              <w:rPr>
                <w:rFonts w:ascii="宋体" w:hAnsi="宋体"/>
                <w:color w:val="auto"/>
                <w:highlight w:val="none"/>
              </w:rPr>
            </w:pPr>
          </w:p>
        </w:tc>
        <w:tc>
          <w:tcPr>
            <w:tcW w:w="1190" w:type="dxa"/>
            <w:vAlign w:val="center"/>
          </w:tcPr>
          <w:p w14:paraId="2EE512B5">
            <w:pPr>
              <w:numPr>
                <w:ilvl w:val="2"/>
                <w:numId w:val="0"/>
              </w:numPr>
              <w:ind w:left="0" w:leftChars="0" w:firstLine="0" w:firstLineChars="0"/>
              <w:rPr>
                <w:rFonts w:hint="eastAsia" w:ascii="宋体" w:hAnsi="宋体" w:cs="宋体"/>
                <w:color w:val="auto"/>
                <w:kern w:val="0"/>
                <w:szCs w:val="21"/>
                <w:highlight w:val="none"/>
                <w:lang w:val="en-US" w:eastAsia="zh-CN"/>
              </w:rPr>
            </w:pPr>
            <w:r>
              <w:rPr>
                <w:rFonts w:hint="eastAsia" w:ascii="宋体" w:hAnsi="宋体" w:eastAsia="宋体" w:cs="宋体"/>
                <w:color w:val="auto"/>
                <w:kern w:val="0"/>
                <w:sz w:val="21"/>
                <w:szCs w:val="21"/>
                <w:lang w:val="en-US" w:eastAsia="zh-CN" w:bidi="ar-SA"/>
              </w:rPr>
              <w:t>6.1.24</w:t>
            </w:r>
            <w:r>
              <w:rPr>
                <w:rFonts w:hint="eastAsia" w:ascii="宋体" w:hAnsi="宋体" w:cs="宋体"/>
                <w:color w:val="auto"/>
                <w:kern w:val="0"/>
                <w:szCs w:val="21"/>
                <w:highlight w:val="none"/>
              </w:rPr>
              <w:t>随访管理系统</w:t>
            </w:r>
          </w:p>
        </w:tc>
        <w:tc>
          <w:tcPr>
            <w:tcW w:w="7638" w:type="dxa"/>
            <w:vAlign w:val="center"/>
          </w:tcPr>
          <w:p w14:paraId="46A2D1BD">
            <w:pPr>
              <w:numPr>
                <w:ilvl w:val="-1"/>
                <w:numId w:val="0"/>
              </w:numPr>
              <w:tabs>
                <w:tab w:val="left" w:pos="525"/>
                <w:tab w:val="left" w:pos="630"/>
              </w:tabs>
              <w:spacing w:line="360" w:lineRule="auto"/>
              <w:ind w:left="0" w:firstLine="0"/>
              <w:rPr>
                <w:rFonts w:hint="default" w:ascii="宋体" w:hAnsi="宋体" w:eastAsia="宋体" w:cs="宋体"/>
                <w:bCs/>
                <w:color w:val="auto"/>
                <w:szCs w:val="21"/>
                <w:highlight w:val="none"/>
                <w:lang w:val="en-US" w:eastAsia="zh-CN"/>
              </w:rPr>
            </w:pPr>
            <w:r>
              <w:rPr>
                <w:rFonts w:hint="eastAsia" w:ascii="宋体" w:hAnsi="宋体" w:cs="宋体"/>
                <w:bCs/>
                <w:color w:val="auto"/>
                <w:szCs w:val="21"/>
                <w:highlight w:val="none"/>
                <w:lang w:val="en-US" w:eastAsia="zh-CN"/>
              </w:rPr>
              <w:t>HIS提供接口</w:t>
            </w:r>
          </w:p>
          <w:p w14:paraId="7920FC25">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患者诊疗信息接口：提供患者住院病历、门诊病历、手术记录、麻醉记录、检查检验结果等诊疗全过程数据，涵盖疾病诊断、治疗方案、用药情况等详细信息，助力随访管理系统依据患者病情制定个性化随访计划。</w:t>
            </w:r>
          </w:p>
          <w:p w14:paraId="5EB393D6">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出院信息接口：输出患者出院时间、出院诊断、出院医嘱、康复建议等内容，便于随访管理系统在患者出院后及时跟进康复情况，提供针对性的健康指导。</w:t>
            </w:r>
          </w:p>
          <w:p w14:paraId="10853C91">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联系方式变更接口：当患者在 HIS 系统中更新联系方式时，实时推送新的联系方式至随访管理系统，确保随访工作顺利进行，避免因联系不畅导致随访失败。</w:t>
            </w:r>
          </w:p>
          <w:p w14:paraId="6E178623">
            <w:pPr>
              <w:numPr>
                <w:ilvl w:val="-1"/>
                <w:numId w:val="0"/>
              </w:numPr>
              <w:tabs>
                <w:tab w:val="left" w:pos="525"/>
                <w:tab w:val="left" w:pos="630"/>
              </w:tabs>
              <w:spacing w:line="360" w:lineRule="auto"/>
              <w:ind w:left="0" w:firstLine="0"/>
              <w:rPr>
                <w:rFonts w:ascii="宋体" w:hAnsi="宋体" w:cs="宋体"/>
                <w:bCs/>
                <w:color w:val="auto"/>
                <w:szCs w:val="21"/>
                <w:highlight w:val="none"/>
              </w:rPr>
            </w:pPr>
            <w:r>
              <w:rPr>
                <w:rFonts w:hint="eastAsia" w:ascii="宋体" w:hAnsi="宋体" w:cs="宋体"/>
                <w:bCs/>
                <w:color w:val="auto"/>
                <w:szCs w:val="21"/>
                <w:highlight w:val="none"/>
                <w:lang w:val="en-US" w:eastAsia="zh-CN"/>
              </w:rPr>
              <w:t>随访管理系统提供接口</w:t>
            </w:r>
          </w:p>
          <w:p w14:paraId="4CE73A42">
            <w:pPr>
              <w:numPr>
                <w:ilvl w:val="0"/>
                <w:numId w:val="12"/>
              </w:numPr>
              <w:tabs>
                <w:tab w:val="left" w:pos="525"/>
                <w:tab w:val="left" w:pos="630"/>
              </w:tabs>
              <w:spacing w:line="360" w:lineRule="auto"/>
              <w:ind w:left="440" w:leftChars="0" w:hanging="440" w:firstLineChars="0"/>
              <w:rPr>
                <w:rFonts w:hint="eastAsia" w:ascii="宋体" w:hAnsi="宋体" w:cs="宋体"/>
                <w:bCs/>
                <w:color w:val="auto"/>
                <w:szCs w:val="21"/>
                <w:highlight w:val="none"/>
              </w:rPr>
            </w:pPr>
            <w:r>
              <w:rPr>
                <w:rFonts w:hint="eastAsia" w:ascii="宋体" w:hAnsi="宋体" w:cs="宋体"/>
                <w:bCs/>
                <w:color w:val="auto"/>
                <w:szCs w:val="21"/>
                <w:highlight w:val="none"/>
              </w:rPr>
              <w:t>将随访过程中产生的结构化随访记录及随访结果回传至HIS系统，在门诊医生工作站、电子病历系统可查看该患者历次随访量表内容结果及小结。支持与医院门诊医生工作站、病区医生工作站系统实现数据对接，确保信息同步的完整性、准确性。</w:t>
            </w:r>
          </w:p>
        </w:tc>
      </w:tr>
      <w:tr w14:paraId="37E55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1" w:type="dxa"/>
            <w:vMerge w:val="restart"/>
            <w:vAlign w:val="center"/>
          </w:tcPr>
          <w:p w14:paraId="05F0CDA2">
            <w:pPr>
              <w:numPr>
                <w:ilvl w:val="1"/>
                <w:numId w:val="0"/>
              </w:numPr>
              <w:ind w:left="0" w:firstLine="0"/>
              <w:rPr>
                <w:rFonts w:ascii="宋体" w:hAnsi="宋体"/>
                <w:color w:val="auto"/>
                <w:highlight w:val="none"/>
              </w:rPr>
            </w:pPr>
            <w:r>
              <w:rPr>
                <w:rFonts w:ascii="宋体" w:hAnsi="宋体" w:eastAsia="宋体" w:cs="Times New Roman"/>
                <w:color w:val="auto"/>
                <w:kern w:val="2"/>
                <w:sz w:val="21"/>
                <w:szCs w:val="24"/>
                <w:lang w:val="en-US" w:eastAsia="zh-CN" w:bidi="ar-SA"/>
              </w:rPr>
              <w:t>6.2</w:t>
            </w:r>
            <w:r>
              <w:rPr>
                <w:rFonts w:hint="eastAsia" w:ascii="宋体" w:hAnsi="宋体"/>
                <w:color w:val="auto"/>
                <w:highlight w:val="none"/>
              </w:rPr>
              <w:t>检查检验系统对接</w:t>
            </w:r>
          </w:p>
        </w:tc>
        <w:tc>
          <w:tcPr>
            <w:tcW w:w="1190" w:type="dxa"/>
            <w:vAlign w:val="center"/>
          </w:tcPr>
          <w:p w14:paraId="020D76DA">
            <w:pPr>
              <w:numPr>
                <w:ilvl w:val="2"/>
                <w:numId w:val="0"/>
              </w:numPr>
              <w:ind w:left="0" w:firstLine="0"/>
              <w:rPr>
                <w:rFonts w:ascii="宋体" w:hAnsi="宋体" w:cs="宋体"/>
                <w:color w:val="auto"/>
                <w:kern w:val="0"/>
                <w:szCs w:val="21"/>
                <w:highlight w:val="none"/>
              </w:rPr>
            </w:pPr>
            <w:r>
              <w:rPr>
                <w:rFonts w:ascii="宋体" w:hAnsi="宋体" w:eastAsia="宋体" w:cs="宋体"/>
                <w:color w:val="auto"/>
                <w:kern w:val="0"/>
                <w:sz w:val="21"/>
                <w:szCs w:val="21"/>
                <w:lang w:val="en-US" w:eastAsia="zh-CN" w:bidi="ar-SA"/>
              </w:rPr>
              <w:t>6.2.1</w:t>
            </w:r>
            <w:r>
              <w:rPr>
                <w:rFonts w:hint="eastAsia" w:ascii="宋体" w:hAnsi="宋体" w:cs="宋体"/>
                <w:color w:val="auto"/>
                <w:kern w:val="0"/>
                <w:szCs w:val="21"/>
                <w:highlight w:val="none"/>
              </w:rPr>
              <w:t>检验系统LIS</w:t>
            </w:r>
          </w:p>
        </w:tc>
        <w:tc>
          <w:tcPr>
            <w:tcW w:w="7638" w:type="dxa"/>
            <w:vAlign w:val="center"/>
          </w:tcPr>
          <w:p w14:paraId="221D6A05">
            <w:pPr>
              <w:tabs>
                <w:tab w:val="left" w:pos="525"/>
                <w:tab w:val="left" w:pos="630"/>
              </w:tabs>
              <w:spacing w:line="360" w:lineRule="auto"/>
              <w:rPr>
                <w:rFonts w:ascii="宋体" w:hAnsi="宋体" w:cs="宋体"/>
                <w:bCs/>
                <w:color w:val="auto"/>
                <w:szCs w:val="21"/>
                <w:highlight w:val="none"/>
              </w:rPr>
            </w:pPr>
            <w:r>
              <w:rPr>
                <w:rFonts w:ascii="宋体" w:hAnsi="宋体" w:eastAsia="宋体" w:cs="宋体"/>
                <w:bCs/>
                <w:i w:val="0"/>
                <w:iCs w:val="0"/>
                <w:caps w:val="0"/>
                <w:color w:val="auto"/>
                <w:spacing w:val="0"/>
                <w:sz w:val="21"/>
                <w:szCs w:val="21"/>
                <w:highlight w:val="none"/>
                <w:shd w:val="clear" w:fill="auto"/>
              </w:rPr>
              <w:t>HIS系统需完成与LIS对接，实现接口互通、</w:t>
            </w:r>
            <w:r>
              <w:rPr>
                <w:rFonts w:hint="default" w:ascii="宋体" w:hAnsi="宋体" w:eastAsia="宋体" w:cs="宋体"/>
                <w:bCs/>
                <w:i w:val="0"/>
                <w:iCs w:val="0"/>
                <w:caps w:val="0"/>
                <w:color w:val="auto"/>
                <w:spacing w:val="0"/>
                <w:sz w:val="21"/>
                <w:szCs w:val="21"/>
                <w:highlight w:val="none"/>
                <w:shd w:val="clear" w:fill="auto"/>
                <w:lang w:eastAsia="zh-CN"/>
              </w:rPr>
              <w:t>与</w:t>
            </w:r>
            <w:r>
              <w:rPr>
                <w:rFonts w:hint="default" w:ascii="宋体" w:hAnsi="宋体" w:eastAsia="宋体" w:cs="宋体"/>
                <w:bCs/>
                <w:i w:val="0"/>
                <w:iCs w:val="0"/>
                <w:caps w:val="0"/>
                <w:color w:val="auto"/>
                <w:spacing w:val="0"/>
                <w:sz w:val="21"/>
                <w:szCs w:val="21"/>
                <w:highlight w:val="none"/>
                <w:shd w:val="clear" w:fill="auto"/>
                <w:lang w:val="en-US" w:eastAsia="zh-CN"/>
              </w:rPr>
              <w:t>LIS采集模块</w:t>
            </w:r>
            <w:r>
              <w:rPr>
                <w:rFonts w:ascii="宋体" w:hAnsi="宋体" w:eastAsia="宋体" w:cs="宋体"/>
                <w:bCs/>
                <w:i w:val="0"/>
                <w:iCs w:val="0"/>
                <w:caps w:val="0"/>
                <w:color w:val="auto"/>
                <w:spacing w:val="0"/>
                <w:sz w:val="21"/>
                <w:szCs w:val="21"/>
                <w:highlight w:val="none"/>
                <w:shd w:val="clear" w:fill="auto"/>
              </w:rPr>
              <w:t>界面无感融合及内嵌集成，提升医护人员操作便利性</w:t>
            </w:r>
            <w:r>
              <w:rPr>
                <w:rFonts w:hint="default" w:ascii="宋体" w:hAnsi="宋体" w:cs="宋体"/>
                <w:bCs/>
                <w:i w:val="0"/>
                <w:iCs w:val="0"/>
                <w:caps w:val="0"/>
                <w:color w:val="auto"/>
                <w:spacing w:val="0"/>
                <w:sz w:val="21"/>
                <w:szCs w:val="21"/>
                <w:highlight w:val="none"/>
                <w:shd w:val="clear"/>
                <w:lang w:eastAsia="zh-CN"/>
              </w:rPr>
              <w:t>；</w:t>
            </w:r>
            <w:r>
              <w:rPr>
                <w:rFonts w:ascii="宋体" w:hAnsi="宋体" w:eastAsia="宋体" w:cs="宋体"/>
                <w:bCs/>
                <w:color w:val="auto"/>
                <w:sz w:val="21"/>
                <w:szCs w:val="21"/>
                <w:highlight w:val="none"/>
              </w:rPr>
              <w:t>同时要求 HIS 系统对接集成后，需完整支撑 LIS 采集模块原生条码打印、标本采集、运送确认、标本接收、异常回退、重采登记等全流程功能在内嵌界面正常运行，实现检验采集全流程一站式无感操作。</w:t>
            </w:r>
            <w:r>
              <w:rPr>
                <w:rFonts w:ascii="宋体" w:hAnsi="宋体" w:eastAsia="宋体" w:cs="宋体"/>
                <w:bCs/>
                <w:i w:val="0"/>
                <w:iCs w:val="0"/>
                <w:caps w:val="0"/>
                <w:color w:val="auto"/>
                <w:spacing w:val="0"/>
                <w:sz w:val="21"/>
                <w:szCs w:val="21"/>
                <w:highlight w:val="none"/>
                <w:shd w:val="clear" w:fill="auto"/>
              </w:rPr>
              <w:t>具体接口对接及融合要求如下：</w:t>
            </w:r>
            <w:r>
              <w:rPr>
                <w:rFonts w:ascii="宋体" w:hAnsi="宋体" w:cs="宋体"/>
                <w:bCs/>
                <w:color w:val="auto"/>
                <w:szCs w:val="21"/>
                <w:highlight w:val="none"/>
              </w:rPr>
              <w:br w:type="textWrapping"/>
            </w:r>
            <w:r>
              <w:rPr>
                <w:rFonts w:ascii="宋体" w:hAnsi="宋体" w:cs="宋体"/>
                <w:bCs/>
                <w:color w:val="auto"/>
                <w:szCs w:val="21"/>
                <w:highlight w:val="none"/>
              </w:rPr>
              <w:t>HIS 提供接口</w:t>
            </w:r>
          </w:p>
          <w:p w14:paraId="1DD2D772">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检验申请信息接口：向 LIS 系统推送患者基本信息、临床诊断、检验申请项目、采样时间要求等内容，支持批量与单个申请传输，确保检验项目精准匹配患者需求。</w:t>
            </w:r>
          </w:p>
          <w:p w14:paraId="48BE460C">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eastAsia="宋体" w:cs="宋体"/>
                <w:bCs/>
                <w:i w:val="0"/>
                <w:iCs w:val="0"/>
                <w:caps w:val="0"/>
                <w:color w:val="auto"/>
                <w:spacing w:val="0"/>
                <w:sz w:val="21"/>
                <w:szCs w:val="21"/>
                <w:highlight w:val="none"/>
                <w:shd w:val="clear" w:fill="auto"/>
              </w:rPr>
              <w:t>标本接收确认接口：接收 LIS 系统反馈的标本全流程状态，包括但不限于条码打印、采集、运送、接收、审核、回退状态等信息，便于 HIS 系统实时更新检验流程进度，及时处理异常标本、回退标本，实现标本全流程可追溯、可管控。</w:t>
            </w:r>
          </w:p>
          <w:p w14:paraId="278EF289"/>
          <w:p w14:paraId="4FCEC155">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费用关联接口：将检验项目费用信息与 HIS 系统中的患者费用清单关联，LIS 系统完成检验后，HIS 系统自动计费并更新费用状态，实现检验费用的准确核算与实时展示。</w:t>
            </w:r>
          </w:p>
          <w:p w14:paraId="789CAB0D">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患者状态同步接口：当患者出现转科、出院等状态变更时，及时将信息同步至 LIS系统，LIS 系统可根据患者状态调整检验项目执行策略，避免无效检验。</w:t>
            </w:r>
          </w:p>
          <w:p w14:paraId="41BEBD73">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eastAsia="宋体" w:cs="宋体"/>
                <w:bCs/>
                <w:i w:val="0"/>
                <w:iCs w:val="0"/>
                <w:caps w:val="0"/>
                <w:color w:val="auto"/>
                <w:spacing w:val="0"/>
                <w:sz w:val="21"/>
                <w:szCs w:val="21"/>
                <w:highlight w:val="none"/>
                <w:shd w:val="clear" w:fill="auto"/>
              </w:rPr>
              <w:t>界面</w:t>
            </w:r>
            <w:r>
              <w:rPr>
                <w:rFonts w:hint="eastAsia" w:ascii="宋体" w:hAnsi="宋体" w:eastAsia="宋体" w:cs="宋体"/>
                <w:bCs/>
                <w:i w:val="0"/>
                <w:iCs w:val="0"/>
                <w:caps w:val="0"/>
                <w:color w:val="auto"/>
                <w:spacing w:val="0"/>
                <w:sz w:val="21"/>
                <w:szCs w:val="21"/>
                <w:highlight w:val="none"/>
                <w:shd w:val="clear" w:fill="auto"/>
              </w:rPr>
              <w:t>内嵌支撑接口：提供标准化内嵌接口，支持将LIS采集模块界面无缝内嵌至HIS系统相关操作界面，实现接口层面的兼容适配，保障内嵌后界面响应流畅、无卡顿，支持双向数据实时交互，无需额外开发适配程序。可对内嵌界面灵活调用</w:t>
            </w:r>
            <w:r>
              <w:rPr>
                <w:rFonts w:ascii="宋体" w:hAnsi="宋体" w:eastAsia="宋体" w:cs="宋体"/>
                <w:bCs/>
                <w:i w:val="0"/>
                <w:iCs w:val="0"/>
                <w:caps w:val="0"/>
                <w:color w:val="auto"/>
                <w:spacing w:val="0"/>
                <w:sz w:val="21"/>
                <w:szCs w:val="21"/>
                <w:highlight w:val="none"/>
                <w:shd w:val="clear" w:fill="auto"/>
              </w:rPr>
              <w:t>。</w:t>
            </w:r>
          </w:p>
          <w:p w14:paraId="34257696">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eastAsia="宋体" w:cs="宋体"/>
                <w:bCs/>
                <w:i w:val="0"/>
                <w:iCs w:val="0"/>
                <w:caps w:val="0"/>
                <w:color w:val="auto"/>
                <w:spacing w:val="0"/>
                <w:sz w:val="21"/>
                <w:szCs w:val="21"/>
                <w:highlight w:val="none"/>
                <w:shd w:val="clear" w:fill="auto"/>
              </w:rPr>
              <w:t>权限同步接口：将HIS系统用户权限（角色、操作范围、权限等级）实时同步至LIS采集模块，实现用户一次登录、双向生效，无需重复登录、重复分配权限；确保医护人员在HIS内嵌界面中可直接操作LIS采集模块，权限范围与HIS系统保持一致，保障采集操作的规范性与安全性。</w:t>
            </w:r>
          </w:p>
          <w:p w14:paraId="35D86D71">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检验系统 LIS 提供接口</w:t>
            </w:r>
          </w:p>
          <w:p w14:paraId="22982468">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检验结果报告接口：将检验结果（包括常规检验、生化检验、免疫检验等各类项目结果）、参考值、异常提示等信息实时同步至 HIS 系统，支持结构化数据与 PDF 报告两种形式传输，方便临床医师查看与分析。</w:t>
            </w:r>
          </w:p>
          <w:p w14:paraId="7FF83678">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危急值预警接口：一旦出现检验危急值，立即向 HIS 系统发送预警信息，包括患者信息、危急值项目、数值、出现时间等，同时触发 HIS 系统的通知机制，确保医护人员及时采取措施。</w:t>
            </w:r>
          </w:p>
          <w:p w14:paraId="4C886F20">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eastAsia="宋体" w:cs="宋体"/>
                <w:bCs/>
                <w:i w:val="0"/>
                <w:iCs w:val="0"/>
                <w:caps w:val="0"/>
                <w:color w:val="auto"/>
                <w:spacing w:val="0"/>
                <w:sz w:val="21"/>
                <w:szCs w:val="21"/>
                <w:highlight w:val="none"/>
                <w:shd w:val="clear" w:fill="auto"/>
              </w:rPr>
              <w:t>标本状态反馈接口：向HIS系统实时推送标本全流程状态数据，对应HIS标本接收确认接口所需的条码打印、采集、运送、接收、审核、回退等各类状态，明确每个状态的关键信息（如条码打印时间、运送起止节点、回退原因说明等），确保HIS系统可精准获取标本各环节状态，实现标本流程全程可视化、可追溯，支撑全院标本统一管控。</w:t>
            </w:r>
          </w:p>
          <w:p w14:paraId="6BEE93EF"/>
          <w:p w14:paraId="7D260D9E">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eastAsia="宋体" w:cs="宋体"/>
                <w:bCs/>
                <w:i w:val="0"/>
                <w:iCs w:val="0"/>
                <w:caps w:val="0"/>
                <w:color w:val="auto"/>
                <w:spacing w:val="0"/>
                <w:sz w:val="21"/>
                <w:szCs w:val="21"/>
                <w:highlight w:val="none"/>
                <w:shd w:val="clear" w:fill="auto"/>
              </w:rPr>
              <w:t>内嵌</w:t>
            </w:r>
            <w:r>
              <w:rPr>
                <w:rFonts w:hint="eastAsia" w:ascii="宋体" w:hAnsi="宋体" w:eastAsia="宋体" w:cs="宋体"/>
                <w:bCs/>
                <w:i w:val="0"/>
                <w:iCs w:val="0"/>
                <w:caps w:val="0"/>
                <w:color w:val="auto"/>
                <w:spacing w:val="0"/>
                <w:sz w:val="21"/>
                <w:szCs w:val="21"/>
                <w:highlight w:val="none"/>
                <w:shd w:val="clear" w:fill="auto"/>
              </w:rPr>
              <w:t>界面适配接口：提供标准化内嵌适配接口，支持自身采集模块界面无缝内嵌至HIS系统各类相关工作站界面，实现界面融合</w:t>
            </w:r>
            <w:r>
              <w:rPr>
                <w:rFonts w:ascii="宋体" w:hAnsi="宋体" w:eastAsia="宋体" w:cs="宋体"/>
                <w:bCs/>
                <w:i w:val="0"/>
                <w:iCs w:val="0"/>
                <w:caps w:val="0"/>
                <w:color w:val="auto"/>
                <w:spacing w:val="0"/>
                <w:sz w:val="21"/>
                <w:szCs w:val="21"/>
                <w:highlight w:val="none"/>
                <w:shd w:val="clear" w:fill="auto"/>
              </w:rPr>
              <w:t>。</w:t>
            </w:r>
          </w:p>
        </w:tc>
      </w:tr>
      <w:tr w14:paraId="117B7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5" w:hRule="atLeast"/>
          <w:jc w:val="center"/>
        </w:trPr>
        <w:tc>
          <w:tcPr>
            <w:tcW w:w="971" w:type="dxa"/>
            <w:vMerge w:val="continue"/>
            <w:vAlign w:val="center"/>
          </w:tcPr>
          <w:p w14:paraId="73455A3A">
            <w:pPr>
              <w:widowControl/>
              <w:jc w:val="center"/>
              <w:rPr>
                <w:rFonts w:ascii="宋体" w:hAnsi="宋体"/>
                <w:color w:val="auto"/>
                <w:highlight w:val="none"/>
              </w:rPr>
            </w:pPr>
          </w:p>
        </w:tc>
        <w:tc>
          <w:tcPr>
            <w:tcW w:w="1190" w:type="dxa"/>
            <w:vAlign w:val="center"/>
          </w:tcPr>
          <w:p w14:paraId="46A36A3E">
            <w:pPr>
              <w:numPr>
                <w:ilvl w:val="2"/>
                <w:numId w:val="0"/>
              </w:numPr>
              <w:ind w:left="0" w:firstLine="0"/>
              <w:rPr>
                <w:rFonts w:ascii="宋体" w:hAnsi="宋体" w:cs="宋体"/>
                <w:color w:val="auto"/>
                <w:kern w:val="0"/>
                <w:szCs w:val="21"/>
                <w:highlight w:val="none"/>
              </w:rPr>
            </w:pPr>
            <w:r>
              <w:rPr>
                <w:rFonts w:ascii="宋体" w:hAnsi="宋体" w:eastAsia="宋体" w:cs="宋体"/>
                <w:color w:val="auto"/>
                <w:kern w:val="0"/>
                <w:sz w:val="21"/>
                <w:szCs w:val="21"/>
                <w:lang w:val="en-US" w:eastAsia="zh-CN" w:bidi="ar-SA"/>
              </w:rPr>
              <w:t>6.2.2</w:t>
            </w:r>
            <w:r>
              <w:rPr>
                <w:rFonts w:hint="eastAsia" w:ascii="宋体" w:hAnsi="宋体" w:cs="宋体"/>
                <w:color w:val="auto"/>
                <w:kern w:val="0"/>
                <w:szCs w:val="21"/>
                <w:highlight w:val="none"/>
              </w:rPr>
              <w:t>放射系统PACS/RIS</w:t>
            </w:r>
          </w:p>
        </w:tc>
        <w:tc>
          <w:tcPr>
            <w:tcW w:w="7638" w:type="dxa"/>
            <w:vAlign w:val="center"/>
          </w:tcPr>
          <w:p w14:paraId="062F9A14">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HIS 提供接口</w:t>
            </w:r>
          </w:p>
          <w:p w14:paraId="6B36A4AA">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放射检查申请接口：向 PACS/RIS 系统发送患者基本信息、临床诊断、检查部位、检查目的等放射检查申请信息，支持根据检查类型自动匹配检查要求与注意事项，辅助 RIS 系统进行检查预约与安排。</w:t>
            </w:r>
          </w:p>
          <w:p w14:paraId="2A57FED4">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患者预约与排期接口：接收 PACS/RIS 系统反馈的检查预约时间、检查设备、检查室等排期信息，同步至 HIS 系统并告知患者，同时支持 HIS 系统根据临床需求对预约进行调整与取消操作。</w:t>
            </w:r>
          </w:p>
          <w:p w14:paraId="0CD7C23E">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费用结算接口：实现放射检查费用在 HIS 系统与 PACS/RIS 系统间的联动，检查完成后，HIS 系统自动结算费用，并将结算结果反馈至 PACS/RIS 系统，便于核对与统计。</w:t>
            </w:r>
          </w:p>
          <w:p w14:paraId="4C4372FB">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患者定位与流转接口：当患者在院内位置发生变化（如从病房前往放射科）时，将位置信息同步至 PACS/RIS 系统，RIS 系统可据此优化检查流程，及时安排患者检查，减少等待时间。</w:t>
            </w:r>
          </w:p>
          <w:p w14:paraId="529ED256">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放射系统 PACS/RIS 提供接口</w:t>
            </w:r>
          </w:p>
          <w:p w14:paraId="31F80E33">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影像数据存储与调阅接口：向 HIS 系统提供影像数据（如 X 光、CT、MRI 等）的存储地址与调阅权限，支持 DICOM 标准格式传输，确保临床医师在 HIS 系统中即可便捷查看影像资料，辅助诊断。</w:t>
            </w:r>
          </w:p>
          <w:p w14:paraId="14459605">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检查报告生成接口：将放射检查报告（包括检查所见、诊断意见等内容）同步至 HIS 系统，支持结构化报告与文本报告两种形式，报告中可关联影像资料，便于医师全面了解检查情况。</w:t>
            </w:r>
          </w:p>
          <w:p w14:paraId="4C98E8FA">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检查状态更新接口：实时反馈检查状态（预约中、准备中、检查中、报告审核中、已完成等）至 HIS 系统，HIS 系统可根据检查状态更新患者诊疗流程，合理安排后续工作。</w:t>
            </w:r>
          </w:p>
          <w:p w14:paraId="212E8A46">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设备使用与维护接口：共享放射设备的使用时长、使用次数、故障记录、维护计划等信息，HIS 系统可结合设备状态与临床需求，优化设备资源调配，保障检查服务质量。</w:t>
            </w:r>
          </w:p>
        </w:tc>
      </w:tr>
      <w:tr w14:paraId="18B9F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5" w:hRule="atLeast"/>
          <w:jc w:val="center"/>
        </w:trPr>
        <w:tc>
          <w:tcPr>
            <w:tcW w:w="971" w:type="dxa"/>
            <w:vMerge w:val="continue"/>
            <w:vAlign w:val="center"/>
          </w:tcPr>
          <w:p w14:paraId="4866C38F">
            <w:pPr>
              <w:widowControl/>
              <w:jc w:val="center"/>
              <w:rPr>
                <w:rFonts w:ascii="宋体" w:hAnsi="宋体"/>
                <w:color w:val="auto"/>
                <w:highlight w:val="none"/>
              </w:rPr>
            </w:pPr>
          </w:p>
        </w:tc>
        <w:tc>
          <w:tcPr>
            <w:tcW w:w="1190" w:type="dxa"/>
            <w:vAlign w:val="center"/>
          </w:tcPr>
          <w:p w14:paraId="296917F9">
            <w:pPr>
              <w:numPr>
                <w:ilvl w:val="2"/>
                <w:numId w:val="0"/>
              </w:numPr>
              <w:ind w:left="0" w:firstLine="0"/>
              <w:rPr>
                <w:rFonts w:ascii="宋体" w:hAnsi="宋体" w:cs="宋体"/>
                <w:color w:val="auto"/>
                <w:kern w:val="0"/>
                <w:szCs w:val="21"/>
                <w:highlight w:val="none"/>
              </w:rPr>
            </w:pPr>
            <w:r>
              <w:rPr>
                <w:rFonts w:ascii="宋体" w:hAnsi="宋体" w:eastAsia="宋体" w:cs="宋体"/>
                <w:color w:val="auto"/>
                <w:kern w:val="0"/>
                <w:sz w:val="21"/>
                <w:szCs w:val="21"/>
                <w:lang w:val="en-US" w:eastAsia="zh-CN" w:bidi="ar-SA"/>
              </w:rPr>
              <w:t>6.2.3</w:t>
            </w:r>
            <w:r>
              <w:rPr>
                <w:rFonts w:hint="eastAsia" w:ascii="宋体" w:hAnsi="宋体" w:cs="宋体"/>
                <w:color w:val="auto"/>
                <w:kern w:val="0"/>
                <w:szCs w:val="21"/>
                <w:highlight w:val="none"/>
              </w:rPr>
              <w:tab/>
            </w:r>
            <w:r>
              <w:rPr>
                <w:rFonts w:hint="eastAsia" w:ascii="宋体" w:hAnsi="宋体" w:cs="宋体"/>
                <w:color w:val="auto"/>
                <w:kern w:val="0"/>
                <w:szCs w:val="21"/>
                <w:highlight w:val="none"/>
              </w:rPr>
              <w:t>病理报告系统</w:t>
            </w:r>
          </w:p>
        </w:tc>
        <w:tc>
          <w:tcPr>
            <w:tcW w:w="7638" w:type="dxa"/>
            <w:vAlign w:val="center"/>
          </w:tcPr>
          <w:p w14:paraId="3FC968D3">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HIS 提供接口</w:t>
            </w:r>
          </w:p>
          <w:p w14:paraId="2CC7376D">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病理标本送检接口：向病理报告系统推送患者基本信息、送检组织来源、临床诊断、送检医生等标本送检信息，支持标本唯一标识关联，确保标本在流转过程中可追溯。</w:t>
            </w:r>
          </w:p>
          <w:p w14:paraId="71A62317">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费用关联与结算接口：将病理检查项目费用信息与 HIS 系统患者费用清单关联，病理报告系统完成检查后，HIS 系统自动计费并更新费用状态，实现病理检查费用的准确核算与结算。</w:t>
            </w:r>
          </w:p>
          <w:p w14:paraId="0D9D2909">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患者信息变更同步接口：当患者出现转科、出院等信息变更时，及时将相关信息同步至病理报告系统，病理报告系统可根据患者状态调整报告出具流程，确保报告及时送达。</w:t>
            </w:r>
          </w:p>
          <w:p w14:paraId="613C0586">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临床需求特殊说明接口：支持临床医师通过 HIS 系统向病理报告系统发送特殊检查需求、注意事项等说明信息，便于病理医师准确开展检查工作，提供更有针对性的诊断报告。</w:t>
            </w:r>
          </w:p>
          <w:p w14:paraId="56ACDBEA">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病理报告系统（新、旧病理系统）提供接口</w:t>
            </w:r>
          </w:p>
          <w:p w14:paraId="407D91F9">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病理报告生成与传输接口：将病理检查报告（包括病理诊断、免疫组化结果、分子病理结果等）同步至 HIS 系统，支持新旧系统不同格式报告的统一转换与传输，确保临床医师及时获取准确的病理诊断信息。</w:t>
            </w:r>
          </w:p>
          <w:p w14:paraId="2C55E1DD">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会诊请求与反馈接口：当病理报告系统发起病理会诊请求时，将相关信息（会诊目的、会诊专家需求等）发送至 HIS 系统，HIS 系统协助组织会诊工作，并将会诊结果反馈至病理报告系统，病理报告系统更新报告内容后同步至 HIS 系统。</w:t>
            </w:r>
          </w:p>
          <w:p w14:paraId="75C69E0B">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标本处理状态接口：实时反馈标本处理状态（接收中、制片中、染色中、诊断中、已完成等）至 HIS 系统，HIS 系统可根据标本处理进度及时告知患者与临床医师，提升服务透明度。</w:t>
            </w:r>
          </w:p>
          <w:p w14:paraId="5FAA0621">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质量控制数据接口：定期将病理报告系统的质量控制数据（如切片合格率、诊断符合率等）同步至 HIS 系统，为医院医疗质量评估与改进提供数据依据，保障病理诊断准确性。</w:t>
            </w:r>
          </w:p>
        </w:tc>
      </w:tr>
      <w:tr w14:paraId="51FE7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61" w:hRule="atLeast"/>
          <w:jc w:val="center"/>
        </w:trPr>
        <w:tc>
          <w:tcPr>
            <w:tcW w:w="971" w:type="dxa"/>
            <w:vMerge w:val="continue"/>
            <w:vAlign w:val="center"/>
          </w:tcPr>
          <w:p w14:paraId="32250684">
            <w:pPr>
              <w:widowControl/>
              <w:jc w:val="center"/>
              <w:rPr>
                <w:rFonts w:ascii="宋体" w:hAnsi="宋体"/>
                <w:color w:val="auto"/>
                <w:highlight w:val="none"/>
              </w:rPr>
            </w:pPr>
          </w:p>
        </w:tc>
        <w:tc>
          <w:tcPr>
            <w:tcW w:w="1190" w:type="dxa"/>
            <w:vAlign w:val="center"/>
          </w:tcPr>
          <w:p w14:paraId="5177C3F4">
            <w:pPr>
              <w:numPr>
                <w:ilvl w:val="2"/>
                <w:numId w:val="0"/>
              </w:numPr>
              <w:ind w:left="0" w:firstLine="0"/>
              <w:rPr>
                <w:rFonts w:ascii="宋体" w:hAnsi="宋体" w:cs="宋体"/>
                <w:color w:val="auto"/>
                <w:kern w:val="0"/>
                <w:szCs w:val="21"/>
                <w:highlight w:val="none"/>
              </w:rPr>
            </w:pPr>
            <w:r>
              <w:rPr>
                <w:rFonts w:ascii="宋体" w:hAnsi="宋体" w:eastAsia="宋体" w:cs="宋体"/>
                <w:color w:val="auto"/>
                <w:kern w:val="0"/>
                <w:sz w:val="21"/>
                <w:szCs w:val="21"/>
                <w:lang w:val="en-US" w:eastAsia="zh-CN" w:bidi="ar-SA"/>
              </w:rPr>
              <w:t>6.2.4</w:t>
            </w:r>
            <w:r>
              <w:rPr>
                <w:rFonts w:hint="eastAsia" w:ascii="宋体" w:hAnsi="宋体" w:cs="宋体"/>
                <w:color w:val="auto"/>
                <w:kern w:val="0"/>
                <w:szCs w:val="21"/>
                <w:highlight w:val="none"/>
              </w:rPr>
              <w:t>内镜报告系统</w:t>
            </w:r>
          </w:p>
        </w:tc>
        <w:tc>
          <w:tcPr>
            <w:tcW w:w="7638" w:type="dxa"/>
            <w:vAlign w:val="center"/>
          </w:tcPr>
          <w:p w14:paraId="7AA544D9">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HIS 提供接口</w:t>
            </w:r>
          </w:p>
          <w:p w14:paraId="314F3789">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内镜检查申请接口：向内镜报告系统发送患者基本信息、临床诊断、检查部位、检查目的等检查申请信息，同时提供患者过敏史、基础疾病等关键信息，辅助内镜医师评估检查风险，制定检查方案。</w:t>
            </w:r>
          </w:p>
          <w:p w14:paraId="4712629A">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预约与排期管理接口：接收内镜报告系统反馈的检查预约时间、检查设备、检查室等排期信息，同步至 HIS 系统并告知患者，支持 HIS 系统根据临床紧急程度对预约进行优先级调整与插队操作。</w:t>
            </w:r>
          </w:p>
          <w:p w14:paraId="275D9400">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费用结算接口：实现内镜检查费用在 HIS 系统与内镜报告系统间的自动结算，检查完成后，HIS 系统根据检查项目与耗材使用情况计费，并将结算结果反馈至内镜报告系统，便于统计与对账。</w:t>
            </w:r>
          </w:p>
          <w:p w14:paraId="4C03869C">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患者术前准备提醒接口：通过 HIS 系统向患者推送内镜检查术前准备事项（如禁食时间、肠道准备方法等），同时将患者术前准备完成情况反馈至内镜报告系统，确保检查顺利进行。</w:t>
            </w:r>
          </w:p>
          <w:p w14:paraId="3E4FFADE">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内镜报告系统提供接口</w:t>
            </w:r>
          </w:p>
          <w:p w14:paraId="1D57FB94">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内镜影像与视频存储接口：向内镜报告系统提供内镜检查过程中的影像与视频资料存储地址与调阅权限，支持常见视频格式传输，临床医师可在 HIS 系统中回放检查过程，深入分析病情。</w:t>
            </w:r>
          </w:p>
          <w:p w14:paraId="535B29F1">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检查报告生成接口：将内镜检查报告（包括检查过程描述、病变部位图像、诊断意见等内容）同步至 HIS 系统，报告中可嵌入影像资料，方便医师直观了解检查情况，制定治疗方案。</w:t>
            </w:r>
          </w:p>
          <w:p w14:paraId="6B64DFD6">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术中异常情况预警接口：当内镜检查过程中出现异常情况（如出血、穿孔等）时，立即向 HIS 系统发送预警信息，HIS 系统触发应急响应机制，通知相关科室做好抢救准备。</w:t>
            </w:r>
          </w:p>
          <w:p w14:paraId="17EBF40E">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设备使用与维护接口：反馈内镜设备的使用时长、使用次数、清洗消毒记录、故障情况等信息，HIS 系统可结合设备状态与临床需求，合理安排设备维护计划，保障设备正常运行与检查安全。</w:t>
            </w:r>
          </w:p>
        </w:tc>
      </w:tr>
      <w:tr w14:paraId="3B2D6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9" w:hRule="atLeast"/>
          <w:jc w:val="center"/>
        </w:trPr>
        <w:tc>
          <w:tcPr>
            <w:tcW w:w="971" w:type="dxa"/>
            <w:vMerge w:val="continue"/>
            <w:vAlign w:val="center"/>
          </w:tcPr>
          <w:p w14:paraId="297612E2">
            <w:pPr>
              <w:widowControl/>
              <w:jc w:val="center"/>
              <w:rPr>
                <w:rFonts w:ascii="宋体" w:hAnsi="宋体"/>
                <w:color w:val="auto"/>
                <w:highlight w:val="none"/>
              </w:rPr>
            </w:pPr>
          </w:p>
        </w:tc>
        <w:tc>
          <w:tcPr>
            <w:tcW w:w="1190" w:type="dxa"/>
            <w:vAlign w:val="center"/>
          </w:tcPr>
          <w:p w14:paraId="31BF2B50">
            <w:pPr>
              <w:numPr>
                <w:ilvl w:val="2"/>
                <w:numId w:val="0"/>
              </w:numPr>
              <w:ind w:left="0" w:firstLine="0"/>
              <w:rPr>
                <w:rFonts w:ascii="宋体" w:hAnsi="宋体" w:cs="宋体"/>
                <w:color w:val="auto"/>
                <w:kern w:val="0"/>
                <w:szCs w:val="21"/>
                <w:highlight w:val="none"/>
              </w:rPr>
            </w:pPr>
            <w:r>
              <w:rPr>
                <w:rFonts w:ascii="宋体" w:hAnsi="宋体" w:eastAsia="宋体" w:cs="宋体"/>
                <w:color w:val="auto"/>
                <w:kern w:val="0"/>
                <w:sz w:val="21"/>
                <w:szCs w:val="21"/>
                <w:lang w:val="en-US" w:eastAsia="zh-CN" w:bidi="ar-SA"/>
              </w:rPr>
              <w:t>6.2.5</w:t>
            </w:r>
            <w:r>
              <w:rPr>
                <w:rFonts w:hint="eastAsia" w:ascii="宋体" w:hAnsi="宋体" w:cs="宋体"/>
                <w:color w:val="auto"/>
                <w:kern w:val="0"/>
                <w:szCs w:val="21"/>
                <w:highlight w:val="none"/>
              </w:rPr>
              <w:t>超声工作站</w:t>
            </w:r>
          </w:p>
        </w:tc>
        <w:tc>
          <w:tcPr>
            <w:tcW w:w="7638" w:type="dxa"/>
            <w:vAlign w:val="center"/>
          </w:tcPr>
          <w:p w14:paraId="0DED7348">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HIS 提供接口</w:t>
            </w:r>
          </w:p>
          <w:p w14:paraId="696C551D">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超声检查申请接口：向超声工作站推送患者基本信息、临床诊断、检查部位、检查目的等检查申请信息，支持根据患者年龄、性别等因素自动筛选适宜的超声检查项目，提高申请准确性。</w:t>
            </w:r>
          </w:p>
          <w:p w14:paraId="7C0A3012">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预约与排队叫号接口：接收超声工作站反馈的检查预约时间、排队号、预计等待时间等信息，同步至 HIS 系统并通过短信、公众号等渠道告知患者，同时支持 HIS 系统对排队顺序进行人工调整。</w:t>
            </w:r>
          </w:p>
          <w:p w14:paraId="2DE30A04">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费用关联与结算接口：将超声检查项目费用信息与 HIS 系统患者费用清单关联，超声检查完成后，HIS 系统自动计费并更新费用状态，实现检查费用的准确核算与实时结算。</w:t>
            </w:r>
          </w:p>
          <w:p w14:paraId="7A040F72">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患者检查优先级标记接口：临床医师可通过 HIS 系统对急诊患者、危重患者等特殊情况进行检查优先级标记，超声工作站根据标记优先安排检查，确保患者及时得到诊断。</w:t>
            </w:r>
          </w:p>
          <w:p w14:paraId="08D17A02">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超声工作站（超声报告系统）提供接口</w:t>
            </w:r>
          </w:p>
          <w:p w14:paraId="67426049">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超声影像与报告接口：将超声检查影像（静态图像、动态视频）与检查报告（包括检查所见、测量数据、诊断意见等内容）同步至 HIS 系统，支持多种影像格式与报告模板，方便临床医师查看与分析。</w:t>
            </w:r>
          </w:p>
          <w:p w14:paraId="7874CE3F">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检查状态实时更新接口：实时反馈检查状态（等待中、检查中、报告书写中、已完成等）至 HIS 系统，HIS 系统可根据检查状态合理安排患者后续诊疗流程，提高就诊效率。</w:t>
            </w:r>
          </w:p>
          <w:p w14:paraId="34193F26">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设备使用与维护接口：共享超声设备的使用时长、使用频率、设备性能检测结果、维护计划等信息，HIS 系统可结合设备状态与临床需求，优化设备资源配置，保障检查质量。</w:t>
            </w:r>
          </w:p>
          <w:p w14:paraId="47985CD0">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超声医师诊断经验共享接口：超声工作站可将典型病例、疑难病例的诊断经验与分析过程同步至 HIS 系统，供临床医师学习参考，促进多学科知识交流与医疗水平提升。</w:t>
            </w:r>
          </w:p>
        </w:tc>
      </w:tr>
      <w:tr w14:paraId="28D71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2" w:hRule="atLeast"/>
          <w:jc w:val="center"/>
        </w:trPr>
        <w:tc>
          <w:tcPr>
            <w:tcW w:w="971" w:type="dxa"/>
            <w:vMerge w:val="continue"/>
            <w:vAlign w:val="center"/>
          </w:tcPr>
          <w:p w14:paraId="56D7CB72">
            <w:pPr>
              <w:widowControl/>
              <w:jc w:val="center"/>
              <w:rPr>
                <w:rFonts w:ascii="宋体" w:hAnsi="宋体"/>
                <w:color w:val="auto"/>
                <w:highlight w:val="none"/>
              </w:rPr>
            </w:pPr>
          </w:p>
        </w:tc>
        <w:tc>
          <w:tcPr>
            <w:tcW w:w="1190" w:type="dxa"/>
            <w:vAlign w:val="center"/>
          </w:tcPr>
          <w:p w14:paraId="2FA4BC91">
            <w:pPr>
              <w:numPr>
                <w:ilvl w:val="2"/>
                <w:numId w:val="0"/>
              </w:numPr>
              <w:ind w:left="0" w:firstLine="0"/>
              <w:rPr>
                <w:rFonts w:ascii="宋体" w:hAnsi="宋体" w:cs="宋体"/>
                <w:color w:val="auto"/>
                <w:kern w:val="0"/>
                <w:szCs w:val="21"/>
                <w:highlight w:val="none"/>
              </w:rPr>
            </w:pPr>
            <w:r>
              <w:rPr>
                <w:rFonts w:ascii="宋体" w:hAnsi="宋体" w:eastAsia="宋体" w:cs="宋体"/>
                <w:color w:val="auto"/>
                <w:kern w:val="0"/>
                <w:sz w:val="21"/>
                <w:szCs w:val="21"/>
                <w:lang w:val="en-US" w:eastAsia="zh-CN" w:bidi="ar-SA"/>
              </w:rPr>
              <w:t>6.2.6</w:t>
            </w:r>
            <w:r>
              <w:rPr>
                <w:rFonts w:hint="eastAsia" w:ascii="宋体" w:hAnsi="宋体" w:cs="宋体"/>
                <w:color w:val="auto"/>
                <w:kern w:val="0"/>
                <w:szCs w:val="21"/>
                <w:highlight w:val="none"/>
              </w:rPr>
              <w:t>核医学报告系统</w:t>
            </w:r>
          </w:p>
        </w:tc>
        <w:tc>
          <w:tcPr>
            <w:tcW w:w="7638" w:type="dxa"/>
            <w:vAlign w:val="center"/>
          </w:tcPr>
          <w:p w14:paraId="5DE2CC95">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HIS 提供接口</w:t>
            </w:r>
          </w:p>
          <w:p w14:paraId="60CF5C06">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核医学检查申请接口：向核医学报告系统推送患者基本信息、临床诊断、检查项目、检查时间要求等申请信息，同时提供患者近期用药情况、过敏史等信息，辅助核医学医师评估检查安全性与合理性。</w:t>
            </w:r>
          </w:p>
          <w:p w14:paraId="0E0A419A">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预约与放射性防护提醒接口：接收核医学报告系统反馈的检查预约时间、放射性防护注意事项等信息，通过 HIS 系统向患者推送防护提醒，同时将患者对防护要求的确认情况反馈至核医学报告系统，确保检查安全进行。</w:t>
            </w:r>
          </w:p>
          <w:p w14:paraId="3A83683E">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费用结算接口：实现核医学检查费用在 HIS 系统与核医学报告系统间的自动结算，检查完成后，HIS 系统根据检查项目、放射性药物使用量等计费，并将结算结果反馈至核医学报告系统，便于财务核算。</w:t>
            </w:r>
          </w:p>
          <w:p w14:paraId="5E42EE4F">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患者特殊情况跟踪接口：当患者在核医学检查前后出现特殊情况（如药物不良反应、身体不适等）时，HIS 系统将相关情况同步至核医学报告系统，核医学报告系统可跟踪记录并提供专业建议，保障患者健康。</w:t>
            </w:r>
          </w:p>
          <w:p w14:paraId="48BD3A18">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核医学报告系统提供接口</w:t>
            </w:r>
          </w:p>
          <w:p w14:paraId="1E6A8C0E">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核医学影像与报告接口：将核医学检查影像（如 PET-CT、SPECT 影像等）与检查报告（包括影像分析、诊断意见、定量分析结果等内容）同步至 HIS 系统，支持 DICOM标准影像格式与结构化报告传输，方便临床医师全面了解病情。</w:t>
            </w:r>
          </w:p>
          <w:p w14:paraId="788BA6AF">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放射性药物使用记录接口：记录放射性药物的使用种类、剂量、使用时间、剩余量等信息，同步至 HIS 系统，便于医院进行放射性药物管理、安全监管与成本核算。</w:t>
            </w:r>
          </w:p>
          <w:p w14:paraId="20869138">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检查后随访提醒接口：根据核医学检查项目特点与患者病情，通过 HIS 系统向患者推送检查后随访时间、随访内容等提醒信息，同时将患者随访情况反馈至核医学报告系统，完善患者健康管理。</w:t>
            </w:r>
          </w:p>
          <w:p w14:paraId="657DDEBE">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质量控制与安全监测接口：定期将核医学报告系统的质量控制数据（如影像质量评分、诊断准确性评估等）与安全监测数据（如放射性泄漏检测、工作人员辐射剂量监测等）同步至 HIS 系统，为医院质量管理与安全保障提供数据支持。</w:t>
            </w:r>
          </w:p>
        </w:tc>
      </w:tr>
      <w:tr w14:paraId="24AC0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2" w:hRule="atLeast"/>
          <w:jc w:val="center"/>
        </w:trPr>
        <w:tc>
          <w:tcPr>
            <w:tcW w:w="971" w:type="dxa"/>
            <w:vMerge w:val="continue"/>
            <w:vAlign w:val="center"/>
          </w:tcPr>
          <w:p w14:paraId="5DBC3DED">
            <w:pPr>
              <w:widowControl/>
              <w:jc w:val="center"/>
              <w:rPr>
                <w:rFonts w:ascii="宋体" w:hAnsi="宋体"/>
                <w:color w:val="auto"/>
                <w:highlight w:val="none"/>
              </w:rPr>
            </w:pPr>
          </w:p>
        </w:tc>
        <w:tc>
          <w:tcPr>
            <w:tcW w:w="1190" w:type="dxa"/>
            <w:vAlign w:val="center"/>
          </w:tcPr>
          <w:p w14:paraId="19A089DD">
            <w:pPr>
              <w:numPr>
                <w:ilvl w:val="2"/>
                <w:numId w:val="0"/>
              </w:numPr>
              <w:ind w:left="0" w:firstLine="0"/>
              <w:rPr>
                <w:rFonts w:ascii="宋体" w:hAnsi="宋体" w:cs="宋体"/>
                <w:color w:val="auto"/>
                <w:kern w:val="0"/>
                <w:szCs w:val="21"/>
                <w:highlight w:val="none"/>
              </w:rPr>
            </w:pPr>
            <w:r>
              <w:rPr>
                <w:rFonts w:ascii="宋体" w:hAnsi="宋体" w:eastAsia="宋体" w:cs="宋体"/>
                <w:color w:val="auto"/>
                <w:kern w:val="0"/>
                <w:sz w:val="21"/>
                <w:szCs w:val="21"/>
                <w:lang w:val="en-US" w:eastAsia="zh-CN" w:bidi="ar-SA"/>
              </w:rPr>
              <w:t>6.2.7</w:t>
            </w:r>
            <w:r>
              <w:rPr>
                <w:rFonts w:hint="eastAsia" w:ascii="宋体" w:hAnsi="宋体" w:cs="宋体"/>
                <w:color w:val="auto"/>
                <w:kern w:val="0"/>
                <w:szCs w:val="21"/>
                <w:highlight w:val="none"/>
              </w:rPr>
              <w:t>心电图报告系统</w:t>
            </w:r>
          </w:p>
        </w:tc>
        <w:tc>
          <w:tcPr>
            <w:tcW w:w="7638" w:type="dxa"/>
            <w:vAlign w:val="center"/>
          </w:tcPr>
          <w:p w14:paraId="3ED591D1">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HIS 提供接口</w:t>
            </w:r>
          </w:p>
          <w:p w14:paraId="2247D10D">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心电图检查申请接口：向心电图报告系统发送患者基本信息、临床诊断、检查类型</w:t>
            </w:r>
          </w:p>
          <w:p w14:paraId="382B9632">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（常规心电图、动态心电图等）、检查时间要求等申请信息，支持批量申请与急诊优先申请，提高检查效率。</w:t>
            </w:r>
          </w:p>
          <w:p w14:paraId="7B2DD806">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患者信息快速查询接口：心电图报告系统可通过该接口快速查询患者在 HIS 系统中的历史心电图检查记录、相关病史等信息，辅助医师对比分析，做出准确诊断。</w:t>
            </w:r>
          </w:p>
          <w:p w14:paraId="28C5528C">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费用关联与结算接口：将心电图检查项目费用信息与 HIS 系统患者费用清单关联，检查完成后，HIS 系统自动计费并更新费用状态，实现检查费用的准确结算与实时展示。</w:t>
            </w:r>
          </w:p>
          <w:p w14:paraId="34FC7BC8">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检查设备调度接口：HIS 系统根据各科室心电图检查需求与设备使用状态，向心电图报告系统发送设备调度指令，合理分配设备资源，满足临床检查需求。</w:t>
            </w:r>
          </w:p>
          <w:p w14:paraId="552586F7">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心电图报告系统提供接口</w:t>
            </w:r>
          </w:p>
          <w:p w14:paraId="1BB78D5F">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心电图波形与报告接口：将心电图波形数据（包括常规心电图、动态心电图波形）与检查报告（包括波形分析、诊断意见、心率变异性分析等内容）同步至 HIS 系统，支持标准心电图格式与结构化报告传输，方便临床医师查看与诊断。</w:t>
            </w:r>
          </w:p>
          <w:p w14:paraId="6BB72E9B">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异常心电信号预警接口：当检测到异常心电信号（如心律失常、心肌缺血等）时，立即向 HIS 系统发送预警信息，包括患者信息、异常信号类型、发生时间等，触发 HIS系统的紧急通知机制，确保患者及时得到救治。</w:t>
            </w:r>
          </w:p>
          <w:p w14:paraId="6D83D9E1">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设备使用与维护接口：反馈心电图设备的使用时长、使用次数、校准记录、故障情况等信息，HIS 系统可结合设备状态与临床需求，安排设备维护计划，保障设备正常运行与检查准确性。</w:t>
            </w:r>
          </w:p>
          <w:p w14:paraId="764A8A64">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心电数据库共享接口：心电图报告系统可将典型心电图病例、疑难病例等数据同步至 HIS 系统的心电数据库，供临床医师学习参考，促进心电诊断技术交流与提升。</w:t>
            </w:r>
          </w:p>
        </w:tc>
      </w:tr>
      <w:tr w14:paraId="44D44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7" w:hRule="atLeast"/>
          <w:jc w:val="center"/>
        </w:trPr>
        <w:tc>
          <w:tcPr>
            <w:tcW w:w="971" w:type="dxa"/>
            <w:vMerge w:val="continue"/>
            <w:vAlign w:val="center"/>
          </w:tcPr>
          <w:p w14:paraId="77E2F2C2">
            <w:pPr>
              <w:widowControl/>
              <w:jc w:val="center"/>
              <w:rPr>
                <w:rFonts w:ascii="宋体" w:hAnsi="宋体"/>
                <w:color w:val="auto"/>
                <w:highlight w:val="none"/>
              </w:rPr>
            </w:pPr>
          </w:p>
        </w:tc>
        <w:tc>
          <w:tcPr>
            <w:tcW w:w="1190" w:type="dxa"/>
            <w:vAlign w:val="center"/>
          </w:tcPr>
          <w:p w14:paraId="5887E72C">
            <w:pPr>
              <w:numPr>
                <w:ilvl w:val="2"/>
                <w:numId w:val="0"/>
              </w:numPr>
              <w:ind w:left="0" w:firstLine="0"/>
              <w:rPr>
                <w:rFonts w:ascii="宋体" w:hAnsi="宋体" w:cs="宋体"/>
                <w:color w:val="auto"/>
                <w:kern w:val="0"/>
                <w:szCs w:val="21"/>
                <w:highlight w:val="none"/>
              </w:rPr>
            </w:pPr>
            <w:r>
              <w:rPr>
                <w:rFonts w:ascii="宋体" w:hAnsi="宋体" w:eastAsia="宋体" w:cs="宋体"/>
                <w:color w:val="auto"/>
                <w:kern w:val="0"/>
                <w:sz w:val="21"/>
                <w:szCs w:val="21"/>
                <w:lang w:val="en-US" w:eastAsia="zh-CN" w:bidi="ar-SA"/>
              </w:rPr>
              <w:t>6.2.8</w:t>
            </w:r>
            <w:r>
              <w:rPr>
                <w:rFonts w:hint="eastAsia" w:ascii="宋体" w:hAnsi="宋体" w:cs="宋体"/>
                <w:color w:val="auto"/>
                <w:kern w:val="0"/>
                <w:szCs w:val="21"/>
                <w:highlight w:val="none"/>
              </w:rPr>
              <w:t>动态心电图（博英）</w:t>
            </w:r>
          </w:p>
        </w:tc>
        <w:tc>
          <w:tcPr>
            <w:tcW w:w="7638" w:type="dxa"/>
            <w:vAlign w:val="center"/>
          </w:tcPr>
          <w:p w14:paraId="70BC75FF">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HIS 提供接口</w:t>
            </w:r>
          </w:p>
          <w:p w14:paraId="0907B0E0">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动态心电图佩戴申请接口：向动态心电图系统推送患者基本信息、临床诊断、佩戴时间要求、监测目的等申请信息，同时提供患者联系方式，便于提醒患者按时返回医院进行数据读取。</w:t>
            </w:r>
          </w:p>
          <w:p w14:paraId="071930F5">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费用结算接口：实现动态心电图检查费用在 HIS 系统与动态心电图系统间的自动结算，包括设备佩戴费用、数据读取分析费用等，检查完成后，HIS 系统更新费用状态并反馈至动态心电图系统。</w:t>
            </w:r>
          </w:p>
          <w:p w14:paraId="6C77E797">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患者状态跟踪接口：当患者在动态心电图监测期间出现转科、出院等状态变更时，及时将信息同步至动态心电图系统，动态心电图系统可根据患者状态调整数据读取与报告出具流程。</w:t>
            </w:r>
          </w:p>
          <w:p w14:paraId="4EFC7BB9">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临床需求特殊说明接口：支持临床医师通过 HIS 系统向动态心电图系统发送特殊监测需求（如特定时间段监测、特定活动状态监测等），确保监测数据满足临床诊断需求。</w:t>
            </w:r>
          </w:p>
          <w:p w14:paraId="47234964">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动态心电图提供接口</w:t>
            </w:r>
          </w:p>
          <w:p w14:paraId="2FC34B5C">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动态心电数据与报告接口：将动态心电图监测期间的心电数据（连续波形、心率变化、异常事件记录等）与分析报告（包括心律失常分析、心肌缺血评估、心率变异性分析等内容）同步至 HIS 系统，支持大数据量传输与高效分析报告生成，方便临床医师全面了解患者心脏状况。</w:t>
            </w:r>
          </w:p>
          <w:p w14:paraId="722ECD94">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设备回收与状态反馈接口：当患者返回医院完成动态心电图数据读取后，动态心电图系统将设备回收状态、设备性能检测结果等信息反馈至 HIS 系统，HIS 系统可据此安排设备消毒、维护与再次调配。</w:t>
            </w:r>
          </w:p>
          <w:p w14:paraId="089199B6">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监测异常事件预警接口：在动态心电图监测过程中，一旦检测到严重异常事件（如室性心动过速、心脏停搏等），立即向 HIS 系统发送预警信息，同时通知患者尽快就医，保障患者生命安全。</w:t>
            </w:r>
          </w:p>
          <w:p w14:paraId="54C280CE">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监测数据统计分析接口：定期将动态心电图监测数据的统计分析结果（如不同年龄段异常心电图发生率、常见心律失常类型分布等）同步至 HIS 系统，为医院科研工作与疾病预防提供数据支持。</w:t>
            </w:r>
          </w:p>
        </w:tc>
      </w:tr>
      <w:tr w14:paraId="1594E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2" w:hRule="atLeast"/>
          <w:jc w:val="center"/>
        </w:trPr>
        <w:tc>
          <w:tcPr>
            <w:tcW w:w="971" w:type="dxa"/>
            <w:vMerge w:val="continue"/>
            <w:vAlign w:val="center"/>
          </w:tcPr>
          <w:p w14:paraId="1EA89E57">
            <w:pPr>
              <w:widowControl/>
              <w:jc w:val="center"/>
              <w:rPr>
                <w:rFonts w:ascii="宋体" w:hAnsi="宋体"/>
                <w:color w:val="auto"/>
                <w:highlight w:val="none"/>
              </w:rPr>
            </w:pPr>
          </w:p>
        </w:tc>
        <w:tc>
          <w:tcPr>
            <w:tcW w:w="1190" w:type="dxa"/>
            <w:vAlign w:val="center"/>
          </w:tcPr>
          <w:p w14:paraId="45CF1F43">
            <w:pPr>
              <w:numPr>
                <w:ilvl w:val="2"/>
                <w:numId w:val="0"/>
              </w:numPr>
              <w:ind w:left="0" w:firstLine="0"/>
              <w:rPr>
                <w:rFonts w:ascii="宋体" w:hAnsi="宋体" w:cs="宋体"/>
                <w:color w:val="auto"/>
                <w:kern w:val="0"/>
                <w:szCs w:val="21"/>
                <w:highlight w:val="none"/>
              </w:rPr>
            </w:pPr>
            <w:r>
              <w:rPr>
                <w:rFonts w:ascii="宋体" w:hAnsi="宋体" w:eastAsia="宋体" w:cs="宋体"/>
                <w:color w:val="auto"/>
                <w:kern w:val="0"/>
                <w:sz w:val="21"/>
                <w:szCs w:val="21"/>
                <w:lang w:val="en-US" w:eastAsia="zh-CN" w:bidi="ar-SA"/>
              </w:rPr>
              <w:t>6.2.9</w:t>
            </w:r>
            <w:r>
              <w:rPr>
                <w:rFonts w:hint="eastAsia" w:ascii="宋体" w:hAnsi="宋体" w:cs="宋体"/>
                <w:color w:val="auto"/>
                <w:kern w:val="0"/>
                <w:szCs w:val="21"/>
                <w:highlight w:val="none"/>
              </w:rPr>
              <w:t>脑电图</w:t>
            </w:r>
          </w:p>
        </w:tc>
        <w:tc>
          <w:tcPr>
            <w:tcW w:w="7638" w:type="dxa"/>
            <w:vAlign w:val="center"/>
          </w:tcPr>
          <w:p w14:paraId="35EF14E6">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HIS 提供接口</w:t>
            </w:r>
          </w:p>
          <w:p w14:paraId="300180F1">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脑电图检查申请接口：向脑电图系统推送患者基本信息、临床诊断、检查类型（常规脑电图、视频脑电图等）、检查时间要求等申请信息，同时提供患者癫痫发作史、用药情况等信息，辅助脑电图医师制定检查方案。</w:t>
            </w:r>
          </w:p>
          <w:p w14:paraId="44BC58AB">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患者预约与准备提醒接口：接收脑电图系统反馈的检查预约时间、检查前准备事项</w:t>
            </w:r>
          </w:p>
          <w:p w14:paraId="08A27E07">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（如洗头、禁食等），通过 HIS 系统向患者发送预约提醒与准备事项通知，同时将患者准备情况反馈至脑电图系统，确保检查顺利进行。</w:t>
            </w:r>
          </w:p>
          <w:p w14:paraId="5CC98737">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费用关联与结算接口：将脑电图检查项目费用信息与 HIS 系统患者费用清单关联，检查完成后，HIS 系统自动计费并更新费用状态，实现检查费用的准确核算与及时结算。</w:t>
            </w:r>
          </w:p>
          <w:p w14:paraId="3A553D6B">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患者特殊情况标记接口：临床医师可通过 HIS 系统对癫痫持续状态患者、危重患者等特殊情况进行标记，脑电图系统根据标记优先安排检查，并采取相应的安全保障措施。</w:t>
            </w:r>
          </w:p>
          <w:p w14:paraId="7322160C">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脑电图提供接口</w:t>
            </w:r>
          </w:p>
          <w:p w14:paraId="7DB4C4F0">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脑电图波形与报告接口：将脑电图波形数据（包括背景活动、异常放电波形等）与检查报告（包括波形分析、诊断意见、癫痫发作类型判断等内容）同步至 HIS 系统，支持标准脑电图格式与详细结构化报告传输，方便临床医师诊断与分析病情。</w:t>
            </w:r>
          </w:p>
          <w:p w14:paraId="1AF431B0">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异常脑电信号预警接口：当检测到异常脑电信号（如癫痫样放电、慢波异常等）时，立即向 HIS 系统发送预警信息，包括患者信息、异常信号类型、发生时间等，帮助临床医师及时了解患者脑电状况，调整治疗方案。</w:t>
            </w:r>
          </w:p>
          <w:p w14:paraId="2522E237">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设备使用与维护接口：反馈脑电图设备的使用时长、使用次数、电极片损耗情况、设备故障记录等信息，HIS 系统可结合设备状态与临床需求，安排设备维护计划与耗材采购，保障检查正常开展。</w:t>
            </w:r>
          </w:p>
          <w:p w14:paraId="464D1113">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脑电数据库共享接口：脑电图系统可将典型脑电图病例、疑难病例数据同步至 HIS系统的脑电数据库，为临床医师提供学习参考资源。</w:t>
            </w:r>
          </w:p>
        </w:tc>
      </w:tr>
      <w:tr w14:paraId="3A864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9" w:hRule="atLeast"/>
          <w:jc w:val="center"/>
        </w:trPr>
        <w:tc>
          <w:tcPr>
            <w:tcW w:w="971" w:type="dxa"/>
            <w:vMerge w:val="continue"/>
            <w:vAlign w:val="center"/>
          </w:tcPr>
          <w:p w14:paraId="0DB3F28A">
            <w:pPr>
              <w:widowControl/>
              <w:jc w:val="center"/>
              <w:rPr>
                <w:rFonts w:ascii="宋体" w:hAnsi="宋体"/>
                <w:color w:val="auto"/>
                <w:highlight w:val="none"/>
              </w:rPr>
            </w:pPr>
          </w:p>
        </w:tc>
        <w:tc>
          <w:tcPr>
            <w:tcW w:w="1190" w:type="dxa"/>
            <w:vAlign w:val="center"/>
          </w:tcPr>
          <w:p w14:paraId="4B6C5C18">
            <w:pPr>
              <w:numPr>
                <w:ilvl w:val="2"/>
                <w:numId w:val="0"/>
              </w:numPr>
              <w:ind w:left="0" w:firstLine="0"/>
              <w:rPr>
                <w:rFonts w:ascii="宋体" w:hAnsi="宋体" w:cs="宋体"/>
                <w:color w:val="auto"/>
                <w:kern w:val="0"/>
                <w:szCs w:val="21"/>
                <w:highlight w:val="none"/>
              </w:rPr>
            </w:pPr>
            <w:r>
              <w:rPr>
                <w:rFonts w:ascii="宋体" w:hAnsi="宋体" w:eastAsia="宋体" w:cs="宋体"/>
                <w:color w:val="auto"/>
                <w:kern w:val="0"/>
                <w:sz w:val="21"/>
                <w:szCs w:val="21"/>
                <w:lang w:val="en-US" w:eastAsia="zh-CN" w:bidi="ar-SA"/>
              </w:rPr>
              <w:t>6.2.10</w:t>
            </w:r>
            <w:r>
              <w:rPr>
                <w:rFonts w:hint="eastAsia" w:ascii="宋体" w:hAnsi="宋体" w:cs="宋体"/>
                <w:color w:val="auto"/>
                <w:kern w:val="0"/>
                <w:szCs w:val="21"/>
                <w:highlight w:val="none"/>
              </w:rPr>
              <w:t>TCD系统</w:t>
            </w:r>
          </w:p>
        </w:tc>
        <w:tc>
          <w:tcPr>
            <w:tcW w:w="7638" w:type="dxa"/>
            <w:vAlign w:val="center"/>
          </w:tcPr>
          <w:p w14:paraId="1715D4E5">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HIS 提供接口</w:t>
            </w:r>
          </w:p>
          <w:p w14:paraId="3B95164E">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TCD 检查申请接口：向 TCD 系统推送患者基本信息、临床诊断、检查目的（如脑血管血流检测、微栓子监测等）、检查时间要求等信息，同时提供患者高血压、高血脂等病史，辅助 TCD 医师评估检查重点。</w:t>
            </w:r>
          </w:p>
          <w:p w14:paraId="61858241">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费用关联接口：将 TCD 检查项目费用与 HIS 系统患者费用清单绑定，检查完成后， HIS 系统自动完成计费并更新费用状态，确保费用准确计入患者账单。</w:t>
            </w:r>
          </w:p>
          <w:p w14:paraId="59E2E23C">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患者状态同步接口：当患者出现转科、出院等状态变更时，及时将信息同步至 TCD系统，以便 TCD 系统调整检查安排或跟踪后续检查需求。</w:t>
            </w:r>
          </w:p>
          <w:p w14:paraId="700E03D7">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临床需求备注接口：支持临床医师通过 HIS 系统向 TCD 系统发送特殊检查需求或注意事项，如特定血管检测、对比检查等要求，使 TCD 检查更贴合临床诊断需要。</w:t>
            </w:r>
          </w:p>
          <w:p w14:paraId="64B64C75">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TCD 系统提供接口</w:t>
            </w:r>
          </w:p>
          <w:p w14:paraId="40A0205C">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TCD 检测数据与报告接口：将 TCD 检测的血流速度、频谱形态、血管搏动指数等数据及检查报告（包括检测结果分析、诊断意见等）同步至 HIS 系统，以结构化数据形式呈现，方便临床医师直观获取信息。</w:t>
            </w:r>
          </w:p>
          <w:p w14:paraId="5A064CED">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异常血流信号预警接口：一旦检测到异常血流信号（如血管狭窄、血流反向等），立即向 HIS 系统发送预警信息，包括患者信息、异常信号详情、出现时间等，便于临床医师及时干预。</w:t>
            </w:r>
          </w:p>
          <w:p w14:paraId="3EC20254">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设备运行状态接口：反馈 TCD 设备的使用时长、运行状况、故障记录等信息，HIS系统可据此安排设备维护计划，保障设备正常运行和检查质量。</w:t>
            </w:r>
          </w:p>
          <w:p w14:paraId="33E02F60">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检测病例共享接口：定期将典型 TCD 检测病例同步至 HIS 系统，供临床医师学习参考，促进学术交流与诊疗水平提升。</w:t>
            </w:r>
          </w:p>
        </w:tc>
      </w:tr>
      <w:tr w14:paraId="24780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3" w:hRule="atLeast"/>
          <w:jc w:val="center"/>
        </w:trPr>
        <w:tc>
          <w:tcPr>
            <w:tcW w:w="971" w:type="dxa"/>
            <w:vMerge w:val="continue"/>
            <w:vAlign w:val="center"/>
          </w:tcPr>
          <w:p w14:paraId="4D6DB3FF">
            <w:pPr>
              <w:widowControl/>
              <w:jc w:val="center"/>
              <w:rPr>
                <w:rFonts w:ascii="宋体" w:hAnsi="宋体"/>
                <w:color w:val="auto"/>
                <w:highlight w:val="none"/>
              </w:rPr>
            </w:pPr>
          </w:p>
        </w:tc>
        <w:tc>
          <w:tcPr>
            <w:tcW w:w="1190" w:type="dxa"/>
            <w:vAlign w:val="center"/>
          </w:tcPr>
          <w:p w14:paraId="049F24F7">
            <w:pPr>
              <w:numPr>
                <w:ilvl w:val="2"/>
                <w:numId w:val="0"/>
              </w:numPr>
              <w:ind w:left="0" w:firstLine="0"/>
              <w:rPr>
                <w:rFonts w:ascii="宋体" w:hAnsi="宋体" w:cs="宋体"/>
                <w:color w:val="auto"/>
                <w:kern w:val="0"/>
                <w:szCs w:val="21"/>
                <w:highlight w:val="none"/>
              </w:rPr>
            </w:pPr>
            <w:r>
              <w:rPr>
                <w:rFonts w:ascii="宋体" w:hAnsi="宋体" w:eastAsia="宋体" w:cs="宋体"/>
                <w:color w:val="auto"/>
                <w:kern w:val="0"/>
                <w:sz w:val="21"/>
                <w:szCs w:val="21"/>
                <w:lang w:val="en-US" w:eastAsia="zh-CN" w:bidi="ar-SA"/>
              </w:rPr>
              <w:t>6.2.11</w:t>
            </w:r>
            <w:r>
              <w:rPr>
                <w:rFonts w:hint="eastAsia" w:ascii="宋体" w:hAnsi="宋体" w:cs="宋体"/>
                <w:color w:val="auto"/>
                <w:kern w:val="0"/>
                <w:szCs w:val="21"/>
                <w:highlight w:val="none"/>
              </w:rPr>
              <w:t>其他检查设备</w:t>
            </w:r>
          </w:p>
        </w:tc>
        <w:tc>
          <w:tcPr>
            <w:tcW w:w="7638" w:type="dxa"/>
            <w:vAlign w:val="center"/>
          </w:tcPr>
          <w:p w14:paraId="6859DDB6">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HIS 提供接口</w:t>
            </w:r>
          </w:p>
          <w:p w14:paraId="5A9B81FB">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设备检查申请接口：针对不同类型的检查检验设备，统一向设备管理系统推送患者基本信息、申请检查项目、临床诊断、检查时间等信息，支持多样化的检查需求录入。</w:t>
            </w:r>
          </w:p>
          <w:p w14:paraId="1AD6657C">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费用结算接口：与 HIS 系统费用模块对接，明确各项检查项目对应的费用标准，检查完成后自动结算并更新患者费用清单。</w:t>
            </w:r>
          </w:p>
          <w:p w14:paraId="2DFFFDB8">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设备预约管理接口：接收设备管理系统反馈的设备预约状态（空闲、已预约、使用中），合理安排患者检查时间，并将预约变更信息及时同步给设备管理系统。</w:t>
            </w:r>
          </w:p>
          <w:p w14:paraId="50B5541C">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患者信息变更通知接口：当患者信息（如姓名、ID 号、住院号）发生变更时，及时通知设备管理系统，确保检查记录与患者准确关联。</w:t>
            </w:r>
          </w:p>
          <w:p w14:paraId="57688EF6">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其他检查检验设备提供接口</w:t>
            </w:r>
          </w:p>
          <w:p w14:paraId="61415692">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检查数据与结果接口：将设备检测产生的数据和结果以标准格式同步至 HIS 系统，如生化分析仪的检测数值、显微镜的图像数据等，支持数据的实时传输与批量导入。</w:t>
            </w:r>
          </w:p>
          <w:p w14:paraId="22A30BC3">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设备故障与维护接口：实时反馈设备故障信息（故障代码、故障现象）及维护情况</w:t>
            </w:r>
          </w:p>
          <w:p w14:paraId="640700D1">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（维护时间、维护内容），HIS 系统可协调维修资源，减少设备停机时间对检查工作的影响。</w:t>
            </w:r>
          </w:p>
          <w:p w14:paraId="7BB74EFA">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质控数据接口：定期上传设备的质量控制数据（如校准结果、质控品检测数据），为 HIS 系统进行质量评估和管理提供依据。</w:t>
            </w:r>
          </w:p>
          <w:p w14:paraId="425DD318">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检查进度反馈接口：向 HIS 系统反馈检查进度（待检、检查中、已完成），便于 HIS 系统及时告知患者检查进展，合理安排后续诊疗流程。</w:t>
            </w:r>
          </w:p>
        </w:tc>
      </w:tr>
      <w:tr w14:paraId="4A504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8" w:hRule="atLeast"/>
          <w:jc w:val="center"/>
        </w:trPr>
        <w:tc>
          <w:tcPr>
            <w:tcW w:w="971" w:type="dxa"/>
            <w:vMerge w:val="restart"/>
            <w:vAlign w:val="center"/>
          </w:tcPr>
          <w:p w14:paraId="2B9975BB">
            <w:pPr>
              <w:numPr>
                <w:ilvl w:val="1"/>
                <w:numId w:val="0"/>
              </w:numPr>
              <w:ind w:left="0" w:firstLine="0"/>
              <w:rPr>
                <w:rFonts w:ascii="宋体" w:hAnsi="宋体"/>
                <w:color w:val="auto"/>
                <w:highlight w:val="none"/>
              </w:rPr>
            </w:pPr>
            <w:r>
              <w:rPr>
                <w:rFonts w:ascii="宋体" w:hAnsi="宋体" w:eastAsia="宋体" w:cs="Times New Roman"/>
                <w:color w:val="auto"/>
                <w:kern w:val="2"/>
                <w:sz w:val="21"/>
                <w:szCs w:val="24"/>
                <w:lang w:val="en-US" w:eastAsia="zh-CN" w:bidi="ar-SA"/>
              </w:rPr>
              <w:t>6.3</w:t>
            </w:r>
            <w:r>
              <w:rPr>
                <w:rFonts w:hint="eastAsia" w:ascii="宋体" w:hAnsi="宋体"/>
                <w:color w:val="auto"/>
                <w:highlight w:val="none"/>
              </w:rPr>
              <w:t>叫号系统对接</w:t>
            </w:r>
          </w:p>
        </w:tc>
        <w:tc>
          <w:tcPr>
            <w:tcW w:w="1190" w:type="dxa"/>
            <w:vAlign w:val="center"/>
          </w:tcPr>
          <w:p w14:paraId="39464D24">
            <w:pPr>
              <w:numPr>
                <w:ilvl w:val="2"/>
                <w:numId w:val="0"/>
              </w:numPr>
              <w:ind w:left="0" w:firstLine="0"/>
              <w:rPr>
                <w:rFonts w:ascii="宋体" w:hAnsi="宋体" w:cs="宋体"/>
                <w:color w:val="auto"/>
                <w:kern w:val="0"/>
                <w:szCs w:val="21"/>
                <w:highlight w:val="none"/>
              </w:rPr>
            </w:pPr>
            <w:r>
              <w:rPr>
                <w:rFonts w:ascii="宋体" w:hAnsi="宋体" w:eastAsia="宋体" w:cs="宋体"/>
                <w:color w:val="auto"/>
                <w:kern w:val="0"/>
                <w:sz w:val="21"/>
                <w:szCs w:val="21"/>
                <w:lang w:val="en-US" w:eastAsia="zh-CN" w:bidi="ar-SA"/>
              </w:rPr>
              <w:t>6.3.1</w:t>
            </w:r>
            <w:r>
              <w:rPr>
                <w:rFonts w:hint="eastAsia" w:ascii="宋体" w:hAnsi="宋体" w:cs="宋体"/>
                <w:color w:val="auto"/>
                <w:kern w:val="0"/>
                <w:szCs w:val="21"/>
                <w:highlight w:val="none"/>
              </w:rPr>
              <w:t>超声叫号系统</w:t>
            </w:r>
          </w:p>
          <w:p w14:paraId="590A3F7C">
            <w:pPr>
              <w:ind w:left="-420"/>
              <w:rPr>
                <w:rFonts w:ascii="宋体" w:hAnsi="宋体" w:cs="宋体"/>
                <w:color w:val="auto"/>
                <w:kern w:val="0"/>
                <w:szCs w:val="21"/>
                <w:highlight w:val="none"/>
              </w:rPr>
            </w:pPr>
          </w:p>
        </w:tc>
        <w:tc>
          <w:tcPr>
            <w:tcW w:w="7638" w:type="dxa"/>
            <w:vAlign w:val="center"/>
          </w:tcPr>
          <w:p w14:paraId="793256FA">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HIS 提供接口</w:t>
            </w:r>
          </w:p>
          <w:p w14:paraId="1B3FBA58">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患者检查排队信息接口：将已预约超声检查的患者信息（姓名、排队号、检查项目、预约时间）推送至超声叫号系统，支持按优先级、检查类型等规则自动排序。</w:t>
            </w:r>
          </w:p>
          <w:p w14:paraId="76DC8FD1">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叫号状态同步接口：接收超声叫号系统反馈的叫号状态（已叫号、过号、正在检查等），更新 HIS 系统中的患者检查状态，方便医护人员和患者实时掌握排队情况。</w:t>
            </w:r>
          </w:p>
          <w:p w14:paraId="06863A91">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特殊情况处理接口：支持临床医师通过 HIS 系统对急诊患者、危重患者等特殊情况进行插队叫号操作，超声叫号系统优先处理并反馈处理结果。</w:t>
            </w:r>
          </w:p>
          <w:p w14:paraId="6681870B">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叫号设置接口：允许超声科室通过 HIS 系统设置叫号规则（如每批次叫号人数、间隔时间）、语音播报内容等个性化叫号参数。</w:t>
            </w:r>
          </w:p>
          <w:p w14:paraId="12269DF2">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超声叫号系统提供接口</w:t>
            </w:r>
          </w:p>
          <w:p w14:paraId="6E86046F">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叫号记录查询接口：向 HIS 系统提供叫号记录查询功能，包括叫号时间、患者信息、叫号状态变更记录等，便于追溯和统计分析。</w:t>
            </w:r>
          </w:p>
          <w:p w14:paraId="26650705">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候诊人数统计接口：实时将超声候诊区的患者人数、等待时间等统计数据反馈至 HIS 系统，为医院合理调配资源、优化服务流程提供数据支持。</w:t>
            </w:r>
          </w:p>
          <w:p w14:paraId="0CCB057D">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叫号异常报警接口：当叫号系统出现故障（如语音播报异常、叫号中断）时，立即向 HIS 系统发送报警信息，HIS 系统可及时通知相关人员进行维修处理。</w:t>
            </w:r>
          </w:p>
          <w:p w14:paraId="639E4880">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患者评价接口：收集患者对超声叫号服务的满意度评价（如等待时间、叫号准确性），反馈至 HIS 系统，助力医院持续改进服务质量。</w:t>
            </w:r>
          </w:p>
        </w:tc>
      </w:tr>
      <w:tr w14:paraId="5A552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5" w:hRule="atLeast"/>
          <w:jc w:val="center"/>
        </w:trPr>
        <w:tc>
          <w:tcPr>
            <w:tcW w:w="971" w:type="dxa"/>
            <w:vMerge w:val="continue"/>
            <w:vAlign w:val="center"/>
          </w:tcPr>
          <w:p w14:paraId="053DDE89">
            <w:pPr>
              <w:widowControl/>
              <w:jc w:val="center"/>
              <w:rPr>
                <w:rFonts w:ascii="宋体" w:hAnsi="宋体"/>
                <w:color w:val="auto"/>
                <w:highlight w:val="none"/>
              </w:rPr>
            </w:pPr>
          </w:p>
        </w:tc>
        <w:tc>
          <w:tcPr>
            <w:tcW w:w="1190" w:type="dxa"/>
            <w:vAlign w:val="center"/>
          </w:tcPr>
          <w:p w14:paraId="318EDA5A">
            <w:pPr>
              <w:numPr>
                <w:ilvl w:val="2"/>
                <w:numId w:val="0"/>
              </w:numPr>
              <w:ind w:left="0" w:firstLine="0"/>
              <w:rPr>
                <w:rFonts w:ascii="宋体" w:hAnsi="宋体" w:cs="宋体"/>
                <w:color w:val="auto"/>
                <w:kern w:val="0"/>
                <w:szCs w:val="21"/>
                <w:highlight w:val="none"/>
              </w:rPr>
            </w:pPr>
            <w:r>
              <w:rPr>
                <w:rFonts w:ascii="宋体" w:hAnsi="宋体" w:eastAsia="宋体" w:cs="宋体"/>
                <w:color w:val="auto"/>
                <w:kern w:val="0"/>
                <w:sz w:val="21"/>
                <w:szCs w:val="21"/>
                <w:lang w:val="en-US" w:eastAsia="zh-CN" w:bidi="ar-SA"/>
              </w:rPr>
              <w:t>6.3.2</w:t>
            </w:r>
            <w:r>
              <w:rPr>
                <w:rFonts w:hint="eastAsia" w:ascii="宋体" w:hAnsi="宋体" w:cs="宋体"/>
                <w:color w:val="auto"/>
                <w:kern w:val="0"/>
                <w:szCs w:val="21"/>
                <w:highlight w:val="none"/>
              </w:rPr>
              <w:t>药房分诊系统（门诊药房报道机）</w:t>
            </w:r>
          </w:p>
        </w:tc>
        <w:tc>
          <w:tcPr>
            <w:tcW w:w="7638" w:type="dxa"/>
            <w:vAlign w:val="center"/>
          </w:tcPr>
          <w:p w14:paraId="505B8B75">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HIS 提供接口</w:t>
            </w:r>
          </w:p>
          <w:p w14:paraId="6301DC65">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处方缴费与取药信息接口：将患者已缴费的处方信息（处方号、药品名称、数量、患者姓名）推送至药房分诊系统，同时提供患者预计取药时间，便于患者合理安排等待时间。</w:t>
            </w:r>
          </w:p>
          <w:p w14:paraId="5971072D">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患者身份核对接口：药房分诊系统可通过该接口与 HIS 系统进行患者身份信息核对</w:t>
            </w:r>
          </w:p>
          <w:p w14:paraId="602D262F">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（如姓名、身份证号），确保取药安全。</w:t>
            </w:r>
          </w:p>
          <w:p w14:paraId="3F1EB4F0">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叫号规则设置接口：支持药房通过 HIS 系统设置分诊叫号规则（如按窗口分配、按药品类别分组叫号），满足不同药房的工作流程需求。</w:t>
            </w:r>
          </w:p>
          <w:p w14:paraId="18102931">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特殊处方处理接口：对于麻醉药品、精神药品等特殊处方，HIS 系统将相关特殊标识和处理要求同步至药房分诊系统，保障特殊药品发放的规范性。</w:t>
            </w:r>
          </w:p>
          <w:p w14:paraId="3F08F3A6">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药房分诊系统提供接口</w:t>
            </w:r>
          </w:p>
          <w:p w14:paraId="5577FFA5">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叫号状态反馈接口：向 HIS 系统实时反馈叫号状态（已叫号、过号、正在取药等）， HIS 系统可更新患者取药进度，方便患者查询和医护人员管理。</w:t>
            </w:r>
          </w:p>
          <w:p w14:paraId="77973CB2">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窗口工作状态接口：将药房各窗口的工作状态（空闲、忙碌、暂停服务）同步至 HIS 系统，HIS 系统可根据窗口状态优化叫号策略，提高取药效率。</w:t>
            </w:r>
          </w:p>
          <w:p w14:paraId="00007E1E">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取药记录接口：记录患者取药时间、取药窗口、取药人等信息，并反馈至 HIS 系统，形成完整的取药流程记录，便于追溯和管理。</w:t>
            </w:r>
          </w:p>
          <w:p w14:paraId="2DF2E558">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系统异常报警接口：当药房分诊系统出现故障（如报道机死机、叫号混乱）时，立即向 HIS 系统发送报警信息，HIS 系统协调技术人员快速处理，减少对患者取药的影响。</w:t>
            </w:r>
          </w:p>
        </w:tc>
      </w:tr>
      <w:tr w14:paraId="26C04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2" w:hRule="atLeast"/>
          <w:jc w:val="center"/>
        </w:trPr>
        <w:tc>
          <w:tcPr>
            <w:tcW w:w="971" w:type="dxa"/>
            <w:vMerge w:val="continue"/>
            <w:vAlign w:val="center"/>
          </w:tcPr>
          <w:p w14:paraId="10BB6DCF">
            <w:pPr>
              <w:widowControl/>
              <w:jc w:val="center"/>
              <w:rPr>
                <w:rFonts w:ascii="宋体" w:hAnsi="宋体"/>
                <w:color w:val="auto"/>
                <w:highlight w:val="none"/>
              </w:rPr>
            </w:pPr>
          </w:p>
        </w:tc>
        <w:tc>
          <w:tcPr>
            <w:tcW w:w="1190" w:type="dxa"/>
            <w:vAlign w:val="center"/>
          </w:tcPr>
          <w:p w14:paraId="01706A2E">
            <w:pPr>
              <w:numPr>
                <w:ilvl w:val="2"/>
                <w:numId w:val="0"/>
              </w:numPr>
              <w:ind w:left="0" w:firstLine="0"/>
              <w:rPr>
                <w:rFonts w:ascii="宋体" w:hAnsi="宋体" w:cs="宋体"/>
                <w:color w:val="auto"/>
                <w:kern w:val="0"/>
                <w:szCs w:val="21"/>
                <w:highlight w:val="none"/>
              </w:rPr>
            </w:pPr>
            <w:r>
              <w:rPr>
                <w:rFonts w:ascii="宋体" w:hAnsi="宋体" w:eastAsia="宋体" w:cs="宋体"/>
                <w:color w:val="auto"/>
                <w:kern w:val="0"/>
                <w:sz w:val="21"/>
                <w:szCs w:val="21"/>
                <w:lang w:val="en-US" w:eastAsia="zh-CN" w:bidi="ar-SA"/>
              </w:rPr>
              <w:t>6.3.3</w:t>
            </w:r>
            <w:r>
              <w:rPr>
                <w:rFonts w:hint="eastAsia" w:ascii="宋体" w:hAnsi="宋体" w:cs="宋体"/>
                <w:color w:val="auto"/>
                <w:kern w:val="0"/>
                <w:szCs w:val="21"/>
                <w:highlight w:val="none"/>
              </w:rPr>
              <w:t>特检预约系统（检查预约）</w:t>
            </w:r>
          </w:p>
        </w:tc>
        <w:tc>
          <w:tcPr>
            <w:tcW w:w="7638" w:type="dxa"/>
            <w:vAlign w:val="center"/>
          </w:tcPr>
          <w:p w14:paraId="50A6213B">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HIS 提供接口</w:t>
            </w:r>
          </w:p>
          <w:p w14:paraId="1055A8F5">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特检申请信息接口：向特检预约系统推送患者基本信息、申请检查项目（如 MRI、 CT 增强、PET-CT 等）、临床诊断、检查优先级、特殊要求等信息，支持多种特检项目的申请录入。</w:t>
            </w:r>
          </w:p>
          <w:p w14:paraId="413F79BF">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患者可预约时段查询接口：特检预约系统可通过该接口查询 HIS 系统中患者的空闲时段（避开已有检查、治疗安排），以便为患者推荐合适的预约时间。</w:t>
            </w:r>
          </w:p>
          <w:p w14:paraId="4AC15891">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费用预估接口：根据特检项目信息，HIS 系统向特检预约系统提供费用预估数据，方便患者在预约时了解大致费用。</w:t>
            </w:r>
          </w:p>
          <w:p w14:paraId="019D5DD9">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预约冲突检测接口：支持 HIS 系统与特检预约系统进行预约冲突检测，避免同一时间为患者安排多项冲突的检查项目。</w:t>
            </w:r>
          </w:p>
          <w:p w14:paraId="0D25F3AD">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特检预约系统提供接口</w:t>
            </w:r>
          </w:p>
          <w:p w14:paraId="0401DCEA">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预约结果反馈接口：将预约成功或失败信息（预约时间、检查设备、失败原因）反馈至 HIS 系统，HIS 系统更新患者检查预约状态，并通过短信、公众号等方式通知患者。</w:t>
            </w:r>
          </w:p>
          <w:p w14:paraId="5684AA4D">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预约变更接口：当特检预约时间、设备等信息发生变更时，及时将变更信息同步至 HIS 系统，HIS 系统通知患者并调整相关诊疗安排。</w:t>
            </w:r>
          </w:p>
          <w:p w14:paraId="3A863164">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检查取消接口：患者通过特检预约系统取消预约后，特检预约系统将取消信息反馈至 HIS 系统，HIS 系统释放预约资源，并更新患者检查状态。</w:t>
            </w:r>
          </w:p>
          <w:p w14:paraId="49218A37">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预约统计接口：定期向 HIS 系统提供特检预约统计数据（如各项目预约量、预约时段分布、取消率等），为医院合理配置资源、优化预约流程提供决策依据。</w:t>
            </w:r>
          </w:p>
        </w:tc>
      </w:tr>
      <w:tr w14:paraId="5356B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9" w:hRule="atLeast"/>
          <w:jc w:val="center"/>
        </w:trPr>
        <w:tc>
          <w:tcPr>
            <w:tcW w:w="971" w:type="dxa"/>
            <w:vMerge w:val="continue"/>
            <w:vAlign w:val="center"/>
          </w:tcPr>
          <w:p w14:paraId="3931AB0C">
            <w:pPr>
              <w:widowControl/>
              <w:jc w:val="center"/>
              <w:rPr>
                <w:rFonts w:ascii="宋体" w:hAnsi="宋体"/>
                <w:color w:val="auto"/>
                <w:highlight w:val="none"/>
              </w:rPr>
            </w:pPr>
          </w:p>
        </w:tc>
        <w:tc>
          <w:tcPr>
            <w:tcW w:w="1190" w:type="dxa"/>
            <w:vAlign w:val="center"/>
          </w:tcPr>
          <w:p w14:paraId="417BAFEB">
            <w:pPr>
              <w:numPr>
                <w:ilvl w:val="2"/>
                <w:numId w:val="0"/>
              </w:numPr>
              <w:ind w:left="0" w:firstLine="0"/>
              <w:rPr>
                <w:rFonts w:ascii="宋体" w:hAnsi="宋体" w:cs="宋体"/>
                <w:color w:val="auto"/>
                <w:kern w:val="0"/>
                <w:szCs w:val="21"/>
                <w:highlight w:val="none"/>
              </w:rPr>
            </w:pPr>
            <w:r>
              <w:rPr>
                <w:rFonts w:ascii="宋体" w:hAnsi="宋体" w:eastAsia="宋体" w:cs="宋体"/>
                <w:color w:val="auto"/>
                <w:kern w:val="0"/>
                <w:sz w:val="21"/>
                <w:szCs w:val="21"/>
                <w:lang w:val="en-US" w:eastAsia="zh-CN" w:bidi="ar-SA"/>
              </w:rPr>
              <w:t>6.3.4</w:t>
            </w:r>
            <w:r>
              <w:rPr>
                <w:rFonts w:hint="eastAsia" w:ascii="宋体" w:hAnsi="宋体" w:cs="宋体"/>
                <w:color w:val="auto"/>
                <w:kern w:val="0"/>
                <w:szCs w:val="21"/>
                <w:highlight w:val="none"/>
              </w:rPr>
              <w:t>门诊预约分诊系统</w:t>
            </w:r>
          </w:p>
        </w:tc>
        <w:tc>
          <w:tcPr>
            <w:tcW w:w="7638" w:type="dxa"/>
            <w:vAlign w:val="center"/>
          </w:tcPr>
          <w:p w14:paraId="4118ABEE">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HIS 提供接口</w:t>
            </w:r>
          </w:p>
          <w:p w14:paraId="6A888FF7">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门诊号源信息接口：向门诊预约分诊系统提供各科室、医师的号源信息（号源数量、可预约时段、剩余号源），支持实时更新，确保患者获取准确的预约信息。</w:t>
            </w:r>
          </w:p>
          <w:p w14:paraId="1407F403">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患者预约信息接口：接收门诊预约分诊系统提交的患者预约信息（预约科室、医师、时间、患者姓名、联系方式），完成号源分配，并将预约成功或失败结果反馈至门诊预约分诊系统。</w:t>
            </w:r>
          </w:p>
          <w:p w14:paraId="1028E58B">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患者优先级标记接口：临床医师可通过 HIS 系统对急诊患者、复诊患者等特殊情况进行优先级标记，门诊预约分诊系统根据标记优先安排就诊。</w:t>
            </w:r>
          </w:p>
          <w:p w14:paraId="0BFABFCB">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叫号规则与诊室设置接口：支持门诊科室通过 HIS 系统设置分诊叫号规则（如按预约时间顺序、按挂号顺序）、诊室信息（诊室号、接诊医师）等参数。</w:t>
            </w:r>
          </w:p>
          <w:p w14:paraId="2D9C8E5D">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门诊预约分诊系统提供接口</w:t>
            </w:r>
          </w:p>
          <w:p w14:paraId="6A0E416D">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叫号状态反馈接口：向 HIS 系统实时反馈叫号状态（已叫号、过号、正在就诊等）， HIS 系统更新患者就诊进度，方便患者查询和医护人员管理。</w:t>
            </w:r>
          </w:p>
          <w:p w14:paraId="3FF0E2EA">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候诊人数统计接口：将各科室候诊区的患者人数、等待时间等统计数据反馈至 HIS系统，为医院合理调配医护资源、优化就诊流程提供数据支持。</w:t>
            </w:r>
          </w:p>
          <w:p w14:paraId="173E0F90">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患者签到接口：患者在门诊预约分诊系统完成签到后，系统将签到信息反馈至 HIS系统，HIS 系统更新患者状态，准备安排就诊。</w:t>
            </w:r>
          </w:p>
          <w:p w14:paraId="42E7D803">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就诊评价接口：收集患者对门诊就诊服务的满意度评价（如医师态度、候诊时间、诊疗效果），反馈至 HIS 系统，助力医院提升服务质量。</w:t>
            </w:r>
          </w:p>
        </w:tc>
      </w:tr>
      <w:tr w14:paraId="4309A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9" w:hRule="atLeast"/>
          <w:jc w:val="center"/>
        </w:trPr>
        <w:tc>
          <w:tcPr>
            <w:tcW w:w="971" w:type="dxa"/>
            <w:vMerge w:val="continue"/>
            <w:vAlign w:val="center"/>
          </w:tcPr>
          <w:p w14:paraId="40A8A8D6">
            <w:pPr>
              <w:widowControl/>
              <w:jc w:val="center"/>
              <w:rPr>
                <w:rFonts w:ascii="宋体" w:hAnsi="宋体"/>
                <w:color w:val="auto"/>
                <w:highlight w:val="none"/>
              </w:rPr>
            </w:pPr>
          </w:p>
        </w:tc>
        <w:tc>
          <w:tcPr>
            <w:tcW w:w="1190" w:type="dxa"/>
            <w:vAlign w:val="center"/>
          </w:tcPr>
          <w:p w14:paraId="2161E0A0">
            <w:pPr>
              <w:numPr>
                <w:ilvl w:val="2"/>
                <w:numId w:val="0"/>
              </w:numPr>
              <w:ind w:left="0" w:firstLine="0"/>
              <w:rPr>
                <w:rFonts w:ascii="宋体" w:hAnsi="宋体" w:cs="宋体"/>
                <w:color w:val="auto"/>
                <w:kern w:val="0"/>
                <w:szCs w:val="21"/>
                <w:highlight w:val="none"/>
              </w:rPr>
            </w:pPr>
            <w:r>
              <w:rPr>
                <w:rFonts w:ascii="宋体" w:hAnsi="宋体" w:eastAsia="宋体" w:cs="宋体"/>
                <w:color w:val="auto"/>
                <w:kern w:val="0"/>
                <w:sz w:val="21"/>
                <w:szCs w:val="21"/>
                <w:lang w:val="en-US" w:eastAsia="zh-CN" w:bidi="ar-SA"/>
              </w:rPr>
              <w:t>6.3.5</w:t>
            </w:r>
            <w:r>
              <w:rPr>
                <w:rFonts w:hint="eastAsia" w:ascii="宋体" w:hAnsi="宋体" w:cs="宋体"/>
                <w:color w:val="auto"/>
                <w:kern w:val="0"/>
                <w:szCs w:val="21"/>
                <w:highlight w:val="none"/>
              </w:rPr>
              <w:t>放射登记系统</w:t>
            </w:r>
          </w:p>
        </w:tc>
        <w:tc>
          <w:tcPr>
            <w:tcW w:w="7638" w:type="dxa"/>
            <w:vAlign w:val="center"/>
          </w:tcPr>
          <w:p w14:paraId="42F32D85">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HIS 提供接口</w:t>
            </w:r>
          </w:p>
          <w:p w14:paraId="06262787">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放射检查申请登记接口：向放射登记系统推送患者基本信息、检查申请项目、临床诊断、申请医师等信息，支持登记人员快速完成检查登记操作。</w:t>
            </w:r>
          </w:p>
          <w:p w14:paraId="00C72237">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患者预约信息同步接口：将已完成预约的放射检查信息（预约时间、检查设备、检查室）同步至放射登记系统，登记人员可根据预约信息安排患者登记和检查前准备。</w:t>
            </w:r>
          </w:p>
          <w:p w14:paraId="727845FC">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费用确认接口：放射登记系统在登记完成后，将检查项目费用信息反馈至 HIS 系统进行确认，HIS 系统更新患者费用状态，确保费用准确无误。</w:t>
            </w:r>
          </w:p>
          <w:p w14:paraId="0B21C29F">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患者身份核对接口：支持放射登记系统与 HIS 系统进行患者身份信息核对（如姓名、住院号、身份证号），防止登记错误，保障检查安全。</w:t>
            </w:r>
          </w:p>
          <w:p w14:paraId="29340656">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放射登记系统提供接口</w:t>
            </w:r>
          </w:p>
          <w:p w14:paraId="4BE3CA0A">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登记信息反馈接口：将登记完成后的患者信息（登记号、检查时间、检查项目调整情况）反馈至 HIS 系统，HIS 系统更新患者检查状态，方便后续流程跟进。</w:t>
            </w:r>
          </w:p>
          <w:p w14:paraId="7CCAAF54">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检查排队信息接口：向 HIS 系统提供放射检查排队情况（排队人数、预计等待时间）， HIS 系统可通过短信、公众号等方式告知患者，优化患者候检体验。</w:t>
            </w:r>
          </w:p>
          <w:p w14:paraId="06B53795">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设备使用状态接口：实时反馈放射检查设备的使用状态（空闲、使用中、故障）， HIS 系统可结合设备状态和预约情况，合理调整检查安排。</w:t>
            </w:r>
          </w:p>
          <w:p w14:paraId="71221196">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登记异常处理接口：当出现登记错误、患者信息不符等异常情况时，将异常信息及处理结果反馈至 HIS 系统，HIS 系统更新相关记录，确保信息一致性。</w:t>
            </w:r>
          </w:p>
        </w:tc>
      </w:tr>
      <w:tr w14:paraId="0C158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0" w:hRule="atLeast"/>
          <w:jc w:val="center"/>
        </w:trPr>
        <w:tc>
          <w:tcPr>
            <w:tcW w:w="971" w:type="dxa"/>
            <w:vMerge w:val="restart"/>
            <w:vAlign w:val="center"/>
          </w:tcPr>
          <w:p w14:paraId="651CC1DB">
            <w:pPr>
              <w:numPr>
                <w:ilvl w:val="1"/>
                <w:numId w:val="0"/>
              </w:numPr>
              <w:ind w:left="0" w:firstLine="0"/>
              <w:rPr>
                <w:rFonts w:ascii="宋体" w:hAnsi="宋体"/>
                <w:color w:val="auto"/>
                <w:highlight w:val="none"/>
              </w:rPr>
            </w:pPr>
            <w:r>
              <w:rPr>
                <w:rFonts w:ascii="宋体" w:hAnsi="宋体" w:eastAsia="宋体" w:cs="Times New Roman"/>
                <w:color w:val="auto"/>
                <w:kern w:val="2"/>
                <w:sz w:val="21"/>
                <w:szCs w:val="24"/>
                <w:lang w:val="en-US" w:eastAsia="zh-CN" w:bidi="ar-SA"/>
              </w:rPr>
              <w:t>6.4</w:t>
            </w:r>
            <w:r>
              <w:rPr>
                <w:rFonts w:hint="eastAsia" w:ascii="宋体" w:hAnsi="宋体"/>
                <w:color w:val="auto"/>
                <w:highlight w:val="none"/>
              </w:rPr>
              <w:t>非医疗设备对接</w:t>
            </w:r>
          </w:p>
        </w:tc>
        <w:tc>
          <w:tcPr>
            <w:tcW w:w="1190" w:type="dxa"/>
            <w:vAlign w:val="center"/>
          </w:tcPr>
          <w:p w14:paraId="1B45C8ED">
            <w:pPr>
              <w:numPr>
                <w:ilvl w:val="2"/>
                <w:numId w:val="0"/>
              </w:numPr>
              <w:ind w:left="0" w:firstLine="0"/>
              <w:rPr>
                <w:rFonts w:ascii="宋体" w:hAnsi="宋体" w:cs="宋体"/>
                <w:color w:val="auto"/>
                <w:kern w:val="0"/>
                <w:szCs w:val="21"/>
                <w:highlight w:val="none"/>
              </w:rPr>
            </w:pPr>
            <w:r>
              <w:rPr>
                <w:rFonts w:ascii="宋体" w:hAnsi="宋体" w:eastAsia="宋体" w:cs="宋体"/>
                <w:color w:val="auto"/>
                <w:kern w:val="0"/>
                <w:sz w:val="21"/>
                <w:szCs w:val="21"/>
                <w:lang w:val="en-US" w:eastAsia="zh-CN" w:bidi="ar-SA"/>
              </w:rPr>
              <w:t>6.4.1</w:t>
            </w:r>
            <w:r>
              <w:rPr>
                <w:rFonts w:hint="eastAsia" w:ascii="宋体" w:hAnsi="宋体" w:cs="宋体"/>
                <w:color w:val="auto"/>
                <w:kern w:val="0"/>
                <w:szCs w:val="21"/>
                <w:highlight w:val="none"/>
              </w:rPr>
              <w:t>自助机管理系统</w:t>
            </w:r>
          </w:p>
        </w:tc>
        <w:tc>
          <w:tcPr>
            <w:tcW w:w="7638" w:type="dxa"/>
            <w:vAlign w:val="center"/>
          </w:tcPr>
          <w:p w14:paraId="5F39E1D2">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HIS 提供接口</w:t>
            </w:r>
          </w:p>
          <w:p w14:paraId="4A991832">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患者身份认证接口：为自助机管理系统提供患者身份认证服务，支持通过身份证、医保卡、就诊卡等多种方式验证患者身份，确保操作安全。</w:t>
            </w:r>
          </w:p>
          <w:p w14:paraId="6E420702">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业务数据接口：向自助机管理系统提供挂号、缴费、报告查询、打印等业务相关数据，如号源信息、费用明细、检查检验报告数据等，保障自助机业务正常运行。</w:t>
            </w:r>
          </w:p>
          <w:p w14:paraId="7613D78D">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操作权限管理接口：允许 HIS 系统设置自助机不同功能的操作权限（如普通患者、医护人员权限区分），确保数据安全和操作规范。</w:t>
            </w:r>
          </w:p>
          <w:p w14:paraId="724137ED">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系统配置接口：支持通过 HIS 系统对自助机进行系统配置（如界面显示内容、打印格式、语言设置），满足不同医院和患者的个性化需求。</w:t>
            </w:r>
          </w:p>
          <w:p w14:paraId="4B0B7B1B">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自助机管理系统提供接口</w:t>
            </w:r>
          </w:p>
          <w:p w14:paraId="127E85F7">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操作记录接口：将患者在自助机上的操作记录（操作时间、操作内容、操作结果）反馈至 HIS 系统，便于追溯和审计，保障交易安全。</w:t>
            </w:r>
          </w:p>
          <w:p w14:paraId="1AE60F54">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设备状态接口：实时向 HIS 系统反馈自助机设备状态（正常、故障、缺纸、缺卡等）， HIS 系统可及时通知维护人员处理，提高设备可用性。</w:t>
            </w:r>
          </w:p>
          <w:p w14:paraId="06E6BEA5">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交易对账接口：与 HIS 系统进行交易对账，核对挂号、缴费等交易数据，确保金额准确一致，发现差异及时反馈并处理。</w:t>
            </w:r>
          </w:p>
          <w:p w14:paraId="5D2C6B19">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使用统计接口：定期向 HIS 系统提供自助机使用统计数据（使用人次、业务类型分布、使用率等），为医院评估自助服务效果、优化资源配置提供依据。</w:t>
            </w:r>
          </w:p>
        </w:tc>
      </w:tr>
      <w:tr w14:paraId="2B60D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3" w:hRule="atLeast"/>
          <w:jc w:val="center"/>
        </w:trPr>
        <w:tc>
          <w:tcPr>
            <w:tcW w:w="971" w:type="dxa"/>
            <w:vMerge w:val="continue"/>
            <w:vAlign w:val="center"/>
          </w:tcPr>
          <w:p w14:paraId="323E4106">
            <w:pPr>
              <w:widowControl/>
              <w:jc w:val="center"/>
              <w:rPr>
                <w:rFonts w:ascii="宋体" w:hAnsi="宋体"/>
                <w:color w:val="auto"/>
                <w:highlight w:val="none"/>
              </w:rPr>
            </w:pPr>
          </w:p>
        </w:tc>
        <w:tc>
          <w:tcPr>
            <w:tcW w:w="1190" w:type="dxa"/>
            <w:vAlign w:val="center"/>
          </w:tcPr>
          <w:p w14:paraId="19514E30">
            <w:pPr>
              <w:numPr>
                <w:ilvl w:val="2"/>
                <w:numId w:val="0"/>
              </w:numPr>
              <w:ind w:left="0" w:firstLine="0"/>
              <w:rPr>
                <w:rFonts w:ascii="宋体" w:hAnsi="宋体" w:cs="宋体"/>
                <w:color w:val="auto"/>
                <w:kern w:val="0"/>
                <w:szCs w:val="21"/>
                <w:highlight w:val="none"/>
              </w:rPr>
            </w:pPr>
            <w:r>
              <w:rPr>
                <w:rFonts w:ascii="宋体" w:hAnsi="宋体" w:eastAsia="宋体" w:cs="宋体"/>
                <w:color w:val="auto"/>
                <w:kern w:val="0"/>
                <w:sz w:val="21"/>
                <w:szCs w:val="21"/>
                <w:lang w:val="en-US" w:eastAsia="zh-CN" w:bidi="ar-SA"/>
              </w:rPr>
              <w:t>6.4.2</w:t>
            </w:r>
            <w:r>
              <w:rPr>
                <w:rFonts w:hint="eastAsia" w:ascii="宋体" w:hAnsi="宋体" w:cs="宋体"/>
                <w:color w:val="auto"/>
                <w:kern w:val="0"/>
                <w:szCs w:val="21"/>
                <w:highlight w:val="none"/>
              </w:rPr>
              <w:t>手术行为管理系统</w:t>
            </w:r>
          </w:p>
        </w:tc>
        <w:tc>
          <w:tcPr>
            <w:tcW w:w="7638" w:type="dxa"/>
            <w:vAlign w:val="center"/>
          </w:tcPr>
          <w:p w14:paraId="5F313418">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HIS 提供接口</w:t>
            </w:r>
          </w:p>
          <w:p w14:paraId="7DA86072">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手术申请与排班信息接口：向手术行为管理系统推送手术申请信息（手术名称、患者信息、手术医师、预计时长）、排班信息（手术时间、手术室、麻醉医师），支持手术安排的全流程管理。</w:t>
            </w:r>
          </w:p>
          <w:p w14:paraId="3F88EC8D">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患者术前信息接口：提供患者术前检查检验结果、诊断报告、过敏史等信息，帮助手术行为管理系统做好术前准备和风险评估。</w:t>
            </w:r>
          </w:p>
          <w:p w14:paraId="02E7AFDF">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费用关联接口：将手术相关费用（手术费、麻醉费、耗材费）与 HIS 系统患者费用清单关联，手术完成后自动计费并更新费用状态。</w:t>
            </w:r>
          </w:p>
          <w:p w14:paraId="0D52BEE7">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手术优先级标记接口：临床医师可通过 HIS 系统对急诊手术、危重患者手术等特殊情况进行优先级标记，手术行为管理系统优先安排此类手术。</w:t>
            </w:r>
          </w:p>
          <w:p w14:paraId="3A7262F0">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手术行为管理系统提供接口</w:t>
            </w:r>
          </w:p>
          <w:p w14:paraId="514A5271">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手术进度实时反馈接口：向 HIS 系统实时推送手术进度信息（手术开始时间、当前阶段、预计结束时间），方便家属查询和相关科室协调后续工作。</w:t>
            </w:r>
          </w:p>
          <w:p w14:paraId="2B498BA0">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手术室设备与耗材使用接口：记录手术室设备使用情况（设备名称、使用时长、状态）、耗材消耗情况（耗材名称、数量、批次），同步至 HIS 系统，便于设备管理和成本核算。</w:t>
            </w:r>
          </w:p>
          <w:p w14:paraId="3F7E330C">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手术人员工作状态接口：反馈手术医师、麻醉医师、护士等手术相关人员的工作状态（忙碌、空闲、待命），HIS 系统可合理调配人力资源。</w:t>
            </w:r>
          </w:p>
          <w:p w14:paraId="6779167E">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手术异常事件接口：当手术过程中出现异常事件（如术中大出血、设备故障）时，立即向 HIS 系统发送预警信息，HIS 系统启动应急响应机制，协调相关资源处理。</w:t>
            </w:r>
          </w:p>
        </w:tc>
      </w:tr>
      <w:tr w14:paraId="1B12B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5" w:hRule="atLeast"/>
          <w:jc w:val="center"/>
        </w:trPr>
        <w:tc>
          <w:tcPr>
            <w:tcW w:w="971" w:type="dxa"/>
            <w:vMerge w:val="continue"/>
            <w:vAlign w:val="center"/>
          </w:tcPr>
          <w:p w14:paraId="3D0D5C0C">
            <w:pPr>
              <w:widowControl/>
              <w:jc w:val="center"/>
              <w:rPr>
                <w:rFonts w:ascii="宋体" w:hAnsi="宋体"/>
                <w:color w:val="auto"/>
                <w:highlight w:val="none"/>
              </w:rPr>
            </w:pPr>
          </w:p>
        </w:tc>
        <w:tc>
          <w:tcPr>
            <w:tcW w:w="1190" w:type="dxa"/>
            <w:vAlign w:val="center"/>
          </w:tcPr>
          <w:p w14:paraId="0AF2D188">
            <w:pPr>
              <w:numPr>
                <w:ilvl w:val="2"/>
                <w:numId w:val="0"/>
              </w:numPr>
              <w:ind w:left="0" w:firstLine="0"/>
              <w:rPr>
                <w:rFonts w:ascii="宋体" w:hAnsi="宋体" w:cs="宋体"/>
                <w:color w:val="auto"/>
                <w:kern w:val="0"/>
                <w:szCs w:val="21"/>
                <w:highlight w:val="none"/>
              </w:rPr>
            </w:pPr>
            <w:r>
              <w:rPr>
                <w:rFonts w:ascii="宋体" w:hAnsi="宋体" w:eastAsia="宋体" w:cs="宋体"/>
                <w:color w:val="auto"/>
                <w:kern w:val="0"/>
                <w:sz w:val="21"/>
                <w:szCs w:val="21"/>
                <w:lang w:val="en-US" w:eastAsia="zh-CN" w:bidi="ar-SA"/>
              </w:rPr>
              <w:t>6.4.3</w:t>
            </w:r>
            <w:r>
              <w:rPr>
                <w:rFonts w:hint="eastAsia" w:ascii="宋体" w:hAnsi="宋体" w:cs="宋体"/>
                <w:color w:val="auto"/>
                <w:kern w:val="0"/>
                <w:szCs w:val="21"/>
                <w:highlight w:val="none"/>
              </w:rPr>
              <w:t>麻精机（一期、二期）</w:t>
            </w:r>
          </w:p>
        </w:tc>
        <w:tc>
          <w:tcPr>
            <w:tcW w:w="7638" w:type="dxa"/>
            <w:vAlign w:val="center"/>
          </w:tcPr>
          <w:p w14:paraId="205D1092">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HIS 提供接口</w:t>
            </w:r>
          </w:p>
          <w:p w14:paraId="2D51736D">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麻精药品医嘱接口：向麻精机系统推送麻精药品医嘱信息（药品名称、规格、剂量、使用时间、患者信息），确保医嘱准确传达至麻精机进行调配。</w:t>
            </w:r>
          </w:p>
          <w:p w14:paraId="28C5F3E4">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患者授权信息接口：提供使用麻精药品患者的授权信息（授权医师、授权时间、授权范围），麻精机系统据此验证操作合法性，保障麻精药品使用安全。</w:t>
            </w:r>
          </w:p>
          <w:p w14:paraId="4D2A3CC2">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库存基础信息接口：同步麻精药品的库存基础信息（药品名称、剂型、库存数量、安全库存、有效期），麻精机系统可根据库存情况自动预警和补货。</w:t>
            </w:r>
          </w:p>
          <w:p w14:paraId="6869AA87">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费用关联接口：将麻精药品使用费用与 HIS 系统患者费用清单关联，麻精机完成药品调配后，HIS 系统自动计费并更新费用状态。</w:t>
            </w:r>
          </w:p>
          <w:p w14:paraId="38BFE4E5">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麻精机（一期、二期）提供接口</w:t>
            </w:r>
          </w:p>
          <w:p w14:paraId="34BCF597">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药品使用记录接口：记录麻精药品的使用时间、使用数量、使用患者、操作人员等信息，同步至 HIS 系统，实现麻精药品使用的全流程追溯。</w:t>
            </w:r>
          </w:p>
          <w:p w14:paraId="502677DF">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库存动态更新接口：实时将麻精药品库存变化情况（领用、补充、盘点）反馈至 HIS 系统，HIS 系统更新库存数据，确保账实一致。</w:t>
            </w:r>
          </w:p>
          <w:p w14:paraId="6ED193EE">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设备运行状态接口：反馈麻精机设备的运行状态（正常、故障、校准中）、维护记录等信息，HIS 系统可安排设备维护计划，保障设备正常运行。</w:t>
            </w:r>
          </w:p>
          <w:p w14:paraId="7924FD34">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异常操作报警接口：当出现违规操作（如超剂量使用、未授权操作）时，立即向 HIS 系统发送报警信息，HIS 系统可及时处理，防止麻精药品滥用。</w:t>
            </w:r>
          </w:p>
        </w:tc>
      </w:tr>
      <w:tr w14:paraId="6CCA4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5" w:hRule="atLeast"/>
          <w:jc w:val="center"/>
        </w:trPr>
        <w:tc>
          <w:tcPr>
            <w:tcW w:w="971" w:type="dxa"/>
            <w:vMerge w:val="continue"/>
            <w:vAlign w:val="center"/>
          </w:tcPr>
          <w:p w14:paraId="38BEC104">
            <w:pPr>
              <w:widowControl/>
              <w:jc w:val="center"/>
              <w:rPr>
                <w:rFonts w:ascii="宋体" w:hAnsi="宋体"/>
                <w:color w:val="auto"/>
                <w:highlight w:val="none"/>
              </w:rPr>
            </w:pPr>
          </w:p>
        </w:tc>
        <w:tc>
          <w:tcPr>
            <w:tcW w:w="1190" w:type="dxa"/>
            <w:vAlign w:val="center"/>
          </w:tcPr>
          <w:p w14:paraId="08FF9039">
            <w:pPr>
              <w:numPr>
                <w:ilvl w:val="2"/>
                <w:numId w:val="0"/>
              </w:numPr>
              <w:ind w:left="0" w:firstLine="0"/>
              <w:rPr>
                <w:rFonts w:ascii="宋体" w:hAnsi="宋体" w:cs="宋体"/>
                <w:color w:val="auto"/>
                <w:kern w:val="0"/>
                <w:szCs w:val="21"/>
                <w:highlight w:val="none"/>
              </w:rPr>
            </w:pPr>
            <w:r>
              <w:rPr>
                <w:rFonts w:ascii="宋体" w:hAnsi="宋体" w:eastAsia="宋体" w:cs="宋体"/>
                <w:color w:val="auto"/>
                <w:kern w:val="0"/>
                <w:sz w:val="21"/>
                <w:szCs w:val="21"/>
                <w:lang w:val="en-US" w:eastAsia="zh-CN" w:bidi="ar-SA"/>
              </w:rPr>
              <w:t>6.4.4</w:t>
            </w:r>
            <w:r>
              <w:rPr>
                <w:rFonts w:hint="eastAsia" w:ascii="宋体" w:hAnsi="宋体" w:cs="宋体"/>
                <w:color w:val="auto"/>
                <w:kern w:val="0"/>
                <w:szCs w:val="21"/>
                <w:highlight w:val="none"/>
              </w:rPr>
              <w:t>门诊发药机</w:t>
            </w:r>
          </w:p>
        </w:tc>
        <w:tc>
          <w:tcPr>
            <w:tcW w:w="7638" w:type="dxa"/>
            <w:vAlign w:val="center"/>
          </w:tcPr>
          <w:p w14:paraId="4F4C7F0C">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HIS 提供接口</w:t>
            </w:r>
          </w:p>
          <w:p w14:paraId="44B2CCDF">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处方发药信息接口：向门诊发药机推送已缴费的处方信息（处方号、药品名称、数量、患者姓名），支持按药品存储位置、发药优先级等规则优化发药流程。</w:t>
            </w:r>
          </w:p>
          <w:p w14:paraId="1A6A54DD">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患者身份核对接口：门诊发药机可通过该接口与 HIS 系统进行患者身份信息核对，确保药品发放准确无误。</w:t>
            </w:r>
          </w:p>
          <w:p w14:paraId="7C46718E">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药品库存信息接口：同步门诊发药机内药品库存信息（库存数量、有效期、存放位置），HIS 系统可根据库存情况安排补货，保障药品供应。</w:t>
            </w:r>
          </w:p>
          <w:p w14:paraId="357F5B88">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发药规则设置接口：支持药房通过 HIS 系统设置门诊发药机的发药规则（如按处方顺序发药、按药品类别集中发药），满足不同药房工作需求。</w:t>
            </w:r>
          </w:p>
          <w:p w14:paraId="71E74F7D">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门诊发药机提供接口</w:t>
            </w:r>
          </w:p>
          <w:p w14:paraId="51E15B81">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发药状态反馈接口：向 HIS 系统实时反馈发药状态（发药中、已完成、发药异常）， HIS 系统更新患者取药进度，方便患者查询和医护人员管理。</w:t>
            </w:r>
          </w:p>
          <w:p w14:paraId="4D804FAF">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药品消耗记录接口：将每次发药的药品消耗数量、批次、时间等信息同步至 HIS系统，便于药品库存管理与追溯。</w:t>
            </w:r>
          </w:p>
          <w:p w14:paraId="4E7DD506">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设备故障报警接口：当门诊发药机出现卡药、机械故障、系统异常等情况时，立即向 HIS 系统发送报警信息，HIS 系统通知维修人员及时处理，减少对发药流程的影响。</w:t>
            </w:r>
          </w:p>
          <w:p w14:paraId="4C6228F6">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发药统计接口：定期向 HIS 系统提供发药数据统计（如单日发药处方量、各药品发药数量、发药准确率等），为药房运营管理与药品使用分析提供数据支持。</w:t>
            </w:r>
          </w:p>
        </w:tc>
      </w:tr>
      <w:tr w14:paraId="54DAF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9" w:hRule="atLeast"/>
          <w:jc w:val="center"/>
        </w:trPr>
        <w:tc>
          <w:tcPr>
            <w:tcW w:w="971" w:type="dxa"/>
            <w:vMerge w:val="continue"/>
            <w:vAlign w:val="center"/>
          </w:tcPr>
          <w:p w14:paraId="26240336">
            <w:pPr>
              <w:widowControl/>
              <w:jc w:val="center"/>
              <w:rPr>
                <w:rFonts w:ascii="宋体" w:hAnsi="宋体"/>
                <w:color w:val="auto"/>
                <w:highlight w:val="none"/>
              </w:rPr>
            </w:pPr>
          </w:p>
        </w:tc>
        <w:tc>
          <w:tcPr>
            <w:tcW w:w="1190" w:type="dxa"/>
            <w:vAlign w:val="center"/>
          </w:tcPr>
          <w:p w14:paraId="4E9BFE44">
            <w:pPr>
              <w:numPr>
                <w:ilvl w:val="2"/>
                <w:numId w:val="0"/>
              </w:numPr>
              <w:ind w:left="0" w:firstLine="0"/>
              <w:rPr>
                <w:rFonts w:ascii="宋体" w:hAnsi="宋体" w:cs="宋体"/>
                <w:color w:val="auto"/>
                <w:kern w:val="0"/>
                <w:szCs w:val="21"/>
                <w:highlight w:val="none"/>
              </w:rPr>
            </w:pPr>
            <w:r>
              <w:rPr>
                <w:rFonts w:ascii="宋体" w:hAnsi="宋体" w:eastAsia="宋体" w:cs="宋体"/>
                <w:color w:val="auto"/>
                <w:kern w:val="0"/>
                <w:sz w:val="21"/>
                <w:szCs w:val="21"/>
                <w:lang w:val="en-US" w:eastAsia="zh-CN" w:bidi="ar-SA"/>
              </w:rPr>
              <w:t>6.4.5</w:t>
            </w:r>
            <w:r>
              <w:rPr>
                <w:rFonts w:hint="eastAsia" w:ascii="宋体" w:hAnsi="宋体" w:cs="宋体"/>
                <w:color w:val="auto"/>
                <w:kern w:val="0"/>
                <w:szCs w:val="21"/>
                <w:highlight w:val="none"/>
              </w:rPr>
              <w:t>门诊药房拆零机服务</w:t>
            </w:r>
          </w:p>
        </w:tc>
        <w:tc>
          <w:tcPr>
            <w:tcW w:w="7638" w:type="dxa"/>
            <w:vAlign w:val="center"/>
          </w:tcPr>
          <w:p w14:paraId="517653C3">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HIS 提供接口</w:t>
            </w:r>
          </w:p>
          <w:p w14:paraId="4378509B">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拆零药品处方信息接口：将涉及拆零药品的处方详细信息（患者姓名、处方号、拆零药品名称、规格、所需数量）推送至门诊药房拆零机服务系统，确保拆零操作准确对应处方需求。</w:t>
            </w:r>
          </w:p>
          <w:p w14:paraId="79B9324E">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药品基础信息接口：提供拆零药品的基础信息，包括药品名称、最小包装单位、拆零规格、有效期、储存条件等，辅助拆零机正确执行拆零任务并保障药品质量。</w:t>
            </w:r>
          </w:p>
          <w:p w14:paraId="50CBDF09">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库存管理接口：同步拆零药品的库存数量及位置信息，拆零机服务系统在进行拆零操作前后实时更新库存，HIS 系统根据库存变化情况及时安排补货或调整库存策略。</w:t>
            </w:r>
          </w:p>
          <w:p w14:paraId="38382A1F">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费用核算接口：将拆零药品的费用信息与 HIS 系统中的患者费用清单关联，拆零完成后，HIS 系统自动计算并更新费用，确保拆零药品费用准确计入患者账单。</w:t>
            </w:r>
          </w:p>
          <w:p w14:paraId="5DB4B689">
            <w:pPr>
              <w:tabs>
                <w:tab w:val="left" w:pos="525"/>
                <w:tab w:val="left" w:pos="630"/>
              </w:tabs>
              <w:spacing w:line="360" w:lineRule="auto"/>
              <w:rPr>
                <w:rFonts w:ascii="宋体" w:hAnsi="宋体" w:cs="宋体"/>
                <w:bCs/>
                <w:color w:val="auto"/>
                <w:szCs w:val="21"/>
                <w:highlight w:val="none"/>
              </w:rPr>
            </w:pPr>
            <w:r>
              <w:rPr>
                <w:rFonts w:hint="eastAsia" w:ascii="宋体" w:hAnsi="宋体" w:cs="宋体"/>
                <w:bCs/>
                <w:color w:val="auto"/>
                <w:szCs w:val="21"/>
                <w:highlight w:val="none"/>
              </w:rPr>
              <w:t>门</w:t>
            </w:r>
            <w:r>
              <w:rPr>
                <w:rFonts w:ascii="宋体" w:hAnsi="宋体" w:cs="宋体"/>
                <w:bCs/>
                <w:color w:val="auto"/>
                <w:szCs w:val="21"/>
                <w:highlight w:val="none"/>
              </w:rPr>
              <w:t>诊药房拆零机服务提供接口</w:t>
            </w:r>
          </w:p>
          <w:p w14:paraId="78CB8659">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拆零任务执行反馈接口：向 HIS 系统反馈拆零任务的执行状态（待拆零、拆零中、已完成、拆零异常），以及实际拆零数量、损耗数量等信息，方便 HIS 系统掌握拆零进度和药品使用情况。</w:t>
            </w:r>
          </w:p>
          <w:p w14:paraId="32EE09B5">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设备运行状态接口：实时传输拆零机的运行状态，包括正常运行、故障报警（如刀片磨损、计量不准等）、维护状态等，HIS 系统可据此安排设备维护和维修，保障拆零工作顺利进行。</w:t>
            </w:r>
          </w:p>
          <w:p w14:paraId="70F72484">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拆零药品质量追溯接口：记录拆零药品的批次、拆零时间、操作人员等信息，并同步至 HIS 系统，一旦出现药品质量问题，可通过 HIS 系统快速追溯，确保用药安全。</w:t>
            </w:r>
          </w:p>
          <w:p w14:paraId="5440CBE5">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拆零数据统计接口：定期向 HIS 系统提供拆零业务数据统计，如每日拆零处方数量、各药品拆零频率、拆零损耗率等，为药房优化拆零流程、控制成本提供数据依据。</w:t>
            </w:r>
          </w:p>
        </w:tc>
      </w:tr>
      <w:tr w14:paraId="75731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2" w:hRule="atLeast"/>
          <w:jc w:val="center"/>
        </w:trPr>
        <w:tc>
          <w:tcPr>
            <w:tcW w:w="971" w:type="dxa"/>
            <w:vMerge w:val="continue"/>
            <w:vAlign w:val="center"/>
          </w:tcPr>
          <w:p w14:paraId="6F78EDBF">
            <w:pPr>
              <w:widowControl/>
              <w:jc w:val="center"/>
              <w:rPr>
                <w:rFonts w:ascii="宋体" w:hAnsi="宋体"/>
                <w:color w:val="auto"/>
                <w:highlight w:val="none"/>
              </w:rPr>
            </w:pPr>
          </w:p>
        </w:tc>
        <w:tc>
          <w:tcPr>
            <w:tcW w:w="1190" w:type="dxa"/>
            <w:vAlign w:val="center"/>
          </w:tcPr>
          <w:p w14:paraId="0D45A02A">
            <w:pPr>
              <w:numPr>
                <w:ilvl w:val="2"/>
                <w:numId w:val="0"/>
              </w:numPr>
              <w:ind w:left="0" w:firstLine="0"/>
              <w:rPr>
                <w:rFonts w:ascii="宋体" w:hAnsi="宋体" w:cs="宋体"/>
                <w:color w:val="auto"/>
                <w:kern w:val="0"/>
                <w:szCs w:val="21"/>
                <w:highlight w:val="none"/>
              </w:rPr>
            </w:pPr>
            <w:r>
              <w:rPr>
                <w:rFonts w:ascii="宋体" w:hAnsi="宋体" w:eastAsia="宋体" w:cs="宋体"/>
                <w:color w:val="auto"/>
                <w:kern w:val="0"/>
                <w:sz w:val="21"/>
                <w:szCs w:val="21"/>
                <w:lang w:val="en-US" w:eastAsia="zh-CN" w:bidi="ar-SA"/>
              </w:rPr>
              <w:t>6.4.6</w:t>
            </w:r>
            <w:r>
              <w:rPr>
                <w:rFonts w:hint="eastAsia" w:ascii="宋体" w:hAnsi="宋体" w:cs="宋体"/>
                <w:color w:val="auto"/>
                <w:kern w:val="0"/>
                <w:szCs w:val="21"/>
                <w:highlight w:val="none"/>
              </w:rPr>
              <w:t>住院药房分包机</w:t>
            </w:r>
          </w:p>
        </w:tc>
        <w:tc>
          <w:tcPr>
            <w:tcW w:w="7638" w:type="dxa"/>
            <w:vAlign w:val="center"/>
          </w:tcPr>
          <w:p w14:paraId="431E34C3">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HIS 提供接口</w:t>
            </w:r>
          </w:p>
          <w:p w14:paraId="78DAFDF2">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住院患者用药医嘱接口：向住院药房分包机推送住院患者的用药医嘱信息，包括患者姓名、住院号、医嘱起止时间、药品名称、剂量、服用频次等，确保分包机按医嘱准确分包药品。</w:t>
            </w:r>
          </w:p>
          <w:p w14:paraId="044D1658">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患者信息接口：提供患者的基本信息，如年龄、性别、过敏史等，帮助分包机在分包过程中进行用药安全提示和核对，避免用药错误。</w:t>
            </w:r>
          </w:p>
          <w:p w14:paraId="1C5ED0F6">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药品库存与效期接口：同步住院药房药品的库存数量、存放位置以及有效期信息，分包机根据库存情况选择药品进行分包，并在药品临近有效期时向 HIS 系统发出预警，以便及时处理。</w:t>
            </w:r>
          </w:p>
          <w:p w14:paraId="7C834089">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分包规则设置接口：支持药房通过 HIS 系统设置分包机的分包规则，如按顿分包、按日分包、特殊药品单独分包等，满足不同用药需求和管理要求。</w:t>
            </w:r>
          </w:p>
          <w:p w14:paraId="524FB96F">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住院药房分包机提供接口</w:t>
            </w:r>
          </w:p>
          <w:p w14:paraId="5789C64B">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分包任务执行接口：向 HIS 系统反馈分包任务的执行情况，包括已分包处方数量、正在分包处方信息、未完成分包原因等，HIS 系统可实时掌握分包进度，协调药品发放工作。</w:t>
            </w:r>
          </w:p>
          <w:p w14:paraId="5B890575">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分包药品信息接口：将分包完成的药品信息（药品名称、数量、分包时间、批次、对应患者信息等）同步至 HIS 系统，便于护士核对领取药品，同时为药品追溯提供数据支持。</w:t>
            </w:r>
          </w:p>
          <w:p w14:paraId="32A34E05">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设备故障与维护接口：当分包机出现故障（如机械卡壳、电子秤失灵）或需要维护时，及时向 HIS 系统发送设备状态信息，HIS 系统安排维修人员进行处理，保障住院患者用药及时性。</w:t>
            </w:r>
          </w:p>
          <w:p w14:paraId="3DF4DA9A">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分包数据统计接口：定期向 HIS 系统提供分包数据统计报表，如每日分包处方总量、各科室分包药品数量、分包准确率等，帮助药房评估分包工作效率和质量，优化工作流程</w:t>
            </w:r>
          </w:p>
        </w:tc>
      </w:tr>
      <w:tr w14:paraId="49507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5" w:hRule="atLeast"/>
          <w:jc w:val="center"/>
        </w:trPr>
        <w:tc>
          <w:tcPr>
            <w:tcW w:w="971" w:type="dxa"/>
            <w:vMerge w:val="continue"/>
            <w:vAlign w:val="center"/>
          </w:tcPr>
          <w:p w14:paraId="5B218481">
            <w:pPr>
              <w:widowControl/>
              <w:jc w:val="center"/>
              <w:rPr>
                <w:rFonts w:ascii="宋体" w:hAnsi="宋体"/>
                <w:color w:val="auto"/>
                <w:highlight w:val="none"/>
              </w:rPr>
            </w:pPr>
          </w:p>
        </w:tc>
        <w:tc>
          <w:tcPr>
            <w:tcW w:w="1190" w:type="dxa"/>
            <w:vAlign w:val="center"/>
          </w:tcPr>
          <w:p w14:paraId="2FE520E8">
            <w:pPr>
              <w:numPr>
                <w:ilvl w:val="2"/>
                <w:numId w:val="0"/>
              </w:numPr>
              <w:ind w:left="0" w:firstLine="0"/>
              <w:rPr>
                <w:rFonts w:ascii="宋体" w:hAnsi="宋体" w:cs="宋体"/>
                <w:color w:val="auto"/>
                <w:kern w:val="0"/>
                <w:szCs w:val="21"/>
                <w:highlight w:val="none"/>
              </w:rPr>
            </w:pPr>
            <w:r>
              <w:rPr>
                <w:rFonts w:ascii="宋体" w:hAnsi="宋体" w:eastAsia="宋体" w:cs="宋体"/>
                <w:color w:val="auto"/>
                <w:kern w:val="0"/>
                <w:sz w:val="21"/>
                <w:szCs w:val="21"/>
                <w:lang w:val="en-US" w:eastAsia="zh-CN" w:bidi="ar-SA"/>
              </w:rPr>
              <w:t>6.4.7</w:t>
            </w:r>
            <w:r>
              <w:rPr>
                <w:rFonts w:hint="eastAsia" w:ascii="宋体" w:hAnsi="宋体" w:cs="宋体"/>
                <w:color w:val="auto"/>
                <w:kern w:val="0"/>
                <w:szCs w:val="21"/>
                <w:highlight w:val="none"/>
              </w:rPr>
              <w:t>中药配方颗粒发药机</w:t>
            </w:r>
          </w:p>
        </w:tc>
        <w:tc>
          <w:tcPr>
            <w:tcW w:w="7638" w:type="dxa"/>
            <w:vAlign w:val="center"/>
          </w:tcPr>
          <w:p w14:paraId="042C282C">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HIS 提供接口</w:t>
            </w:r>
          </w:p>
          <w:p w14:paraId="2D0DC2D4">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中药配方颗粒处方接口：向中药配方颗粒发药机推送患者的中药配方颗粒处方信息，包括处方号、患者姓名、药品名称及剂量（以配方颗粒形式）、医嘱频次等，确保发药 机准确配药。</w:t>
            </w:r>
          </w:p>
          <w:p w14:paraId="03F80441">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药品基础信息接口：提供中药配方颗粒的详细基础信息，如药品名称、规格、功效、冲泡方法、储存条件等，辅助发药机正确处理和发放药品，并支持患者用药指导。</w:t>
            </w:r>
          </w:p>
          <w:p w14:paraId="5CC7DECB">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库存管理接口：同步中药配方颗粒的库存数量、批次、有效期等信息，发药机在配药过程中实时更新库存，当库存不足时向 HIS 系统发出补货提醒，保证药品供应不间断。</w:t>
            </w:r>
          </w:p>
          <w:p w14:paraId="7ABAFFE3">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发药规则与优先级接口：支持通过 HIS 系统设置中药配方颗粒发药机的发药规则，如急症处方优先发药、普通处方按序发药等，同时可根据药房工作安排调整发药优先级。</w:t>
            </w:r>
          </w:p>
          <w:p w14:paraId="72F7A81D">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中药配方颗粒发药机提供接口</w:t>
            </w:r>
          </w:p>
          <w:p w14:paraId="21F95C18">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配药状态反馈接口：向 HIS 系统实时反馈配药状态，包括待配药、配药中、已配药、配药异常（如药品短缺、设备故障）等信息，HIS 系统可据此安排患者取药时间或处理异常情况。</w:t>
            </w:r>
          </w:p>
          <w:p w14:paraId="764ECC6C">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药品发放记录接口：将每次发放的中药配方颗粒信息（患者姓名、处方号、药品名称及数量、发放时间）同步至 HIS 系统，便于患者用药查询和药房进行药品发放统计与追溯。</w:t>
            </w:r>
          </w:p>
          <w:p w14:paraId="480544EB">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设备运行与维护接口：实时传输发药机的运行状态，包括正常运行、故障报警（如计量不准确、管道堵塞）、维护提示等信息，HIS 系统及时安排设备维护，确保发药机正常运行。</w:t>
            </w:r>
          </w:p>
          <w:p w14:paraId="0D31C49D">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统计分析接口：定期向 HIS 系统提供中药配方颗粒发药数据统计，如每日发药处方数量、各药品使用频率、配药准确率等，为中药处方用药分析、药品采购计划制定提供数据参考。</w:t>
            </w:r>
          </w:p>
        </w:tc>
      </w:tr>
      <w:tr w14:paraId="550CF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0" w:hRule="atLeast"/>
          <w:jc w:val="center"/>
        </w:trPr>
        <w:tc>
          <w:tcPr>
            <w:tcW w:w="971" w:type="dxa"/>
            <w:vMerge w:val="continue"/>
            <w:vAlign w:val="center"/>
          </w:tcPr>
          <w:p w14:paraId="2F97F326">
            <w:pPr>
              <w:widowControl/>
              <w:jc w:val="center"/>
              <w:rPr>
                <w:rFonts w:ascii="宋体" w:hAnsi="宋体"/>
                <w:color w:val="auto"/>
                <w:highlight w:val="none"/>
              </w:rPr>
            </w:pPr>
          </w:p>
        </w:tc>
        <w:tc>
          <w:tcPr>
            <w:tcW w:w="1190" w:type="dxa"/>
            <w:vAlign w:val="center"/>
          </w:tcPr>
          <w:p w14:paraId="7357C408">
            <w:pPr>
              <w:numPr>
                <w:ilvl w:val="2"/>
                <w:numId w:val="0"/>
              </w:numPr>
              <w:ind w:left="0" w:firstLine="0"/>
              <w:rPr>
                <w:rFonts w:ascii="宋体" w:hAnsi="宋体" w:cs="宋体"/>
                <w:color w:val="auto"/>
                <w:kern w:val="0"/>
                <w:szCs w:val="21"/>
                <w:highlight w:val="none"/>
              </w:rPr>
            </w:pPr>
            <w:r>
              <w:rPr>
                <w:rFonts w:ascii="宋体" w:hAnsi="宋体" w:eastAsia="宋体" w:cs="宋体"/>
                <w:color w:val="auto"/>
                <w:kern w:val="0"/>
                <w:sz w:val="21"/>
                <w:szCs w:val="21"/>
                <w:lang w:val="en-US" w:eastAsia="zh-CN" w:bidi="ar-SA"/>
              </w:rPr>
              <w:t>6.4.8</w:t>
            </w:r>
            <w:r>
              <w:rPr>
                <w:rFonts w:hint="eastAsia" w:ascii="宋体" w:hAnsi="宋体" w:cs="宋体"/>
                <w:color w:val="auto"/>
                <w:kern w:val="0"/>
                <w:szCs w:val="21"/>
                <w:highlight w:val="none"/>
              </w:rPr>
              <w:t>调配机（门诊西药房、住院西药房、静配中心）</w:t>
            </w:r>
          </w:p>
        </w:tc>
        <w:tc>
          <w:tcPr>
            <w:tcW w:w="7638" w:type="dxa"/>
            <w:vAlign w:val="center"/>
          </w:tcPr>
          <w:p w14:paraId="09084ED6">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HIS 提供接口</w:t>
            </w:r>
          </w:p>
          <w:p w14:paraId="1EC518D3">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药品调配任务接口：向调配机推送药品调配任务信息，包括处方号、患者姓名、所需药品名称、规格、数量、调配要求（如特殊剂型处理、混合调配禁忌等），确保调配机准确执行任务。</w:t>
            </w:r>
          </w:p>
          <w:p w14:paraId="0A560928">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药品库存与位置接口：提供调配机内药品的库存数量、存放位置信息，以及药房整体库存数据，调配机根据库存情况选择药品进行调配，并在库存不足时向 HIS 系统发出补货请求。</w:t>
            </w:r>
          </w:p>
          <w:p w14:paraId="21AA0758">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调配规则与优先级接口：支持药房通过 HIS 系统设置调配机的调配规则，如按处方紧急程度、药品存储区域等规则进行调配，同时可调整调配任务优先级，保障关键处方及时完成。</w:t>
            </w:r>
          </w:p>
          <w:p w14:paraId="12E87D35">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患者与医嘱关联接口：将患者基本信息、过敏史、用药禁忌等与调配任务相关联，调配机在调配过程中进行智能提醒和核对，避免因调配错误导致用药风险。</w:t>
            </w:r>
          </w:p>
          <w:p w14:paraId="7C18239B">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调配机提供接口</w:t>
            </w:r>
          </w:p>
          <w:p w14:paraId="451AEAD8">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调配任务执行反馈接口：向 HIS 系统实时反馈调配任务执行状态，包括待调配、调配中、已完成、调配异常（如药品缺失、设备故障）等信息，HIS 系统可跟踪调配进度，及时处理异常情况。</w:t>
            </w:r>
          </w:p>
          <w:p w14:paraId="34B02BEC">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药品使用与库存更新接口：将每次调配所使用的药品名称、数量、批次等信息同步至 HIS 系统，并更新调配机内药品库存，确保 HIS 系统与调配机库存数据一致，便于库存管理和药品追溯。</w:t>
            </w:r>
          </w:p>
          <w:p w14:paraId="6591D333">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设备运行与故障接口：实时传输调配机的运行状态，包括正常运行、故障报警（如机械臂故障、传感器失灵）、维护需求等信息，HIS 系统安排维修人员进行处理，保障调配工作顺利进行。</w:t>
            </w:r>
          </w:p>
          <w:p w14:paraId="26603CE5">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调配数据统计接口：定期向 HIS 系统提供调配数据统计报表，如每日调配处方数量、各药品调配频率、调配准确率等，为药房优化调配流程、评估设备使用效率提供数据支持。</w:t>
            </w:r>
          </w:p>
        </w:tc>
      </w:tr>
      <w:tr w14:paraId="2F8A1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9" w:hRule="atLeast"/>
          <w:jc w:val="center"/>
        </w:trPr>
        <w:tc>
          <w:tcPr>
            <w:tcW w:w="971" w:type="dxa"/>
            <w:vMerge w:val="continue"/>
            <w:vAlign w:val="center"/>
          </w:tcPr>
          <w:p w14:paraId="6C682B58">
            <w:pPr>
              <w:widowControl/>
              <w:jc w:val="center"/>
              <w:rPr>
                <w:rFonts w:ascii="宋体" w:hAnsi="宋体"/>
                <w:color w:val="auto"/>
                <w:highlight w:val="none"/>
              </w:rPr>
            </w:pPr>
          </w:p>
        </w:tc>
        <w:tc>
          <w:tcPr>
            <w:tcW w:w="1190" w:type="dxa"/>
            <w:vAlign w:val="center"/>
          </w:tcPr>
          <w:p w14:paraId="7353C61A">
            <w:pPr>
              <w:numPr>
                <w:ilvl w:val="2"/>
                <w:numId w:val="0"/>
              </w:numPr>
              <w:ind w:left="0" w:firstLine="0"/>
              <w:rPr>
                <w:rFonts w:ascii="宋体" w:hAnsi="宋体" w:cs="宋体"/>
                <w:color w:val="auto"/>
                <w:kern w:val="0"/>
                <w:szCs w:val="21"/>
                <w:highlight w:val="none"/>
              </w:rPr>
            </w:pPr>
            <w:r>
              <w:rPr>
                <w:rFonts w:ascii="宋体" w:hAnsi="宋体" w:eastAsia="宋体" w:cs="宋体"/>
                <w:color w:val="auto"/>
                <w:kern w:val="0"/>
                <w:sz w:val="21"/>
                <w:szCs w:val="21"/>
                <w:lang w:val="en-US" w:eastAsia="zh-CN" w:bidi="ar-SA"/>
              </w:rPr>
              <w:t>6.4.9</w:t>
            </w:r>
            <w:r>
              <w:rPr>
                <w:rFonts w:hint="eastAsia" w:ascii="宋体" w:hAnsi="宋体" w:cs="宋体"/>
                <w:color w:val="auto"/>
                <w:kern w:val="0"/>
                <w:szCs w:val="21"/>
                <w:highlight w:val="none"/>
              </w:rPr>
              <w:t>住院西药房核对机</w:t>
            </w:r>
          </w:p>
        </w:tc>
        <w:tc>
          <w:tcPr>
            <w:tcW w:w="7638" w:type="dxa"/>
            <w:vAlign w:val="center"/>
          </w:tcPr>
          <w:p w14:paraId="6FE3CC74">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HIS 提供接口</w:t>
            </w:r>
          </w:p>
          <w:p w14:paraId="11276578">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住院药品发放信息接口：向住院西药房核对机推送即将发放至住院患者的药品信息，包括患者姓名、住院号、药品名称、规格、数量、医嘱信息等，作为核对依据。</w:t>
            </w:r>
          </w:p>
          <w:p w14:paraId="2F6C72A7">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药品基础与库存信息接口：提供药品的详细基础信息（如成分、用法用量、注意事项）以及库存状态，核对机可在核对过程中进行信息比对和库存校验，确保发放药品准确无误且库存合理。</w:t>
            </w:r>
          </w:p>
          <w:p w14:paraId="6E774423">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核对规则设置接口：支持药房通过 HIS 系统设置核对机的核对规则，如必核项目（药品名称、数量）、选核项目（批号、有效期）、核对方式（扫码核对、人工核对结合）等，满足不同管理要求。</w:t>
            </w:r>
          </w:p>
          <w:p w14:paraId="707DD9E3">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患者用药史接口：提供患者的用药史信息，包括既往用药情况、过敏史等，核对机在核对时进行智能提醒，避免重复用药或药物过敏等问题。</w:t>
            </w:r>
          </w:p>
          <w:p w14:paraId="271CDE51">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住院西药房核对机提供接口</w:t>
            </w:r>
          </w:p>
          <w:p w14:paraId="19897EDA">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核对结果反馈接口：向 HIS 系统反馈药品核对结果，包括核对通过、核对不通过（原因说明，如药品不符、数量错误）等信息，HIS 系统根据核对结果处理药品发放流程，如拦截问题药品或通知相关人员复核。</w:t>
            </w:r>
          </w:p>
          <w:p w14:paraId="4AD4383A">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异常记录接口：记录核对过程中出现的所有异常情况，包括异常时间、涉及药品、患者信息、处理措施等，并同步至 HIS 系统，便于追溯和分析问题，持续改进药品发放质量。</w:t>
            </w:r>
          </w:p>
          <w:p w14:paraId="4A7DEA67">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设备运行状态接口：实时传输核对机的运行状态，包括正常运行、故障报警（如扫码器故障、显示屏异常）、维护需求等信息，HIS 系统及时安排设备维护，保障核对工作正常开展。</w:t>
            </w:r>
          </w:p>
          <w:p w14:paraId="5B964962">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核对数据统计接口：定期向 HIS 系统提供核对数据统计报表，如每日核对处方数量、核对准确率、常见错误类型分布等，为药房加强药品管理、优化核对流程提供数据依据。</w:t>
            </w:r>
          </w:p>
        </w:tc>
      </w:tr>
      <w:tr w14:paraId="1A2B3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4" w:hRule="atLeast"/>
          <w:jc w:val="center"/>
        </w:trPr>
        <w:tc>
          <w:tcPr>
            <w:tcW w:w="971" w:type="dxa"/>
            <w:vMerge w:val="restart"/>
            <w:vAlign w:val="center"/>
          </w:tcPr>
          <w:p w14:paraId="5FC3066D">
            <w:pPr>
              <w:numPr>
                <w:ilvl w:val="1"/>
                <w:numId w:val="0"/>
              </w:numPr>
              <w:ind w:left="0" w:firstLine="0"/>
              <w:rPr>
                <w:rFonts w:ascii="宋体" w:hAnsi="宋体"/>
                <w:color w:val="auto"/>
                <w:highlight w:val="none"/>
              </w:rPr>
            </w:pPr>
            <w:r>
              <w:rPr>
                <w:rFonts w:ascii="宋体" w:hAnsi="宋体" w:eastAsia="宋体" w:cs="Times New Roman"/>
                <w:color w:val="auto"/>
                <w:kern w:val="2"/>
                <w:sz w:val="21"/>
                <w:szCs w:val="24"/>
                <w:lang w:val="en-US" w:eastAsia="zh-CN" w:bidi="ar-SA"/>
              </w:rPr>
              <w:t>6.5</w:t>
            </w:r>
            <w:r>
              <w:rPr>
                <w:rFonts w:hint="eastAsia" w:ascii="宋体" w:hAnsi="宋体"/>
                <w:color w:val="auto"/>
                <w:highlight w:val="none"/>
              </w:rPr>
              <w:t>医疗保障对接</w:t>
            </w:r>
          </w:p>
        </w:tc>
        <w:tc>
          <w:tcPr>
            <w:tcW w:w="1190" w:type="dxa"/>
            <w:vAlign w:val="center"/>
          </w:tcPr>
          <w:p w14:paraId="57DA6ED2">
            <w:pPr>
              <w:numPr>
                <w:ilvl w:val="2"/>
                <w:numId w:val="0"/>
              </w:numPr>
              <w:ind w:left="0" w:firstLine="0"/>
              <w:rPr>
                <w:rFonts w:ascii="宋体" w:hAnsi="宋体" w:cs="宋体"/>
                <w:color w:val="auto"/>
                <w:kern w:val="0"/>
                <w:szCs w:val="21"/>
                <w:highlight w:val="none"/>
              </w:rPr>
            </w:pPr>
            <w:r>
              <w:rPr>
                <w:rFonts w:ascii="宋体" w:hAnsi="宋体" w:eastAsia="宋体" w:cs="宋体"/>
                <w:color w:val="auto"/>
                <w:kern w:val="0"/>
                <w:sz w:val="21"/>
                <w:szCs w:val="21"/>
                <w:lang w:val="en-US" w:eastAsia="zh-CN" w:bidi="ar-SA"/>
              </w:rPr>
              <w:t>6.5.1</w:t>
            </w:r>
            <w:r>
              <w:rPr>
                <w:rFonts w:hint="eastAsia" w:ascii="宋体" w:hAnsi="宋体" w:cs="宋体"/>
                <w:color w:val="auto"/>
                <w:kern w:val="0"/>
                <w:szCs w:val="21"/>
                <w:highlight w:val="none"/>
              </w:rPr>
              <w:t>合理用血系统</w:t>
            </w:r>
          </w:p>
        </w:tc>
        <w:tc>
          <w:tcPr>
            <w:tcW w:w="7638" w:type="dxa"/>
            <w:vAlign w:val="center"/>
          </w:tcPr>
          <w:p w14:paraId="71DA455A">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HIS 提供接口</w:t>
            </w:r>
          </w:p>
          <w:p w14:paraId="5DA39072">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用血申请信息接口：向合理用血系统推送患者的用血申请信息，包括患者基本信息、临床诊断、血型、申请用血类型（红细胞、血浆、血小板等）、申请用量、申请时间等，支持紧急用血和常规用血申请。</w:t>
            </w:r>
          </w:p>
          <w:p w14:paraId="66E93DE7">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患者检验与病史信息接口：提供患者的血常规、凝血功能等检验结果，以及输血史、过敏史等病史信息，合理用血系统结合这些信息评估用血必要性和安全性。</w:t>
            </w:r>
          </w:p>
          <w:p w14:paraId="1CF8B49E">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血液库存信息接口：同步医院血库的血液库存情况，包括各血型血液的数量、有效期、储存位置等，合理用血系统根据库存信息为医师提供用血建议，避免血液浪费或短缺。</w:t>
            </w:r>
          </w:p>
          <w:p w14:paraId="5FEBE59B">
            <w:pPr>
              <w:numPr>
                <w:ilvl w:val="255"/>
                <w:numId w:val="0"/>
              </w:numPr>
              <w:tabs>
                <w:tab w:val="left" w:pos="525"/>
                <w:tab w:val="left" w:pos="630"/>
              </w:tabs>
              <w:spacing w:line="360" w:lineRule="auto"/>
              <w:rPr>
                <w:rFonts w:ascii="宋体" w:hAnsi="宋体" w:cs="宋体"/>
                <w:bCs/>
                <w:color w:val="auto"/>
                <w:szCs w:val="21"/>
                <w:highlight w:val="none"/>
              </w:rPr>
            </w:pPr>
          </w:p>
          <w:p w14:paraId="5CEBF520">
            <w:pPr>
              <w:numPr>
                <w:ilvl w:val="255"/>
                <w:numId w:val="0"/>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合理用血系统提供接口</w:t>
            </w:r>
          </w:p>
          <w:p w14:paraId="7443BD38">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用血审核结果反馈接口：对用血申请进行审核后，将审核结果（通过、不通过、需补充信息）反馈至 HIS 系统，HIS 系统根据审核结果处理用血申请流程，</w:t>
            </w:r>
            <w:r>
              <w:rPr>
                <w:rFonts w:hint="eastAsia" w:ascii="宋体" w:hAnsi="宋体" w:cs="宋体"/>
                <w:bCs/>
                <w:color w:val="auto"/>
                <w:szCs w:val="21"/>
                <w:highlight w:val="none"/>
              </w:rPr>
              <w:t>如审核不通过的结果、用血审批结果需修改申请单的内容（如血制品名称、规格等），实现医师修改后再次推送至输血系统。能根据输血申请单生成用血医嘱（或嘱托）。</w:t>
            </w:r>
          </w:p>
          <w:p w14:paraId="1E3489B9">
            <w:pPr>
              <w:numPr>
                <w:ilvl w:val="0"/>
                <w:numId w:val="12"/>
              </w:numPr>
              <w:tabs>
                <w:tab w:val="left" w:pos="525"/>
                <w:tab w:val="left" w:pos="630"/>
              </w:tabs>
              <w:spacing w:line="360" w:lineRule="auto"/>
              <w:rPr>
                <w:rFonts w:ascii="宋体" w:hAnsi="宋体" w:cs="宋体"/>
                <w:bCs/>
                <w:color w:val="auto"/>
                <w:szCs w:val="21"/>
                <w:highlight w:val="none"/>
              </w:rPr>
            </w:pPr>
            <w:r>
              <w:rPr>
                <w:rFonts w:hint="eastAsia" w:ascii="宋体" w:hAnsi="宋体" w:cs="宋体"/>
                <w:bCs/>
                <w:color w:val="auto"/>
                <w:szCs w:val="21"/>
                <w:highlight w:val="none"/>
              </w:rPr>
              <w:t>发血信息反馈接口：能接收并确认输血系统反馈的取血信息，根据发血单生成输血医嘱。</w:t>
            </w:r>
          </w:p>
          <w:p w14:paraId="55BC8BDD">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用血预警信息接口：当出现血液库存不足、不合理用血申请等情况时，向 HIS 系统发送预警信息，提醒相关人员采取措施，保障临床用血需求和用血安全。</w:t>
            </w:r>
          </w:p>
          <w:p w14:paraId="3D4E82D0">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用血数据统计接口：定期向 HIS 系统提供用血数据统计报表，如全院用血总量、各科室用血情况、不同病种用血分布、血液利用率等，为医院合理规划用血、评估用血合理性提供数据依据。</w:t>
            </w:r>
          </w:p>
          <w:p w14:paraId="07FD4420">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输血不良反应监测接口：将患者输血过程中出现的不良反应（如发热、过敏、溶血等）信息反馈至 HIS 系统，HIS 系统记录并跟踪不良反应处理情况，完善患者医疗记录，同时为输血安全管理提供数据支持。</w:t>
            </w:r>
          </w:p>
        </w:tc>
      </w:tr>
      <w:tr w14:paraId="4BF0C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2" w:hRule="atLeast"/>
          <w:jc w:val="center"/>
        </w:trPr>
        <w:tc>
          <w:tcPr>
            <w:tcW w:w="971" w:type="dxa"/>
            <w:vMerge w:val="continue"/>
            <w:vAlign w:val="center"/>
          </w:tcPr>
          <w:p w14:paraId="07A76EDC">
            <w:pPr>
              <w:widowControl/>
              <w:jc w:val="center"/>
              <w:rPr>
                <w:rFonts w:ascii="宋体" w:hAnsi="宋体"/>
                <w:color w:val="auto"/>
                <w:highlight w:val="none"/>
              </w:rPr>
            </w:pPr>
          </w:p>
        </w:tc>
        <w:tc>
          <w:tcPr>
            <w:tcW w:w="1190" w:type="dxa"/>
            <w:vAlign w:val="center"/>
          </w:tcPr>
          <w:p w14:paraId="3D54AD63">
            <w:pPr>
              <w:numPr>
                <w:ilvl w:val="2"/>
                <w:numId w:val="0"/>
              </w:numPr>
              <w:ind w:left="0" w:firstLine="0"/>
              <w:rPr>
                <w:rFonts w:ascii="宋体" w:hAnsi="宋体" w:cs="宋体"/>
                <w:color w:val="auto"/>
                <w:kern w:val="0"/>
                <w:szCs w:val="21"/>
                <w:highlight w:val="none"/>
              </w:rPr>
            </w:pPr>
            <w:r>
              <w:rPr>
                <w:rFonts w:ascii="宋体" w:hAnsi="宋体" w:eastAsia="宋体" w:cs="宋体"/>
                <w:color w:val="auto"/>
                <w:kern w:val="0"/>
                <w:sz w:val="21"/>
                <w:szCs w:val="21"/>
                <w:lang w:val="en-US" w:eastAsia="zh-CN" w:bidi="ar-SA"/>
              </w:rPr>
              <w:t>6.5.2</w:t>
            </w:r>
            <w:r>
              <w:rPr>
                <w:rFonts w:hint="eastAsia" w:ascii="宋体" w:hAnsi="宋体" w:cs="宋体"/>
                <w:color w:val="auto"/>
                <w:kern w:val="0"/>
                <w:szCs w:val="21"/>
                <w:highlight w:val="none"/>
              </w:rPr>
              <w:t>临床辅助决策支持系统（CDSS）</w:t>
            </w:r>
          </w:p>
        </w:tc>
        <w:tc>
          <w:tcPr>
            <w:tcW w:w="7638" w:type="dxa"/>
            <w:vAlign w:val="center"/>
          </w:tcPr>
          <w:p w14:paraId="748C8308">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HIS 提供接口</w:t>
            </w:r>
          </w:p>
          <w:p w14:paraId="4D8BC277">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患者全量信息接口：向 CDSS 系统提供患者的全方位信息，包括基本信息、现病史、既往史、家族史、过敏史、症状体征、检查检验结果、诊断信息、用药信息、治疗措施等，为临床决策提供完整数据基础。</w:t>
            </w:r>
          </w:p>
          <w:p w14:paraId="05B0331D">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临床指南与知识库关联接口：将医院遵循的临床诊疗指南、专家共识、药物说明书等知识库资源与 HIS 系统进行关联标识，CDSS 系统可根据患者信息快速匹配相关知识内容。</w:t>
            </w:r>
          </w:p>
          <w:p w14:paraId="53A597E1">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诊疗流程信息接口：提供医院各科室的诊疗流程信息，包括常规诊疗步骤、关键节点、特殊情况处理流程等，CDSS 系统结合患者病情为医师提供标准化诊疗流程建议。</w:t>
            </w:r>
          </w:p>
          <w:p w14:paraId="12C0835C">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医师权限与偏好接口：支持通过 HIS 系统设置医师在 CDSS 系统中的权限（如查看不同级别知识内容、使用特定功能），以及医师个人的诊疗偏好，使 CDSS 提供更个性化的决策支持。</w:t>
            </w:r>
          </w:p>
          <w:p w14:paraId="7E7C141E">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临床辅助决策支持系统（CDSS）提供接口</w:t>
            </w:r>
          </w:p>
          <w:p w14:paraId="791CCFD6">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诊疗建议反馈接口：根据患者信息和知识库内容，向 HIS 系统反馈临床诊疗建议，包括诊断建议、治疗方案推荐、用药指导、检查检验项目建议等，辅助医师制定合理的诊疗计划。</w:t>
            </w:r>
          </w:p>
          <w:p w14:paraId="615E3834">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知识推送接口：将与患者病情相关的最新临床知识、研究成果、用药警示等信息主动推送至 HIS 系统，提醒医师关注并学习，提升诊疗水平。</w:t>
            </w:r>
          </w:p>
          <w:p w14:paraId="769F1FA5">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决策依据展示接口：当向 HIS 系统提供诊疗建议时，同步展示建议的依据和来源（如相关文献、指南条款、临床研究数据），便于医师理解和参考，增强决策支持的可信度。</w:t>
            </w:r>
          </w:p>
          <w:p w14:paraId="518DE757">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使用效果评估接口：定期向 HIS 系统提供 CDSS 使用效果评估数据，如建议采纳率、对诊疗质量的影响、医师满意度等，帮助医院评估 CDSS 应用价值，持续优化系统功能。</w:t>
            </w:r>
          </w:p>
        </w:tc>
      </w:tr>
      <w:tr w14:paraId="168C7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7" w:hRule="atLeast"/>
          <w:jc w:val="center"/>
        </w:trPr>
        <w:tc>
          <w:tcPr>
            <w:tcW w:w="971" w:type="dxa"/>
            <w:vMerge w:val="continue"/>
            <w:vAlign w:val="center"/>
          </w:tcPr>
          <w:p w14:paraId="6FC541BD">
            <w:pPr>
              <w:widowControl/>
              <w:jc w:val="center"/>
              <w:rPr>
                <w:rFonts w:ascii="宋体" w:hAnsi="宋体"/>
                <w:color w:val="auto"/>
                <w:highlight w:val="none"/>
              </w:rPr>
            </w:pPr>
          </w:p>
        </w:tc>
        <w:tc>
          <w:tcPr>
            <w:tcW w:w="1190" w:type="dxa"/>
            <w:vAlign w:val="center"/>
          </w:tcPr>
          <w:p w14:paraId="7D77EA50">
            <w:pPr>
              <w:numPr>
                <w:ilvl w:val="2"/>
                <w:numId w:val="0"/>
              </w:numPr>
              <w:ind w:left="0" w:firstLine="0"/>
              <w:rPr>
                <w:rFonts w:ascii="宋体" w:hAnsi="宋体" w:cs="宋体"/>
                <w:color w:val="auto"/>
                <w:kern w:val="0"/>
                <w:szCs w:val="21"/>
                <w:highlight w:val="none"/>
              </w:rPr>
            </w:pPr>
            <w:r>
              <w:rPr>
                <w:rFonts w:ascii="宋体" w:hAnsi="宋体" w:eastAsia="宋体" w:cs="宋体"/>
                <w:color w:val="auto"/>
                <w:kern w:val="0"/>
                <w:sz w:val="21"/>
                <w:szCs w:val="21"/>
                <w:lang w:val="en-US" w:eastAsia="zh-CN" w:bidi="ar-SA"/>
              </w:rPr>
              <w:t>6.5.3</w:t>
            </w:r>
            <w:r>
              <w:rPr>
                <w:rFonts w:hint="eastAsia" w:ascii="宋体" w:hAnsi="宋体" w:cs="宋体"/>
                <w:color w:val="auto"/>
                <w:kern w:val="0"/>
                <w:szCs w:val="21"/>
                <w:highlight w:val="none"/>
              </w:rPr>
              <w:t>医院药物警戒系统（CHPS）</w:t>
            </w:r>
          </w:p>
        </w:tc>
        <w:tc>
          <w:tcPr>
            <w:tcW w:w="7638" w:type="dxa"/>
            <w:vAlign w:val="center"/>
          </w:tcPr>
          <w:p w14:paraId="7C650C99">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HIS 提供接口</w:t>
            </w:r>
          </w:p>
          <w:p w14:paraId="4BA14E6E">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药品不良反应报告接口：向 CHPS 系统推送患者用药过程中出现的不良反应信息，包括患者基本信息、药品名称、剂型、剂量、用药时间、不良反应表现、发生时间等，支持不良反应的及时上报和监测。</w:t>
            </w:r>
          </w:p>
          <w:p w14:paraId="064AADC0">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用药信息接口：提供患者的完整用药信息，包括处方信息、医嘱信息、用药记录等， CHPS 系统可结合这些信息分析药品与不良反应之间的关联性，评估用药风险。</w:t>
            </w:r>
          </w:p>
          <w:p w14:paraId="79F865C7">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患者基本信息与病历接口：同步患者的基本信息、诊断信息、过敏史等病历资料，帮助 CHPS 系统全面了解患者情况，准确判断不良反应的发生原因和严重程度。</w:t>
            </w:r>
          </w:p>
          <w:p w14:paraId="49658AFD">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药品信息接口：提供医院药品的详细信息，如药品名称、剂型、规格、生产厂家、批准文号、药品说明书等，CHPS 系统可据此对药品不良反应进行分类和分析。</w:t>
            </w:r>
          </w:p>
          <w:p w14:paraId="5791E3F3">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医院药物警戒系统（CHPS）提供接口</w:t>
            </w:r>
          </w:p>
          <w:p w14:paraId="12E2CB87">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不良反应评估与预警接口：对收集到的药品不良反应信息进行评估和分析，当发现严重不良反应、药品群体不良事件等情况时，及时向 HIS 系统发出预警信息，包括预警级别、可能原因、建议措施等，提醒医护人员采取相应的防范措施。</w:t>
            </w:r>
          </w:p>
          <w:p w14:paraId="21A6C340">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药品安全性信息反馈接口：将药品安全性信息（如新的药品不良反应报告、药品召回信息、药品使用警示等）反馈至 HIS 系统，HIS 系统可将这些信息传达给相关医护人员，指导合理用药。</w:t>
            </w:r>
          </w:p>
          <w:p w14:paraId="159D337D">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药物警戒数据分析接口：定期向 HIS 系统提供药物警戒数据分析报告，如药品不良反应发生率、常见不良反应类型、高风险药品清单等，为医院加强药品管理、优化用药方案提供数据支持。</w:t>
            </w:r>
          </w:p>
          <w:p w14:paraId="4ACCEF97">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药物警戒质量控制接口：对医院药物警戒工作的质量进行控制和评估，将评估结果</w:t>
            </w:r>
          </w:p>
          <w:p w14:paraId="33106200">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（如不良反应报告及时率、报告质量评分等）反馈至 HIS 系统，HIS 系统可据此对相关部门和人员进行绩效考核，促进药物警戒工作持续改进。</w:t>
            </w:r>
          </w:p>
        </w:tc>
      </w:tr>
      <w:tr w14:paraId="618A6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7" w:hRule="atLeast"/>
          <w:jc w:val="center"/>
        </w:trPr>
        <w:tc>
          <w:tcPr>
            <w:tcW w:w="971" w:type="dxa"/>
            <w:vMerge w:val="restart"/>
            <w:vAlign w:val="center"/>
          </w:tcPr>
          <w:p w14:paraId="25561001">
            <w:pPr>
              <w:numPr>
                <w:ilvl w:val="1"/>
                <w:numId w:val="0"/>
              </w:numPr>
              <w:ind w:left="0" w:firstLine="0"/>
              <w:rPr>
                <w:rFonts w:ascii="宋体" w:hAnsi="宋体"/>
                <w:color w:val="auto"/>
                <w:highlight w:val="none"/>
              </w:rPr>
            </w:pPr>
            <w:r>
              <w:rPr>
                <w:rFonts w:ascii="宋体" w:hAnsi="宋体" w:eastAsia="宋体" w:cs="Times New Roman"/>
                <w:color w:val="auto"/>
                <w:kern w:val="2"/>
                <w:sz w:val="21"/>
                <w:szCs w:val="24"/>
                <w:lang w:val="en-US" w:eastAsia="zh-CN" w:bidi="ar-SA"/>
              </w:rPr>
              <w:t>6.6</w:t>
            </w:r>
            <w:r>
              <w:rPr>
                <w:rFonts w:hint="eastAsia" w:ascii="宋体" w:hAnsi="宋体"/>
                <w:color w:val="auto"/>
                <w:highlight w:val="none"/>
              </w:rPr>
              <w:t>科研业务系统对接</w:t>
            </w:r>
          </w:p>
        </w:tc>
        <w:tc>
          <w:tcPr>
            <w:tcW w:w="1190" w:type="dxa"/>
            <w:vAlign w:val="center"/>
          </w:tcPr>
          <w:p w14:paraId="71B0B706">
            <w:pPr>
              <w:numPr>
                <w:ilvl w:val="2"/>
                <w:numId w:val="0"/>
              </w:numPr>
              <w:ind w:left="0" w:firstLine="0"/>
              <w:rPr>
                <w:rFonts w:ascii="宋体" w:hAnsi="宋体" w:cs="宋体"/>
                <w:color w:val="auto"/>
                <w:kern w:val="0"/>
                <w:szCs w:val="21"/>
                <w:highlight w:val="none"/>
              </w:rPr>
            </w:pPr>
            <w:r>
              <w:rPr>
                <w:rFonts w:ascii="宋体" w:hAnsi="宋体" w:eastAsia="宋体" w:cs="宋体"/>
                <w:color w:val="auto"/>
                <w:kern w:val="0"/>
                <w:sz w:val="21"/>
                <w:szCs w:val="21"/>
                <w:lang w:val="en-US" w:eastAsia="zh-CN" w:bidi="ar-SA"/>
              </w:rPr>
              <w:t>6.6.1</w:t>
            </w:r>
            <w:r>
              <w:rPr>
                <w:rFonts w:hint="eastAsia" w:ascii="宋体" w:hAnsi="宋体" w:cs="宋体"/>
                <w:color w:val="auto"/>
                <w:kern w:val="0"/>
                <w:szCs w:val="21"/>
                <w:highlight w:val="none"/>
              </w:rPr>
              <w:t>临床试验项目管理系统（GCP）</w:t>
            </w:r>
          </w:p>
        </w:tc>
        <w:tc>
          <w:tcPr>
            <w:tcW w:w="7638" w:type="dxa"/>
            <w:vAlign w:val="center"/>
          </w:tcPr>
          <w:p w14:paraId="236A5805">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HIS 提供接口</w:t>
            </w:r>
          </w:p>
          <w:p w14:paraId="41BF6E97">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患者筛选与入组信息接口：向 GCP 系统推送符合临床试验筛选条件的患者信息，包括患者基本信息、诊断信息、检查检验结果等，支持临床试验的患者招募和筛选工作。</w:t>
            </w:r>
          </w:p>
          <w:p w14:paraId="6802683A">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患者诊疗信息接口：实时提供患者的诊疗信息，包括病程记录、用药情况、治疗措施、检查检验结果等，GCP 系统可据此跟踪患者在临床试验中的病情变化和治疗反应。</w:t>
            </w:r>
          </w:p>
          <w:p w14:paraId="3F655CF3">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医嘱与用药管理接口：提供患者的医嘱信息和用药记录，包括临床试验药物的使用情况、剂量调整、用药时间等，GCP 系统可对临床试验药物的使用进行监控和管理，确保符合试验方案。</w:t>
            </w:r>
          </w:p>
          <w:p w14:paraId="2EABB4FD">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权限管理接口：支持通过 HIS 系统设置 GCP 系统的访问权限，如不同级别研究人员对患者信息的查看、编辑权限，确保患者隐私和临床试验数据的安全。</w:t>
            </w:r>
          </w:p>
          <w:p w14:paraId="0C4B182B">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临床试验项目管理系统（GCP）提供接口</w:t>
            </w:r>
          </w:p>
          <w:p w14:paraId="37EADD53">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临床试验方案与流程接口：向 HIS 系统提供临床试验的方案和流程信息，包括试验目的、入选标准、排除标准、试验设计、研究步骤等，HIS 系统可据此指导医护人员开展临床试验相关工作。</w:t>
            </w:r>
          </w:p>
          <w:p w14:paraId="4839795E">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患者入组与出组管理接口：反馈患者的入组和出组情况，包括入组时间、出组原因、出组时间等，HIS 系统可更新患者的临床状态，调整相应的诊疗计划。</w:t>
            </w:r>
          </w:p>
          <w:p w14:paraId="5FF1D82C">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试验数据收集与反馈接口：将患者在临床试验中的数据（如疗效指标、安全性指标、生物样本信息等）反馈至 HIS 系统，HIS 系统可将这些数据整合到患者的电子病历中，同时为临床试验的数据分析和报告提供支持。</w:t>
            </w:r>
          </w:p>
          <w:p w14:paraId="5BFF05B2">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试验进度与质量监控接口：实时反馈临床试验的进度情况和质量监控结果，如入组患者数量、完成率、数据质量评估等，HIS 系统可据此协调资源，确保临床试验按计划顺利进行。</w:t>
            </w:r>
          </w:p>
        </w:tc>
      </w:tr>
      <w:tr w14:paraId="01930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9" w:hRule="atLeast"/>
          <w:jc w:val="center"/>
        </w:trPr>
        <w:tc>
          <w:tcPr>
            <w:tcW w:w="971" w:type="dxa"/>
            <w:vMerge w:val="continue"/>
            <w:vAlign w:val="center"/>
          </w:tcPr>
          <w:p w14:paraId="1559C9DF">
            <w:pPr>
              <w:widowControl/>
              <w:jc w:val="center"/>
              <w:rPr>
                <w:rFonts w:ascii="宋体" w:hAnsi="宋体"/>
                <w:color w:val="auto"/>
                <w:highlight w:val="none"/>
              </w:rPr>
            </w:pPr>
          </w:p>
        </w:tc>
        <w:tc>
          <w:tcPr>
            <w:tcW w:w="1190" w:type="dxa"/>
            <w:vAlign w:val="center"/>
          </w:tcPr>
          <w:p w14:paraId="30A23027">
            <w:pPr>
              <w:numPr>
                <w:ilvl w:val="2"/>
                <w:numId w:val="0"/>
              </w:numPr>
              <w:ind w:left="0" w:firstLine="0"/>
              <w:rPr>
                <w:rFonts w:ascii="宋体" w:hAnsi="宋体" w:cs="宋体"/>
                <w:color w:val="auto"/>
                <w:kern w:val="0"/>
                <w:szCs w:val="21"/>
                <w:highlight w:val="none"/>
              </w:rPr>
            </w:pPr>
            <w:r>
              <w:rPr>
                <w:rFonts w:ascii="宋体" w:hAnsi="宋体" w:eastAsia="宋体" w:cs="宋体"/>
                <w:color w:val="auto"/>
                <w:kern w:val="0"/>
                <w:sz w:val="21"/>
                <w:szCs w:val="21"/>
                <w:lang w:val="en-US" w:eastAsia="zh-CN" w:bidi="ar-SA"/>
              </w:rPr>
              <w:t>6.6.2</w:t>
            </w:r>
            <w:r>
              <w:rPr>
                <w:rFonts w:hint="eastAsia" w:ascii="宋体" w:hAnsi="宋体" w:cs="宋体"/>
                <w:color w:val="auto"/>
                <w:kern w:val="0"/>
                <w:szCs w:val="21"/>
                <w:highlight w:val="none"/>
              </w:rPr>
              <w:t>生物样本库信息管理系统</w:t>
            </w:r>
          </w:p>
        </w:tc>
        <w:tc>
          <w:tcPr>
            <w:tcW w:w="7638" w:type="dxa"/>
            <w:vAlign w:val="center"/>
          </w:tcPr>
          <w:p w14:paraId="591E0E3A">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HIS 提供接口</w:t>
            </w:r>
          </w:p>
          <w:p w14:paraId="71149A8A">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患者基本信息接口：向生物样本库信息管理系统推送患者的基本信息，包括姓名、性别、年龄、诊断、联系方式等，用于生物样本的溯源和管理。</w:t>
            </w:r>
          </w:p>
          <w:p w14:paraId="3E79874F">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样本采集申请接口：提供生物样本采集申请信息，包括样本类型（血液、组织、尿液等）、采集目的、采集时间、采集科室等，支持生物样本库的样本接收和管理工作。</w:t>
            </w:r>
          </w:p>
          <w:p w14:paraId="5748C02F">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样本采集记录接口：实时同步生物样本的采集记录，包括采集人员、采集方法、采集量、采集部位等信息，确保样本信息的完整性和准确性。</w:t>
            </w:r>
          </w:p>
          <w:p w14:paraId="1D01A6CA">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患者诊疗与病情信息接口：提供患者的诊疗信息和病情变化情况，如诊断结果、治疗方案、疾病进展等，生物样本库信息管理系统可将这些信息与样本信息关联，为科研和临床应用提供更全面的数据支持。</w:t>
            </w:r>
          </w:p>
          <w:p w14:paraId="63685372">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生物样本库信息管理系统提供接口</w:t>
            </w:r>
          </w:p>
          <w:p w14:paraId="345621DE">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样本存储与管理接口：向 HIS 系统反馈生物样本的存储信息，包括样本位置、存储条件、存储时间、样本状态等，HIS 系统可据此跟踪样本的存储情况，确保样本质量。</w:t>
            </w:r>
          </w:p>
          <w:p w14:paraId="675E193D">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样本使用与分发接口：提供生物样本的使用和分发记录，包括使用目的、使用人员、使用时间、分发数量、接收单位等信息，HIS 系统可对样本的使用情况进行监控和管理，保障样本的合理使用。</w:t>
            </w:r>
          </w:p>
          <w:p w14:paraId="1FFB1FF7">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样本质量与库存预警接口：实时监控生物样本的质量和库存情况，当样本质量出现异常或库存数量低于预警线时，及时向 HIS 系统发出预警信息，提醒相关人员采取措施。</w:t>
            </w:r>
          </w:p>
          <w:p w14:paraId="0006024D">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样本数据统计与分析接口：定期向 HIS 系统提供生物样本数据统计报表，如样本总量、各类样本数量、样本使用频率、科研应用成果等，为医院评估生物样本库的管理水平和科研价值提供数据支持。</w:t>
            </w:r>
          </w:p>
        </w:tc>
      </w:tr>
      <w:tr w14:paraId="6DD41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7" w:hRule="atLeast"/>
          <w:jc w:val="center"/>
        </w:trPr>
        <w:tc>
          <w:tcPr>
            <w:tcW w:w="971" w:type="dxa"/>
            <w:vMerge w:val="restart"/>
            <w:vAlign w:val="center"/>
          </w:tcPr>
          <w:p w14:paraId="007ECDAF">
            <w:pPr>
              <w:numPr>
                <w:ilvl w:val="1"/>
                <w:numId w:val="0"/>
              </w:numPr>
              <w:ind w:left="0" w:firstLine="0"/>
              <w:rPr>
                <w:rFonts w:ascii="宋体" w:hAnsi="宋体"/>
                <w:color w:val="auto"/>
                <w:highlight w:val="none"/>
              </w:rPr>
            </w:pPr>
            <w:r>
              <w:rPr>
                <w:rFonts w:ascii="宋体" w:hAnsi="宋体" w:eastAsia="宋体" w:cs="Times New Roman"/>
                <w:color w:val="auto"/>
                <w:kern w:val="2"/>
                <w:sz w:val="21"/>
                <w:szCs w:val="24"/>
                <w:lang w:val="en-US" w:eastAsia="zh-CN" w:bidi="ar-SA"/>
              </w:rPr>
              <w:t>6.7</w:t>
            </w:r>
            <w:r>
              <w:rPr>
                <w:rFonts w:hint="eastAsia" w:ascii="宋体" w:hAnsi="宋体"/>
                <w:color w:val="auto"/>
                <w:highlight w:val="none"/>
              </w:rPr>
              <w:t>医疗管理系统对接</w:t>
            </w:r>
          </w:p>
        </w:tc>
        <w:tc>
          <w:tcPr>
            <w:tcW w:w="1190" w:type="dxa"/>
            <w:vAlign w:val="center"/>
          </w:tcPr>
          <w:p w14:paraId="1BA56A31">
            <w:pPr>
              <w:numPr>
                <w:ilvl w:val="2"/>
                <w:numId w:val="0"/>
              </w:numPr>
              <w:ind w:left="0" w:firstLine="0"/>
              <w:rPr>
                <w:rFonts w:ascii="宋体" w:hAnsi="宋体" w:cs="宋体"/>
                <w:color w:val="auto"/>
                <w:kern w:val="0"/>
                <w:szCs w:val="21"/>
                <w:highlight w:val="none"/>
              </w:rPr>
            </w:pPr>
            <w:r>
              <w:rPr>
                <w:rFonts w:ascii="宋体" w:hAnsi="宋体" w:eastAsia="宋体" w:cs="宋体"/>
                <w:color w:val="auto"/>
                <w:kern w:val="0"/>
                <w:sz w:val="21"/>
                <w:szCs w:val="21"/>
                <w:lang w:val="en-US" w:eastAsia="zh-CN" w:bidi="ar-SA"/>
              </w:rPr>
              <w:t>6.7.1</w:t>
            </w:r>
            <w:r>
              <w:rPr>
                <w:rFonts w:hint="eastAsia" w:ascii="宋体" w:hAnsi="宋体" w:cs="宋体"/>
                <w:color w:val="auto"/>
                <w:kern w:val="0"/>
                <w:szCs w:val="21"/>
                <w:highlight w:val="none"/>
              </w:rPr>
              <w:t>物价精细化系统</w:t>
            </w:r>
          </w:p>
        </w:tc>
        <w:tc>
          <w:tcPr>
            <w:tcW w:w="7638" w:type="dxa"/>
            <w:vAlign w:val="center"/>
          </w:tcPr>
          <w:p w14:paraId="33E797C1">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HIS 提供接口</w:t>
            </w:r>
          </w:p>
          <w:p w14:paraId="56B59261">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医疗服务项目信息接口：向物价精细化系统推送医院所有医疗服务项目的信息，包括项目编码、名称、收费标准、计价单位、项目内涵、除外内容等，确保物价系统数据与 HIS 系统一致。</w:t>
            </w:r>
          </w:p>
          <w:p w14:paraId="0EBD6B78">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药品与耗材信息接口：提供药品和医用耗材的信息，包括名称、规格、剂型、生产厂家、批准文号、进价、售价、医保类别等，物价精细化系统可据此进行价格管理和成本核算。</w:t>
            </w:r>
          </w:p>
          <w:p w14:paraId="13D09CAF">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医嘱与收费记录接口：实时同步患者的医嘱信息和收费记录，包括医嘱项目、执行时间、数量、金额等，物价精细化系统可对收费情况进行监控和审核，确保收费准确合规。</w:t>
            </w:r>
          </w:p>
          <w:p w14:paraId="4517A0FE">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医保政策与价格调整接口：支持通过 HIS 系统接收医保政策变化和价格调整信息，物价精细化系统可根据这些信息及时调整医疗服务项目和药品耗材的收费标准，确保医院收费符合医保政策要求。</w:t>
            </w:r>
          </w:p>
          <w:p w14:paraId="36880BB0">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物价精细化系统提供接口</w:t>
            </w:r>
          </w:p>
          <w:p w14:paraId="1C35297E">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价格审核与反馈接口：对医院的收费项目和价格进行审核，将审核结果（如价格异常、项目不规范等）反馈至 HIS 系统，HIS 系统可通知相关部门进行整改，确保收费合规。</w:t>
            </w:r>
          </w:p>
          <w:p w14:paraId="3E859659">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成本核算与分析接口：向 HIS 系统提供医疗服务项目和药品耗材的成本核算数据，包括直接成本、间接成本、边际成本等，以及成本效益分析结果，为医院制定合理的价格策略提供依据。</w:t>
            </w:r>
          </w:p>
          <w:p w14:paraId="25E5AA6D">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医保报销比例与限价接口：实时反馈医保政策中各类医疗服务项目和药品耗材的报销比例、最高支付限价等信息，HIS 系统可在患者收费时进行自动计算和提示，避免医保费用超支。</w:t>
            </w:r>
          </w:p>
          <w:p w14:paraId="76C7E61F">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物价数据统计与报表接口：定期向 HIS 系统提供物价数据统计报表，如医疗收入构成、各科室收费情况、价格调整前后对比等，为医院管理层决策提供数据支持。</w:t>
            </w:r>
          </w:p>
        </w:tc>
      </w:tr>
      <w:tr w14:paraId="7C4A2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4" w:hRule="atLeast"/>
          <w:jc w:val="center"/>
        </w:trPr>
        <w:tc>
          <w:tcPr>
            <w:tcW w:w="971" w:type="dxa"/>
            <w:vMerge w:val="continue"/>
            <w:vAlign w:val="center"/>
          </w:tcPr>
          <w:p w14:paraId="7D185865">
            <w:pPr>
              <w:widowControl/>
              <w:jc w:val="center"/>
              <w:rPr>
                <w:rFonts w:ascii="宋体" w:hAnsi="宋体"/>
                <w:color w:val="auto"/>
                <w:highlight w:val="none"/>
              </w:rPr>
            </w:pPr>
          </w:p>
        </w:tc>
        <w:tc>
          <w:tcPr>
            <w:tcW w:w="1190" w:type="dxa"/>
            <w:vAlign w:val="center"/>
          </w:tcPr>
          <w:p w14:paraId="2A04041E">
            <w:pPr>
              <w:numPr>
                <w:ilvl w:val="2"/>
                <w:numId w:val="0"/>
              </w:numPr>
              <w:ind w:left="0" w:firstLine="0"/>
              <w:rPr>
                <w:rFonts w:ascii="宋体" w:hAnsi="宋体" w:cs="宋体"/>
                <w:color w:val="auto"/>
                <w:kern w:val="0"/>
                <w:szCs w:val="21"/>
                <w:highlight w:val="none"/>
              </w:rPr>
            </w:pPr>
            <w:r>
              <w:rPr>
                <w:rFonts w:ascii="宋体" w:hAnsi="宋体" w:eastAsia="宋体" w:cs="宋体"/>
                <w:color w:val="auto"/>
                <w:kern w:val="0"/>
                <w:sz w:val="21"/>
                <w:szCs w:val="21"/>
                <w:lang w:val="en-US" w:eastAsia="zh-CN" w:bidi="ar-SA"/>
              </w:rPr>
              <w:t>6.7.2</w:t>
            </w:r>
            <w:r>
              <w:rPr>
                <w:rFonts w:hint="eastAsia" w:ascii="宋体" w:hAnsi="宋体" w:cs="宋体"/>
                <w:color w:val="auto"/>
                <w:kern w:val="0"/>
                <w:szCs w:val="21"/>
                <w:highlight w:val="none"/>
              </w:rPr>
              <w:t>医保智能控费系统</w:t>
            </w:r>
          </w:p>
        </w:tc>
        <w:tc>
          <w:tcPr>
            <w:tcW w:w="7638" w:type="dxa"/>
            <w:vAlign w:val="center"/>
          </w:tcPr>
          <w:p w14:paraId="771EBC40">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HIS 提供接口</w:t>
            </w:r>
          </w:p>
          <w:p w14:paraId="7128DCC8">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患者医保信息接口：向医保智能控费系统推送患者的医保信息，包括医保类型、参保地、医保卡号、医保报销限额、医保待遇等，支持系统对患者的医保费用进行实时监控和管理。</w:t>
            </w:r>
          </w:p>
          <w:p w14:paraId="47AAD679">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医嘱与费用信息接口：实时提供患者的医嘱信息和费用明细，包括医疗服务项目、药品、耗材的名称、数量、单价、金额等，医保智能控费系统可据此对费用的合理性和医保合规性进行审核。</w:t>
            </w:r>
          </w:p>
          <w:p w14:paraId="7FF2B67F">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医保政策接口：同步医保部门的最新政策信息，包括医保目录、报销比例、支付标准、限制使用规定等，医保智能控费系统可根据政策要求对医疗行为和费用进行自动审核和控制。</w:t>
            </w:r>
          </w:p>
          <w:p w14:paraId="1D501E79">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患者诊疗信息接口：提供患者的诊疗信息，包括诊断、治疗方案、病情严重程度等，医保智能控费系统可结合这些信息评估医疗服务的必要性和合理性，避免过度医疗和不合理费用。</w:t>
            </w:r>
          </w:p>
          <w:p w14:paraId="25ADD702">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医保智能控费系统提供接口</w:t>
            </w:r>
          </w:p>
          <w:p w14:paraId="191E3368">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费用审核与预警接口：对患者的医保费用进行实时审核，当发现费用异常（如超医保目录、超报销比例、重复收费等）时，及时向 HIS 系统发出预警信息，提醒医护人员进行调整和处理。</w:t>
            </w:r>
          </w:p>
          <w:p w14:paraId="36A6E1CB">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医保支付预测接口：根据患者的诊疗计划和医保政策，预测医保费用的支付情况，包括可报销金额、自付金额等，HIS 系统可将这些信息告知患者，提高费用透明度。</w:t>
            </w:r>
          </w:p>
          <w:p w14:paraId="3B30E763">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医保违规行为识别与处理接口：识别医保违规行为（如挂床住院、分解收费、虚报项目等），并将违规信息反馈至 HIS 系统，HIS 系统可采取相应的处理措施，如暂停费用结算、追究相关人员责任等。</w:t>
            </w:r>
          </w:p>
          <w:p w14:paraId="5E29951C">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医保数据分析与反馈接口：定期向 HIS 系统提供医保数据分析报告，如医保费用构成、医保支付比例、医保违规行为分布等，为医院优化医保管理、控制医保费用提供数据支持。</w:t>
            </w:r>
          </w:p>
        </w:tc>
      </w:tr>
      <w:tr w14:paraId="73DA9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3" w:hRule="atLeast"/>
          <w:jc w:val="center"/>
        </w:trPr>
        <w:tc>
          <w:tcPr>
            <w:tcW w:w="971" w:type="dxa"/>
            <w:vMerge w:val="continue"/>
            <w:vAlign w:val="center"/>
          </w:tcPr>
          <w:p w14:paraId="4493BEED">
            <w:pPr>
              <w:widowControl/>
              <w:jc w:val="center"/>
              <w:rPr>
                <w:rFonts w:ascii="宋体" w:hAnsi="宋体"/>
                <w:color w:val="auto"/>
                <w:highlight w:val="none"/>
              </w:rPr>
            </w:pPr>
          </w:p>
        </w:tc>
        <w:tc>
          <w:tcPr>
            <w:tcW w:w="1190" w:type="dxa"/>
            <w:vAlign w:val="center"/>
          </w:tcPr>
          <w:p w14:paraId="73106249">
            <w:pPr>
              <w:numPr>
                <w:ilvl w:val="2"/>
                <w:numId w:val="0"/>
              </w:numPr>
              <w:ind w:left="0" w:firstLine="0"/>
              <w:rPr>
                <w:rFonts w:ascii="宋体" w:hAnsi="宋体" w:cs="宋体"/>
                <w:color w:val="auto"/>
                <w:kern w:val="0"/>
                <w:szCs w:val="21"/>
                <w:highlight w:val="none"/>
              </w:rPr>
            </w:pPr>
            <w:r>
              <w:rPr>
                <w:rFonts w:ascii="宋体" w:hAnsi="宋体" w:eastAsia="宋体" w:cs="宋体"/>
                <w:color w:val="auto"/>
                <w:kern w:val="0"/>
                <w:sz w:val="21"/>
                <w:szCs w:val="21"/>
                <w:lang w:val="en-US" w:eastAsia="zh-CN" w:bidi="ar-SA"/>
              </w:rPr>
              <w:t>6.7.3</w:t>
            </w:r>
            <w:r>
              <w:rPr>
                <w:rFonts w:hint="eastAsia" w:ascii="宋体" w:hAnsi="宋体" w:cs="宋体"/>
                <w:color w:val="auto"/>
                <w:kern w:val="0"/>
                <w:szCs w:val="21"/>
                <w:highlight w:val="none"/>
              </w:rPr>
              <w:t>电子票据系统</w:t>
            </w:r>
          </w:p>
        </w:tc>
        <w:tc>
          <w:tcPr>
            <w:tcW w:w="7638" w:type="dxa"/>
            <w:vAlign w:val="center"/>
          </w:tcPr>
          <w:p w14:paraId="569782B4">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HIS 提供接口</w:t>
            </w:r>
          </w:p>
          <w:p w14:paraId="0D7E1AB8">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患者收费信息接口：向电子票据系统推送患者的收费信息，包括收费项目、金额、收费时间、收费科室、收费人员等，作为电子票据开具的依据。</w:t>
            </w:r>
          </w:p>
          <w:p w14:paraId="39D3CAD4">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患者基本信息接口：提供患者的基本信息，包括姓名、性别、年龄、联系方式、身份证号等，用于电子票据的抬头和信息填写。</w:t>
            </w:r>
          </w:p>
          <w:p w14:paraId="0D18F385">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医保结算信息接口：同步患者的医保结算信息，包括医保报销金额、个人自付金额、医保结算时间等，电子票据系统可在票据中准确反映医保结算情况。</w:t>
            </w:r>
          </w:p>
          <w:p w14:paraId="1142FA41">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票据状态反馈接口：接收电子票据系统反馈的票据状态信息，包括票据开具成功、失败、作废等，HIS 系统可据此更新患者的收费状态和票据记录。</w:t>
            </w:r>
          </w:p>
          <w:p w14:paraId="51874749">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电子票据系统提供接口</w:t>
            </w:r>
          </w:p>
          <w:p w14:paraId="4DC693C9">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电子票据开具接口：根据 HIS 系统提供的收费信息和患者信息，开具电子票据，并将票据信息（如票据号码、金额、开具时间、校验码等）反馈至 HIS 系统，HIS 系统可将票据信息告知患者。</w:t>
            </w:r>
          </w:p>
          <w:p w14:paraId="56205ECF">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电子票据查询与下载接口：支持 HIS 系统查询和下载患者的电子票据，包括按患者信息、时间范围、票据号码等条件进行检索，方便患者获取和保存电子票据。</w:t>
            </w:r>
          </w:p>
          <w:p w14:paraId="32E20E68">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票据核销与归档接口：对已开具的电子票据进行核销和归档管理，将核销结果和归档信息反馈至 HIS 系统，HIS 系统可据此进行财务核算和档案管理。</w:t>
            </w:r>
          </w:p>
          <w:p w14:paraId="254F7224">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票据数据分析接口：定期向 HIS 系统提供电子票据数据分析报告，如票据开具数量、金额分布、退票率等，为医院优化票据管理流程、提高财务工作效率提供数据支持。</w:t>
            </w:r>
          </w:p>
        </w:tc>
      </w:tr>
      <w:tr w14:paraId="453FA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9" w:hRule="atLeast"/>
          <w:jc w:val="center"/>
        </w:trPr>
        <w:tc>
          <w:tcPr>
            <w:tcW w:w="971" w:type="dxa"/>
            <w:vMerge w:val="continue"/>
            <w:vAlign w:val="center"/>
          </w:tcPr>
          <w:p w14:paraId="24084E25">
            <w:pPr>
              <w:widowControl/>
              <w:jc w:val="center"/>
              <w:rPr>
                <w:rFonts w:ascii="宋体" w:hAnsi="宋体"/>
                <w:color w:val="auto"/>
                <w:highlight w:val="none"/>
              </w:rPr>
            </w:pPr>
          </w:p>
        </w:tc>
        <w:tc>
          <w:tcPr>
            <w:tcW w:w="1190" w:type="dxa"/>
            <w:vAlign w:val="center"/>
          </w:tcPr>
          <w:p w14:paraId="6DAA9B0F">
            <w:pPr>
              <w:numPr>
                <w:ilvl w:val="2"/>
                <w:numId w:val="0"/>
              </w:numPr>
              <w:ind w:left="0" w:firstLine="0"/>
              <w:rPr>
                <w:rFonts w:ascii="宋体" w:hAnsi="宋体" w:cs="宋体"/>
                <w:color w:val="auto"/>
                <w:kern w:val="0"/>
                <w:szCs w:val="21"/>
                <w:highlight w:val="none"/>
              </w:rPr>
            </w:pPr>
            <w:r>
              <w:rPr>
                <w:rFonts w:ascii="宋体" w:hAnsi="宋体" w:eastAsia="宋体" w:cs="宋体"/>
                <w:color w:val="auto"/>
                <w:kern w:val="0"/>
                <w:sz w:val="21"/>
                <w:szCs w:val="21"/>
                <w:lang w:val="en-US" w:eastAsia="zh-CN" w:bidi="ar-SA"/>
              </w:rPr>
              <w:t>6.7.4</w:t>
            </w:r>
            <w:r>
              <w:rPr>
                <w:rFonts w:hint="eastAsia" w:ascii="宋体" w:hAnsi="宋体" w:cs="宋体"/>
                <w:color w:val="auto"/>
                <w:kern w:val="0"/>
                <w:szCs w:val="21"/>
                <w:highlight w:val="none"/>
              </w:rPr>
              <w:t>CA系统</w:t>
            </w:r>
          </w:p>
        </w:tc>
        <w:tc>
          <w:tcPr>
            <w:tcW w:w="7638" w:type="dxa"/>
            <w:vAlign w:val="center"/>
          </w:tcPr>
          <w:p w14:paraId="450B8270">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HIS 提供接口</w:t>
            </w:r>
          </w:p>
          <w:p w14:paraId="6597E36B">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用户身份信息接口：向 CA 系统推送用户的身份信息，包括姓名、工号、科室、职位、联系方式等，作为 CA 证书申请和认证的基础数据。</w:t>
            </w:r>
          </w:p>
          <w:p w14:paraId="0EFC6CD2">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业务操作日志接口：提供用户在 HIS 系统中的业务操作日志，包括操作时间、操作内容、操作结果等，CA 系统可结合这些信息对用户的操作行为进行审计和追溯。</w:t>
            </w:r>
          </w:p>
          <w:p w14:paraId="04E76BD1">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权限管理接口：支持通过 HIS 系统设置 CA 系统的用户权限，如不同用户对 CA 证书的申请、审批、使用权限，确保 CA 证书的安全管理和合理使用。</w:t>
            </w:r>
          </w:p>
          <w:p w14:paraId="3D1FD4E4">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系统安全信息接口：实时同步 HIS 系统的安全信息，如系统登录情况、异常操作记录、安全漏洞信息等，CA 系统可据此加强用户身份认证和安全防护。</w:t>
            </w:r>
          </w:p>
          <w:p w14:paraId="09370FDD">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CA 系统提供接口</w:t>
            </w:r>
          </w:p>
          <w:p w14:paraId="20684D61">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数字证书申请与发放接口：为 HIS 系统用户提供数字证书的申请、审核、发放服务，并将证书信息（如证书序列号、有效期、公钥等）反馈至 HIS 系统，HIS 系统可将证书与用户身份进行绑定。</w:t>
            </w:r>
          </w:p>
          <w:p w14:paraId="5C6D4FA3">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身份认证接口：对 HIS 系统用户的身份进行认证，验证用户提交的数字证书和身份信息的有效性，认证结果反馈至 HIS 系统，确保只有合法用户才能访问 HIS 系统资源。</w:t>
            </w:r>
          </w:p>
          <w:p w14:paraId="68951267">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电子签名与验签接口：为 HIS 系统提供电子签名和验签服务，确保电子文档和业务数据的完整性和不可否认性，电子签名和验签结果反馈至 HIS 系统，用于业务流程的确认和存档。</w:t>
            </w:r>
          </w:p>
          <w:p w14:paraId="39EFF2BA">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证书管理与更新接口：对数字证书的生命周期进行管理，包括证书的更新、吊销、查询等服务，并将证书状态变化信息及时反馈至 HIS 系统，HIS 系统可据此调整用户的访问权限和业务操作。</w:t>
            </w:r>
          </w:p>
        </w:tc>
      </w:tr>
      <w:tr w14:paraId="5BDF4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1" w:hRule="atLeast"/>
          <w:jc w:val="center"/>
        </w:trPr>
        <w:tc>
          <w:tcPr>
            <w:tcW w:w="971" w:type="dxa"/>
            <w:vMerge w:val="continue"/>
            <w:vAlign w:val="center"/>
          </w:tcPr>
          <w:p w14:paraId="35DCDFC6">
            <w:pPr>
              <w:widowControl/>
              <w:jc w:val="center"/>
              <w:rPr>
                <w:rFonts w:ascii="宋体" w:hAnsi="宋体"/>
                <w:color w:val="auto"/>
                <w:highlight w:val="none"/>
              </w:rPr>
            </w:pPr>
          </w:p>
        </w:tc>
        <w:tc>
          <w:tcPr>
            <w:tcW w:w="1190" w:type="dxa"/>
            <w:vAlign w:val="center"/>
          </w:tcPr>
          <w:p w14:paraId="7581810C">
            <w:pPr>
              <w:numPr>
                <w:ilvl w:val="2"/>
                <w:numId w:val="0"/>
              </w:numPr>
              <w:ind w:left="0" w:firstLine="0"/>
              <w:rPr>
                <w:rFonts w:ascii="宋体" w:hAnsi="宋体" w:cs="宋体"/>
                <w:color w:val="auto"/>
                <w:kern w:val="0"/>
                <w:szCs w:val="21"/>
                <w:highlight w:val="none"/>
              </w:rPr>
            </w:pPr>
            <w:r>
              <w:rPr>
                <w:rFonts w:ascii="宋体" w:hAnsi="宋体" w:eastAsia="宋体" w:cs="宋体"/>
                <w:color w:val="auto"/>
                <w:kern w:val="0"/>
                <w:sz w:val="21"/>
                <w:szCs w:val="21"/>
                <w:lang w:val="en-US" w:eastAsia="zh-CN" w:bidi="ar-SA"/>
              </w:rPr>
              <w:t>6.7.5</w:t>
            </w:r>
            <w:r>
              <w:rPr>
                <w:rFonts w:hint="eastAsia" w:ascii="宋体" w:hAnsi="宋体" w:cs="宋体"/>
                <w:color w:val="auto"/>
                <w:kern w:val="0"/>
                <w:szCs w:val="21"/>
                <w:highlight w:val="none"/>
              </w:rPr>
              <w:t>HRP系统</w:t>
            </w:r>
          </w:p>
        </w:tc>
        <w:tc>
          <w:tcPr>
            <w:tcW w:w="7638" w:type="dxa"/>
            <w:vAlign w:val="center"/>
          </w:tcPr>
          <w:p w14:paraId="0440AC90">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HIS 提供接口</w:t>
            </w:r>
          </w:p>
          <w:p w14:paraId="4028C5E3">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人员信息接口：向 HRP 系统推送医院员工的基本信息，包括姓名、工号、科室、职位、职称、联系方式等，确保 HRP 系统与 HIS 系统的人员信息一致。</w:t>
            </w:r>
          </w:p>
          <w:p w14:paraId="773C6A6E">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业务量统计接口：提供医院各科室和岗位的业务量数据，如门诊人次、住院人数、手术台数、检查检验项目数量等，HRP 系统可据此进行人力资源配置和绩效考核。</w:t>
            </w:r>
          </w:p>
          <w:p w14:paraId="63CBFD69">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物资消耗与库存接口：实时同步医院药品、耗材、设备等物资的消耗和库存信息，包括物资名称、规格、数量、出入库时间、库存位置等，HRP 系统可据此进行物资采购、库存管理和成本核算。</w:t>
            </w:r>
          </w:p>
          <w:p w14:paraId="23C5A44D">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财务收支接口：提供医院的财务收支信息，包括收入项目、金额、来源，支出项目、金额、用途等，HRP 系统可据此进行财务预算、成本控制和效益分析。</w:t>
            </w:r>
          </w:p>
          <w:p w14:paraId="703CDAD0">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HRP 系统提供接口</w:t>
            </w:r>
          </w:p>
          <w:p w14:paraId="69A34A48">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人力资源管理接口：向 HIS 系统提供人力资源管理信息，包括人员招聘、培训、绩效考核、薪酬福利等，HIS 系统可据此进行人员调配和管理，提高工作效率。</w:t>
            </w:r>
          </w:p>
          <w:p w14:paraId="38659B93">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物资采购与供应接口：反馈物资采购计划、采购订单、供应商信息等，HIS 系统可根据采购进度和库存情况合理安排物资使用，确保医疗业务的正常开展。</w:t>
            </w:r>
          </w:p>
          <w:p w14:paraId="2D0E3410">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成本核算与分析接口：提供医院的成本核算数据和分析结果，包括科室成本、项目成本、病种成本等，HIS 系统可据此优化医疗服务流程，控制医疗成本。</w:t>
            </w:r>
          </w:p>
          <w:p w14:paraId="14F0259A">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预算管理与控制接口：向 HIS 系统反馈预算编制、执行和控制情况，包括预算指标、实际执行金额、预算偏差等，HIS 系统可据此规范业务行为，确保医院经济运行的合理性和可持续性。</w:t>
            </w:r>
          </w:p>
        </w:tc>
      </w:tr>
      <w:tr w14:paraId="7B518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7" w:hRule="atLeast"/>
          <w:jc w:val="center"/>
        </w:trPr>
        <w:tc>
          <w:tcPr>
            <w:tcW w:w="971" w:type="dxa"/>
            <w:vMerge w:val="restart"/>
            <w:vAlign w:val="center"/>
          </w:tcPr>
          <w:p w14:paraId="20729728">
            <w:pPr>
              <w:numPr>
                <w:ilvl w:val="1"/>
                <w:numId w:val="0"/>
              </w:numPr>
              <w:ind w:left="0" w:firstLine="0"/>
              <w:rPr>
                <w:rFonts w:ascii="宋体" w:hAnsi="宋体"/>
                <w:color w:val="auto"/>
                <w:highlight w:val="none"/>
              </w:rPr>
            </w:pPr>
            <w:r>
              <w:rPr>
                <w:rFonts w:ascii="宋体" w:hAnsi="宋体" w:eastAsia="宋体" w:cs="Times New Roman"/>
                <w:color w:val="auto"/>
                <w:kern w:val="2"/>
                <w:sz w:val="21"/>
                <w:szCs w:val="24"/>
                <w:lang w:val="en-US" w:eastAsia="zh-CN" w:bidi="ar-SA"/>
              </w:rPr>
              <w:t>6.8</w:t>
            </w:r>
            <w:r>
              <w:rPr>
                <w:rFonts w:hint="eastAsia" w:ascii="宋体" w:hAnsi="宋体"/>
                <w:color w:val="auto"/>
                <w:highlight w:val="none"/>
              </w:rPr>
              <w:t>互联互通对接</w:t>
            </w:r>
          </w:p>
        </w:tc>
        <w:tc>
          <w:tcPr>
            <w:tcW w:w="1190" w:type="dxa"/>
            <w:vAlign w:val="center"/>
          </w:tcPr>
          <w:p w14:paraId="671D8B22">
            <w:pPr>
              <w:numPr>
                <w:ilvl w:val="2"/>
                <w:numId w:val="0"/>
              </w:numPr>
              <w:ind w:left="0" w:firstLine="0"/>
              <w:rPr>
                <w:rFonts w:ascii="宋体" w:hAnsi="宋体" w:cs="宋体"/>
                <w:color w:val="auto"/>
                <w:kern w:val="0"/>
                <w:szCs w:val="21"/>
                <w:highlight w:val="none"/>
              </w:rPr>
            </w:pPr>
            <w:r>
              <w:rPr>
                <w:rFonts w:ascii="宋体" w:hAnsi="宋体" w:eastAsia="宋体" w:cs="宋体"/>
                <w:color w:val="auto"/>
                <w:kern w:val="0"/>
                <w:sz w:val="21"/>
                <w:szCs w:val="21"/>
                <w:lang w:val="en-US" w:eastAsia="zh-CN" w:bidi="ar-SA"/>
              </w:rPr>
              <w:t>6.8.1</w:t>
            </w:r>
            <w:r>
              <w:rPr>
                <w:rFonts w:hint="eastAsia" w:ascii="宋体" w:hAnsi="宋体" w:cs="宋体"/>
                <w:color w:val="auto"/>
                <w:kern w:val="0"/>
                <w:szCs w:val="21"/>
                <w:highlight w:val="none"/>
              </w:rPr>
              <w:t>集成平台</w:t>
            </w:r>
          </w:p>
        </w:tc>
        <w:tc>
          <w:tcPr>
            <w:tcW w:w="7638" w:type="dxa"/>
            <w:vAlign w:val="center"/>
          </w:tcPr>
          <w:p w14:paraId="736F7AA1">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HIS 提供接口</w:t>
            </w:r>
          </w:p>
          <w:p w14:paraId="16C0662E">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患者主索引接口：向集成平台提供患者主索引信息，包括患者唯一标识、基本信息等，支持集成平台建立统一的患者身份标识，实现各业务系统间患者信息的共享和关联。</w:t>
            </w:r>
          </w:p>
          <w:p w14:paraId="6E1CB791">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业务数据接口：实时推送 HIS 系统的各类业务数据，包括门诊诊疗数据、住院诊疗数据、医嘱数据、收费数据、检查检验结果等，集成平台可对这些数据进行整合和处理，为其他系统提供统一的数据服务。</w:t>
            </w:r>
          </w:p>
          <w:p w14:paraId="5EBB331B">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业务流程接口：提供 HIS 系统的业务流程接口，如挂号、就诊、检查、检验、治疗、出院等流程，集成平台可据此实现跨系统的业务协同和流程整合，提高医疗服务效率。</w:t>
            </w:r>
          </w:p>
          <w:p w14:paraId="4EA46F58">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系统状态接口：实时反馈 HIS 系统的运行状态，包括系统可用性、性能指标、异常情况等，集成平台可据此进行系统监控和故障处理，确保 HIS 系统的稳定运行。</w:t>
            </w:r>
          </w:p>
          <w:p w14:paraId="15506953">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集成平台提供接口</w:t>
            </w:r>
          </w:p>
          <w:p w14:paraId="48E54D46">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数据共享服务接口：为 HIS 系统提供其他业务系统的数据共享服务，包括患者基本信息、检查检验结果、电子病历、医保信息等，HIS 系统可根据需要调用这些数据，丰富诊疗信息，辅助临床决策。</w:t>
            </w:r>
          </w:p>
          <w:p w14:paraId="1FD25225">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业务协同接口：支持 HIS 系统与其他业务系统的业务协同，如双向转诊、远程会诊、分级诊疗等，集成平台可实现业务流程的自动化和标准化，提高医疗服务的连续性和协同性。</w:t>
            </w:r>
          </w:p>
          <w:p w14:paraId="62A61581">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统一用户认证接口：为 HIS 系统提供统一的用户认证服务，实现用户一次登录即可访问多个相关系统，提高用户体验和系统安全性。</w:t>
            </w:r>
          </w:p>
          <w:p w14:paraId="1893DB52">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系统监控与管理接口：对 HIS 系统和其他业务系统的运行状态进行监控和管理，提供系统性能指标、故障预警、日志分析等服务，帮助医院及时发现和解决系统问题，保障业务的正常开展。</w:t>
            </w:r>
          </w:p>
        </w:tc>
      </w:tr>
      <w:tr w14:paraId="348BE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4" w:hRule="atLeast"/>
          <w:jc w:val="center"/>
        </w:trPr>
        <w:tc>
          <w:tcPr>
            <w:tcW w:w="971" w:type="dxa"/>
            <w:vMerge w:val="continue"/>
            <w:vAlign w:val="center"/>
          </w:tcPr>
          <w:p w14:paraId="0228A242">
            <w:pPr>
              <w:widowControl/>
              <w:jc w:val="center"/>
              <w:rPr>
                <w:rFonts w:ascii="宋体" w:hAnsi="宋体"/>
                <w:color w:val="auto"/>
                <w:highlight w:val="none"/>
              </w:rPr>
            </w:pPr>
          </w:p>
        </w:tc>
        <w:tc>
          <w:tcPr>
            <w:tcW w:w="1190" w:type="dxa"/>
            <w:vAlign w:val="center"/>
          </w:tcPr>
          <w:p w14:paraId="6BE5798B">
            <w:pPr>
              <w:numPr>
                <w:ilvl w:val="2"/>
                <w:numId w:val="0"/>
              </w:numPr>
              <w:ind w:left="0" w:firstLine="0"/>
              <w:rPr>
                <w:rFonts w:ascii="宋体" w:hAnsi="宋体" w:cs="宋体"/>
                <w:color w:val="auto"/>
                <w:kern w:val="0"/>
                <w:szCs w:val="21"/>
                <w:highlight w:val="none"/>
              </w:rPr>
            </w:pPr>
            <w:r>
              <w:rPr>
                <w:rFonts w:ascii="宋体" w:hAnsi="宋体" w:eastAsia="宋体" w:cs="宋体"/>
                <w:color w:val="auto"/>
                <w:kern w:val="0"/>
                <w:sz w:val="21"/>
                <w:szCs w:val="21"/>
                <w:lang w:val="en-US" w:eastAsia="zh-CN" w:bidi="ar-SA"/>
              </w:rPr>
              <w:t>6.8.2</w:t>
            </w:r>
            <w:r>
              <w:rPr>
                <w:rFonts w:hint="eastAsia" w:ascii="宋体" w:hAnsi="宋体" w:cs="宋体"/>
                <w:color w:val="auto"/>
                <w:kern w:val="0"/>
                <w:szCs w:val="21"/>
                <w:highlight w:val="none"/>
              </w:rPr>
              <w:t>检查检验结果共享互认</w:t>
            </w:r>
          </w:p>
        </w:tc>
        <w:tc>
          <w:tcPr>
            <w:tcW w:w="7638" w:type="dxa"/>
            <w:vAlign w:val="center"/>
          </w:tcPr>
          <w:p w14:paraId="5D74B2D9">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HIS 提供接口</w:t>
            </w:r>
          </w:p>
          <w:p w14:paraId="60FE0838">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检查检验申请接口：向检查检验结果共享互认平台推送患者的检查检验申请信息，包括申请科室、申请时间、检查检验项目、患者基本信息等，支持检查检验申请的电子化流转和跨机构共享。</w:t>
            </w:r>
          </w:p>
          <w:p w14:paraId="0C8E40F0">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检查检验结果接口：实时提供患者的检查检验结果信息，包括检查检验报告、图像数据、诊断结论等，检查检验结果共享互认平台可将这些结果进行标准化处理和存储，实现跨机构的结果共享和互认。</w:t>
            </w:r>
          </w:p>
          <w:p w14:paraId="485DDC94">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设备与人员信息接口：提供医院检查检验设备的信息（如设备名称、型号、性能参数等）和操作人员的资质信息，检查检验结果共享互认平台可据此评估检查检验结果的可靠性和可信度。</w:t>
            </w:r>
          </w:p>
          <w:p w14:paraId="53E3E5BE">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质量控制接口：同步医院检查检验质量控制信息，包括室内质控、室间质评结果等，检查检验结果共享互认平台可根据质量控制情况对检查检验结果进行分级和标注，提高结果互认的准确性。</w:t>
            </w:r>
          </w:p>
          <w:p w14:paraId="68F18AE7">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检查检验结果共享互认平台提供接口</w:t>
            </w:r>
          </w:p>
          <w:p w14:paraId="156ABACE">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结果查询与调阅接口：支持 HIS 系统查询和调阅患者在其他医疗机构的检查检验结果，包括按患者信息、时间范围、检查检验项目等条件进行检索，方便医生全面了解患者的病情，减少重复检查。</w:t>
            </w:r>
          </w:p>
          <w:p w14:paraId="3A8D201E">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结果验证与互认接口：对调阅的检查检验结果进行验证和互认，评估结果的有效性和可靠性，并将验证结果反馈至 HIS 系统，医生可根据验证结果决定是否采信该结果，避免不必要的重复检查。</w:t>
            </w:r>
          </w:p>
          <w:p w14:paraId="5315E9FA">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质量反馈与改进接口：向 HIS 系统反馈医院检查检验结果的质量情况和互认情况，包括结果的准确性、完整性、时效性等方面的评价，HIS 系统可据此改进检查检验工作流程，提高结果质量。</w:t>
            </w:r>
          </w:p>
          <w:p w14:paraId="0ABDF5D0">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统计分析与决策支持接口：定期向 HIS 系统提供检查检验结果共享互认的统计分析数据，如共享结果数量、互认率、重复检查减少率等，为医院评估检查检验结果共享互认工作的成效、制定相关政策提供数据支持。</w:t>
            </w:r>
          </w:p>
        </w:tc>
      </w:tr>
      <w:tr w14:paraId="764D1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7" w:hRule="atLeast"/>
          <w:jc w:val="center"/>
        </w:trPr>
        <w:tc>
          <w:tcPr>
            <w:tcW w:w="971" w:type="dxa"/>
            <w:vMerge w:val="continue"/>
            <w:vAlign w:val="center"/>
          </w:tcPr>
          <w:p w14:paraId="75FC0758">
            <w:pPr>
              <w:widowControl/>
              <w:jc w:val="center"/>
              <w:rPr>
                <w:rFonts w:ascii="宋体" w:hAnsi="宋体"/>
                <w:color w:val="auto"/>
                <w:highlight w:val="none"/>
              </w:rPr>
            </w:pPr>
          </w:p>
        </w:tc>
        <w:tc>
          <w:tcPr>
            <w:tcW w:w="1190" w:type="dxa"/>
            <w:vAlign w:val="center"/>
          </w:tcPr>
          <w:p w14:paraId="60B2B04E">
            <w:pPr>
              <w:numPr>
                <w:ilvl w:val="2"/>
                <w:numId w:val="0"/>
              </w:numPr>
              <w:ind w:left="0" w:firstLine="0"/>
              <w:rPr>
                <w:rFonts w:ascii="宋体" w:hAnsi="宋体" w:cs="宋体"/>
                <w:color w:val="auto"/>
                <w:kern w:val="0"/>
                <w:szCs w:val="21"/>
                <w:highlight w:val="none"/>
              </w:rPr>
            </w:pPr>
            <w:r>
              <w:rPr>
                <w:rFonts w:ascii="宋体" w:hAnsi="宋体" w:eastAsia="宋体" w:cs="宋体"/>
                <w:color w:val="auto"/>
                <w:kern w:val="0"/>
                <w:sz w:val="21"/>
                <w:szCs w:val="21"/>
                <w:lang w:val="en-US" w:eastAsia="zh-CN" w:bidi="ar-SA"/>
              </w:rPr>
              <w:t>6.8.3</w:t>
            </w:r>
            <w:r>
              <w:rPr>
                <w:rFonts w:hint="eastAsia" w:ascii="宋体" w:hAnsi="宋体" w:cs="宋体"/>
                <w:color w:val="auto"/>
                <w:kern w:val="0"/>
                <w:szCs w:val="21"/>
                <w:highlight w:val="none"/>
              </w:rPr>
              <w:t>全民健康信息平台（12361工程）</w:t>
            </w:r>
          </w:p>
        </w:tc>
        <w:tc>
          <w:tcPr>
            <w:tcW w:w="7638" w:type="dxa"/>
            <w:vAlign w:val="center"/>
          </w:tcPr>
          <w:p w14:paraId="42228B8F">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HIS 提供接口</w:t>
            </w:r>
          </w:p>
          <w:p w14:paraId="4250C404">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患者基本信息接口：向全民健康信息平台推送患者的基本信息，包括姓名、性别、年龄、身份证号、联系方式、家庭住址等，支持平台建立统一的居民健康档案。</w:t>
            </w:r>
          </w:p>
          <w:p w14:paraId="2F7CA9D7">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诊疗信息接口：实时提供患者的诊疗信息，包括门诊就诊记录、住院记录、手术记录、麻醉记录、检查检验结果、用药记录等，全民健康信息平台可将这些信息整合到居民健康档案中，实现居民健康信息的集中管理和共享。</w:t>
            </w:r>
          </w:p>
          <w:p w14:paraId="5C8C7585">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公共卫生服务接口：提供与公共卫生服务相关的信息，如预防接种记录、儿童保健记录、孕产妇保健记录、慢性病管理记录等，全民健康信息平台可据此开展公共卫生服务管理和健康促进工作。</w:t>
            </w:r>
          </w:p>
          <w:p w14:paraId="1385560C">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医疗资源信息接口：同步医院的医疗资源信息，包括床位、设备、医护人员等，全民健康信息平台可据此进行医疗资源的统筹和调配，提高医疗资源的利用效率。</w:t>
            </w:r>
          </w:p>
          <w:p w14:paraId="7D42BEF5">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全民健康信息平台（12361 工程）提供接口</w:t>
            </w:r>
          </w:p>
          <w:p w14:paraId="04A4AA7A">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健康档案查询接口：支持 HIS 系统查询患者的全民健康档案信息，包括基本信息、诊疗记录、公共卫生服务记录等，方便医生全面了解患者的健康状况，提供连续、综合的医疗服务。</w:t>
            </w:r>
          </w:p>
          <w:p w14:paraId="3C2CCC55">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公共卫生服务提醒接口：向 HIS 系统推送公共卫生服务提醒信息，如疫苗接种时间、慢性病随访时间、健康体检通知等，HIS 系统可将这些信息传达给患者，提高公共卫生服务的覆盖率和依从性。</w:t>
            </w:r>
          </w:p>
          <w:p w14:paraId="1DA7B3B2">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医疗协同服务接口：支持 HIS 系统与其他医疗机构的医疗协同服务，如双向转诊、远程会诊、分级诊疗等，全民健康信息平台可实现医疗信息的共享和业务流程的协同，提高医疗服务的效率和质量。</w:t>
            </w:r>
          </w:p>
          <w:p w14:paraId="45A56CD6">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统计分析与决策支持接口：定期向 HIS 系统提供全民健康信息平台的统计分析数据，如区域居民健康状况、疾病流行趋势、医疗服务利用情况等，为医院制定医疗服务计划、开展疾病防控工作提供数据支持。</w:t>
            </w:r>
          </w:p>
          <w:p w14:paraId="6DB066B2">
            <w:pPr>
              <w:numPr>
                <w:ilvl w:val="-1"/>
                <w:numId w:val="0"/>
              </w:numPr>
              <w:tabs>
                <w:tab w:val="left" w:pos="525"/>
                <w:tab w:val="left" w:pos="630"/>
              </w:tabs>
              <w:spacing w:line="360" w:lineRule="auto"/>
              <w:ind w:left="0" w:firstLine="0"/>
              <w:rPr>
                <w:rFonts w:ascii="宋体" w:hAnsi="宋体" w:cs="宋体"/>
                <w:bCs/>
                <w:color w:val="auto"/>
                <w:szCs w:val="21"/>
                <w:highlight w:val="none"/>
              </w:rPr>
            </w:pPr>
            <w:r>
              <w:rPr>
                <w:rFonts w:hint="eastAsia" w:ascii="宋体" w:hAnsi="宋体" w:cs="宋体"/>
                <w:bCs/>
                <w:color w:val="auto"/>
                <w:szCs w:val="21"/>
                <w:highlight w:val="none"/>
              </w:rPr>
              <w:t>数据采集对接：</w:t>
            </w:r>
          </w:p>
          <w:p w14:paraId="0E6D4177">
            <w:pPr>
              <w:numPr>
                <w:ilvl w:val="0"/>
                <w:numId w:val="126"/>
              </w:numPr>
              <w:tabs>
                <w:tab w:val="left" w:pos="525"/>
                <w:tab w:val="left" w:pos="630"/>
              </w:tabs>
              <w:spacing w:line="360" w:lineRule="auto"/>
              <w:ind w:left="420" w:hanging="420"/>
              <w:rPr>
                <w:rFonts w:ascii="宋体" w:hAnsi="宋体" w:cs="宋体"/>
                <w:bCs/>
                <w:color w:val="auto"/>
                <w:szCs w:val="21"/>
                <w:highlight w:val="none"/>
              </w:rPr>
            </w:pPr>
            <w:r>
              <w:rPr>
                <w:rFonts w:hint="eastAsia" w:ascii="宋体" w:hAnsi="宋体" w:cs="宋体"/>
                <w:bCs/>
                <w:color w:val="auto"/>
                <w:szCs w:val="21"/>
                <w:highlight w:val="none"/>
              </w:rPr>
              <w:t>按《深圳市全民健康信息平台数据采集标准规范》要求，定时定点、保质保量主动推送数据至市平台。</w:t>
            </w:r>
          </w:p>
          <w:p w14:paraId="71474BF8">
            <w:pPr>
              <w:numPr>
                <w:ilvl w:val="-1"/>
                <w:numId w:val="0"/>
              </w:numPr>
              <w:tabs>
                <w:tab w:val="left" w:pos="525"/>
                <w:tab w:val="left" w:pos="630"/>
              </w:tabs>
              <w:spacing w:line="360" w:lineRule="auto"/>
              <w:ind w:left="0" w:firstLine="0"/>
              <w:rPr>
                <w:rFonts w:ascii="宋体" w:hAnsi="宋体" w:cs="宋体"/>
                <w:bCs/>
                <w:color w:val="auto"/>
                <w:szCs w:val="21"/>
                <w:highlight w:val="none"/>
              </w:rPr>
            </w:pPr>
            <w:r>
              <w:rPr>
                <w:rFonts w:hint="eastAsia" w:ascii="宋体" w:hAnsi="宋体" w:cs="宋体"/>
                <w:bCs/>
                <w:color w:val="auto"/>
                <w:szCs w:val="21"/>
                <w:highlight w:val="none"/>
              </w:rPr>
              <w:t>妇幼业务协同接口：</w:t>
            </w:r>
          </w:p>
          <w:p w14:paraId="702EFBFD">
            <w:pPr>
              <w:numPr>
                <w:ilvl w:val="0"/>
                <w:numId w:val="12"/>
              </w:numPr>
              <w:tabs>
                <w:tab w:val="left" w:pos="525"/>
                <w:tab w:val="left" w:pos="630"/>
              </w:tabs>
              <w:spacing w:line="360" w:lineRule="auto"/>
              <w:rPr>
                <w:rFonts w:ascii="宋体" w:hAnsi="宋体" w:cs="宋体"/>
                <w:bCs/>
                <w:color w:val="auto"/>
                <w:szCs w:val="21"/>
                <w:highlight w:val="none"/>
              </w:rPr>
            </w:pPr>
            <w:r>
              <w:rPr>
                <w:rFonts w:hint="eastAsia" w:ascii="宋体" w:hAnsi="宋体" w:cs="宋体"/>
                <w:bCs/>
                <w:color w:val="auto"/>
                <w:szCs w:val="21"/>
                <w:highlight w:val="none"/>
              </w:rPr>
              <w:t>按照全民健康信息平台妇幼业务协同相关接口文档，将院内各个系统的妇幼核心业务数据、临床诊疗数据及医学影像数据按文档要求格式每日定时完整上传，实现全市妇幼健康档案数据共享。若院内相关妇幼数据源发生改变，需同步更新协同接口，以兼容新数据源数据上传。</w:t>
            </w:r>
          </w:p>
        </w:tc>
      </w:tr>
      <w:tr w14:paraId="09685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3" w:hRule="atLeast"/>
          <w:jc w:val="center"/>
        </w:trPr>
        <w:tc>
          <w:tcPr>
            <w:tcW w:w="971" w:type="dxa"/>
            <w:vMerge w:val="continue"/>
            <w:vAlign w:val="center"/>
          </w:tcPr>
          <w:p w14:paraId="069B8BD5">
            <w:pPr>
              <w:widowControl/>
              <w:jc w:val="center"/>
              <w:rPr>
                <w:rFonts w:ascii="宋体" w:hAnsi="宋体"/>
                <w:color w:val="auto"/>
                <w:highlight w:val="none"/>
              </w:rPr>
            </w:pPr>
          </w:p>
        </w:tc>
        <w:tc>
          <w:tcPr>
            <w:tcW w:w="1190" w:type="dxa"/>
            <w:vAlign w:val="center"/>
          </w:tcPr>
          <w:p w14:paraId="18502ECB">
            <w:pPr>
              <w:numPr>
                <w:ilvl w:val="2"/>
                <w:numId w:val="0"/>
              </w:numPr>
              <w:ind w:left="0" w:firstLine="0"/>
              <w:rPr>
                <w:rFonts w:ascii="宋体" w:hAnsi="宋体" w:cs="宋体"/>
                <w:color w:val="auto"/>
                <w:kern w:val="0"/>
                <w:szCs w:val="21"/>
                <w:highlight w:val="none"/>
              </w:rPr>
            </w:pPr>
            <w:r>
              <w:rPr>
                <w:rFonts w:ascii="宋体" w:hAnsi="宋体" w:eastAsia="宋体" w:cs="宋体"/>
                <w:color w:val="auto"/>
                <w:kern w:val="0"/>
                <w:sz w:val="21"/>
                <w:szCs w:val="21"/>
                <w:lang w:val="en-US" w:eastAsia="zh-CN" w:bidi="ar-SA"/>
              </w:rPr>
              <w:t>6.8.4</w:t>
            </w:r>
            <w:r>
              <w:rPr>
                <w:rFonts w:hint="eastAsia" w:ascii="宋体" w:hAnsi="宋体" w:cs="宋体"/>
                <w:color w:val="auto"/>
                <w:kern w:val="0"/>
                <w:szCs w:val="21"/>
                <w:highlight w:val="none"/>
              </w:rPr>
              <w:t>互联互通互认</w:t>
            </w:r>
          </w:p>
        </w:tc>
        <w:tc>
          <w:tcPr>
            <w:tcW w:w="7638" w:type="dxa"/>
            <w:vAlign w:val="center"/>
          </w:tcPr>
          <w:p w14:paraId="571FCF00">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HIS 提供接口</w:t>
            </w:r>
          </w:p>
          <w:p w14:paraId="7A55281C">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标准化数据接口：向互联互通互认平台推送符合国家相关标准（如 HL7FHIR、CDA等）的医疗数据，包括患者基本信息、诊疗信息、检查检验结果、电子病历等，支持跨机构、跨系统的数据交换和共享。</w:t>
            </w:r>
          </w:p>
          <w:p w14:paraId="2FF0B6B4">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业务流程接口：提供医院各类业务流程的接口，如挂号、就诊、检查、检验、治疗、出院等，互联互通互认平台可据此实现跨机构的业务协同和流程整合，提高医疗服务的连续性和可及性。</w:t>
            </w:r>
          </w:p>
          <w:p w14:paraId="409DED09">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术语与编码接口：同步医院使用的术语和编码系统，如疾病分类编码、手术操作编码、药品编码等，互联互通互认平台可对不同机构的术语和编码进行映射和转换，确保数据的一致性和可比性。</w:t>
            </w:r>
          </w:p>
          <w:p w14:paraId="059B3D5A">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安全与权限接口：提供数据安全和访问权限控制接口，确保医疗数据在交换和共享过程中的安全性和隐私性，保护患者的合法权益。</w:t>
            </w:r>
          </w:p>
          <w:p w14:paraId="2F8D5952">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互联互通互认平台提供接口</w:t>
            </w:r>
          </w:p>
          <w:p w14:paraId="5CA87E65">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数据查询与获取接口：支持 HIS 系统查询和获取其他医疗机构的标准化医疗数据，包括患者信息、诊疗记录、检查检验结果等，方便医生全面了解患者的病情，提供更加精准的医疗服务。</w:t>
            </w:r>
          </w:p>
          <w:p w14:paraId="4705E034">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业务协同与流程整合接口：实现跨机构的业务协同和流程整合，如双向转诊、远程会诊、检查检验结果互认等，互联互通互认平台可对业务流程进行自动化处理和跟踪，提高医疗服务效率。</w:t>
            </w:r>
          </w:p>
          <w:p w14:paraId="4776F9DD">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质量控制与评估接口：对医疗数据的质量和业务流程的执行情况进行控制和评估，将评估结果反馈至 HIS 系统，HIS 系统可据此改进数据质量和业务流程，提高医疗服务质量。</w:t>
            </w:r>
          </w:p>
          <w:p w14:paraId="3A5C7E5C">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统计分析与决策支持接口：定期向 HIS 系统提供互联互通互认工作的统计分析数据，如数据交换量、业务协同次数、患者满意度等，为医院评估互联互通互认工作的成效、制定相关政策提供数据支持。</w:t>
            </w:r>
          </w:p>
        </w:tc>
      </w:tr>
      <w:tr w14:paraId="71EF9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8" w:hRule="atLeast"/>
          <w:jc w:val="center"/>
        </w:trPr>
        <w:tc>
          <w:tcPr>
            <w:tcW w:w="971" w:type="dxa"/>
            <w:vMerge w:val="continue"/>
            <w:vAlign w:val="center"/>
          </w:tcPr>
          <w:p w14:paraId="0319FDDB">
            <w:pPr>
              <w:widowControl/>
              <w:jc w:val="center"/>
              <w:rPr>
                <w:rFonts w:ascii="宋体" w:hAnsi="宋体"/>
                <w:color w:val="auto"/>
                <w:highlight w:val="none"/>
              </w:rPr>
            </w:pPr>
          </w:p>
        </w:tc>
        <w:tc>
          <w:tcPr>
            <w:tcW w:w="1190" w:type="dxa"/>
            <w:vAlign w:val="center"/>
          </w:tcPr>
          <w:p w14:paraId="172C6BDD">
            <w:pPr>
              <w:numPr>
                <w:ilvl w:val="2"/>
                <w:numId w:val="0"/>
              </w:numPr>
              <w:ind w:left="0" w:firstLine="0"/>
              <w:rPr>
                <w:rFonts w:ascii="宋体" w:hAnsi="宋体" w:cs="宋体"/>
                <w:color w:val="auto"/>
                <w:kern w:val="0"/>
                <w:szCs w:val="21"/>
                <w:highlight w:val="none"/>
              </w:rPr>
            </w:pPr>
            <w:r>
              <w:rPr>
                <w:rFonts w:ascii="宋体" w:hAnsi="宋体" w:eastAsia="宋体" w:cs="宋体"/>
                <w:color w:val="auto"/>
                <w:kern w:val="0"/>
                <w:sz w:val="21"/>
                <w:szCs w:val="21"/>
                <w:lang w:val="en-US" w:eastAsia="zh-CN" w:bidi="ar-SA"/>
              </w:rPr>
              <w:t>6.8.5</w:t>
            </w:r>
            <w:r>
              <w:rPr>
                <w:rFonts w:hint="eastAsia" w:ascii="宋体" w:hAnsi="宋体" w:cs="宋体"/>
                <w:color w:val="auto"/>
                <w:kern w:val="0"/>
                <w:szCs w:val="21"/>
                <w:highlight w:val="none"/>
              </w:rPr>
              <w:t>深圳市卫健委健康云平台</w:t>
            </w:r>
          </w:p>
        </w:tc>
        <w:tc>
          <w:tcPr>
            <w:tcW w:w="7638" w:type="dxa"/>
            <w:vAlign w:val="center"/>
          </w:tcPr>
          <w:p w14:paraId="1E32C4B2">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HIS 提供接口</w:t>
            </w:r>
          </w:p>
          <w:p w14:paraId="1CB0AF1E">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患者诊疗信息接口：向深圳市卫健委健康云平台推送患者的诊疗信息，包括门诊就诊记录、住院记录、手术记录、检查检验结果、用药记录等，支持平台对全市医疗服务数据的集中管理和分析。</w:t>
            </w:r>
          </w:p>
          <w:p w14:paraId="413ACC31">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公共卫生相关信息接口：提供与公共卫生相关的信息，如传染病报告、预防接种记录、慢性病管理记录等，深圳市卫健委健康云平台可据此开展公共卫生监测和防控工作。</w:t>
            </w:r>
          </w:p>
          <w:p w14:paraId="07B859C8">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医疗资源信息接口：同步医院的医疗资源信息，包括床位、设备、医护人员等，深圳市卫健委健康云平台可据此进行医疗资源的统筹和调配，提高医疗资源的利用效率。</w:t>
            </w:r>
          </w:p>
          <w:p w14:paraId="4659094D">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医疗质量与安全信息接口：提供医院的医疗质量与安全信息，如手术并发症发生率、药品不良反应报告等，深圳市卫健委健康云平台可据此对医疗机构的医疗质量和安全进行监管和评估。</w:t>
            </w:r>
          </w:p>
          <w:p w14:paraId="60C698ED">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深圳市卫健委健康云平台提供接口</w:t>
            </w:r>
          </w:p>
          <w:p w14:paraId="3DE5A0A7">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医疗数据查询与分析接口：支持 HIS 系统查询和分析深圳市范围内的医疗数据，如疾病流行趋势、医疗资源分布、医疗质量指标等，为医院制定医疗服务计划、开展疾病防控工作提供数据支持。</w:t>
            </w:r>
          </w:p>
          <w:p w14:paraId="2D50F75E">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公共卫生服务协同接口：实现医院与公共卫生机构的业务协同，如传染病疫情报告、密切接触者追踪、疫苗接种管理等，深圳市卫健委健康云平台可对公共卫生服务流程进行自动化处理和跟踪，提高公共卫生服务效率。</w:t>
            </w:r>
          </w:p>
          <w:p w14:paraId="162E9CAE">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医疗监管与评估接口：向 HIS 系统反馈医院的医疗监管和评估结果，包括医疗质量评估、医疗安全评估、医疗服务效率评估等，HIS 系统可据此改进医疗服务质量和管理水平。</w:t>
            </w:r>
          </w:p>
          <w:p w14:paraId="153D7649">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政策与通知发布接口：发布卫生健康政策、工作通知、培训信息等，HIS 系统可接收这些信息，及时了解行业动态和政策要求，确保医院的医疗服务工作符合相关规定。</w:t>
            </w:r>
          </w:p>
        </w:tc>
      </w:tr>
      <w:tr w14:paraId="649FB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7" w:hRule="atLeast"/>
          <w:jc w:val="center"/>
        </w:trPr>
        <w:tc>
          <w:tcPr>
            <w:tcW w:w="971" w:type="dxa"/>
            <w:vMerge w:val="continue"/>
            <w:vAlign w:val="center"/>
          </w:tcPr>
          <w:p w14:paraId="0F4363D1">
            <w:pPr>
              <w:widowControl/>
              <w:jc w:val="center"/>
              <w:rPr>
                <w:rFonts w:ascii="宋体" w:hAnsi="宋体"/>
                <w:color w:val="auto"/>
                <w:highlight w:val="none"/>
              </w:rPr>
            </w:pPr>
          </w:p>
        </w:tc>
        <w:tc>
          <w:tcPr>
            <w:tcW w:w="1190" w:type="dxa"/>
            <w:vAlign w:val="center"/>
          </w:tcPr>
          <w:p w14:paraId="275902D9">
            <w:pPr>
              <w:numPr>
                <w:ilvl w:val="2"/>
                <w:numId w:val="0"/>
              </w:numPr>
              <w:ind w:left="0" w:firstLine="0"/>
              <w:rPr>
                <w:rFonts w:ascii="宋体" w:hAnsi="宋体" w:cs="宋体"/>
                <w:color w:val="auto"/>
                <w:kern w:val="0"/>
                <w:szCs w:val="21"/>
                <w:highlight w:val="none"/>
              </w:rPr>
            </w:pPr>
            <w:r>
              <w:rPr>
                <w:rFonts w:ascii="宋体" w:hAnsi="宋体" w:eastAsia="宋体" w:cs="宋体"/>
                <w:color w:val="auto"/>
                <w:kern w:val="0"/>
                <w:sz w:val="21"/>
                <w:szCs w:val="21"/>
                <w:lang w:val="en-US" w:eastAsia="zh-CN" w:bidi="ar-SA"/>
              </w:rPr>
              <w:t>6.8.6</w:t>
            </w:r>
            <w:r>
              <w:rPr>
                <w:rFonts w:hint="eastAsia" w:ascii="宋体" w:hAnsi="宋体" w:cs="宋体"/>
                <w:color w:val="auto"/>
                <w:kern w:val="0"/>
                <w:szCs w:val="21"/>
                <w:highlight w:val="none"/>
              </w:rPr>
              <w:t>国家疾控传染病监测预警前置系统</w:t>
            </w:r>
          </w:p>
        </w:tc>
        <w:tc>
          <w:tcPr>
            <w:tcW w:w="7638" w:type="dxa"/>
            <w:vAlign w:val="center"/>
          </w:tcPr>
          <w:p w14:paraId="1CCF01F8">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HIS 提供接口</w:t>
            </w:r>
          </w:p>
          <w:p w14:paraId="4C8B5757">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传染病病例报告接口：向国家疾控传染病监测预警前置系统实时推送传染病病例信息，包括患者基本信息、诊断信息、发病时间、就诊时间、临床表现等，支持传染病的早期发现和疫情监测。</w:t>
            </w:r>
          </w:p>
          <w:p w14:paraId="18A2930D">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发热门诊与急诊信息接口：提供医院发热门诊和急诊的就诊信息，包括就诊人数、症状表现、诊断结果等，国家疾控传染病监测预警前置系统可据此分析传染病的流行趋势和传播风险。</w:t>
            </w:r>
          </w:p>
          <w:p w14:paraId="2FF02986">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实验室检测结果接口：实时同步传染病相关的实验室检测结果，如核酸检测、抗体 检测等，国家疾控传染病监测预警前置系统可据此对传染病的诊断和疫情评估提供依据。</w:t>
            </w:r>
          </w:p>
          <w:p w14:paraId="2B75BE51">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疫情防控措施接口：反馈医院采取的疫情防控措施，如隔离病房设置、个人防护装备使用、消毒情况等，国家疾控传染病监测预警前置系统可据此评估医院的疫情防控能力和效果。</w:t>
            </w:r>
          </w:p>
          <w:p w14:paraId="5F12EB96">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国家疾控传染病监测预警前置系统提供接口</w:t>
            </w:r>
          </w:p>
          <w:p w14:paraId="73E4C23D">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疫情预警信息接口：向 HIS 系统实时推送传染病疫情预警信息，包括预警级别、预警区域、预警疾病类型、防控建议等，HIS 系统可据此及时采取防控措施，防止疫情扩散。</w:t>
            </w:r>
          </w:p>
          <w:p w14:paraId="29FC9BD1">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疫情分析与预测接口：提供传染病疫情的分析和预测结果，如疫情发展趋势、传播风险评估、重点防控区域建议等，HIS 系统可据此调整医疗资源配置和防控策略。</w:t>
            </w:r>
          </w:p>
          <w:p w14:paraId="5AF26BED">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防控指南与技术支持接口：发布传染病防控指南、诊疗方案、技术规范等，HIS 系统可接收这些信息，指导医院的疫情防控和医疗救治工作。</w:t>
            </w:r>
          </w:p>
          <w:p w14:paraId="21235C7C">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数据统计与报告接口：定期向 HIS 系统提供传染病监测和预警工作的数据统计报表，如病例数、发病率、死亡率、防控措施落实情况等，为医院评估疫情防控工作成效、改 进防控工作提供数据支持。</w:t>
            </w:r>
          </w:p>
        </w:tc>
      </w:tr>
      <w:tr w14:paraId="50FA8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9" w:hRule="atLeast"/>
          <w:jc w:val="center"/>
        </w:trPr>
        <w:tc>
          <w:tcPr>
            <w:tcW w:w="971" w:type="dxa"/>
            <w:vMerge w:val="continue"/>
            <w:vAlign w:val="center"/>
          </w:tcPr>
          <w:p w14:paraId="5F58B947">
            <w:pPr>
              <w:widowControl/>
              <w:jc w:val="center"/>
              <w:rPr>
                <w:rFonts w:ascii="宋体" w:hAnsi="宋体"/>
                <w:color w:val="auto"/>
                <w:highlight w:val="none"/>
              </w:rPr>
            </w:pPr>
          </w:p>
        </w:tc>
        <w:tc>
          <w:tcPr>
            <w:tcW w:w="1190" w:type="dxa"/>
            <w:vAlign w:val="center"/>
          </w:tcPr>
          <w:p w14:paraId="69C8D1A6">
            <w:pPr>
              <w:numPr>
                <w:ilvl w:val="2"/>
                <w:numId w:val="0"/>
              </w:numPr>
              <w:ind w:left="0" w:firstLine="0"/>
              <w:rPr>
                <w:rFonts w:ascii="宋体" w:hAnsi="宋体" w:cs="宋体"/>
                <w:color w:val="auto"/>
                <w:kern w:val="0"/>
                <w:szCs w:val="21"/>
                <w:highlight w:val="none"/>
              </w:rPr>
            </w:pPr>
            <w:r>
              <w:rPr>
                <w:rFonts w:ascii="宋体" w:hAnsi="宋体" w:eastAsia="宋体" w:cs="宋体"/>
                <w:color w:val="auto"/>
                <w:kern w:val="0"/>
                <w:sz w:val="21"/>
                <w:szCs w:val="21"/>
                <w:lang w:val="en-US" w:eastAsia="zh-CN" w:bidi="ar-SA"/>
              </w:rPr>
              <w:t>6.8.7</w:t>
            </w:r>
            <w:r>
              <w:rPr>
                <w:rFonts w:hint="eastAsia" w:ascii="宋体" w:hAnsi="宋体" w:cs="宋体"/>
                <w:color w:val="auto"/>
                <w:kern w:val="0"/>
                <w:szCs w:val="21"/>
                <w:highlight w:val="none"/>
              </w:rPr>
              <w:t>深圳市电子处方平台</w:t>
            </w:r>
          </w:p>
        </w:tc>
        <w:tc>
          <w:tcPr>
            <w:tcW w:w="7638" w:type="dxa"/>
            <w:vAlign w:val="center"/>
          </w:tcPr>
          <w:p w14:paraId="581FCCFB">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HIS 提供接口</w:t>
            </w:r>
          </w:p>
          <w:p w14:paraId="5707A6CD">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处方信息接口：向深圳市电子处方平台推送患者的处方信息，包括处方号、患者基本信息、药品名称、剂型、规格、数量、用法用量、开具时间、开具医师等，支持处方的电子化流转和共享。</w:t>
            </w:r>
          </w:p>
          <w:p w14:paraId="5B96FCB5">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患者基本信息接口：提供患者的基本信息，包括姓名、性别、年龄、身份证号、联系方式、医保信息等，深圳市电子处方平台可据此验证患者身份和医保资格，确保处方的合理性和合规性。</w:t>
            </w:r>
          </w:p>
          <w:p w14:paraId="4A699DB8">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药品库存与价格接口：实时同步医院药品的库存信息和价格信息，包括药品名称、规格、库存数量、零售价格等，深圳市电子处方平台可据此向患者提供药品购买建议和价格比较服务。</w:t>
            </w:r>
          </w:p>
          <w:p w14:paraId="50D4803F">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处方审核结果接口：接收深圳市电子处方平台反馈的处方审核结果，包括审核通过、审核不通过（原因说明）等，HIS 系统可据此通知医师进行处方修改或重新开具。</w:t>
            </w:r>
          </w:p>
          <w:p w14:paraId="0348DA04">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深圳市电子处方平台提供接口</w:t>
            </w:r>
          </w:p>
          <w:p w14:paraId="1CE078DD">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处方流转与调剂接口：支持医院处方在深圳市电子处方平台上的流转和调剂，包括处方发送、接收、审核、调剂等环节，实现处方的电子化管理和药品的便捷购买。</w:t>
            </w:r>
          </w:p>
          <w:p w14:paraId="6A896C9C">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药品配送服务接口：提供药品配送服务信息，包括配送企业、配送范围、配送时间、配送费用等，HIS 系统可将这些信息告知患者，方便患者选择合适的药品配送方式。</w:t>
            </w:r>
          </w:p>
          <w:p w14:paraId="3518819A">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医保结算接口：与医保系统对接，实现电子处方的医保费用结算，包括医保报销金额、个人自付金额等信息的实时计算和反馈，HIS 系统可据此为患者提供医保结算服务。</w:t>
            </w:r>
          </w:p>
          <w:p w14:paraId="0830BE20">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处方监管与统计接口：对电子处方的开具、流转、调剂、配送等环节进行监管和统计，将监管结果和统计数据反馈至 HIS 系统，HIS 系统可据此规范处方行为，提高处方质量。</w:t>
            </w:r>
          </w:p>
        </w:tc>
      </w:tr>
      <w:tr w14:paraId="4F167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2" w:hRule="atLeast"/>
          <w:jc w:val="center"/>
        </w:trPr>
        <w:tc>
          <w:tcPr>
            <w:tcW w:w="971" w:type="dxa"/>
            <w:vMerge w:val="continue"/>
            <w:vAlign w:val="center"/>
          </w:tcPr>
          <w:p w14:paraId="3655422B">
            <w:pPr>
              <w:widowControl/>
              <w:jc w:val="center"/>
              <w:rPr>
                <w:rFonts w:ascii="宋体" w:hAnsi="宋体"/>
                <w:color w:val="auto"/>
                <w:highlight w:val="none"/>
              </w:rPr>
            </w:pPr>
          </w:p>
        </w:tc>
        <w:tc>
          <w:tcPr>
            <w:tcW w:w="1190" w:type="dxa"/>
            <w:vAlign w:val="center"/>
          </w:tcPr>
          <w:p w14:paraId="7FD84741">
            <w:pPr>
              <w:numPr>
                <w:ilvl w:val="2"/>
                <w:numId w:val="0"/>
              </w:numPr>
              <w:ind w:left="0" w:firstLine="0"/>
              <w:rPr>
                <w:rFonts w:ascii="宋体" w:hAnsi="宋体" w:cs="宋体"/>
                <w:color w:val="auto"/>
                <w:kern w:val="0"/>
                <w:szCs w:val="21"/>
                <w:highlight w:val="none"/>
              </w:rPr>
            </w:pPr>
            <w:r>
              <w:rPr>
                <w:rFonts w:ascii="宋体" w:hAnsi="宋体" w:eastAsia="宋体" w:cs="宋体"/>
                <w:color w:val="auto"/>
                <w:kern w:val="0"/>
                <w:sz w:val="21"/>
                <w:szCs w:val="21"/>
                <w:lang w:val="en-US" w:eastAsia="zh-CN" w:bidi="ar-SA"/>
              </w:rPr>
              <w:t>6.8.8</w:t>
            </w:r>
            <w:r>
              <w:rPr>
                <w:rFonts w:hint="eastAsia" w:ascii="宋体" w:hAnsi="宋体" w:cs="宋体"/>
                <w:color w:val="auto"/>
                <w:kern w:val="0"/>
                <w:szCs w:val="21"/>
                <w:highlight w:val="none"/>
              </w:rPr>
              <w:t>深圳市双向转诊系统</w:t>
            </w:r>
          </w:p>
        </w:tc>
        <w:tc>
          <w:tcPr>
            <w:tcW w:w="7638" w:type="dxa"/>
            <w:vAlign w:val="center"/>
          </w:tcPr>
          <w:p w14:paraId="27328E70">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HIS 提供接口</w:t>
            </w:r>
          </w:p>
          <w:p w14:paraId="598F220C">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转诊申请接口：向深圳市双向转诊系统推送患者的转诊申请信息，包括患者基本信息、诊断信息、当前治疗情况、转诊原因、转诊方向（上转或下转）、转诊医疗机构等，支持转诊申请的电子化提交和审批。</w:t>
            </w:r>
          </w:p>
          <w:p w14:paraId="631A0B83">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患者诊疗信息接口：提供患者的完整诊疗信息，包括门诊病历、住院病历、检查检验结果、手术记录等，深圳市双向转诊系统可将这些信息同步至接收医院，方便接收医院快速了解患者病情，制定治疗方案。</w:t>
            </w:r>
          </w:p>
          <w:p w14:paraId="793882AB">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转诊状态反馈接口：接收深圳市双向转诊系统反馈的转诊状态信息，包括转诊申请已受理、已审批、已安排床位、已完成转诊等，HIS 系统可据此及时通知患者和医护人员，协调转诊相关事宜。</w:t>
            </w:r>
          </w:p>
          <w:p w14:paraId="07F9D169">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转诊评价接口：提供转诊服务的评价信息，包括转诊效率、服务质量、患者满意度等，深圳市双向转诊系统可据此对转诊服务进行质量评估和持续改进。</w:t>
            </w:r>
          </w:p>
          <w:p w14:paraId="15E36338">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深圳市双向转诊系统提供接口</w:t>
            </w:r>
          </w:p>
          <w:p w14:paraId="4F62060D">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转诊申请审核接口：为 HIS 系统提供转诊申请的审核服务，包括对转诊指征、转诊医疗机构选择等进行审核，并将审核结果反馈至 HIS 系统，确保转诊申请的合理性和合规性。</w:t>
            </w:r>
          </w:p>
          <w:p w14:paraId="7E8F0F17">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转诊医疗机构匹配接口：根据患者的病情和转诊需求，为 HIS 系统推荐合适的转诊医疗机构，包括医疗机构的名称、地址、专长科室、联系方式等信息，提高转诊效率和准确性。</w:t>
            </w:r>
          </w:p>
          <w:p w14:paraId="5142D48C">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转诊流程跟踪接口：实时跟踪转诊患者的流程状态，包括转诊申请、审批、转运、接收等环节，将流程状态信息反馈至 HIS 系统，方便医院和患者了解转诊进度。</w:t>
            </w:r>
          </w:p>
          <w:p w14:paraId="0BE0EDFB">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转诊数据统计与分析接口：定期向 HIS 系统提供双向转诊工作的数据统计报表，如转诊人次、转诊病种分布、转诊成功率、平均转诊时间等，为医院评估双向转诊工作成效、优化转诊流程提供数据支持。</w:t>
            </w:r>
          </w:p>
        </w:tc>
      </w:tr>
      <w:tr w14:paraId="22153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9" w:hRule="atLeast"/>
          <w:jc w:val="center"/>
        </w:trPr>
        <w:tc>
          <w:tcPr>
            <w:tcW w:w="971" w:type="dxa"/>
            <w:vMerge w:val="continue"/>
            <w:vAlign w:val="center"/>
          </w:tcPr>
          <w:p w14:paraId="2C05515E">
            <w:pPr>
              <w:widowControl/>
              <w:jc w:val="center"/>
              <w:rPr>
                <w:rFonts w:ascii="宋体" w:hAnsi="宋体"/>
                <w:color w:val="auto"/>
                <w:highlight w:val="none"/>
              </w:rPr>
            </w:pPr>
          </w:p>
        </w:tc>
        <w:tc>
          <w:tcPr>
            <w:tcW w:w="1190" w:type="dxa"/>
            <w:vAlign w:val="center"/>
          </w:tcPr>
          <w:p w14:paraId="630F48AE">
            <w:pPr>
              <w:numPr>
                <w:ilvl w:val="2"/>
                <w:numId w:val="0"/>
              </w:numPr>
              <w:ind w:left="0" w:firstLine="0"/>
              <w:rPr>
                <w:rFonts w:ascii="宋体" w:hAnsi="宋体" w:cs="宋体"/>
                <w:color w:val="auto"/>
                <w:kern w:val="0"/>
                <w:szCs w:val="21"/>
                <w:highlight w:val="none"/>
              </w:rPr>
            </w:pPr>
            <w:r>
              <w:rPr>
                <w:rFonts w:ascii="宋体" w:hAnsi="宋体" w:eastAsia="宋体" w:cs="宋体"/>
                <w:color w:val="auto"/>
                <w:kern w:val="0"/>
                <w:sz w:val="21"/>
                <w:szCs w:val="21"/>
                <w:lang w:val="en-US" w:eastAsia="zh-CN" w:bidi="ar-SA"/>
              </w:rPr>
              <w:t>6.8.9</w:t>
            </w:r>
            <w:r>
              <w:rPr>
                <w:rFonts w:hint="eastAsia" w:ascii="宋体" w:hAnsi="宋体" w:cs="宋体"/>
                <w:color w:val="auto"/>
                <w:kern w:val="0"/>
                <w:szCs w:val="21"/>
                <w:highlight w:val="none"/>
              </w:rPr>
              <w:t>国家抗肿瘤药物平台</w:t>
            </w:r>
          </w:p>
        </w:tc>
        <w:tc>
          <w:tcPr>
            <w:tcW w:w="7638" w:type="dxa"/>
            <w:vAlign w:val="center"/>
          </w:tcPr>
          <w:p w14:paraId="5C642AA1">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HIS 提供接口</w:t>
            </w:r>
          </w:p>
          <w:p w14:paraId="09C44027">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肿瘤患者信息接口：向国家抗肿瘤药物平台推送肿瘤患者的基本信息，包括姓名、性别、年龄、诊断、肿瘤类型、分期等，支持平台建立全国肿瘤患者数据库，开展肿瘤疾病监测和研究。</w:t>
            </w:r>
          </w:p>
          <w:p w14:paraId="48DDCD97">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抗肿瘤药物使用信息接口：提供患者的抗肿瘤药物使用信息，包括药物名称、剂型、规格、剂量、用药时间、用药途径、用药疗程等，国家抗肿瘤药物平台可据此对肿瘤药物的使用情况进行监测和分析，促进合理用药。</w:t>
            </w:r>
          </w:p>
          <w:p w14:paraId="00250741">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抗肿瘤治疗方案接口：实时同步患者的抗肿瘤治疗方案，包括手术治疗、化疗、放疗、靶向治疗、免疫治疗等，国家抗肿瘤药物平台可对治疗方案的合理性和有效性进行评估，为临床治疗提供参考。</w:t>
            </w:r>
          </w:p>
          <w:p w14:paraId="27940395">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治疗效果与不良反应接口：反馈患者的治疗效果和不良反应信息，包括肿瘤缩小情况、症状改善情况、不良反应类型、严重程度、处理措施等，国家抗肿瘤药物平台可据此开展药物安全性评价和治疗效果评估。</w:t>
            </w:r>
          </w:p>
          <w:p w14:paraId="745A4318">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国家抗肿瘤药物平台提供接口</w:t>
            </w:r>
          </w:p>
          <w:p w14:paraId="45CCE163">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药物信息与指南接口：向 HIS 系统提供抗肿瘤药物的最新信息，包括药物说明书、临床应用指南、药物疗效和安全性数据等，HIS 系统可据此更新医护人员的知识，指导临床用药。</w:t>
            </w:r>
          </w:p>
          <w:p w14:paraId="5FEF5B92">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用药合理性评估接口：对医院抗肿瘤药物的使用情况进行合理性评估，包括药物选择、剂量、疗程、联合用药等方面的评估，并将评估结果反馈至 HIS 系统，HIS 系统可据此规范抗肿瘤药物的使用，提高用药安全。</w:t>
            </w:r>
          </w:p>
          <w:p w14:paraId="7C98CA40">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药物可及性与供应接口：提供抗肿瘤药物的可及性和供应信息，包括药物生产企业、药品价格、医保报销情况、药品短缺预警等，HIS 系统可据此合理安排药物采购和使用，保障患者用药需求。</w:t>
            </w:r>
          </w:p>
          <w:p w14:paraId="0C93EDC4">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数据统计与分析接口：定期向 HIS 系统提供国家抗肿瘤药物平台的数据统计报表，如肿瘤发病率、死亡率、抗肿瘤药物使用情况、治疗效果评估等，为医院制定肿瘤防治策略、开展临床研究提供数据支持。</w:t>
            </w:r>
          </w:p>
        </w:tc>
      </w:tr>
      <w:tr w14:paraId="1CFF3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0" w:hRule="atLeast"/>
          <w:jc w:val="center"/>
        </w:trPr>
        <w:tc>
          <w:tcPr>
            <w:tcW w:w="971" w:type="dxa"/>
            <w:vMerge w:val="continue"/>
            <w:vAlign w:val="center"/>
          </w:tcPr>
          <w:p w14:paraId="23D465E2">
            <w:pPr>
              <w:widowControl/>
              <w:jc w:val="center"/>
              <w:rPr>
                <w:rFonts w:ascii="宋体" w:hAnsi="宋体"/>
                <w:color w:val="auto"/>
                <w:highlight w:val="none"/>
              </w:rPr>
            </w:pPr>
          </w:p>
        </w:tc>
        <w:tc>
          <w:tcPr>
            <w:tcW w:w="1190" w:type="dxa"/>
            <w:vAlign w:val="center"/>
          </w:tcPr>
          <w:p w14:paraId="26554520">
            <w:pPr>
              <w:numPr>
                <w:ilvl w:val="2"/>
                <w:numId w:val="0"/>
              </w:numPr>
              <w:ind w:left="0" w:firstLine="0"/>
              <w:rPr>
                <w:rFonts w:ascii="宋体" w:hAnsi="宋体" w:cs="宋体"/>
                <w:color w:val="auto"/>
                <w:kern w:val="0"/>
                <w:szCs w:val="21"/>
                <w:highlight w:val="none"/>
              </w:rPr>
            </w:pPr>
            <w:r>
              <w:rPr>
                <w:rFonts w:ascii="宋体" w:hAnsi="宋体" w:eastAsia="宋体" w:cs="宋体"/>
                <w:color w:val="auto"/>
                <w:kern w:val="0"/>
                <w:sz w:val="21"/>
                <w:szCs w:val="21"/>
                <w:lang w:val="en-US" w:eastAsia="zh-CN" w:bidi="ar-SA"/>
              </w:rPr>
              <w:t>6.8.10</w:t>
            </w:r>
            <w:r>
              <w:rPr>
                <w:rFonts w:hint="eastAsia" w:ascii="宋体" w:hAnsi="宋体" w:cs="宋体"/>
                <w:color w:val="auto"/>
                <w:kern w:val="0"/>
                <w:szCs w:val="21"/>
                <w:highlight w:val="none"/>
              </w:rPr>
              <w:t>国家儿童肿瘤平台</w:t>
            </w:r>
          </w:p>
        </w:tc>
        <w:tc>
          <w:tcPr>
            <w:tcW w:w="7638" w:type="dxa"/>
            <w:vAlign w:val="center"/>
          </w:tcPr>
          <w:p w14:paraId="3049B50B">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HIS 提供接口</w:t>
            </w:r>
          </w:p>
          <w:p w14:paraId="16B3275D">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儿童肿瘤患者信息接口：向国家儿童肿瘤平台推送儿童肿瘤患者的基本信息，包括姓名、性别、年龄、诊断、肿瘤类型、分期等，支持平台建立全国儿童肿瘤患者数据库，开展儿童肿瘤疾病监测和研究。</w:t>
            </w:r>
          </w:p>
          <w:p w14:paraId="71F9CF62">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儿童抗肿瘤治疗信息接口：提供儿童患者的抗肿瘤治疗信息，包括治疗方案、药物使用情况、手术记录、放疗记录、化疗记录等，国家儿童肿瘤平台可据此对儿童肿瘤治疗情况进行监测和分析，优化治疗方案。</w:t>
            </w:r>
          </w:p>
          <w:p w14:paraId="1795D013">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儿童生长发育与营养状况接口：实时同步儿童患者的生长发育指标和营养状况信息，包括身高、体重、头围、营养评估结果等，国家儿童肿瘤平台可据此评估治疗对儿童生 长发育的影响，指导营养支持治疗。</w:t>
            </w:r>
          </w:p>
          <w:p w14:paraId="695C2AE9">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治疗效果与随访信息接口：反馈儿童患者的治疗效果和随访信息，包括肿瘤缓解情况、复发情况、生存质量评估等，国家儿童肿瘤平台可据此开展长期随访研究，提高儿童肿瘤的治疗效果和生存质量。</w:t>
            </w:r>
          </w:p>
          <w:p w14:paraId="0FE72DD3">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国家儿童肿瘤平台提供接口</w:t>
            </w:r>
          </w:p>
          <w:p w14:paraId="32D5B0D3">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诊疗规范与专家共识接口：向 HIS 系统提供儿童肿瘤诊疗规范和专家共识，包括诊断标准、治疗方案、随访计划等，HIS 系统可据此规范儿童肿瘤的诊疗行为，提高诊疗水平。</w:t>
            </w:r>
          </w:p>
          <w:p w14:paraId="4AED58D5">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多学科协作与远程会诊接口：支持医院与国家儿童肿瘤平台的多学科专家团队进行协作和远程会诊，为疑难复杂儿童肿瘤病例提供诊疗建议和指导，提高儿童肿瘤的诊疗效果。</w:t>
            </w:r>
          </w:p>
          <w:p w14:paraId="0E75B67A">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临床研究与试验接口：发布儿童肿瘤临床研究和试验信息，包括研究目的、入选标准、研究方案等，HIS 系统可据此筛选符合条件的患者参与临床研究，推动儿童肿瘤治疗技术的创新和发展。</w:t>
            </w:r>
          </w:p>
          <w:p w14:paraId="54E62AA7">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数据统计与分析接口：定期向 HIS 系统提供国家儿童肿瘤平台的数据统计报表，如儿童肿瘤发病率、死亡率、治疗效果评估、生存分析等，为医院制定儿童肿瘤防治策略、开展临床研究提供数据支持。</w:t>
            </w:r>
          </w:p>
        </w:tc>
      </w:tr>
      <w:tr w14:paraId="7C099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9799" w:type="dxa"/>
            <w:gridSpan w:val="3"/>
            <w:vAlign w:val="center"/>
          </w:tcPr>
          <w:p w14:paraId="06A17B73">
            <w:pPr>
              <w:numPr>
                <w:ilvl w:val="0"/>
                <w:numId w:val="0"/>
              </w:numPr>
              <w:ind w:left="425" w:hanging="425"/>
              <w:rPr>
                <w:rFonts w:ascii="宋体" w:hAnsi="宋体"/>
                <w:color w:val="auto"/>
                <w:highlight w:val="none"/>
              </w:rPr>
            </w:pPr>
            <w:r>
              <w:rPr>
                <w:rFonts w:ascii="宋体" w:hAnsi="宋体" w:eastAsia="宋体" w:cs="Times New Roman"/>
                <w:color w:val="auto"/>
                <w:kern w:val="2"/>
                <w:sz w:val="21"/>
                <w:szCs w:val="24"/>
                <w:lang w:val="en-US" w:eastAsia="zh-CN" w:bidi="ar-SA"/>
              </w:rPr>
              <w:t>7</w:t>
            </w:r>
            <w:r>
              <w:rPr>
                <w:rFonts w:hint="eastAsia" w:ascii="宋体" w:hAnsi="宋体"/>
                <w:color w:val="auto"/>
                <w:highlight w:val="none"/>
              </w:rPr>
              <w:t>单向对接（HIS提供接口）</w:t>
            </w:r>
          </w:p>
        </w:tc>
      </w:tr>
      <w:tr w14:paraId="26BCC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4" w:hRule="atLeast"/>
          <w:jc w:val="center"/>
        </w:trPr>
        <w:tc>
          <w:tcPr>
            <w:tcW w:w="971" w:type="dxa"/>
            <w:vMerge w:val="restart"/>
            <w:vAlign w:val="center"/>
          </w:tcPr>
          <w:p w14:paraId="176DBC46">
            <w:pPr>
              <w:widowControl/>
              <w:jc w:val="center"/>
              <w:rPr>
                <w:rFonts w:ascii="宋体" w:hAnsi="宋体"/>
                <w:color w:val="auto"/>
                <w:highlight w:val="none"/>
              </w:rPr>
            </w:pPr>
            <w:r>
              <w:rPr>
                <w:rFonts w:hint="eastAsia" w:ascii="宋体" w:hAnsi="宋体"/>
                <w:color w:val="auto"/>
                <w:highlight w:val="none"/>
              </w:rPr>
              <w:t>单向对接（HIS提供接口）</w:t>
            </w:r>
          </w:p>
        </w:tc>
        <w:tc>
          <w:tcPr>
            <w:tcW w:w="1190" w:type="dxa"/>
            <w:vAlign w:val="center"/>
          </w:tcPr>
          <w:p w14:paraId="67DC74D0">
            <w:pPr>
              <w:numPr>
                <w:ilvl w:val="2"/>
                <w:numId w:val="0"/>
              </w:numPr>
              <w:ind w:left="0" w:firstLine="0"/>
              <w:rPr>
                <w:rFonts w:ascii="宋体" w:hAnsi="宋体" w:cs="宋体"/>
                <w:color w:val="auto"/>
                <w:kern w:val="0"/>
                <w:szCs w:val="21"/>
                <w:highlight w:val="none"/>
              </w:rPr>
            </w:pPr>
            <w:r>
              <w:rPr>
                <w:rFonts w:ascii="宋体" w:hAnsi="宋体" w:eastAsia="宋体" w:cs="宋体"/>
                <w:color w:val="auto"/>
                <w:kern w:val="0"/>
                <w:sz w:val="21"/>
                <w:szCs w:val="21"/>
                <w:lang w:val="en-US" w:eastAsia="zh-CN" w:bidi="ar-SA"/>
              </w:rPr>
              <w:t>7.1.1</w:t>
            </w:r>
            <w:r>
              <w:rPr>
                <w:rFonts w:hint="eastAsia" w:ascii="宋体" w:hAnsi="宋体" w:cs="宋体"/>
                <w:color w:val="auto"/>
                <w:kern w:val="0"/>
                <w:szCs w:val="21"/>
                <w:highlight w:val="none"/>
              </w:rPr>
              <w:t>门诊流程单机版应急系统</w:t>
            </w:r>
          </w:p>
        </w:tc>
        <w:tc>
          <w:tcPr>
            <w:tcW w:w="7638" w:type="dxa"/>
            <w:vAlign w:val="center"/>
          </w:tcPr>
          <w:p w14:paraId="0F7A2FEC">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患者基本信息接口：提供患者姓名、性别、年龄、身份证号、联系方式、医保类型及编号等基本信息，以 JSON 格式实时传输，确保应急系统快速获取患者身份信息，保障门诊流程在应急状态下顺利开展。</w:t>
            </w:r>
          </w:p>
          <w:p w14:paraId="5D8D3AD6">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挂号信息接口：输出挂号时间、挂号科室、挂号医师、挂号类型（普通、专家等）、挂号费用等数据，支持按时间段批量查询，便于应急系统记录和管理门诊挂号业务，维持挂号秩序。</w:t>
            </w:r>
          </w:p>
          <w:p w14:paraId="0E17163C">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就诊信息接口：推送就诊时间、接诊医师、主诉、现病史等就诊记录，以及已开具的检查、检验、处方等医嘱信息，使应急系统完整掌握患者就诊过程，支持后续诊疗操作。</w:t>
            </w:r>
          </w:p>
        </w:tc>
      </w:tr>
      <w:tr w14:paraId="20E2B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0" w:hRule="atLeast"/>
          <w:jc w:val="center"/>
        </w:trPr>
        <w:tc>
          <w:tcPr>
            <w:tcW w:w="971" w:type="dxa"/>
            <w:vMerge w:val="continue"/>
            <w:vAlign w:val="center"/>
          </w:tcPr>
          <w:p w14:paraId="33A64A9E">
            <w:pPr>
              <w:widowControl/>
              <w:jc w:val="center"/>
              <w:rPr>
                <w:rFonts w:ascii="宋体" w:hAnsi="宋体"/>
                <w:color w:val="auto"/>
                <w:highlight w:val="none"/>
              </w:rPr>
            </w:pPr>
          </w:p>
        </w:tc>
        <w:tc>
          <w:tcPr>
            <w:tcW w:w="1190" w:type="dxa"/>
            <w:vAlign w:val="center"/>
          </w:tcPr>
          <w:p w14:paraId="0D8966D8">
            <w:pPr>
              <w:numPr>
                <w:ilvl w:val="2"/>
                <w:numId w:val="0"/>
              </w:numPr>
              <w:ind w:left="0" w:firstLine="0"/>
              <w:rPr>
                <w:rFonts w:ascii="宋体" w:hAnsi="宋体" w:cs="宋体"/>
                <w:color w:val="auto"/>
                <w:kern w:val="0"/>
                <w:szCs w:val="21"/>
                <w:highlight w:val="none"/>
              </w:rPr>
            </w:pPr>
            <w:r>
              <w:rPr>
                <w:rFonts w:ascii="宋体" w:hAnsi="宋体" w:eastAsia="宋体" w:cs="宋体"/>
                <w:color w:val="auto"/>
                <w:kern w:val="0"/>
                <w:sz w:val="21"/>
                <w:szCs w:val="21"/>
                <w:lang w:val="en-US" w:eastAsia="zh-CN" w:bidi="ar-SA"/>
              </w:rPr>
              <w:t>7.1.2</w:t>
            </w:r>
            <w:r>
              <w:rPr>
                <w:rFonts w:hint="eastAsia" w:ascii="宋体" w:hAnsi="宋体" w:cs="宋体"/>
                <w:color w:val="auto"/>
                <w:kern w:val="0"/>
                <w:szCs w:val="21"/>
                <w:highlight w:val="none"/>
              </w:rPr>
              <w:t>MDT系统</w:t>
            </w:r>
          </w:p>
        </w:tc>
        <w:tc>
          <w:tcPr>
            <w:tcW w:w="7638" w:type="dxa"/>
            <w:vAlign w:val="center"/>
          </w:tcPr>
          <w:p w14:paraId="6B3B1EF8">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患者全面病历信息接口：提供患者从首次就诊到当前的完整病历资料，包括门诊病历、住院病历、历次检查检验报告、影像资料等，使 MDT 团队全面了解患者病情发展，为多学科会诊提供充足依据。</w:t>
            </w:r>
          </w:p>
          <w:p w14:paraId="561FFA44">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当前治疗方案接口：输出患者正在执行的治疗方案，包括药物治疗、手术治疗、放疗、化疗等具体措施及用药剂量、疗程安排等详细信息，便于 MDT 团队评估现有治疗效果，制定更优的综合治疗方案。</w:t>
            </w:r>
          </w:p>
          <w:p w14:paraId="23D0EB61">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检查检验实时动态接口：实时推送患者新产生的检查检验结果，如血常规、生化指标、病理报告等，确保 MDT 团队及时获取患者最新病情变化，调整会诊决策。</w:t>
            </w:r>
          </w:p>
        </w:tc>
      </w:tr>
      <w:tr w14:paraId="54C0E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2" w:hRule="atLeast"/>
          <w:jc w:val="center"/>
        </w:trPr>
        <w:tc>
          <w:tcPr>
            <w:tcW w:w="971" w:type="dxa"/>
            <w:vMerge w:val="continue"/>
            <w:vAlign w:val="center"/>
          </w:tcPr>
          <w:p w14:paraId="34CF3B5D">
            <w:pPr>
              <w:widowControl/>
              <w:jc w:val="center"/>
              <w:rPr>
                <w:rFonts w:ascii="宋体" w:hAnsi="宋体"/>
                <w:color w:val="auto"/>
                <w:highlight w:val="none"/>
              </w:rPr>
            </w:pPr>
          </w:p>
        </w:tc>
        <w:tc>
          <w:tcPr>
            <w:tcW w:w="1190" w:type="dxa"/>
            <w:vAlign w:val="center"/>
          </w:tcPr>
          <w:p w14:paraId="0D252A77">
            <w:pPr>
              <w:numPr>
                <w:ilvl w:val="2"/>
                <w:numId w:val="0"/>
              </w:numPr>
              <w:ind w:left="0" w:firstLine="0"/>
              <w:rPr>
                <w:rFonts w:ascii="宋体" w:hAnsi="宋体" w:cs="宋体"/>
                <w:color w:val="auto"/>
                <w:kern w:val="0"/>
                <w:szCs w:val="21"/>
                <w:highlight w:val="none"/>
              </w:rPr>
            </w:pPr>
            <w:r>
              <w:rPr>
                <w:rFonts w:ascii="宋体" w:hAnsi="宋体" w:eastAsia="宋体" w:cs="宋体"/>
                <w:color w:val="auto"/>
                <w:kern w:val="0"/>
                <w:sz w:val="21"/>
                <w:szCs w:val="21"/>
                <w:lang w:val="en-US" w:eastAsia="zh-CN" w:bidi="ar-SA"/>
              </w:rPr>
              <w:t>7.1.3</w:t>
            </w:r>
            <w:r>
              <w:rPr>
                <w:rFonts w:hint="eastAsia" w:ascii="宋体" w:hAnsi="宋体" w:cs="宋体"/>
                <w:color w:val="auto"/>
                <w:kern w:val="0"/>
                <w:szCs w:val="21"/>
                <w:highlight w:val="none"/>
              </w:rPr>
              <w:t>DIP</w:t>
            </w:r>
          </w:p>
        </w:tc>
        <w:tc>
          <w:tcPr>
            <w:tcW w:w="7638" w:type="dxa"/>
            <w:vAlign w:val="center"/>
          </w:tcPr>
          <w:p w14:paraId="65DADC3D">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诊疗数据接口：提供患者的诊断信息（ICD 编码）、手术操作信息（ICD-9 编码）、治疗方式、住院天数、药品使用明细、检查检验项目及费用等数据，满足 DIP 系统对病例分组和费用核算的需求，实现医保费用的精准支付与管理。</w:t>
            </w:r>
          </w:p>
          <w:p w14:paraId="183FF52B">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费用明细接口：输出患者住院期间各项费用的详细清单，包括床位费、护理费、药品费、检查费、治疗费等，支持按费用类别和时间维度查询，便于 DIP 系统进行成本分析和费用监控。</w:t>
            </w:r>
          </w:p>
          <w:p w14:paraId="68AD2066">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病案首页信息接口：提供完整的病案首页数据，涵盖患者基本信息、诊断信息、手术操作信息、住院费用信息等关键内容，确保 DIP 系统获取准确的病例核心数据，提高分组准确性和费用结算效率。</w:t>
            </w:r>
          </w:p>
        </w:tc>
      </w:tr>
      <w:tr w14:paraId="23C46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2" w:hRule="atLeast"/>
          <w:jc w:val="center"/>
        </w:trPr>
        <w:tc>
          <w:tcPr>
            <w:tcW w:w="971" w:type="dxa"/>
            <w:vMerge w:val="continue"/>
            <w:vAlign w:val="center"/>
          </w:tcPr>
          <w:p w14:paraId="07A77BD1">
            <w:pPr>
              <w:widowControl/>
              <w:jc w:val="center"/>
              <w:rPr>
                <w:rFonts w:ascii="宋体" w:hAnsi="宋体"/>
                <w:color w:val="auto"/>
                <w:highlight w:val="none"/>
              </w:rPr>
            </w:pPr>
          </w:p>
        </w:tc>
        <w:tc>
          <w:tcPr>
            <w:tcW w:w="1190" w:type="dxa"/>
            <w:vAlign w:val="center"/>
          </w:tcPr>
          <w:p w14:paraId="3F45B2AE">
            <w:pPr>
              <w:numPr>
                <w:ilvl w:val="2"/>
                <w:numId w:val="0"/>
              </w:numPr>
              <w:ind w:left="0" w:firstLine="0"/>
              <w:rPr>
                <w:rFonts w:ascii="宋体" w:hAnsi="宋体" w:cs="宋体"/>
                <w:color w:val="auto"/>
                <w:kern w:val="0"/>
                <w:szCs w:val="21"/>
                <w:highlight w:val="none"/>
              </w:rPr>
            </w:pPr>
            <w:r>
              <w:rPr>
                <w:rFonts w:ascii="宋体" w:hAnsi="宋体" w:eastAsia="宋体" w:cs="宋体"/>
                <w:color w:val="auto"/>
                <w:kern w:val="0"/>
                <w:sz w:val="21"/>
                <w:szCs w:val="21"/>
                <w:lang w:val="en-US" w:eastAsia="zh-CN" w:bidi="ar-SA"/>
              </w:rPr>
              <w:t>7.1.4</w:t>
            </w:r>
            <w:r>
              <w:rPr>
                <w:rFonts w:hint="eastAsia" w:ascii="宋体" w:hAnsi="宋体" w:cs="宋体"/>
                <w:color w:val="auto"/>
                <w:kern w:val="0"/>
                <w:szCs w:val="21"/>
                <w:highlight w:val="none"/>
              </w:rPr>
              <w:t>DRG</w:t>
            </w:r>
          </w:p>
        </w:tc>
        <w:tc>
          <w:tcPr>
            <w:tcW w:w="7638" w:type="dxa"/>
            <w:vAlign w:val="center"/>
          </w:tcPr>
          <w:p w14:paraId="6FE48810">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诊疗数据接口：提供患者的诊断信息（ICD 编码）、手术操作信息（ICD-9 编码）、治疗方式、住院天数、药品使用明细、检查检验项目及费用等数据，满足 DRG 系统对病例分组和费用核算的需求，实现医保费用的精准支付与管理。</w:t>
            </w:r>
          </w:p>
          <w:p w14:paraId="2D44B943">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费用明细接口：输出患者住院期间各项费用的详细清单，包括床位费、护理费、药品费、检查费、治疗费等，支持按费用类别和时间维度查询，便于 DRG 系统进行成本分析和费用监控。</w:t>
            </w:r>
          </w:p>
          <w:p w14:paraId="40840519">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病案首页信息接口：提供完整的病案首页数据，涵盖患者基本信息、诊断信息、手术操作信息、住院费用信息等关键内容，确保 DRG 系统获取准确的病例核心数据，提高分组准确性和费用结算效率。</w:t>
            </w:r>
          </w:p>
        </w:tc>
      </w:tr>
      <w:tr w14:paraId="49226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4" w:hRule="atLeast"/>
          <w:jc w:val="center"/>
        </w:trPr>
        <w:tc>
          <w:tcPr>
            <w:tcW w:w="971" w:type="dxa"/>
            <w:vMerge w:val="continue"/>
            <w:vAlign w:val="center"/>
          </w:tcPr>
          <w:p w14:paraId="41BE6D4B">
            <w:pPr>
              <w:widowControl/>
              <w:jc w:val="center"/>
              <w:rPr>
                <w:rFonts w:ascii="宋体" w:hAnsi="宋体"/>
                <w:color w:val="auto"/>
                <w:highlight w:val="none"/>
              </w:rPr>
            </w:pPr>
          </w:p>
        </w:tc>
        <w:tc>
          <w:tcPr>
            <w:tcW w:w="1190" w:type="dxa"/>
            <w:vAlign w:val="center"/>
          </w:tcPr>
          <w:p w14:paraId="4173B328">
            <w:pPr>
              <w:numPr>
                <w:ilvl w:val="2"/>
                <w:numId w:val="0"/>
              </w:numPr>
              <w:ind w:left="0" w:firstLine="0"/>
              <w:rPr>
                <w:rFonts w:ascii="宋体" w:hAnsi="宋体" w:cs="宋体"/>
                <w:color w:val="auto"/>
                <w:kern w:val="0"/>
                <w:szCs w:val="21"/>
                <w:highlight w:val="none"/>
              </w:rPr>
            </w:pPr>
            <w:r>
              <w:rPr>
                <w:rFonts w:ascii="宋体" w:hAnsi="宋体" w:eastAsia="宋体" w:cs="宋体"/>
                <w:color w:val="auto"/>
                <w:kern w:val="0"/>
                <w:sz w:val="21"/>
                <w:szCs w:val="21"/>
                <w:lang w:val="en-US" w:eastAsia="zh-CN" w:bidi="ar-SA"/>
              </w:rPr>
              <w:t>7.1.5</w:t>
            </w:r>
            <w:r>
              <w:rPr>
                <w:rFonts w:hint="eastAsia" w:ascii="宋体" w:hAnsi="宋体" w:cs="宋体"/>
                <w:color w:val="auto"/>
                <w:kern w:val="0"/>
                <w:szCs w:val="21"/>
                <w:highlight w:val="none"/>
              </w:rPr>
              <w:t>不良事件上报</w:t>
            </w:r>
          </w:p>
        </w:tc>
        <w:tc>
          <w:tcPr>
            <w:tcW w:w="7638" w:type="dxa"/>
            <w:vAlign w:val="center"/>
          </w:tcPr>
          <w:p w14:paraId="0EACE85D">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事件相关患者信息接口：提供发生不良事件患者的基本信息、诊疗信息及事件发生时所在科室、床位等信息，帮助不良事件上报系统快速定位事件涉及患者，全面记录事件情况。</w:t>
            </w:r>
          </w:p>
          <w:p w14:paraId="1A5B01AB">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事件发生场景信息接口：输出不良事件发生的时间、地点、涉及人员（医护人员、患者等）、操作流程等场景信息，为不良事件的原因分析和责任追溯提供详细资料。</w:t>
            </w:r>
          </w:p>
          <w:p w14:paraId="305BB458">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初步处理措施接口：当医护人员在 HIS 系统中记录不良事件初步处理措施时，同步推送至不良事件上报系统，包括采取的急救措施、药品使用情况、病情监测等内容，便于后续对事件处理过程进行跟踪和评估。</w:t>
            </w:r>
          </w:p>
        </w:tc>
      </w:tr>
      <w:tr w14:paraId="1384B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4" w:hRule="atLeast"/>
          <w:jc w:val="center"/>
        </w:trPr>
        <w:tc>
          <w:tcPr>
            <w:tcW w:w="971" w:type="dxa"/>
            <w:vMerge w:val="continue"/>
            <w:vAlign w:val="center"/>
          </w:tcPr>
          <w:p w14:paraId="481AD889">
            <w:pPr>
              <w:widowControl/>
              <w:jc w:val="center"/>
              <w:rPr>
                <w:rFonts w:ascii="宋体" w:hAnsi="宋体"/>
                <w:color w:val="auto"/>
                <w:highlight w:val="none"/>
              </w:rPr>
            </w:pPr>
          </w:p>
        </w:tc>
        <w:tc>
          <w:tcPr>
            <w:tcW w:w="1190" w:type="dxa"/>
            <w:vAlign w:val="center"/>
          </w:tcPr>
          <w:p w14:paraId="48F1E0BA">
            <w:pPr>
              <w:numPr>
                <w:ilvl w:val="2"/>
                <w:numId w:val="0"/>
              </w:numPr>
              <w:ind w:left="0" w:firstLine="0"/>
              <w:rPr>
                <w:rFonts w:ascii="宋体" w:hAnsi="宋体" w:cs="宋体"/>
                <w:color w:val="auto"/>
                <w:kern w:val="0"/>
                <w:szCs w:val="21"/>
                <w:highlight w:val="none"/>
              </w:rPr>
            </w:pPr>
            <w:r>
              <w:rPr>
                <w:rFonts w:ascii="宋体" w:hAnsi="宋体" w:eastAsia="宋体" w:cs="宋体"/>
                <w:color w:val="auto"/>
                <w:kern w:val="0"/>
                <w:sz w:val="21"/>
                <w:szCs w:val="21"/>
                <w:lang w:val="en-US" w:eastAsia="zh-CN" w:bidi="ar-SA"/>
              </w:rPr>
              <w:t>7.1.6</w:t>
            </w:r>
            <w:r>
              <w:rPr>
                <w:rFonts w:hint="eastAsia" w:ascii="宋体" w:hAnsi="宋体" w:cs="宋体"/>
                <w:color w:val="auto"/>
                <w:kern w:val="0"/>
                <w:szCs w:val="21"/>
                <w:highlight w:val="none"/>
              </w:rPr>
              <w:t>药品不良反应上报</w:t>
            </w:r>
          </w:p>
        </w:tc>
        <w:tc>
          <w:tcPr>
            <w:tcW w:w="7638" w:type="dxa"/>
            <w:vAlign w:val="center"/>
          </w:tcPr>
          <w:p w14:paraId="02471B10">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用药信息接口：提供患者用药记录，包括药品名称、剂型、规格、剂量、用药时间、用药途径、用药疗程、开具医师等详细信息，支持按药品批次和患者 ID 查询，便于药品不良反应上报系统分析药品与不良反应之间的关联。</w:t>
            </w:r>
          </w:p>
          <w:p w14:paraId="7CE5DFF8">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不良反应症状接口：当医护人员在 HIS 系统中记录患者药品不良反应症状时，实时推送至药品不良反应上报系统，包括症状表现、出现时间、严重程度等内容，确保不良反应信息及时上报和监测。</w:t>
            </w:r>
          </w:p>
          <w:p w14:paraId="19CE1EEA">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处理措施及转归接口：输出针对药品不良反应采取的处理措施，如停药、换药、对症治疗等，以及患者不良反应的转归情况，为药品安全性评估和监管提供数据支持。</w:t>
            </w:r>
          </w:p>
        </w:tc>
      </w:tr>
      <w:tr w14:paraId="37F51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2" w:hRule="atLeast"/>
          <w:jc w:val="center"/>
        </w:trPr>
        <w:tc>
          <w:tcPr>
            <w:tcW w:w="971" w:type="dxa"/>
            <w:vMerge w:val="continue"/>
            <w:vAlign w:val="center"/>
          </w:tcPr>
          <w:p w14:paraId="667E46D5">
            <w:pPr>
              <w:widowControl/>
              <w:jc w:val="center"/>
              <w:rPr>
                <w:rFonts w:ascii="宋体" w:hAnsi="宋体"/>
                <w:color w:val="auto"/>
                <w:highlight w:val="none"/>
              </w:rPr>
            </w:pPr>
          </w:p>
        </w:tc>
        <w:tc>
          <w:tcPr>
            <w:tcW w:w="1190" w:type="dxa"/>
            <w:vAlign w:val="center"/>
          </w:tcPr>
          <w:p w14:paraId="15705397">
            <w:pPr>
              <w:numPr>
                <w:ilvl w:val="2"/>
                <w:numId w:val="0"/>
              </w:numPr>
              <w:ind w:left="0" w:firstLine="0"/>
              <w:rPr>
                <w:rFonts w:ascii="宋体" w:hAnsi="宋体" w:cs="宋体"/>
                <w:color w:val="auto"/>
                <w:kern w:val="0"/>
                <w:szCs w:val="21"/>
                <w:highlight w:val="none"/>
              </w:rPr>
            </w:pPr>
            <w:r>
              <w:rPr>
                <w:rFonts w:ascii="宋体" w:hAnsi="宋体" w:eastAsia="宋体" w:cs="宋体"/>
                <w:color w:val="auto"/>
                <w:kern w:val="0"/>
                <w:sz w:val="21"/>
                <w:szCs w:val="21"/>
                <w:lang w:val="en-US" w:eastAsia="zh-CN" w:bidi="ar-SA"/>
              </w:rPr>
              <w:t>7.1.7</w:t>
            </w:r>
            <w:r>
              <w:rPr>
                <w:rFonts w:hint="eastAsia" w:ascii="宋体" w:hAnsi="宋体" w:cs="宋体"/>
                <w:color w:val="auto"/>
                <w:kern w:val="0"/>
                <w:szCs w:val="21"/>
                <w:highlight w:val="none"/>
              </w:rPr>
              <w:t>单病种系统</w:t>
            </w:r>
          </w:p>
        </w:tc>
        <w:tc>
          <w:tcPr>
            <w:tcW w:w="7638" w:type="dxa"/>
            <w:vAlign w:val="center"/>
          </w:tcPr>
          <w:p w14:paraId="11438526">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符合病种标准患者信息接口：根据单病种定义和筛选条件，在 HIS 系统中自动识别符合标准的患者，并提供患者基本信息、诊断信息、治疗方案、手术操作信息等数据，便于单病种系统对特定病种患者进行集中管理和研究。</w:t>
            </w:r>
          </w:p>
          <w:p w14:paraId="6657CC9B">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诊疗过程关键节点信息接口：提供患者在单病种诊疗过程中的关键节点数据，如入院时间、手术时间、出院时间、主要治疗措施实施时间等，以及各节点对应的病情评估结果，支持单病种系统跟踪患者诊疗进程，评估治疗效果。</w:t>
            </w:r>
          </w:p>
          <w:p w14:paraId="5151534A">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费用及资源消耗信息接口：输出患者在单病种治疗过程中的费用明细，包括药品费用、检查检验费用、手术费用等，以及医疗资源消耗情况，如床位使用时长、设备使用次数等，为单病种成本核算和质量控制提供依据。</w:t>
            </w:r>
          </w:p>
        </w:tc>
      </w:tr>
      <w:tr w14:paraId="402F8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2" w:hRule="atLeast"/>
          <w:jc w:val="center"/>
        </w:trPr>
        <w:tc>
          <w:tcPr>
            <w:tcW w:w="971" w:type="dxa"/>
            <w:vMerge w:val="continue"/>
            <w:vAlign w:val="center"/>
          </w:tcPr>
          <w:p w14:paraId="5079676E">
            <w:pPr>
              <w:widowControl/>
              <w:jc w:val="center"/>
              <w:rPr>
                <w:rFonts w:ascii="宋体" w:hAnsi="宋体"/>
                <w:color w:val="auto"/>
                <w:highlight w:val="none"/>
              </w:rPr>
            </w:pPr>
          </w:p>
        </w:tc>
        <w:tc>
          <w:tcPr>
            <w:tcW w:w="1190" w:type="dxa"/>
            <w:vAlign w:val="center"/>
          </w:tcPr>
          <w:p w14:paraId="5C81CB70">
            <w:pPr>
              <w:numPr>
                <w:ilvl w:val="2"/>
                <w:numId w:val="0"/>
              </w:numPr>
              <w:ind w:left="0" w:firstLine="0"/>
              <w:rPr>
                <w:rFonts w:ascii="宋体" w:hAnsi="宋体" w:cs="宋体"/>
                <w:color w:val="auto"/>
                <w:kern w:val="0"/>
                <w:szCs w:val="21"/>
                <w:highlight w:val="none"/>
              </w:rPr>
            </w:pPr>
            <w:r>
              <w:rPr>
                <w:rFonts w:ascii="宋体" w:hAnsi="宋体" w:eastAsia="宋体" w:cs="宋体"/>
                <w:color w:val="auto"/>
                <w:kern w:val="0"/>
                <w:sz w:val="21"/>
                <w:szCs w:val="21"/>
                <w:lang w:val="en-US" w:eastAsia="zh-CN" w:bidi="ar-SA"/>
              </w:rPr>
              <w:t>7.1.8</w:t>
            </w:r>
            <w:r>
              <w:rPr>
                <w:rFonts w:hint="eastAsia" w:ascii="宋体" w:hAnsi="宋体" w:cs="宋体"/>
                <w:color w:val="auto"/>
                <w:kern w:val="0"/>
                <w:szCs w:val="21"/>
                <w:highlight w:val="none"/>
              </w:rPr>
              <w:t>大数据服务系统（BI）</w:t>
            </w:r>
          </w:p>
        </w:tc>
        <w:tc>
          <w:tcPr>
            <w:tcW w:w="7638" w:type="dxa"/>
            <w:vAlign w:val="center"/>
          </w:tcPr>
          <w:p w14:paraId="7A6677C7">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全量业务数据接口：提供 HIS 系统中的全部业务数据，包括门诊、住院、急诊、医技、药房等各科室的诊疗数据、费用数据、人员数据、设备数据等，支持按时间、科室、病种等多维度进行筛选和查询，满足大数据服务系统对医院运营数据的全面分析需求。</w:t>
            </w:r>
          </w:p>
          <w:p w14:paraId="480E034E">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数据字典接口：输出 HIS 系统的数据字典，包括各数据表的字段定义、数据类型、取值范围、编码规则等信息，确保大数据服务系统准确理解和处理 HIS 数据，实现数据的标准化和规范化分析。</w:t>
            </w:r>
          </w:p>
          <w:p w14:paraId="5CA1A478">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实时数据更新接口：建立实时数据推送机制，当 HIS 系统数据发生变化时，立即将更新后的数据同步至大数据服务系统，保证数据分析的时效性和准确性，为医院决策提供及时的数据支持。</w:t>
            </w:r>
          </w:p>
        </w:tc>
      </w:tr>
      <w:tr w14:paraId="74676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2" w:hRule="atLeast"/>
          <w:jc w:val="center"/>
        </w:trPr>
        <w:tc>
          <w:tcPr>
            <w:tcW w:w="971" w:type="dxa"/>
            <w:vMerge w:val="continue"/>
            <w:vAlign w:val="center"/>
          </w:tcPr>
          <w:p w14:paraId="7A678564">
            <w:pPr>
              <w:widowControl/>
              <w:jc w:val="center"/>
              <w:rPr>
                <w:rFonts w:ascii="宋体" w:hAnsi="宋体"/>
                <w:color w:val="auto"/>
                <w:highlight w:val="none"/>
              </w:rPr>
            </w:pPr>
          </w:p>
        </w:tc>
        <w:tc>
          <w:tcPr>
            <w:tcW w:w="1190" w:type="dxa"/>
            <w:vAlign w:val="center"/>
          </w:tcPr>
          <w:p w14:paraId="70755266">
            <w:pPr>
              <w:numPr>
                <w:ilvl w:val="2"/>
                <w:numId w:val="0"/>
              </w:numPr>
              <w:ind w:left="0" w:firstLine="0"/>
              <w:rPr>
                <w:rFonts w:ascii="宋体" w:hAnsi="宋体" w:cs="宋体"/>
                <w:color w:val="auto"/>
                <w:kern w:val="0"/>
                <w:szCs w:val="21"/>
                <w:highlight w:val="none"/>
              </w:rPr>
            </w:pPr>
            <w:r>
              <w:rPr>
                <w:rFonts w:ascii="宋体" w:hAnsi="宋体" w:eastAsia="宋体" w:cs="宋体"/>
                <w:color w:val="auto"/>
                <w:kern w:val="0"/>
                <w:sz w:val="21"/>
                <w:szCs w:val="21"/>
                <w:lang w:val="en-US" w:eastAsia="zh-CN" w:bidi="ar-SA"/>
              </w:rPr>
              <w:t>7.1.9</w:t>
            </w:r>
            <w:r>
              <w:rPr>
                <w:rFonts w:hint="eastAsia" w:ascii="宋体" w:hAnsi="宋体" w:cs="宋体"/>
                <w:color w:val="auto"/>
                <w:kern w:val="0"/>
                <w:szCs w:val="21"/>
                <w:highlight w:val="none"/>
              </w:rPr>
              <w:t>防统方系统</w:t>
            </w:r>
          </w:p>
        </w:tc>
        <w:tc>
          <w:tcPr>
            <w:tcW w:w="7638" w:type="dxa"/>
            <w:vAlign w:val="center"/>
          </w:tcPr>
          <w:p w14:paraId="5FE703AC">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医师处方行为信息接口：提供医师开具处方的详细信息，包括处方时间、处方药品名称、数量、患者信息、医师工号等，支持按医师、时间、药品等维度进行查询，便于防统方系统监测医师处方行为，防范不正当统方行为。</w:t>
            </w:r>
          </w:p>
          <w:p w14:paraId="3C84B7A0">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药品使用查询记录接口：输出医院内部药品使用查询的相关记录，包括查询人员、查询时间、查询药品范围等信息，帮助防统方系统追踪药品使用数据的查询情况，及时发现异常查询行为。</w:t>
            </w:r>
          </w:p>
          <w:p w14:paraId="4A853C4E">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系统操作日志接口：提供 HIS 系统的操作日志，记录所有用户的登录、操作、数据修改等行为，包括操作时间、操作内容、操作 IP 地址等信息，为防统方系统提供全面的审计线索，确保系统操作的安全性和合规性。</w:t>
            </w:r>
          </w:p>
        </w:tc>
      </w:tr>
      <w:tr w14:paraId="227EA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0" w:hRule="atLeast"/>
          <w:jc w:val="center"/>
        </w:trPr>
        <w:tc>
          <w:tcPr>
            <w:tcW w:w="971" w:type="dxa"/>
            <w:vMerge w:val="continue"/>
            <w:vAlign w:val="center"/>
          </w:tcPr>
          <w:p w14:paraId="3E97E908">
            <w:pPr>
              <w:widowControl/>
              <w:jc w:val="center"/>
              <w:rPr>
                <w:rFonts w:ascii="宋体" w:hAnsi="宋体"/>
                <w:color w:val="auto"/>
                <w:highlight w:val="none"/>
              </w:rPr>
            </w:pPr>
          </w:p>
        </w:tc>
        <w:tc>
          <w:tcPr>
            <w:tcW w:w="1190" w:type="dxa"/>
            <w:vAlign w:val="center"/>
          </w:tcPr>
          <w:p w14:paraId="64D3BBEF">
            <w:pPr>
              <w:numPr>
                <w:ilvl w:val="2"/>
                <w:numId w:val="0"/>
              </w:numPr>
              <w:ind w:left="0" w:firstLine="0"/>
              <w:rPr>
                <w:rFonts w:ascii="宋体" w:hAnsi="宋体" w:cs="宋体"/>
                <w:color w:val="auto"/>
                <w:kern w:val="0"/>
                <w:szCs w:val="21"/>
                <w:highlight w:val="none"/>
              </w:rPr>
            </w:pPr>
            <w:r>
              <w:rPr>
                <w:rFonts w:ascii="宋体" w:hAnsi="宋体" w:eastAsia="宋体" w:cs="宋体"/>
                <w:color w:val="auto"/>
                <w:kern w:val="0"/>
                <w:sz w:val="21"/>
                <w:szCs w:val="21"/>
                <w:lang w:val="en-US" w:eastAsia="zh-CN" w:bidi="ar-SA"/>
              </w:rPr>
              <w:t>7.1.10</w:t>
            </w:r>
            <w:r>
              <w:rPr>
                <w:rFonts w:hint="eastAsia" w:ascii="宋体" w:hAnsi="宋体" w:cs="宋体"/>
                <w:color w:val="auto"/>
                <w:kern w:val="0"/>
                <w:szCs w:val="21"/>
                <w:highlight w:val="none"/>
              </w:rPr>
              <w:t>病案统计管理系统</w:t>
            </w:r>
          </w:p>
        </w:tc>
        <w:tc>
          <w:tcPr>
            <w:tcW w:w="7638" w:type="dxa"/>
            <w:vAlign w:val="center"/>
          </w:tcPr>
          <w:p w14:paraId="29DDAC79">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完整病案信息接口：提供患者的完整病案资料，包括病案首页、病程记录、检查检验报告、手术记录、护理记录等全部内容，支持按病案号、患者姓名、住院时间等条件进行查询和导出，满足病案统计管理系统对病案数据的收集和整理需求。</w:t>
            </w:r>
          </w:p>
          <w:p w14:paraId="382E5FF8">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病案分类编码信息接口：输出病案的疾病分类编码（ICD-10）和手术操作编码（ICD-9）信息，以及编码对应的详细说明和分类依据，便于病案统计管理系统进行病案分类统计 和数据分析，提高病案管理的准确性和规范性。</w:t>
            </w:r>
          </w:p>
          <w:p w14:paraId="662487E8">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病案质量控制信息接口：提供病案质量检查过程中发现的问题及整改情况信息，包括病历书写不规范、诊断与治疗不符、重要信息缺失等问题记录，以及医护人员对问题的整改措施和结果，支持病案统计管理系统对病案质量进行监控和评估，促进病案质量持续改进。</w:t>
            </w:r>
          </w:p>
        </w:tc>
      </w:tr>
      <w:tr w14:paraId="00718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4" w:hRule="atLeast"/>
          <w:jc w:val="center"/>
        </w:trPr>
        <w:tc>
          <w:tcPr>
            <w:tcW w:w="971" w:type="dxa"/>
            <w:vMerge w:val="continue"/>
            <w:vAlign w:val="center"/>
          </w:tcPr>
          <w:p w14:paraId="7105521A">
            <w:pPr>
              <w:widowControl/>
              <w:jc w:val="center"/>
              <w:rPr>
                <w:rFonts w:ascii="宋体" w:hAnsi="宋体"/>
                <w:color w:val="auto"/>
                <w:highlight w:val="none"/>
              </w:rPr>
            </w:pPr>
          </w:p>
        </w:tc>
        <w:tc>
          <w:tcPr>
            <w:tcW w:w="1190" w:type="dxa"/>
            <w:vAlign w:val="center"/>
          </w:tcPr>
          <w:p w14:paraId="4B65CD74">
            <w:pPr>
              <w:numPr>
                <w:ilvl w:val="2"/>
                <w:numId w:val="0"/>
              </w:numPr>
              <w:ind w:left="0" w:firstLine="0"/>
              <w:rPr>
                <w:rFonts w:ascii="宋体" w:hAnsi="宋体" w:cs="宋体"/>
                <w:color w:val="auto"/>
                <w:kern w:val="0"/>
                <w:szCs w:val="21"/>
                <w:highlight w:val="none"/>
              </w:rPr>
            </w:pPr>
            <w:r>
              <w:rPr>
                <w:rFonts w:ascii="宋体" w:hAnsi="宋体" w:eastAsia="宋体" w:cs="宋体"/>
                <w:color w:val="auto"/>
                <w:kern w:val="0"/>
                <w:sz w:val="21"/>
                <w:szCs w:val="21"/>
                <w:lang w:val="en-US" w:eastAsia="zh-CN" w:bidi="ar-SA"/>
              </w:rPr>
              <w:t>7.1.11</w:t>
            </w:r>
            <w:r>
              <w:rPr>
                <w:rFonts w:hint="eastAsia" w:ascii="宋体" w:hAnsi="宋体" w:cs="宋体"/>
                <w:color w:val="auto"/>
                <w:kern w:val="0"/>
                <w:szCs w:val="21"/>
                <w:highlight w:val="none"/>
              </w:rPr>
              <w:t>医院质量监测系统（HQMS）</w:t>
            </w:r>
            <w:r>
              <w:rPr>
                <w:rFonts w:hint="eastAsia" w:ascii="宋体" w:hAnsi="宋体" w:cs="宋体"/>
                <w:color w:val="auto"/>
                <w:kern w:val="0"/>
                <w:szCs w:val="21"/>
                <w:highlight w:val="none"/>
                <w:lang w:eastAsia="zh-CN"/>
              </w:rPr>
              <w:t>对接</w:t>
            </w:r>
            <w:r>
              <w:rPr>
                <w:rFonts w:hint="eastAsia" w:ascii="宋体" w:hAnsi="宋体" w:cs="宋体"/>
                <w:color w:val="auto"/>
                <w:kern w:val="0"/>
                <w:szCs w:val="21"/>
                <w:highlight w:val="none"/>
              </w:rPr>
              <w:t>上报</w:t>
            </w:r>
          </w:p>
        </w:tc>
        <w:tc>
          <w:tcPr>
            <w:tcW w:w="7638" w:type="dxa"/>
            <w:vAlign w:val="center"/>
          </w:tcPr>
          <w:p w14:paraId="49FB90B1">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医疗质量相关数据接口：提供患者的诊断准确性数据、治疗效果数据、手术质量数据、医院感染数据等医疗质量关键指标相关数据，包括诊断符合率、治愈率、手术并发症发生率、感染率等具体数值及计算依据，满足 HQMS 上报系统对医疗质量数据的采集和上报要求。</w:t>
            </w:r>
          </w:p>
          <w:p w14:paraId="52EAA9FF">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医疗安全相关数据接口：输出不良事件发生情况、医疗纠纷处理情况、药品不良反应发生情况等医疗安全数据，包括事件数量、严重程度、处理结果等信息，便于 HQMS上报系统对医院医疗安全状况进行监测和评估。</w:t>
            </w:r>
          </w:p>
          <w:p w14:paraId="0F88715C">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医疗服务效率相关数据接口：提供住院患者平均住院日、手术患者术前平均住院日、门诊患者平均候诊时间等医疗服务效率数据，支持按科室、时间等维度进行统计和分析，为 HQMS 上报系统提供医院医疗服务效率评估的数据支持。</w:t>
            </w:r>
          </w:p>
          <w:p w14:paraId="33278A21">
            <w:pPr>
              <w:numPr>
                <w:ilvl w:val="0"/>
                <w:numId w:val="12"/>
              </w:numPr>
              <w:tabs>
                <w:tab w:val="left" w:pos="525"/>
                <w:tab w:val="left" w:pos="630"/>
              </w:tabs>
              <w:spacing w:line="360" w:lineRule="auto"/>
              <w:rPr>
                <w:rFonts w:ascii="宋体" w:hAnsi="宋体" w:cs="宋体"/>
                <w:bCs/>
                <w:color w:val="auto"/>
                <w:szCs w:val="21"/>
                <w:highlight w:val="none"/>
              </w:rPr>
            </w:pPr>
            <w:r>
              <w:rPr>
                <w:rFonts w:hint="eastAsia" w:ascii="宋体" w:hAnsi="宋体" w:cs="宋体"/>
                <w:bCs/>
                <w:color w:val="auto"/>
                <w:szCs w:val="21"/>
                <w:highlight w:val="none"/>
                <w:lang w:eastAsia="zh-CN"/>
              </w:rPr>
              <w:t>门诊病案首页对接，完成自动上传：病案首页包括门诊。要求参考《国家卫生健康委医政司开展门（急）诊诊疗信息数据报告有关工作的通知》。</w:t>
            </w:r>
          </w:p>
        </w:tc>
      </w:tr>
      <w:tr w14:paraId="1D151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4" w:hRule="atLeast"/>
          <w:jc w:val="center"/>
        </w:trPr>
        <w:tc>
          <w:tcPr>
            <w:tcW w:w="971" w:type="dxa"/>
            <w:vAlign w:val="center"/>
          </w:tcPr>
          <w:p w14:paraId="5211E807">
            <w:pPr>
              <w:widowControl/>
              <w:jc w:val="center"/>
              <w:rPr>
                <w:rFonts w:ascii="宋体" w:hAnsi="宋体"/>
                <w:color w:val="auto"/>
                <w:highlight w:val="none"/>
              </w:rPr>
            </w:pPr>
          </w:p>
        </w:tc>
        <w:tc>
          <w:tcPr>
            <w:tcW w:w="1190" w:type="dxa"/>
            <w:vAlign w:val="center"/>
          </w:tcPr>
          <w:p w14:paraId="27609155">
            <w:pPr>
              <w:numPr>
                <w:ilvl w:val="2"/>
                <w:numId w:val="0"/>
              </w:numPr>
              <w:ind w:left="0" w:firstLine="0"/>
              <w:rPr>
                <w:rFonts w:hint="eastAsia" w:ascii="宋体" w:hAnsi="宋体" w:cs="宋体"/>
                <w:color w:val="auto"/>
                <w:kern w:val="0"/>
                <w:szCs w:val="21"/>
                <w:highlight w:val="none"/>
              </w:rPr>
            </w:pPr>
            <w:r>
              <w:rPr>
                <w:rFonts w:hint="eastAsia" w:ascii="宋体" w:hAnsi="宋体" w:eastAsia="宋体" w:cs="宋体"/>
                <w:color w:val="auto"/>
                <w:kern w:val="0"/>
                <w:sz w:val="21"/>
                <w:szCs w:val="21"/>
                <w:lang w:val="en-US" w:eastAsia="zh-CN" w:bidi="ar-SA"/>
              </w:rPr>
              <w:t>7.1.12</w:t>
            </w:r>
            <w:r>
              <w:rPr>
                <w:rFonts w:hint="eastAsia" w:ascii="宋体" w:hAnsi="宋体" w:cs="宋体"/>
                <w:color w:val="auto"/>
                <w:kern w:val="0"/>
                <w:szCs w:val="21"/>
                <w:highlight w:val="none"/>
              </w:rPr>
              <w:t>国家抗肿瘤药物临床应用监测网数据上报质控系统</w:t>
            </w:r>
            <w:r>
              <w:rPr>
                <w:rFonts w:hint="eastAsia" w:ascii="宋体" w:hAnsi="宋体" w:cs="宋体"/>
                <w:color w:val="auto"/>
                <w:kern w:val="0"/>
                <w:szCs w:val="21"/>
                <w:highlight w:val="none"/>
                <w:lang w:eastAsia="zh-CN"/>
              </w:rPr>
              <w:t>对接上报</w:t>
            </w:r>
          </w:p>
        </w:tc>
        <w:tc>
          <w:tcPr>
            <w:tcW w:w="7638" w:type="dxa"/>
            <w:vAlign w:val="center"/>
          </w:tcPr>
          <w:p w14:paraId="60F3BB15">
            <w:pPr>
              <w:numPr>
                <w:ilvl w:val="0"/>
                <w:numId w:val="12"/>
              </w:numPr>
              <w:tabs>
                <w:tab w:val="left" w:pos="525"/>
                <w:tab w:val="left" w:pos="630"/>
              </w:tabs>
              <w:spacing w:line="360" w:lineRule="auto"/>
              <w:rPr>
                <w:rFonts w:hint="eastAsia" w:ascii="宋体" w:hAnsi="宋体" w:cs="宋体"/>
                <w:bCs/>
                <w:color w:val="auto"/>
                <w:szCs w:val="21"/>
                <w:highlight w:val="none"/>
                <w:lang w:eastAsia="zh-CN"/>
              </w:rPr>
            </w:pPr>
            <w:r>
              <w:rPr>
                <w:rFonts w:hint="eastAsia" w:ascii="宋体" w:hAnsi="宋体" w:eastAsia="宋体" w:cs="宋体"/>
                <w:sz w:val="22"/>
                <w:szCs w:val="22"/>
                <w:lang w:val="en-US" w:eastAsia="zh-CN"/>
              </w:rPr>
              <w:t>据抗肿瘤药物监测网27张表单数据及数据要求，结合我院数据来源，抽取上报数据。</w:t>
            </w:r>
          </w:p>
          <w:p w14:paraId="5ADA1440">
            <w:pPr>
              <w:keepNext w:val="0"/>
              <w:keepLines w:val="0"/>
              <w:pageBreakBefore w:val="0"/>
              <w:numPr>
                <w:ilvl w:val="0"/>
                <w:numId w:val="12"/>
              </w:numPr>
              <w:tabs>
                <w:tab w:val="left" w:pos="525"/>
                <w:tab w:val="left" w:pos="630"/>
              </w:tabs>
              <w:kinsoku/>
              <w:wordWrap/>
              <w:overflowPunct/>
              <w:topLinePunct w:val="0"/>
              <w:autoSpaceDE/>
              <w:autoSpaceDN/>
              <w:bidi w:val="0"/>
              <w:snapToGrid/>
              <w:spacing w:line="360" w:lineRule="auto"/>
              <w:ind w:left="0" w:leftChars="0" w:firstLineChars="0"/>
              <w:rPr>
                <w:rFonts w:hint="eastAsia" w:ascii="宋体" w:hAnsi="宋体" w:eastAsia="宋体" w:cs="宋体"/>
                <w:kern w:val="0"/>
                <w:sz w:val="22"/>
                <w:szCs w:val="22"/>
                <w:lang w:val="en-US" w:eastAsia="zh-CN" w:bidi="ar-SA"/>
              </w:rPr>
            </w:pPr>
            <w:r>
              <w:rPr>
                <w:rFonts w:hint="eastAsia" w:ascii="宋体" w:hAnsi="宋体" w:eastAsia="宋体" w:cs="宋体"/>
                <w:b w:val="0"/>
                <w:bCs w:val="0"/>
                <w:kern w:val="0"/>
                <w:sz w:val="22"/>
                <w:szCs w:val="22"/>
                <w:lang w:val="en-US" w:eastAsia="zh-CN"/>
              </w:rPr>
              <w:t>对抽取的上报数据根据要求进行上报前预质控，给出预质控结果，质控结果需定位至具体表单、具体字段、数据来源，并给出明确的质控问题，质控结果可按照日期、表单、表单分类（国考指标表单、非国考指标表单、全部表单）进行统计并导出。</w:t>
            </w:r>
          </w:p>
          <w:p w14:paraId="4A28D3BB">
            <w:pPr>
              <w:keepNext w:val="0"/>
              <w:keepLines w:val="0"/>
              <w:pageBreakBefore w:val="0"/>
              <w:numPr>
                <w:ilvl w:val="0"/>
                <w:numId w:val="12"/>
              </w:numPr>
              <w:tabs>
                <w:tab w:val="left" w:pos="525"/>
                <w:tab w:val="left" w:pos="630"/>
              </w:tabs>
              <w:kinsoku/>
              <w:wordWrap/>
              <w:overflowPunct/>
              <w:topLinePunct w:val="0"/>
              <w:autoSpaceDE/>
              <w:autoSpaceDN/>
              <w:bidi w:val="0"/>
              <w:snapToGrid/>
              <w:spacing w:line="360" w:lineRule="auto"/>
              <w:ind w:left="0" w:leftChars="0" w:firstLineChars="0"/>
              <w:rPr>
                <w:rFonts w:hint="eastAsia" w:ascii="宋体" w:hAnsi="宋体" w:eastAsia="宋体" w:cs="宋体"/>
                <w:kern w:val="0"/>
                <w:sz w:val="22"/>
                <w:szCs w:val="22"/>
                <w:lang w:val="en-US" w:eastAsia="zh-CN" w:bidi="ar-SA"/>
              </w:rPr>
            </w:pPr>
            <w:r>
              <w:rPr>
                <w:rFonts w:hint="eastAsia" w:ascii="宋体" w:hAnsi="宋体" w:eastAsia="宋体" w:cs="宋体"/>
                <w:kern w:val="0"/>
                <w:sz w:val="22"/>
                <w:szCs w:val="22"/>
                <w:lang w:val="en-US" w:eastAsia="zh-CN" w:bidi="ar-SA"/>
              </w:rPr>
              <w:t>上传前确认：每张上报表单可按照年-月进行上报前人工确认，确认的状态应有“可上报”、“不可上报”进行选择。</w:t>
            </w:r>
          </w:p>
          <w:p w14:paraId="3A450D4D">
            <w:pPr>
              <w:numPr>
                <w:ilvl w:val="0"/>
                <w:numId w:val="12"/>
              </w:numPr>
              <w:tabs>
                <w:tab w:val="left" w:pos="525"/>
                <w:tab w:val="left" w:pos="630"/>
              </w:tabs>
              <w:spacing w:line="360" w:lineRule="auto"/>
              <w:rPr>
                <w:rFonts w:hint="eastAsia" w:ascii="宋体" w:hAnsi="宋体" w:cs="宋体"/>
                <w:bCs/>
                <w:color w:val="auto"/>
                <w:szCs w:val="21"/>
                <w:highlight w:val="none"/>
                <w:lang w:eastAsia="zh-CN"/>
              </w:rPr>
            </w:pPr>
            <w:r>
              <w:rPr>
                <w:rFonts w:hint="eastAsia" w:ascii="宋体" w:hAnsi="宋体" w:eastAsia="宋体" w:cs="宋体"/>
                <w:kern w:val="0"/>
                <w:sz w:val="22"/>
                <w:szCs w:val="22"/>
                <w:lang w:val="en-US" w:eastAsia="zh-CN" w:bidi="ar-SA"/>
              </w:rPr>
              <w:t>定时上传：经确认“可上报”的表单数据，每月15日、20日自动校验状态并上传；“不可上报”的表单数据不上传。</w:t>
            </w:r>
          </w:p>
        </w:tc>
      </w:tr>
      <w:tr w14:paraId="5F3AC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5" w:hRule="atLeast"/>
          <w:jc w:val="center"/>
        </w:trPr>
        <w:tc>
          <w:tcPr>
            <w:tcW w:w="971" w:type="dxa"/>
            <w:vAlign w:val="center"/>
          </w:tcPr>
          <w:p w14:paraId="492A04B1">
            <w:pPr>
              <w:widowControl/>
              <w:jc w:val="center"/>
              <w:rPr>
                <w:rFonts w:ascii="宋体" w:hAnsi="宋体"/>
                <w:color w:val="auto"/>
                <w:highlight w:val="none"/>
              </w:rPr>
            </w:pPr>
          </w:p>
        </w:tc>
        <w:tc>
          <w:tcPr>
            <w:tcW w:w="1190" w:type="dxa"/>
            <w:vAlign w:val="center"/>
          </w:tcPr>
          <w:p w14:paraId="7CD45814">
            <w:pPr>
              <w:numPr>
                <w:ilvl w:val="2"/>
                <w:numId w:val="0"/>
              </w:numPr>
              <w:ind w:left="0" w:firstLine="0"/>
              <w:rPr>
                <w:rFonts w:hint="eastAsia" w:ascii="宋体" w:hAnsi="宋体" w:cs="宋体"/>
                <w:color w:val="auto"/>
                <w:kern w:val="0"/>
                <w:szCs w:val="21"/>
                <w:highlight w:val="none"/>
              </w:rPr>
            </w:pPr>
            <w:r>
              <w:rPr>
                <w:rFonts w:hint="eastAsia" w:ascii="宋体" w:hAnsi="宋体" w:eastAsia="宋体" w:cs="宋体"/>
                <w:color w:val="auto"/>
                <w:kern w:val="0"/>
                <w:sz w:val="21"/>
                <w:szCs w:val="21"/>
                <w:lang w:val="en-US" w:eastAsia="zh-CN" w:bidi="ar-SA"/>
              </w:rPr>
              <w:t>7.1.13</w:t>
            </w:r>
            <w:r>
              <w:rPr>
                <w:rFonts w:hint="eastAsia" w:ascii="宋体" w:hAnsi="宋体" w:cs="宋体"/>
                <w:color w:val="auto"/>
                <w:kern w:val="0"/>
                <w:szCs w:val="21"/>
                <w:highlight w:val="none"/>
              </w:rPr>
              <w:t>工伤药品追溯码API接口</w:t>
            </w:r>
          </w:p>
        </w:tc>
        <w:tc>
          <w:tcPr>
            <w:tcW w:w="7638" w:type="dxa"/>
            <w:vAlign w:val="center"/>
          </w:tcPr>
          <w:p w14:paraId="5E19A8BA">
            <w:pPr>
              <w:numPr>
                <w:ilvl w:val="0"/>
                <w:numId w:val="12"/>
              </w:numPr>
              <w:tabs>
                <w:tab w:val="left" w:pos="525"/>
                <w:tab w:val="left" w:pos="630"/>
              </w:tabs>
              <w:spacing w:line="360" w:lineRule="auto"/>
              <w:rPr>
                <w:rFonts w:hint="eastAsia" w:ascii="宋体" w:hAnsi="宋体" w:eastAsia="宋体" w:cs="宋体"/>
                <w:kern w:val="0"/>
                <w:sz w:val="22"/>
                <w:szCs w:val="22"/>
                <w:lang w:val="en-US" w:eastAsia="zh-CN" w:bidi="ar-SA"/>
              </w:rPr>
            </w:pPr>
            <w:r>
              <w:rPr>
                <w:rFonts w:hint="eastAsia" w:ascii="宋体" w:hAnsi="宋体" w:cs="宋体"/>
                <w:kern w:val="0"/>
                <w:sz w:val="22"/>
                <w:szCs w:val="22"/>
                <w:lang w:val="en-US" w:eastAsia="zh-CN" w:bidi="ar-SA"/>
              </w:rPr>
              <w:t>根据《广东省工伤保险服务协议机构联网结算接口规范》完成发药环节上传（或发药后补传）；</w:t>
            </w:r>
          </w:p>
          <w:p w14:paraId="08EE7B49">
            <w:pPr>
              <w:numPr>
                <w:ilvl w:val="0"/>
                <w:numId w:val="12"/>
              </w:numPr>
              <w:tabs>
                <w:tab w:val="left" w:pos="525"/>
                <w:tab w:val="left" w:pos="630"/>
              </w:tabs>
              <w:spacing w:line="360" w:lineRule="auto"/>
              <w:rPr>
                <w:rFonts w:hint="eastAsia" w:ascii="宋体" w:hAnsi="宋体" w:eastAsia="宋体" w:cs="宋体"/>
                <w:kern w:val="0"/>
                <w:sz w:val="22"/>
                <w:szCs w:val="22"/>
                <w:lang w:val="en-US" w:eastAsia="zh-CN" w:bidi="ar-SA"/>
              </w:rPr>
            </w:pPr>
            <w:r>
              <w:rPr>
                <w:rFonts w:hint="eastAsia" w:ascii="宋体" w:hAnsi="宋体" w:cs="宋体"/>
                <w:kern w:val="0"/>
                <w:sz w:val="22"/>
                <w:szCs w:val="22"/>
                <w:lang w:val="en-US" w:eastAsia="zh-CN" w:bidi="ar-SA"/>
              </w:rPr>
              <w:t>进行门诊业务可调用[药品销售追溯码/药品退货追溯码]接口上传当日结算药品的追溯码信息（发药、退费、转费用环节）；</w:t>
            </w:r>
          </w:p>
          <w:p w14:paraId="54C0BA66">
            <w:pPr>
              <w:numPr>
                <w:ilvl w:val="0"/>
                <w:numId w:val="12"/>
              </w:numPr>
              <w:tabs>
                <w:tab w:val="left" w:pos="525"/>
                <w:tab w:val="left" w:pos="630"/>
              </w:tabs>
              <w:spacing w:line="360" w:lineRule="auto"/>
              <w:rPr>
                <w:rFonts w:hint="eastAsia" w:ascii="宋体" w:hAnsi="宋体" w:eastAsia="宋体" w:cs="宋体"/>
                <w:kern w:val="0"/>
                <w:sz w:val="22"/>
                <w:szCs w:val="22"/>
                <w:lang w:val="en-US" w:eastAsia="zh-CN" w:bidi="ar-SA"/>
              </w:rPr>
            </w:pPr>
            <w:r>
              <w:rPr>
                <w:rFonts w:hint="eastAsia" w:ascii="宋体" w:hAnsi="宋体" w:eastAsia="宋体" w:cs="宋体"/>
                <w:kern w:val="0"/>
                <w:sz w:val="22"/>
                <w:szCs w:val="22"/>
                <w:lang w:val="en-US" w:eastAsia="zh-CN" w:bidi="ar-SA"/>
              </w:rPr>
              <w:t>住院业务可先上传费用明细后上传追溯码或者先上传追溯码后上传费用明细、费用明细与追溯码同日上传</w:t>
            </w:r>
            <w:r>
              <w:rPr>
                <w:rFonts w:hint="eastAsia" w:ascii="宋体" w:hAnsi="宋体" w:cs="宋体"/>
                <w:kern w:val="0"/>
                <w:sz w:val="22"/>
                <w:szCs w:val="22"/>
                <w:lang w:val="en-US" w:eastAsia="zh-CN" w:bidi="ar-SA"/>
              </w:rPr>
              <w:t>；</w:t>
            </w:r>
          </w:p>
          <w:p w14:paraId="1570CD5C">
            <w:pPr>
              <w:numPr>
                <w:ilvl w:val="0"/>
                <w:numId w:val="12"/>
              </w:numPr>
              <w:tabs>
                <w:tab w:val="left" w:pos="525"/>
                <w:tab w:val="left" w:pos="630"/>
              </w:tabs>
              <w:spacing w:line="360" w:lineRule="auto"/>
              <w:rPr>
                <w:rFonts w:hint="eastAsia" w:ascii="宋体" w:hAnsi="宋体" w:eastAsia="宋体" w:cs="宋体"/>
                <w:kern w:val="0"/>
                <w:sz w:val="22"/>
                <w:szCs w:val="22"/>
                <w:lang w:val="en-US" w:eastAsia="zh-CN" w:bidi="ar-SA"/>
              </w:rPr>
            </w:pPr>
            <w:r>
              <w:rPr>
                <w:rFonts w:hint="eastAsia" w:ascii="宋体" w:hAnsi="宋体" w:cs="宋体"/>
                <w:kern w:val="0"/>
                <w:sz w:val="22"/>
                <w:szCs w:val="22"/>
                <w:lang w:val="en-US" w:eastAsia="zh-CN" w:bidi="ar-SA"/>
              </w:rPr>
              <w:t>未能</w:t>
            </w:r>
            <w:r>
              <w:rPr>
                <w:rFonts w:hint="eastAsia" w:ascii="宋体" w:hAnsi="宋体" w:eastAsia="宋体" w:cs="宋体"/>
                <w:kern w:val="0"/>
                <w:sz w:val="22"/>
                <w:szCs w:val="22"/>
                <w:lang w:val="en-US" w:eastAsia="zh-CN" w:bidi="ar-SA"/>
              </w:rPr>
              <w:t>通过接口上传药品追溯码</w:t>
            </w:r>
            <w:r>
              <w:rPr>
                <w:rFonts w:hint="eastAsia" w:ascii="宋体" w:hAnsi="宋体" w:cs="宋体"/>
                <w:kern w:val="0"/>
                <w:sz w:val="22"/>
                <w:szCs w:val="22"/>
                <w:lang w:val="en-US" w:eastAsia="zh-CN" w:bidi="ar-SA"/>
              </w:rPr>
              <w:t>的</w:t>
            </w:r>
            <w:r>
              <w:rPr>
                <w:rFonts w:hint="eastAsia" w:ascii="宋体" w:hAnsi="宋体" w:eastAsia="宋体" w:cs="宋体"/>
                <w:kern w:val="0"/>
                <w:sz w:val="22"/>
                <w:szCs w:val="22"/>
                <w:lang w:val="en-US" w:eastAsia="zh-CN" w:bidi="ar-SA"/>
              </w:rPr>
              <w:t>，</w:t>
            </w:r>
            <w:r>
              <w:rPr>
                <w:rFonts w:hint="eastAsia" w:ascii="宋体" w:hAnsi="宋体" w:cs="宋体"/>
                <w:kern w:val="0"/>
                <w:sz w:val="22"/>
                <w:szCs w:val="22"/>
                <w:lang w:val="en-US" w:eastAsia="zh-CN" w:bidi="ar-SA"/>
              </w:rPr>
              <w:t>需</w:t>
            </w:r>
            <w:r>
              <w:rPr>
                <w:rFonts w:hint="eastAsia" w:ascii="宋体" w:hAnsi="宋体" w:eastAsia="宋体" w:cs="宋体"/>
                <w:kern w:val="0"/>
                <w:sz w:val="22"/>
                <w:szCs w:val="22"/>
                <w:lang w:val="en-US" w:eastAsia="zh-CN" w:bidi="ar-SA"/>
              </w:rPr>
              <w:t>通过广东省社会保险医院前台结算系统“药品销售追溯码上传”功能模块补传药品追溯码。</w:t>
            </w:r>
          </w:p>
        </w:tc>
      </w:tr>
      <w:tr w14:paraId="15C79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9799" w:type="dxa"/>
            <w:gridSpan w:val="3"/>
            <w:vAlign w:val="center"/>
          </w:tcPr>
          <w:p w14:paraId="1D991BAE">
            <w:pPr>
              <w:numPr>
                <w:ilvl w:val="0"/>
                <w:numId w:val="0"/>
              </w:numPr>
              <w:ind w:left="425" w:hanging="425"/>
              <w:rPr>
                <w:rFonts w:ascii="宋体" w:hAnsi="宋体"/>
                <w:color w:val="auto"/>
                <w:highlight w:val="none"/>
              </w:rPr>
            </w:pPr>
            <w:r>
              <w:rPr>
                <w:rFonts w:ascii="宋体" w:hAnsi="宋体" w:eastAsia="宋体" w:cs="Times New Roman"/>
                <w:color w:val="auto"/>
                <w:kern w:val="2"/>
                <w:sz w:val="21"/>
                <w:szCs w:val="24"/>
                <w:lang w:val="en-US" w:eastAsia="zh-CN" w:bidi="ar-SA"/>
              </w:rPr>
              <w:t>8</w:t>
            </w:r>
            <w:r>
              <w:rPr>
                <w:rFonts w:hint="eastAsia" w:ascii="宋体" w:hAnsi="宋体"/>
                <w:color w:val="auto"/>
                <w:highlight w:val="none"/>
              </w:rPr>
              <w:t>单向对接（HIS接入）</w:t>
            </w:r>
          </w:p>
        </w:tc>
      </w:tr>
      <w:tr w14:paraId="650E6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6" w:hRule="atLeast"/>
          <w:jc w:val="center"/>
        </w:trPr>
        <w:tc>
          <w:tcPr>
            <w:tcW w:w="971" w:type="dxa"/>
            <w:vAlign w:val="center"/>
          </w:tcPr>
          <w:p w14:paraId="25B21382">
            <w:pPr>
              <w:widowControl/>
              <w:jc w:val="center"/>
              <w:rPr>
                <w:rFonts w:ascii="宋体" w:hAnsi="宋体"/>
                <w:color w:val="auto"/>
                <w:highlight w:val="none"/>
              </w:rPr>
            </w:pPr>
            <w:r>
              <w:rPr>
                <w:rFonts w:hint="eastAsia" w:ascii="宋体" w:hAnsi="宋体"/>
                <w:color w:val="auto"/>
                <w:highlight w:val="none"/>
              </w:rPr>
              <w:t>单向对接（HIS接入）</w:t>
            </w:r>
          </w:p>
        </w:tc>
        <w:tc>
          <w:tcPr>
            <w:tcW w:w="1190" w:type="dxa"/>
            <w:vAlign w:val="center"/>
          </w:tcPr>
          <w:p w14:paraId="3BA32B3F">
            <w:pPr>
              <w:numPr>
                <w:ilvl w:val="2"/>
                <w:numId w:val="0"/>
              </w:numPr>
              <w:ind w:left="0" w:firstLine="0"/>
              <w:rPr>
                <w:rFonts w:ascii="宋体" w:hAnsi="宋体" w:cs="宋体"/>
                <w:color w:val="auto"/>
                <w:kern w:val="0"/>
                <w:szCs w:val="21"/>
                <w:highlight w:val="none"/>
              </w:rPr>
            </w:pPr>
            <w:r>
              <w:rPr>
                <w:rFonts w:ascii="宋体" w:hAnsi="宋体" w:eastAsia="宋体" w:cs="宋体"/>
                <w:color w:val="auto"/>
                <w:kern w:val="0"/>
                <w:sz w:val="21"/>
                <w:szCs w:val="21"/>
                <w:lang w:val="en-US" w:eastAsia="zh-CN" w:bidi="ar-SA"/>
              </w:rPr>
              <w:t>8.1.1</w:t>
            </w:r>
            <w:r>
              <w:rPr>
                <w:rFonts w:hint="eastAsia" w:ascii="宋体" w:hAnsi="宋体" w:cs="宋体"/>
                <w:color w:val="auto"/>
                <w:kern w:val="0"/>
                <w:szCs w:val="21"/>
                <w:highlight w:val="none"/>
              </w:rPr>
              <w:t>人力资源管理系统</w:t>
            </w:r>
          </w:p>
        </w:tc>
        <w:tc>
          <w:tcPr>
            <w:tcW w:w="7638" w:type="dxa"/>
            <w:vAlign w:val="center"/>
          </w:tcPr>
          <w:p w14:paraId="7DBED6E1">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（一）员工基本信息接口</w:t>
            </w:r>
          </w:p>
          <w:p w14:paraId="1D4666BC">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基础信息：输出员工姓名、性别、出生日期、身份证号、联系方式、入职时间、离职时间（若已离职）、所属部门、岗位名称等基础信息，以结构化数据格式（如 JSON或 XML）定期同步，确保 HIS 系统中员工身份信息准确且与人力资源管理系统保持一致，便于患者就医过程中明确医护人员基本信息。</w:t>
            </w:r>
          </w:p>
          <w:p w14:paraId="30DFEA7A">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职称与资质信息：提供员工的职称等级（如主任医师、护师等）、专业技术资格证书编号、执业证书编号、证书有效期等信息，支持按需实时查询，助力 HIS 系统对医护人员资质进行验证和管理，保障医疗服务专业性和合规性。</w:t>
            </w:r>
          </w:p>
          <w:p w14:paraId="19331C4B">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学历与教育背景信息：推送员工的最高学历、毕业院校、所学专业、毕业时间等学历教育信息，以及后续参加的各类培训课程名称、培训时间、培训证书等继续教育信息，为 HIS 系统中的医护人员学术展示、科研项目参与等功能提供数据支持。</w:t>
            </w:r>
          </w:p>
          <w:p w14:paraId="58D13825">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（二）考勤与排班信息接口</w:t>
            </w:r>
          </w:p>
          <w:p w14:paraId="6D63C78B">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考勤数据：实时提供员工的考勤记录，包括每日签到时间、签退时间、请假类型（病假、事假等）、请假天数、加班时长等信息，支持按日、周、月等时间维度查询，使 HIS 系统能够结合医护人员考勤情况，合理安排诊疗任务，保障医疗服务连续性。</w:t>
            </w:r>
          </w:p>
          <w:p w14:paraId="27EB131D">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排班计划信息：输出各科室员工的排班计划，包括排班周期（如一周、两周）、具体班次（白班、夜班等）、上班时间、下班时间、负责区域等内容，提前一定时间（如一周）同步至 HIS 系统，便于 HIS 系统根据排班情况展示可接诊医护人员信息，方便患者预约挂号和就诊安排。</w:t>
            </w:r>
          </w:p>
          <w:p w14:paraId="0048FD81">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排班变更信息：当出现排班调整时，及时将变更后的排班信息（变更原因、变更后班次等）推送至 HIS 系统，确保 HIS 系统与实际排班情况一致，避免因排班变动导致患者就诊安排混乱。</w:t>
            </w:r>
          </w:p>
          <w:p w14:paraId="0B31F9A9">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（三）薪酬与绩效信息接口</w:t>
            </w:r>
          </w:p>
          <w:p w14:paraId="174379ED">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薪酬基本信息：定期提供员工的基本工资、岗位工资、绩效工资、津贴补贴等薪酬组成部分信息，以及每月应发工资、实发工资、社保公积金缴纳金额等数据，以满足HIS 系统中部分涉及人员成本核算、财务分析等功能的需求，辅助医院进行运营成本管理。</w:t>
            </w:r>
          </w:p>
          <w:p w14:paraId="12A93D6D">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绩效评估信息：输出员工的绩效考核结果，包括考核周期、考核指标（如医疗质量、服务态度等）、考核得分、绩效等级等内容，为 HIS 系统在医护人员评优评先、岗位晋升推荐等场景中提供数据参考，激励医护人员提升服务质量。</w:t>
            </w:r>
          </w:p>
          <w:p w14:paraId="01A63C01">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奖金发放信息：将员工的各类奖金（如年终奖、科研奖励等）发放情况同步至 HIS系统，包括奖金名称、发放时间、发放金额等，便于 HIS 系统进行全面的人员薪酬数据分析，为医院薪酬体系优化提供依据。</w:t>
            </w:r>
          </w:p>
          <w:p w14:paraId="6158B370">
            <w:p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（四）培训与发展信息接口</w:t>
            </w:r>
          </w:p>
          <w:p w14:paraId="22E8B34F">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培训计划信息：提前推送员工的培训计划，包括培训课程名称、培训时间、培训地点、培训目标、主讲人等信息，使 HIS 系统能够在合适位置（如员工个人工作台）展示培训预告，方便员工合理安排工作与学习时间，同时也有助于医院管理层了解培训整体规划。</w:t>
            </w:r>
          </w:p>
          <w:p w14:paraId="54339C57">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培训记录信息：及时提供员工参加培训的记录，包括实际参加时间、培训签到情况、培训考核成绩、培训证书获取情况等内容，支持 HIS 系统对员工培训成果进行记录和展示，作为员工职业发展评估的重要依据之一。</w:t>
            </w:r>
          </w:p>
          <w:p w14:paraId="5B0189C0">
            <w:pPr>
              <w:numPr>
                <w:ilvl w:val="0"/>
                <w:numId w:val="12"/>
              </w:numPr>
              <w:tabs>
                <w:tab w:val="left" w:pos="525"/>
                <w:tab w:val="left" w:pos="630"/>
              </w:tabs>
              <w:spacing w:line="360" w:lineRule="auto"/>
              <w:rPr>
                <w:rFonts w:ascii="宋体" w:hAnsi="宋体" w:cs="宋体"/>
                <w:bCs/>
                <w:color w:val="auto"/>
                <w:szCs w:val="21"/>
                <w:highlight w:val="none"/>
              </w:rPr>
            </w:pPr>
            <w:r>
              <w:rPr>
                <w:rFonts w:ascii="宋体" w:hAnsi="宋体" w:cs="宋体"/>
                <w:bCs/>
                <w:color w:val="auto"/>
                <w:szCs w:val="21"/>
                <w:highlight w:val="none"/>
              </w:rPr>
              <w:t>职业发展规划信息：提供员工的职业发展规划相关信息，如职业目标、晋升计划、所需技能提升方向等，帮助 HIS 系统为员工提供个性化的学习资源推荐和职业发展建议，促进员工个人成长与医院发展相契合。</w:t>
            </w:r>
          </w:p>
        </w:tc>
      </w:tr>
      <w:tr w14:paraId="38EB2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9799" w:type="dxa"/>
            <w:gridSpan w:val="3"/>
            <w:vAlign w:val="center"/>
          </w:tcPr>
          <w:p w14:paraId="0A62F6CA">
            <w:pPr>
              <w:numPr>
                <w:ilvl w:val="-1"/>
                <w:numId w:val="0"/>
              </w:numPr>
              <w:tabs>
                <w:tab w:val="left" w:pos="525"/>
                <w:tab w:val="left" w:pos="630"/>
              </w:tabs>
              <w:adjustRightInd w:val="0"/>
              <w:snapToGrid w:val="0"/>
              <w:spacing w:line="360" w:lineRule="auto"/>
              <w:ind w:left="0" w:firstLine="0"/>
              <w:rPr>
                <w:rFonts w:hint="default" w:ascii="宋体" w:hAnsi="宋体" w:eastAsia="宋体" w:cs="宋体"/>
                <w:bCs/>
                <w:color w:val="auto"/>
                <w:szCs w:val="21"/>
                <w:highlight w:val="none"/>
                <w:lang w:val="en-US" w:eastAsia="zh-CN"/>
              </w:rPr>
            </w:pPr>
            <w:r>
              <w:rPr>
                <w:rFonts w:hint="eastAsia" w:ascii="宋体" w:hAnsi="宋体" w:cs="宋体"/>
                <w:bCs/>
                <w:color w:val="auto"/>
                <w:szCs w:val="21"/>
                <w:highlight w:val="none"/>
                <w:lang w:val="en-US" w:eastAsia="zh-CN"/>
              </w:rPr>
              <w:t>数据安全需求</w:t>
            </w:r>
          </w:p>
        </w:tc>
      </w:tr>
      <w:tr w14:paraId="0347F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971" w:type="dxa"/>
            <w:vAlign w:val="center"/>
          </w:tcPr>
          <w:p w14:paraId="149C2746">
            <w:pPr>
              <w:keepNext w:val="0"/>
              <w:keepLines w:val="0"/>
              <w:widowControl/>
              <w:suppressLineNumbers w:val="0"/>
              <w:adjustRightInd w:val="0"/>
              <w:snapToGrid w:val="0"/>
              <w:spacing w:line="360" w:lineRule="auto"/>
              <w:jc w:val="left"/>
              <w:textAlignment w:val="center"/>
              <w:rPr>
                <w:rFonts w:hint="eastAsia" w:ascii="宋体" w:hAnsi="宋体"/>
                <w:color w:val="auto"/>
                <w:szCs w:val="21"/>
                <w:highlight w:val="none"/>
              </w:rPr>
            </w:pPr>
            <w:r>
              <w:rPr>
                <w:rFonts w:hint="eastAsia" w:ascii="宋体" w:hAnsi="宋体" w:eastAsia="宋体" w:cs="宋体"/>
                <w:i w:val="0"/>
                <w:iCs w:val="0"/>
                <w:color w:val="000000"/>
                <w:kern w:val="0"/>
                <w:sz w:val="21"/>
                <w:szCs w:val="21"/>
                <w:u w:val="none"/>
                <w:lang w:val="en-US" w:eastAsia="zh-CN" w:bidi="ar"/>
              </w:rPr>
              <w:t>编号</w:t>
            </w:r>
          </w:p>
        </w:tc>
        <w:tc>
          <w:tcPr>
            <w:tcW w:w="1190" w:type="dxa"/>
            <w:vAlign w:val="center"/>
          </w:tcPr>
          <w:p w14:paraId="6CC01AB9">
            <w:pPr>
              <w:keepNext w:val="0"/>
              <w:keepLines w:val="0"/>
              <w:widowControl/>
              <w:suppressLineNumbers w:val="0"/>
              <w:adjustRightInd w:val="0"/>
              <w:snapToGrid w:val="0"/>
              <w:spacing w:line="360" w:lineRule="auto"/>
              <w:jc w:val="left"/>
              <w:textAlignment w:val="center"/>
              <w:rPr>
                <w:rFonts w:hint="eastAsia" w:ascii="宋体" w:hAnsi="宋体" w:cs="宋体"/>
                <w:color w:val="auto"/>
                <w:kern w:val="0"/>
                <w:szCs w:val="21"/>
                <w:highlight w:val="none"/>
              </w:rPr>
            </w:pPr>
            <w:r>
              <w:rPr>
                <w:rFonts w:hint="eastAsia" w:ascii="宋体" w:hAnsi="宋体" w:eastAsia="宋体" w:cs="宋体"/>
                <w:i w:val="0"/>
                <w:iCs w:val="0"/>
                <w:color w:val="000000"/>
                <w:kern w:val="0"/>
                <w:sz w:val="21"/>
                <w:szCs w:val="21"/>
                <w:u w:val="none"/>
                <w:lang w:val="en-US" w:eastAsia="zh-CN" w:bidi="ar"/>
              </w:rPr>
              <w:t>需求项</w:t>
            </w:r>
          </w:p>
        </w:tc>
        <w:tc>
          <w:tcPr>
            <w:tcW w:w="7638" w:type="dxa"/>
            <w:vAlign w:val="center"/>
          </w:tcPr>
          <w:p w14:paraId="1FCC9A52">
            <w:pPr>
              <w:keepNext w:val="0"/>
              <w:keepLines w:val="0"/>
              <w:widowControl/>
              <w:suppressLineNumbers w:val="0"/>
              <w:adjustRightInd w:val="0"/>
              <w:snapToGrid w:val="0"/>
              <w:spacing w:line="360" w:lineRule="auto"/>
              <w:jc w:val="left"/>
              <w:textAlignment w:val="center"/>
              <w:rPr>
                <w:rFonts w:ascii="宋体" w:hAnsi="宋体" w:cs="宋体"/>
                <w:bCs/>
                <w:color w:val="auto"/>
                <w:szCs w:val="21"/>
                <w:highlight w:val="none"/>
              </w:rPr>
            </w:pPr>
            <w:r>
              <w:rPr>
                <w:rFonts w:hint="eastAsia" w:ascii="宋体" w:hAnsi="宋体" w:eastAsia="宋体" w:cs="宋体"/>
                <w:i w:val="0"/>
                <w:iCs w:val="0"/>
                <w:color w:val="000000"/>
                <w:kern w:val="0"/>
                <w:sz w:val="21"/>
                <w:szCs w:val="21"/>
                <w:u w:val="none"/>
                <w:lang w:val="en-US" w:eastAsia="zh-CN" w:bidi="ar"/>
              </w:rPr>
              <w:t>详细要求</w:t>
            </w:r>
          </w:p>
        </w:tc>
      </w:tr>
      <w:tr w14:paraId="3E110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971" w:type="dxa"/>
            <w:vAlign w:val="center"/>
          </w:tcPr>
          <w:p w14:paraId="271162C2">
            <w:pPr>
              <w:keepNext w:val="0"/>
              <w:keepLines w:val="0"/>
              <w:widowControl/>
              <w:suppressLineNumbers w:val="0"/>
              <w:adjustRightInd w:val="0"/>
              <w:snapToGrid w:val="0"/>
              <w:spacing w:line="360" w:lineRule="auto"/>
              <w:jc w:val="left"/>
              <w:textAlignment w:val="center"/>
              <w:rPr>
                <w:rFonts w:hint="eastAsia" w:ascii="宋体" w:hAnsi="宋体"/>
                <w:color w:val="auto"/>
                <w:szCs w:val="21"/>
                <w:highlight w:val="none"/>
              </w:rPr>
            </w:pPr>
            <w:r>
              <w:rPr>
                <w:rFonts w:hint="eastAsia" w:ascii="宋体" w:hAnsi="宋体" w:eastAsia="宋体" w:cs="宋体"/>
                <w:i w:val="0"/>
                <w:iCs w:val="0"/>
                <w:color w:val="000000"/>
                <w:kern w:val="0"/>
                <w:sz w:val="21"/>
                <w:szCs w:val="21"/>
                <w:u w:val="none"/>
                <w:lang w:val="en-US" w:eastAsia="zh-CN" w:bidi="ar"/>
              </w:rPr>
              <w:t>FR-001</w:t>
            </w:r>
          </w:p>
        </w:tc>
        <w:tc>
          <w:tcPr>
            <w:tcW w:w="1190" w:type="dxa"/>
            <w:vAlign w:val="center"/>
          </w:tcPr>
          <w:p w14:paraId="40B1A269">
            <w:pPr>
              <w:keepNext w:val="0"/>
              <w:keepLines w:val="0"/>
              <w:widowControl/>
              <w:suppressLineNumbers w:val="0"/>
              <w:adjustRightInd w:val="0"/>
              <w:snapToGrid w:val="0"/>
              <w:spacing w:line="360" w:lineRule="auto"/>
              <w:jc w:val="left"/>
              <w:textAlignment w:val="center"/>
              <w:rPr>
                <w:rFonts w:hint="eastAsia" w:ascii="宋体" w:hAnsi="宋体" w:cs="宋体"/>
                <w:color w:val="auto"/>
                <w:kern w:val="0"/>
                <w:szCs w:val="21"/>
                <w:highlight w:val="none"/>
              </w:rPr>
            </w:pPr>
            <w:r>
              <w:rPr>
                <w:rFonts w:hint="eastAsia" w:ascii="宋体" w:hAnsi="宋体" w:eastAsia="宋体" w:cs="宋体"/>
                <w:i w:val="0"/>
                <w:iCs w:val="0"/>
                <w:color w:val="000000"/>
                <w:kern w:val="0"/>
                <w:sz w:val="21"/>
                <w:szCs w:val="21"/>
                <w:u w:val="none"/>
                <w:lang w:val="en-US" w:eastAsia="zh-CN" w:bidi="ar"/>
              </w:rPr>
              <w:t>登录日志</w:t>
            </w:r>
          </w:p>
        </w:tc>
        <w:tc>
          <w:tcPr>
            <w:tcW w:w="7638" w:type="dxa"/>
            <w:vAlign w:val="center"/>
          </w:tcPr>
          <w:p w14:paraId="253968B0">
            <w:pPr>
              <w:keepNext w:val="0"/>
              <w:keepLines w:val="0"/>
              <w:widowControl/>
              <w:suppressLineNumbers w:val="0"/>
              <w:adjustRightInd w:val="0"/>
              <w:snapToGrid w:val="0"/>
              <w:spacing w:line="360" w:lineRule="auto"/>
              <w:jc w:val="left"/>
              <w:textAlignment w:val="center"/>
              <w:rPr>
                <w:rFonts w:ascii="宋体" w:hAnsi="宋体" w:cs="宋体"/>
                <w:bCs/>
                <w:color w:val="auto"/>
                <w:szCs w:val="21"/>
                <w:highlight w:val="none"/>
              </w:rPr>
            </w:pPr>
            <w:r>
              <w:rPr>
                <w:rFonts w:hint="eastAsia" w:ascii="宋体" w:hAnsi="宋体" w:eastAsia="宋体" w:cs="宋体"/>
                <w:i w:val="0"/>
                <w:iCs w:val="0"/>
                <w:color w:val="000000"/>
                <w:kern w:val="0"/>
                <w:sz w:val="21"/>
                <w:szCs w:val="21"/>
                <w:u w:val="none"/>
                <w:lang w:val="en-US" w:eastAsia="zh-CN" w:bidi="ar"/>
              </w:rPr>
              <w:t>记录时间、用户、IP、登出时间</w:t>
            </w:r>
          </w:p>
        </w:tc>
      </w:tr>
      <w:tr w14:paraId="42926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971" w:type="dxa"/>
            <w:vAlign w:val="center"/>
          </w:tcPr>
          <w:p w14:paraId="01EE1964">
            <w:pPr>
              <w:keepNext w:val="0"/>
              <w:keepLines w:val="0"/>
              <w:widowControl/>
              <w:suppressLineNumbers w:val="0"/>
              <w:adjustRightInd w:val="0"/>
              <w:snapToGrid w:val="0"/>
              <w:spacing w:line="360" w:lineRule="auto"/>
              <w:jc w:val="left"/>
              <w:textAlignment w:val="center"/>
              <w:rPr>
                <w:rFonts w:hint="eastAsia" w:ascii="宋体" w:hAnsi="宋体"/>
                <w:color w:val="auto"/>
                <w:szCs w:val="21"/>
                <w:highlight w:val="none"/>
              </w:rPr>
            </w:pPr>
            <w:r>
              <w:rPr>
                <w:rFonts w:hint="eastAsia" w:ascii="宋体" w:hAnsi="宋体" w:eastAsia="宋体" w:cs="宋体"/>
                <w:i w:val="0"/>
                <w:iCs w:val="0"/>
                <w:color w:val="000000"/>
                <w:kern w:val="0"/>
                <w:sz w:val="21"/>
                <w:szCs w:val="21"/>
                <w:u w:val="none"/>
                <w:lang w:val="en-US" w:eastAsia="zh-CN" w:bidi="ar"/>
              </w:rPr>
              <w:t>FR-002</w:t>
            </w:r>
          </w:p>
        </w:tc>
        <w:tc>
          <w:tcPr>
            <w:tcW w:w="1190" w:type="dxa"/>
            <w:vAlign w:val="center"/>
          </w:tcPr>
          <w:p w14:paraId="03CF5A7C">
            <w:pPr>
              <w:keepNext w:val="0"/>
              <w:keepLines w:val="0"/>
              <w:widowControl/>
              <w:suppressLineNumbers w:val="0"/>
              <w:adjustRightInd w:val="0"/>
              <w:snapToGrid w:val="0"/>
              <w:spacing w:line="360" w:lineRule="auto"/>
              <w:jc w:val="left"/>
              <w:textAlignment w:val="center"/>
              <w:rPr>
                <w:rFonts w:hint="eastAsia" w:ascii="宋体" w:hAnsi="宋体" w:cs="宋体"/>
                <w:color w:val="auto"/>
                <w:kern w:val="0"/>
                <w:szCs w:val="21"/>
                <w:highlight w:val="none"/>
              </w:rPr>
            </w:pPr>
            <w:r>
              <w:rPr>
                <w:rFonts w:hint="eastAsia" w:ascii="宋体" w:hAnsi="宋体" w:eastAsia="宋体" w:cs="宋体"/>
                <w:i w:val="0"/>
                <w:iCs w:val="0"/>
                <w:color w:val="000000"/>
                <w:kern w:val="0"/>
                <w:sz w:val="21"/>
                <w:szCs w:val="21"/>
                <w:u w:val="none"/>
                <w:lang w:val="en-US" w:eastAsia="zh-CN" w:bidi="ar"/>
              </w:rPr>
              <w:t>查询日志</w:t>
            </w:r>
          </w:p>
        </w:tc>
        <w:tc>
          <w:tcPr>
            <w:tcW w:w="7638" w:type="dxa"/>
            <w:vAlign w:val="center"/>
          </w:tcPr>
          <w:p w14:paraId="2E952AA7">
            <w:pPr>
              <w:keepNext w:val="0"/>
              <w:keepLines w:val="0"/>
              <w:widowControl/>
              <w:suppressLineNumbers w:val="0"/>
              <w:adjustRightInd w:val="0"/>
              <w:snapToGrid w:val="0"/>
              <w:spacing w:line="360" w:lineRule="auto"/>
              <w:jc w:val="left"/>
              <w:textAlignment w:val="center"/>
              <w:rPr>
                <w:rFonts w:ascii="宋体" w:hAnsi="宋体" w:cs="宋体"/>
                <w:bCs/>
                <w:color w:val="auto"/>
                <w:szCs w:val="21"/>
                <w:highlight w:val="none"/>
              </w:rPr>
            </w:pPr>
            <w:r>
              <w:rPr>
                <w:rFonts w:hint="eastAsia" w:ascii="宋体" w:hAnsi="宋体" w:eastAsia="宋体" w:cs="宋体"/>
                <w:i w:val="0"/>
                <w:iCs w:val="0"/>
                <w:color w:val="000000"/>
                <w:kern w:val="0"/>
                <w:sz w:val="21"/>
                <w:szCs w:val="21"/>
                <w:u w:val="none"/>
                <w:lang w:val="en-US" w:eastAsia="zh-CN" w:bidi="ar"/>
              </w:rPr>
              <w:t>记录时间、用户、查询条件、涉及患者数量（不要求记录全部患者ID列表）</w:t>
            </w:r>
          </w:p>
        </w:tc>
      </w:tr>
      <w:tr w14:paraId="6DD6B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971" w:type="dxa"/>
            <w:vAlign w:val="center"/>
          </w:tcPr>
          <w:p w14:paraId="6558D160">
            <w:pPr>
              <w:keepNext w:val="0"/>
              <w:keepLines w:val="0"/>
              <w:widowControl/>
              <w:suppressLineNumbers w:val="0"/>
              <w:adjustRightInd w:val="0"/>
              <w:snapToGrid w:val="0"/>
              <w:spacing w:line="360" w:lineRule="auto"/>
              <w:jc w:val="left"/>
              <w:textAlignment w:val="center"/>
              <w:rPr>
                <w:rFonts w:hint="eastAsia" w:ascii="宋体" w:hAnsi="宋体"/>
                <w:color w:val="auto"/>
                <w:szCs w:val="21"/>
                <w:highlight w:val="none"/>
              </w:rPr>
            </w:pPr>
            <w:r>
              <w:rPr>
                <w:rFonts w:hint="eastAsia" w:ascii="宋体" w:hAnsi="宋体" w:eastAsia="宋体" w:cs="宋体"/>
                <w:i w:val="0"/>
                <w:iCs w:val="0"/>
                <w:color w:val="000000"/>
                <w:kern w:val="0"/>
                <w:sz w:val="21"/>
                <w:szCs w:val="21"/>
                <w:u w:val="none"/>
                <w:lang w:val="en-US" w:eastAsia="zh-CN" w:bidi="ar"/>
              </w:rPr>
              <w:t>FR-003</w:t>
            </w:r>
          </w:p>
        </w:tc>
        <w:tc>
          <w:tcPr>
            <w:tcW w:w="1190" w:type="dxa"/>
            <w:vAlign w:val="center"/>
          </w:tcPr>
          <w:p w14:paraId="369B19AF">
            <w:pPr>
              <w:keepNext w:val="0"/>
              <w:keepLines w:val="0"/>
              <w:widowControl/>
              <w:suppressLineNumbers w:val="0"/>
              <w:adjustRightInd w:val="0"/>
              <w:snapToGrid w:val="0"/>
              <w:spacing w:line="360" w:lineRule="auto"/>
              <w:jc w:val="left"/>
              <w:textAlignment w:val="center"/>
              <w:rPr>
                <w:rFonts w:hint="eastAsia" w:ascii="宋体" w:hAnsi="宋体" w:cs="宋体"/>
                <w:color w:val="auto"/>
                <w:kern w:val="0"/>
                <w:szCs w:val="21"/>
                <w:highlight w:val="none"/>
              </w:rPr>
            </w:pPr>
            <w:r>
              <w:rPr>
                <w:rFonts w:hint="eastAsia" w:ascii="宋体" w:hAnsi="宋体" w:eastAsia="宋体" w:cs="宋体"/>
                <w:i w:val="0"/>
                <w:iCs w:val="0"/>
                <w:color w:val="000000"/>
                <w:kern w:val="0"/>
                <w:sz w:val="21"/>
                <w:szCs w:val="21"/>
                <w:u w:val="none"/>
                <w:lang w:val="en-US" w:eastAsia="zh-CN" w:bidi="ar"/>
              </w:rPr>
              <w:t>导出日志</w:t>
            </w:r>
          </w:p>
        </w:tc>
        <w:tc>
          <w:tcPr>
            <w:tcW w:w="7638" w:type="dxa"/>
            <w:vAlign w:val="center"/>
          </w:tcPr>
          <w:p w14:paraId="3992D66A">
            <w:pPr>
              <w:keepNext w:val="0"/>
              <w:keepLines w:val="0"/>
              <w:widowControl/>
              <w:suppressLineNumbers w:val="0"/>
              <w:adjustRightInd w:val="0"/>
              <w:snapToGrid w:val="0"/>
              <w:spacing w:line="360" w:lineRule="auto"/>
              <w:jc w:val="left"/>
              <w:textAlignment w:val="center"/>
              <w:rPr>
                <w:rFonts w:ascii="宋体" w:hAnsi="宋体" w:cs="宋体"/>
                <w:bCs/>
                <w:color w:val="auto"/>
                <w:szCs w:val="21"/>
                <w:highlight w:val="none"/>
              </w:rPr>
            </w:pPr>
            <w:r>
              <w:rPr>
                <w:rFonts w:hint="eastAsia" w:ascii="宋体" w:hAnsi="宋体" w:eastAsia="宋体" w:cs="宋体"/>
                <w:i w:val="0"/>
                <w:iCs w:val="0"/>
                <w:color w:val="000000"/>
                <w:kern w:val="0"/>
                <w:sz w:val="21"/>
                <w:szCs w:val="21"/>
                <w:u w:val="none"/>
                <w:lang w:val="en-US" w:eastAsia="zh-CN" w:bidi="ar"/>
              </w:rPr>
              <w:t>记录导出人、时间、数据量、用途说明</w:t>
            </w:r>
          </w:p>
        </w:tc>
      </w:tr>
      <w:tr w14:paraId="3B5C5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971" w:type="dxa"/>
            <w:vAlign w:val="center"/>
          </w:tcPr>
          <w:p w14:paraId="6F085126">
            <w:pPr>
              <w:keepNext w:val="0"/>
              <w:keepLines w:val="0"/>
              <w:widowControl/>
              <w:suppressLineNumbers w:val="0"/>
              <w:adjustRightInd w:val="0"/>
              <w:snapToGrid w:val="0"/>
              <w:spacing w:line="360" w:lineRule="auto"/>
              <w:jc w:val="left"/>
              <w:textAlignment w:val="center"/>
              <w:rPr>
                <w:rFonts w:hint="eastAsia" w:ascii="宋体" w:hAnsi="宋体"/>
                <w:color w:val="auto"/>
                <w:szCs w:val="21"/>
                <w:highlight w:val="none"/>
              </w:rPr>
            </w:pPr>
            <w:r>
              <w:rPr>
                <w:rFonts w:hint="eastAsia" w:ascii="宋体" w:hAnsi="宋体" w:eastAsia="宋体" w:cs="宋体"/>
                <w:i w:val="0"/>
                <w:iCs w:val="0"/>
                <w:color w:val="000000"/>
                <w:kern w:val="0"/>
                <w:sz w:val="21"/>
                <w:szCs w:val="21"/>
                <w:u w:val="none"/>
                <w:lang w:val="en-US" w:eastAsia="zh-CN" w:bidi="ar"/>
              </w:rPr>
              <w:t>FR-004</w:t>
            </w:r>
          </w:p>
        </w:tc>
        <w:tc>
          <w:tcPr>
            <w:tcW w:w="1190" w:type="dxa"/>
            <w:vAlign w:val="center"/>
          </w:tcPr>
          <w:p w14:paraId="55A10794">
            <w:pPr>
              <w:keepNext w:val="0"/>
              <w:keepLines w:val="0"/>
              <w:widowControl/>
              <w:suppressLineNumbers w:val="0"/>
              <w:adjustRightInd w:val="0"/>
              <w:snapToGrid w:val="0"/>
              <w:spacing w:line="360" w:lineRule="auto"/>
              <w:jc w:val="left"/>
              <w:textAlignment w:val="center"/>
              <w:rPr>
                <w:rFonts w:hint="eastAsia" w:ascii="宋体" w:hAnsi="宋体" w:cs="宋体"/>
                <w:color w:val="auto"/>
                <w:kern w:val="0"/>
                <w:szCs w:val="21"/>
                <w:highlight w:val="none"/>
              </w:rPr>
            </w:pPr>
            <w:r>
              <w:rPr>
                <w:rFonts w:hint="eastAsia" w:ascii="宋体" w:hAnsi="宋体" w:eastAsia="宋体" w:cs="宋体"/>
                <w:i w:val="0"/>
                <w:iCs w:val="0"/>
                <w:color w:val="000000"/>
                <w:kern w:val="0"/>
                <w:sz w:val="21"/>
                <w:szCs w:val="21"/>
                <w:u w:val="none"/>
                <w:lang w:val="en-US" w:eastAsia="zh-CN" w:bidi="ar"/>
              </w:rPr>
              <w:t>修改日志</w:t>
            </w:r>
          </w:p>
        </w:tc>
        <w:tc>
          <w:tcPr>
            <w:tcW w:w="7638" w:type="dxa"/>
            <w:vAlign w:val="center"/>
          </w:tcPr>
          <w:p w14:paraId="29F6E424">
            <w:pPr>
              <w:keepNext w:val="0"/>
              <w:keepLines w:val="0"/>
              <w:widowControl/>
              <w:suppressLineNumbers w:val="0"/>
              <w:adjustRightInd w:val="0"/>
              <w:snapToGrid w:val="0"/>
              <w:spacing w:line="360" w:lineRule="auto"/>
              <w:jc w:val="left"/>
              <w:textAlignment w:val="center"/>
              <w:rPr>
                <w:rFonts w:ascii="宋体" w:hAnsi="宋体" w:cs="宋体"/>
                <w:bCs/>
                <w:color w:val="auto"/>
                <w:szCs w:val="21"/>
                <w:highlight w:val="none"/>
              </w:rPr>
            </w:pPr>
            <w:r>
              <w:rPr>
                <w:rFonts w:hint="eastAsia" w:ascii="宋体" w:hAnsi="宋体" w:eastAsia="宋体" w:cs="宋体"/>
                <w:i w:val="0"/>
                <w:iCs w:val="0"/>
                <w:color w:val="000000"/>
                <w:kern w:val="0"/>
                <w:sz w:val="21"/>
                <w:szCs w:val="21"/>
                <w:u w:val="none"/>
                <w:lang w:val="en-US" w:eastAsia="zh-CN" w:bidi="ar"/>
              </w:rPr>
              <w:t>记录谁在什么时间改了哪张表的哪条记录（关键字段前后值）</w:t>
            </w:r>
          </w:p>
        </w:tc>
      </w:tr>
      <w:tr w14:paraId="5520A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971" w:type="dxa"/>
            <w:vAlign w:val="center"/>
          </w:tcPr>
          <w:p w14:paraId="385CE2EF">
            <w:pPr>
              <w:keepNext w:val="0"/>
              <w:keepLines w:val="0"/>
              <w:widowControl/>
              <w:suppressLineNumbers w:val="0"/>
              <w:adjustRightInd w:val="0"/>
              <w:snapToGrid w:val="0"/>
              <w:spacing w:line="360" w:lineRule="auto"/>
              <w:jc w:val="left"/>
              <w:textAlignment w:val="center"/>
              <w:rPr>
                <w:rFonts w:hint="eastAsia" w:ascii="宋体" w:hAnsi="宋体"/>
                <w:color w:val="auto"/>
                <w:szCs w:val="21"/>
                <w:highlight w:val="none"/>
              </w:rPr>
            </w:pPr>
            <w:r>
              <w:rPr>
                <w:rFonts w:hint="eastAsia" w:ascii="宋体" w:hAnsi="宋体" w:eastAsia="宋体" w:cs="宋体"/>
                <w:i w:val="0"/>
                <w:iCs w:val="0"/>
                <w:color w:val="000000"/>
                <w:kern w:val="0"/>
                <w:sz w:val="21"/>
                <w:szCs w:val="21"/>
                <w:u w:val="none"/>
                <w:lang w:val="en-US" w:eastAsia="zh-CN" w:bidi="ar"/>
              </w:rPr>
              <w:t>FR-005</w:t>
            </w:r>
          </w:p>
        </w:tc>
        <w:tc>
          <w:tcPr>
            <w:tcW w:w="1190" w:type="dxa"/>
            <w:vAlign w:val="center"/>
          </w:tcPr>
          <w:p w14:paraId="2C43B848">
            <w:pPr>
              <w:keepNext w:val="0"/>
              <w:keepLines w:val="0"/>
              <w:widowControl/>
              <w:suppressLineNumbers w:val="0"/>
              <w:adjustRightInd w:val="0"/>
              <w:snapToGrid w:val="0"/>
              <w:spacing w:line="360" w:lineRule="auto"/>
              <w:jc w:val="left"/>
              <w:textAlignment w:val="center"/>
              <w:rPr>
                <w:rFonts w:hint="eastAsia" w:ascii="宋体" w:hAnsi="宋体" w:cs="宋体"/>
                <w:color w:val="auto"/>
                <w:kern w:val="0"/>
                <w:szCs w:val="21"/>
                <w:highlight w:val="none"/>
              </w:rPr>
            </w:pPr>
            <w:r>
              <w:rPr>
                <w:rFonts w:hint="eastAsia" w:ascii="宋体" w:hAnsi="宋体" w:eastAsia="宋体" w:cs="宋体"/>
                <w:i w:val="0"/>
                <w:iCs w:val="0"/>
                <w:color w:val="000000"/>
                <w:kern w:val="0"/>
                <w:sz w:val="21"/>
                <w:szCs w:val="21"/>
                <w:u w:val="none"/>
                <w:lang w:val="en-US" w:eastAsia="zh-CN" w:bidi="ar"/>
              </w:rPr>
              <w:t>权限变更日志</w:t>
            </w:r>
          </w:p>
        </w:tc>
        <w:tc>
          <w:tcPr>
            <w:tcW w:w="7638" w:type="dxa"/>
            <w:vAlign w:val="center"/>
          </w:tcPr>
          <w:p w14:paraId="067B77A9">
            <w:pPr>
              <w:keepNext w:val="0"/>
              <w:keepLines w:val="0"/>
              <w:widowControl/>
              <w:suppressLineNumbers w:val="0"/>
              <w:adjustRightInd w:val="0"/>
              <w:snapToGrid w:val="0"/>
              <w:spacing w:line="360" w:lineRule="auto"/>
              <w:jc w:val="left"/>
              <w:textAlignment w:val="center"/>
              <w:rPr>
                <w:rFonts w:ascii="宋体" w:hAnsi="宋体" w:cs="宋体"/>
                <w:bCs/>
                <w:color w:val="auto"/>
                <w:szCs w:val="21"/>
                <w:highlight w:val="none"/>
              </w:rPr>
            </w:pPr>
            <w:r>
              <w:rPr>
                <w:rFonts w:hint="eastAsia" w:ascii="宋体" w:hAnsi="宋体" w:eastAsia="宋体" w:cs="宋体"/>
                <w:i w:val="0"/>
                <w:iCs w:val="0"/>
                <w:color w:val="000000"/>
                <w:kern w:val="0"/>
                <w:sz w:val="21"/>
                <w:szCs w:val="21"/>
                <w:u w:val="none"/>
                <w:lang w:val="en-US" w:eastAsia="zh-CN" w:bidi="ar"/>
              </w:rPr>
              <w:t>记录权限分配操作</w:t>
            </w:r>
          </w:p>
        </w:tc>
      </w:tr>
      <w:tr w14:paraId="373CA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971" w:type="dxa"/>
            <w:vAlign w:val="center"/>
          </w:tcPr>
          <w:p w14:paraId="735A2320">
            <w:pPr>
              <w:keepNext w:val="0"/>
              <w:keepLines w:val="0"/>
              <w:widowControl/>
              <w:suppressLineNumbers w:val="0"/>
              <w:adjustRightInd w:val="0"/>
              <w:snapToGrid w:val="0"/>
              <w:spacing w:line="360" w:lineRule="auto"/>
              <w:jc w:val="left"/>
              <w:textAlignment w:val="center"/>
              <w:rPr>
                <w:rFonts w:hint="eastAsia" w:ascii="宋体" w:hAnsi="宋体"/>
                <w:color w:val="auto"/>
                <w:szCs w:val="21"/>
                <w:highlight w:val="none"/>
              </w:rPr>
            </w:pPr>
            <w:r>
              <w:rPr>
                <w:rFonts w:hint="eastAsia" w:ascii="宋体" w:hAnsi="宋体" w:eastAsia="宋体" w:cs="宋体"/>
                <w:i w:val="0"/>
                <w:iCs w:val="0"/>
                <w:color w:val="000000"/>
                <w:kern w:val="0"/>
                <w:sz w:val="21"/>
                <w:szCs w:val="21"/>
                <w:u w:val="none"/>
                <w:lang w:val="en-US" w:eastAsia="zh-CN" w:bidi="ar"/>
              </w:rPr>
              <w:t>FR-006</w:t>
            </w:r>
          </w:p>
        </w:tc>
        <w:tc>
          <w:tcPr>
            <w:tcW w:w="1190" w:type="dxa"/>
            <w:vAlign w:val="center"/>
          </w:tcPr>
          <w:p w14:paraId="7DE7F17F">
            <w:pPr>
              <w:keepNext w:val="0"/>
              <w:keepLines w:val="0"/>
              <w:widowControl/>
              <w:suppressLineNumbers w:val="0"/>
              <w:adjustRightInd w:val="0"/>
              <w:snapToGrid w:val="0"/>
              <w:spacing w:line="360" w:lineRule="auto"/>
              <w:jc w:val="left"/>
              <w:textAlignment w:val="center"/>
              <w:rPr>
                <w:rFonts w:hint="eastAsia" w:ascii="宋体" w:hAnsi="宋体" w:cs="宋体"/>
                <w:color w:val="auto"/>
                <w:kern w:val="0"/>
                <w:szCs w:val="21"/>
                <w:highlight w:val="none"/>
              </w:rPr>
            </w:pPr>
            <w:r>
              <w:rPr>
                <w:rFonts w:hint="eastAsia" w:ascii="宋体" w:hAnsi="宋体" w:eastAsia="宋体" w:cs="宋体"/>
                <w:i w:val="0"/>
                <w:iCs w:val="0"/>
                <w:color w:val="000000"/>
                <w:kern w:val="0"/>
                <w:sz w:val="21"/>
                <w:szCs w:val="21"/>
                <w:u w:val="none"/>
                <w:lang w:val="en-US" w:eastAsia="zh-CN" w:bidi="ar"/>
              </w:rPr>
              <w:t>日志保护</w:t>
            </w:r>
          </w:p>
        </w:tc>
        <w:tc>
          <w:tcPr>
            <w:tcW w:w="7638" w:type="dxa"/>
            <w:vAlign w:val="center"/>
          </w:tcPr>
          <w:p w14:paraId="12BC4E7F">
            <w:pPr>
              <w:keepNext w:val="0"/>
              <w:keepLines w:val="0"/>
              <w:widowControl/>
              <w:suppressLineNumbers w:val="0"/>
              <w:adjustRightInd w:val="0"/>
              <w:snapToGrid w:val="0"/>
              <w:spacing w:line="360" w:lineRule="auto"/>
              <w:jc w:val="left"/>
              <w:textAlignment w:val="center"/>
              <w:rPr>
                <w:rFonts w:ascii="宋体" w:hAnsi="宋体" w:cs="宋体"/>
                <w:bCs/>
                <w:color w:val="auto"/>
                <w:szCs w:val="21"/>
                <w:highlight w:val="none"/>
              </w:rPr>
            </w:pPr>
            <w:r>
              <w:rPr>
                <w:rFonts w:hint="eastAsia" w:ascii="宋体" w:hAnsi="宋体" w:eastAsia="宋体" w:cs="宋体"/>
                <w:i w:val="0"/>
                <w:iCs w:val="0"/>
                <w:color w:val="000000"/>
                <w:kern w:val="0"/>
                <w:sz w:val="21"/>
                <w:szCs w:val="21"/>
                <w:u w:val="none"/>
                <w:lang w:val="en-US" w:eastAsia="zh-CN" w:bidi="ar"/>
              </w:rPr>
              <w:t>日志表独立存储，限制删除权限，定期备份；不要求绝对防篡改，但须做到误删可恢复</w:t>
            </w:r>
          </w:p>
        </w:tc>
      </w:tr>
      <w:tr w14:paraId="3ED9A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971" w:type="dxa"/>
            <w:vAlign w:val="center"/>
          </w:tcPr>
          <w:p w14:paraId="456E5D3F">
            <w:pPr>
              <w:keepNext w:val="0"/>
              <w:keepLines w:val="0"/>
              <w:widowControl/>
              <w:suppressLineNumbers w:val="0"/>
              <w:adjustRightInd w:val="0"/>
              <w:snapToGrid w:val="0"/>
              <w:spacing w:line="360" w:lineRule="auto"/>
              <w:jc w:val="left"/>
              <w:textAlignment w:val="center"/>
              <w:rPr>
                <w:rFonts w:hint="eastAsia" w:ascii="宋体" w:hAnsi="宋体"/>
                <w:color w:val="auto"/>
                <w:szCs w:val="21"/>
                <w:highlight w:val="none"/>
              </w:rPr>
            </w:pPr>
            <w:r>
              <w:rPr>
                <w:rFonts w:hint="eastAsia" w:ascii="宋体" w:hAnsi="宋体" w:eastAsia="宋体" w:cs="宋体"/>
                <w:i w:val="0"/>
                <w:iCs w:val="0"/>
                <w:color w:val="000000"/>
                <w:kern w:val="0"/>
                <w:sz w:val="21"/>
                <w:szCs w:val="21"/>
                <w:u w:val="none"/>
                <w:lang w:val="en-US" w:eastAsia="zh-CN" w:bidi="ar"/>
              </w:rPr>
              <w:t>FR-007</w:t>
            </w:r>
          </w:p>
        </w:tc>
        <w:tc>
          <w:tcPr>
            <w:tcW w:w="1190" w:type="dxa"/>
            <w:vAlign w:val="center"/>
          </w:tcPr>
          <w:p w14:paraId="1532F47E">
            <w:pPr>
              <w:keepNext w:val="0"/>
              <w:keepLines w:val="0"/>
              <w:widowControl/>
              <w:suppressLineNumbers w:val="0"/>
              <w:adjustRightInd w:val="0"/>
              <w:snapToGrid w:val="0"/>
              <w:spacing w:line="360" w:lineRule="auto"/>
              <w:jc w:val="left"/>
              <w:textAlignment w:val="center"/>
              <w:rPr>
                <w:rFonts w:hint="eastAsia" w:ascii="宋体" w:hAnsi="宋体" w:cs="宋体"/>
                <w:color w:val="auto"/>
                <w:kern w:val="0"/>
                <w:szCs w:val="21"/>
                <w:highlight w:val="none"/>
              </w:rPr>
            </w:pPr>
            <w:r>
              <w:rPr>
                <w:rFonts w:hint="eastAsia" w:ascii="宋体" w:hAnsi="宋体" w:eastAsia="宋体" w:cs="宋体"/>
                <w:i w:val="0"/>
                <w:iCs w:val="0"/>
                <w:color w:val="000000"/>
                <w:kern w:val="0"/>
                <w:sz w:val="21"/>
                <w:szCs w:val="21"/>
                <w:u w:val="none"/>
                <w:lang w:val="en-US" w:eastAsia="zh-CN" w:bidi="ar"/>
              </w:rPr>
              <w:t>权限分类</w:t>
            </w:r>
          </w:p>
        </w:tc>
        <w:tc>
          <w:tcPr>
            <w:tcW w:w="7638" w:type="dxa"/>
            <w:vAlign w:val="center"/>
          </w:tcPr>
          <w:p w14:paraId="77E3FB83">
            <w:pPr>
              <w:keepNext w:val="0"/>
              <w:keepLines w:val="0"/>
              <w:widowControl/>
              <w:suppressLineNumbers w:val="0"/>
              <w:adjustRightInd w:val="0"/>
              <w:snapToGrid w:val="0"/>
              <w:spacing w:line="360" w:lineRule="auto"/>
              <w:jc w:val="left"/>
              <w:textAlignment w:val="center"/>
              <w:rPr>
                <w:rFonts w:ascii="宋体" w:hAnsi="宋体" w:cs="宋体"/>
                <w:bCs/>
                <w:color w:val="auto"/>
                <w:szCs w:val="21"/>
                <w:highlight w:val="none"/>
              </w:rPr>
            </w:pPr>
            <w:r>
              <w:rPr>
                <w:rFonts w:hint="eastAsia" w:ascii="宋体" w:hAnsi="宋体" w:eastAsia="宋体" w:cs="宋体"/>
                <w:i w:val="0"/>
                <w:iCs w:val="0"/>
                <w:color w:val="000000"/>
                <w:kern w:val="0"/>
                <w:sz w:val="21"/>
                <w:szCs w:val="21"/>
                <w:u w:val="none"/>
                <w:lang w:val="en-US" w:eastAsia="zh-CN" w:bidi="ar"/>
              </w:rPr>
              <w:t>系统至少区分仅查询和可导出两类权限；修改权限通过运维流程控制</w:t>
            </w:r>
          </w:p>
        </w:tc>
      </w:tr>
      <w:tr w14:paraId="72949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971" w:type="dxa"/>
            <w:vAlign w:val="center"/>
          </w:tcPr>
          <w:p w14:paraId="407078BA">
            <w:pPr>
              <w:keepNext w:val="0"/>
              <w:keepLines w:val="0"/>
              <w:widowControl/>
              <w:suppressLineNumbers w:val="0"/>
              <w:adjustRightInd w:val="0"/>
              <w:snapToGrid w:val="0"/>
              <w:spacing w:line="360" w:lineRule="auto"/>
              <w:jc w:val="left"/>
              <w:textAlignment w:val="center"/>
              <w:rPr>
                <w:rFonts w:hint="eastAsia" w:ascii="宋体" w:hAnsi="宋体"/>
                <w:color w:val="auto"/>
                <w:szCs w:val="21"/>
                <w:highlight w:val="none"/>
              </w:rPr>
            </w:pPr>
            <w:r>
              <w:rPr>
                <w:rFonts w:hint="eastAsia" w:ascii="宋体" w:hAnsi="宋体" w:eastAsia="宋体" w:cs="宋体"/>
                <w:i w:val="0"/>
                <w:iCs w:val="0"/>
                <w:color w:val="000000"/>
                <w:kern w:val="0"/>
                <w:sz w:val="21"/>
                <w:szCs w:val="21"/>
                <w:u w:val="none"/>
                <w:lang w:val="en-US" w:eastAsia="zh-CN" w:bidi="ar"/>
              </w:rPr>
              <w:t>FR-008</w:t>
            </w:r>
          </w:p>
        </w:tc>
        <w:tc>
          <w:tcPr>
            <w:tcW w:w="1190" w:type="dxa"/>
            <w:vAlign w:val="center"/>
          </w:tcPr>
          <w:p w14:paraId="7FBEBC3D">
            <w:pPr>
              <w:keepNext w:val="0"/>
              <w:keepLines w:val="0"/>
              <w:widowControl/>
              <w:suppressLineNumbers w:val="0"/>
              <w:adjustRightInd w:val="0"/>
              <w:snapToGrid w:val="0"/>
              <w:spacing w:line="360" w:lineRule="auto"/>
              <w:jc w:val="left"/>
              <w:textAlignment w:val="center"/>
              <w:rPr>
                <w:rFonts w:hint="eastAsia" w:ascii="宋体" w:hAnsi="宋体" w:cs="宋体"/>
                <w:color w:val="auto"/>
                <w:kern w:val="0"/>
                <w:szCs w:val="21"/>
                <w:highlight w:val="none"/>
              </w:rPr>
            </w:pPr>
            <w:r>
              <w:rPr>
                <w:rFonts w:hint="eastAsia" w:ascii="宋体" w:hAnsi="宋体" w:eastAsia="宋体" w:cs="宋体"/>
                <w:i w:val="0"/>
                <w:iCs w:val="0"/>
                <w:color w:val="000000"/>
                <w:kern w:val="0"/>
                <w:sz w:val="21"/>
                <w:szCs w:val="21"/>
                <w:u w:val="none"/>
                <w:lang w:val="en-US" w:eastAsia="zh-CN" w:bidi="ar"/>
              </w:rPr>
              <w:t>岗位授权</w:t>
            </w:r>
          </w:p>
        </w:tc>
        <w:tc>
          <w:tcPr>
            <w:tcW w:w="7638" w:type="dxa"/>
            <w:vAlign w:val="center"/>
          </w:tcPr>
          <w:p w14:paraId="6DA08817">
            <w:pPr>
              <w:keepNext w:val="0"/>
              <w:keepLines w:val="0"/>
              <w:widowControl/>
              <w:suppressLineNumbers w:val="0"/>
              <w:adjustRightInd w:val="0"/>
              <w:snapToGrid w:val="0"/>
              <w:spacing w:line="360" w:lineRule="auto"/>
              <w:jc w:val="left"/>
              <w:textAlignment w:val="center"/>
              <w:rPr>
                <w:rFonts w:ascii="宋体" w:hAnsi="宋体" w:cs="宋体"/>
                <w:bCs/>
                <w:color w:val="auto"/>
                <w:szCs w:val="21"/>
                <w:highlight w:val="none"/>
              </w:rPr>
            </w:pPr>
            <w:r>
              <w:rPr>
                <w:rFonts w:hint="eastAsia" w:ascii="宋体" w:hAnsi="宋体" w:eastAsia="宋体" w:cs="宋体"/>
                <w:i w:val="0"/>
                <w:iCs w:val="0"/>
                <w:color w:val="000000"/>
                <w:kern w:val="0"/>
                <w:sz w:val="21"/>
                <w:szCs w:val="21"/>
                <w:u w:val="none"/>
                <w:lang w:val="en-US" w:eastAsia="zh-CN" w:bidi="ar"/>
              </w:rPr>
              <w:t>支持按科室隔离数据（临床只看本科室）；职能部门看全院需标记</w:t>
            </w:r>
          </w:p>
        </w:tc>
      </w:tr>
      <w:tr w14:paraId="1C57C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971" w:type="dxa"/>
            <w:vAlign w:val="center"/>
          </w:tcPr>
          <w:p w14:paraId="21C6A84E">
            <w:pPr>
              <w:keepNext w:val="0"/>
              <w:keepLines w:val="0"/>
              <w:widowControl/>
              <w:suppressLineNumbers w:val="0"/>
              <w:adjustRightInd w:val="0"/>
              <w:snapToGrid w:val="0"/>
              <w:spacing w:line="360" w:lineRule="auto"/>
              <w:jc w:val="left"/>
              <w:textAlignment w:val="center"/>
              <w:rPr>
                <w:rFonts w:hint="eastAsia" w:ascii="宋体" w:hAnsi="宋体"/>
                <w:color w:val="auto"/>
                <w:szCs w:val="21"/>
                <w:highlight w:val="none"/>
              </w:rPr>
            </w:pPr>
            <w:r>
              <w:rPr>
                <w:rFonts w:hint="eastAsia" w:ascii="宋体" w:hAnsi="宋体" w:eastAsia="宋体" w:cs="宋体"/>
                <w:i w:val="0"/>
                <w:iCs w:val="0"/>
                <w:color w:val="000000"/>
                <w:kern w:val="0"/>
                <w:sz w:val="21"/>
                <w:szCs w:val="21"/>
                <w:u w:val="none"/>
                <w:lang w:val="en-US" w:eastAsia="zh-CN" w:bidi="ar"/>
              </w:rPr>
              <w:t>FR-009</w:t>
            </w:r>
          </w:p>
        </w:tc>
        <w:tc>
          <w:tcPr>
            <w:tcW w:w="1190" w:type="dxa"/>
            <w:vAlign w:val="center"/>
          </w:tcPr>
          <w:p w14:paraId="7D1E5126">
            <w:pPr>
              <w:keepNext w:val="0"/>
              <w:keepLines w:val="0"/>
              <w:widowControl/>
              <w:suppressLineNumbers w:val="0"/>
              <w:adjustRightInd w:val="0"/>
              <w:snapToGrid w:val="0"/>
              <w:spacing w:line="360" w:lineRule="auto"/>
              <w:jc w:val="left"/>
              <w:textAlignment w:val="center"/>
              <w:rPr>
                <w:rFonts w:hint="eastAsia" w:ascii="宋体" w:hAnsi="宋体" w:cs="宋体"/>
                <w:color w:val="auto"/>
                <w:kern w:val="0"/>
                <w:szCs w:val="21"/>
                <w:highlight w:val="none"/>
              </w:rPr>
            </w:pPr>
            <w:r>
              <w:rPr>
                <w:rFonts w:hint="eastAsia" w:ascii="宋体" w:hAnsi="宋体" w:eastAsia="宋体" w:cs="宋体"/>
                <w:i w:val="0"/>
                <w:iCs w:val="0"/>
                <w:color w:val="000000"/>
                <w:kern w:val="0"/>
                <w:sz w:val="21"/>
                <w:szCs w:val="21"/>
                <w:u w:val="none"/>
                <w:lang w:val="en-US" w:eastAsia="zh-CN" w:bidi="ar"/>
              </w:rPr>
              <w:t>敏感数据分级</w:t>
            </w:r>
          </w:p>
        </w:tc>
        <w:tc>
          <w:tcPr>
            <w:tcW w:w="7638" w:type="dxa"/>
            <w:vAlign w:val="center"/>
          </w:tcPr>
          <w:p w14:paraId="36B91452">
            <w:pPr>
              <w:keepNext w:val="0"/>
              <w:keepLines w:val="0"/>
              <w:widowControl/>
              <w:suppressLineNumbers w:val="0"/>
              <w:adjustRightInd w:val="0"/>
              <w:snapToGrid w:val="0"/>
              <w:spacing w:line="360" w:lineRule="auto"/>
              <w:jc w:val="left"/>
              <w:textAlignment w:val="center"/>
              <w:rPr>
                <w:rFonts w:ascii="宋体" w:hAnsi="宋体" w:cs="宋体"/>
                <w:bCs/>
                <w:color w:val="auto"/>
                <w:szCs w:val="21"/>
                <w:highlight w:val="none"/>
              </w:rPr>
            </w:pPr>
            <w:r>
              <w:rPr>
                <w:rFonts w:hint="eastAsia" w:ascii="宋体" w:hAnsi="宋体" w:eastAsia="宋体" w:cs="宋体"/>
                <w:i w:val="0"/>
                <w:iCs w:val="0"/>
                <w:color w:val="000000"/>
                <w:kern w:val="0"/>
                <w:sz w:val="21"/>
                <w:szCs w:val="21"/>
                <w:u w:val="none"/>
                <w:lang w:val="en-US" w:eastAsia="zh-CN" w:bidi="ar"/>
              </w:rPr>
              <w:t>至少区分普通患者信息和敏感信息（身份证、电话）两级，敏感信息查询额外留痕</w:t>
            </w:r>
          </w:p>
        </w:tc>
      </w:tr>
      <w:tr w14:paraId="3260A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971" w:type="dxa"/>
            <w:vAlign w:val="center"/>
          </w:tcPr>
          <w:p w14:paraId="116CBB53">
            <w:pPr>
              <w:keepNext w:val="0"/>
              <w:keepLines w:val="0"/>
              <w:widowControl/>
              <w:suppressLineNumbers w:val="0"/>
              <w:adjustRightInd w:val="0"/>
              <w:snapToGrid w:val="0"/>
              <w:spacing w:line="360" w:lineRule="auto"/>
              <w:jc w:val="left"/>
              <w:textAlignment w:val="center"/>
              <w:rPr>
                <w:rFonts w:hint="eastAsia" w:ascii="宋体" w:hAnsi="宋体"/>
                <w:color w:val="auto"/>
                <w:szCs w:val="21"/>
                <w:highlight w:val="none"/>
              </w:rPr>
            </w:pPr>
            <w:r>
              <w:rPr>
                <w:rFonts w:hint="eastAsia" w:ascii="宋体" w:hAnsi="宋体" w:eastAsia="宋体" w:cs="宋体"/>
                <w:i w:val="0"/>
                <w:iCs w:val="0"/>
                <w:color w:val="000000"/>
                <w:kern w:val="0"/>
                <w:sz w:val="21"/>
                <w:szCs w:val="21"/>
                <w:u w:val="none"/>
                <w:lang w:val="en-US" w:eastAsia="zh-CN" w:bidi="ar"/>
              </w:rPr>
              <w:t>FR-010</w:t>
            </w:r>
          </w:p>
        </w:tc>
        <w:tc>
          <w:tcPr>
            <w:tcW w:w="1190" w:type="dxa"/>
            <w:vAlign w:val="center"/>
          </w:tcPr>
          <w:p w14:paraId="03A69F6B">
            <w:pPr>
              <w:keepNext w:val="0"/>
              <w:keepLines w:val="0"/>
              <w:widowControl/>
              <w:suppressLineNumbers w:val="0"/>
              <w:adjustRightInd w:val="0"/>
              <w:snapToGrid w:val="0"/>
              <w:spacing w:line="360" w:lineRule="auto"/>
              <w:jc w:val="left"/>
              <w:textAlignment w:val="center"/>
              <w:rPr>
                <w:rFonts w:hint="eastAsia" w:ascii="宋体" w:hAnsi="宋体" w:cs="宋体"/>
                <w:color w:val="auto"/>
                <w:kern w:val="0"/>
                <w:szCs w:val="21"/>
                <w:highlight w:val="none"/>
              </w:rPr>
            </w:pPr>
            <w:r>
              <w:rPr>
                <w:rFonts w:hint="eastAsia" w:ascii="宋体" w:hAnsi="宋体" w:eastAsia="宋体" w:cs="宋体"/>
                <w:i w:val="0"/>
                <w:iCs w:val="0"/>
                <w:color w:val="000000"/>
                <w:kern w:val="0"/>
                <w:sz w:val="21"/>
                <w:szCs w:val="21"/>
                <w:u w:val="none"/>
                <w:lang w:val="en-US" w:eastAsia="zh-CN" w:bidi="ar"/>
              </w:rPr>
              <w:t>导出审批</w:t>
            </w:r>
          </w:p>
        </w:tc>
        <w:tc>
          <w:tcPr>
            <w:tcW w:w="7638" w:type="dxa"/>
            <w:vAlign w:val="center"/>
          </w:tcPr>
          <w:p w14:paraId="576E0436">
            <w:pPr>
              <w:keepNext w:val="0"/>
              <w:keepLines w:val="0"/>
              <w:widowControl/>
              <w:suppressLineNumbers w:val="0"/>
              <w:adjustRightInd w:val="0"/>
              <w:snapToGrid w:val="0"/>
              <w:spacing w:line="360" w:lineRule="auto"/>
              <w:jc w:val="left"/>
              <w:textAlignment w:val="center"/>
              <w:rPr>
                <w:rFonts w:ascii="宋体" w:hAnsi="宋体" w:cs="宋体"/>
                <w:bCs/>
                <w:color w:val="auto"/>
                <w:szCs w:val="21"/>
                <w:highlight w:val="none"/>
              </w:rPr>
            </w:pPr>
            <w:r>
              <w:rPr>
                <w:rFonts w:hint="eastAsia" w:ascii="宋体" w:hAnsi="宋体" w:eastAsia="宋体" w:cs="宋体"/>
                <w:i w:val="0"/>
                <w:iCs w:val="0"/>
                <w:color w:val="000000"/>
                <w:kern w:val="0"/>
                <w:sz w:val="21"/>
                <w:szCs w:val="21"/>
                <w:u w:val="none"/>
                <w:lang w:val="en-US" w:eastAsia="zh-CN" w:bidi="ar"/>
              </w:rPr>
              <w:t>系统记录导出原因文本字段；对接OA为加分项不做硬性要求</w:t>
            </w:r>
          </w:p>
        </w:tc>
      </w:tr>
      <w:tr w14:paraId="72664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971" w:type="dxa"/>
            <w:vAlign w:val="center"/>
          </w:tcPr>
          <w:p w14:paraId="622426BE">
            <w:pPr>
              <w:keepNext w:val="0"/>
              <w:keepLines w:val="0"/>
              <w:widowControl/>
              <w:suppressLineNumbers w:val="0"/>
              <w:adjustRightInd w:val="0"/>
              <w:snapToGrid w:val="0"/>
              <w:spacing w:line="360" w:lineRule="auto"/>
              <w:jc w:val="left"/>
              <w:textAlignment w:val="center"/>
              <w:rPr>
                <w:rFonts w:hint="eastAsia" w:ascii="宋体" w:hAnsi="宋体"/>
                <w:color w:val="auto"/>
                <w:szCs w:val="21"/>
                <w:highlight w:val="none"/>
              </w:rPr>
            </w:pPr>
            <w:r>
              <w:rPr>
                <w:rFonts w:hint="eastAsia" w:ascii="宋体" w:hAnsi="宋体" w:eastAsia="宋体" w:cs="宋体"/>
                <w:i w:val="0"/>
                <w:iCs w:val="0"/>
                <w:color w:val="000000"/>
                <w:kern w:val="0"/>
                <w:sz w:val="21"/>
                <w:szCs w:val="21"/>
                <w:u w:val="none"/>
                <w:lang w:val="en-US" w:eastAsia="zh-CN" w:bidi="ar"/>
              </w:rPr>
              <w:t>FR-011</w:t>
            </w:r>
          </w:p>
        </w:tc>
        <w:tc>
          <w:tcPr>
            <w:tcW w:w="1190" w:type="dxa"/>
            <w:vAlign w:val="center"/>
          </w:tcPr>
          <w:p w14:paraId="44D5A026">
            <w:pPr>
              <w:keepNext w:val="0"/>
              <w:keepLines w:val="0"/>
              <w:widowControl/>
              <w:suppressLineNumbers w:val="0"/>
              <w:adjustRightInd w:val="0"/>
              <w:snapToGrid w:val="0"/>
              <w:spacing w:line="360" w:lineRule="auto"/>
              <w:jc w:val="left"/>
              <w:textAlignment w:val="center"/>
              <w:rPr>
                <w:rFonts w:hint="eastAsia" w:ascii="宋体" w:hAnsi="宋体" w:cs="宋体"/>
                <w:color w:val="auto"/>
                <w:kern w:val="0"/>
                <w:szCs w:val="21"/>
                <w:highlight w:val="none"/>
              </w:rPr>
            </w:pPr>
            <w:r>
              <w:rPr>
                <w:rFonts w:hint="eastAsia" w:ascii="宋体" w:hAnsi="宋体" w:eastAsia="宋体" w:cs="宋体"/>
                <w:i w:val="0"/>
                <w:iCs w:val="0"/>
                <w:color w:val="000000"/>
                <w:kern w:val="0"/>
                <w:sz w:val="21"/>
                <w:szCs w:val="21"/>
                <w:u w:val="none"/>
                <w:lang w:val="en-US" w:eastAsia="zh-CN" w:bidi="ar"/>
              </w:rPr>
              <w:t>文件水印</w:t>
            </w:r>
          </w:p>
        </w:tc>
        <w:tc>
          <w:tcPr>
            <w:tcW w:w="7638" w:type="dxa"/>
            <w:vAlign w:val="center"/>
          </w:tcPr>
          <w:p w14:paraId="3BF9888F">
            <w:pPr>
              <w:keepNext w:val="0"/>
              <w:keepLines w:val="0"/>
              <w:widowControl/>
              <w:suppressLineNumbers w:val="0"/>
              <w:adjustRightInd w:val="0"/>
              <w:snapToGrid w:val="0"/>
              <w:spacing w:line="360" w:lineRule="auto"/>
              <w:jc w:val="left"/>
              <w:textAlignment w:val="center"/>
              <w:rPr>
                <w:rFonts w:ascii="宋体" w:hAnsi="宋体" w:cs="宋体"/>
                <w:bCs/>
                <w:color w:val="auto"/>
                <w:szCs w:val="21"/>
                <w:highlight w:val="none"/>
              </w:rPr>
            </w:pPr>
            <w:r>
              <w:rPr>
                <w:rFonts w:hint="eastAsia" w:ascii="宋体" w:hAnsi="宋体" w:eastAsia="宋体" w:cs="宋体"/>
                <w:i w:val="0"/>
                <w:iCs w:val="0"/>
                <w:color w:val="000000"/>
                <w:kern w:val="0"/>
                <w:sz w:val="21"/>
                <w:szCs w:val="21"/>
                <w:u w:val="none"/>
                <w:lang w:val="en-US" w:eastAsia="zh-CN" w:bidi="ar"/>
              </w:rPr>
              <w:t>导出PDF/Excel自动加水印（人名+时间）；加密存储为加分项</w:t>
            </w:r>
          </w:p>
        </w:tc>
      </w:tr>
      <w:tr w14:paraId="10C7D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971" w:type="dxa"/>
            <w:vAlign w:val="center"/>
          </w:tcPr>
          <w:p w14:paraId="47C4CE13">
            <w:pPr>
              <w:keepNext w:val="0"/>
              <w:keepLines w:val="0"/>
              <w:widowControl/>
              <w:suppressLineNumbers w:val="0"/>
              <w:adjustRightInd w:val="0"/>
              <w:snapToGrid w:val="0"/>
              <w:spacing w:line="360" w:lineRule="auto"/>
              <w:jc w:val="left"/>
              <w:textAlignment w:val="center"/>
              <w:rPr>
                <w:rFonts w:hint="eastAsia" w:ascii="宋体" w:hAnsi="宋体"/>
                <w:color w:val="auto"/>
                <w:szCs w:val="21"/>
                <w:highlight w:val="none"/>
              </w:rPr>
            </w:pPr>
            <w:r>
              <w:rPr>
                <w:rFonts w:hint="eastAsia" w:ascii="宋体" w:hAnsi="宋体" w:eastAsia="宋体" w:cs="宋体"/>
                <w:i w:val="0"/>
                <w:iCs w:val="0"/>
                <w:color w:val="000000"/>
                <w:kern w:val="0"/>
                <w:sz w:val="21"/>
                <w:szCs w:val="21"/>
                <w:u w:val="none"/>
                <w:lang w:val="en-US" w:eastAsia="zh-CN" w:bidi="ar"/>
              </w:rPr>
              <w:t>FR-012</w:t>
            </w:r>
          </w:p>
        </w:tc>
        <w:tc>
          <w:tcPr>
            <w:tcW w:w="1190" w:type="dxa"/>
            <w:vAlign w:val="center"/>
          </w:tcPr>
          <w:p w14:paraId="39602633">
            <w:pPr>
              <w:keepNext w:val="0"/>
              <w:keepLines w:val="0"/>
              <w:widowControl/>
              <w:suppressLineNumbers w:val="0"/>
              <w:adjustRightInd w:val="0"/>
              <w:snapToGrid w:val="0"/>
              <w:spacing w:line="360" w:lineRule="auto"/>
              <w:jc w:val="left"/>
              <w:textAlignment w:val="center"/>
              <w:rPr>
                <w:rFonts w:hint="eastAsia" w:ascii="宋体" w:hAnsi="宋体" w:cs="宋体"/>
                <w:color w:val="auto"/>
                <w:kern w:val="0"/>
                <w:szCs w:val="21"/>
                <w:highlight w:val="none"/>
              </w:rPr>
            </w:pPr>
            <w:r>
              <w:rPr>
                <w:rFonts w:hint="eastAsia" w:ascii="宋体" w:hAnsi="宋体" w:eastAsia="宋体" w:cs="宋体"/>
                <w:i w:val="0"/>
                <w:iCs w:val="0"/>
                <w:color w:val="000000"/>
                <w:kern w:val="0"/>
                <w:sz w:val="21"/>
                <w:szCs w:val="21"/>
                <w:u w:val="none"/>
                <w:lang w:val="en-US" w:eastAsia="zh-CN" w:bidi="ar"/>
              </w:rPr>
              <w:t>外网上报接口</w:t>
            </w:r>
          </w:p>
        </w:tc>
        <w:tc>
          <w:tcPr>
            <w:tcW w:w="7638" w:type="dxa"/>
            <w:vAlign w:val="center"/>
          </w:tcPr>
          <w:p w14:paraId="04E1AE49">
            <w:pPr>
              <w:keepNext w:val="0"/>
              <w:keepLines w:val="0"/>
              <w:widowControl/>
              <w:suppressLineNumbers w:val="0"/>
              <w:adjustRightInd w:val="0"/>
              <w:snapToGrid w:val="0"/>
              <w:spacing w:line="360" w:lineRule="auto"/>
              <w:jc w:val="left"/>
              <w:textAlignment w:val="center"/>
              <w:rPr>
                <w:rFonts w:ascii="宋体" w:hAnsi="宋体" w:cs="宋体"/>
                <w:bCs/>
                <w:color w:val="auto"/>
                <w:szCs w:val="21"/>
                <w:highlight w:val="none"/>
              </w:rPr>
            </w:pPr>
            <w:r>
              <w:rPr>
                <w:rFonts w:hint="eastAsia" w:ascii="宋体" w:hAnsi="宋体" w:eastAsia="宋体" w:cs="宋体"/>
                <w:i w:val="0"/>
                <w:iCs w:val="0"/>
                <w:color w:val="000000"/>
                <w:kern w:val="0"/>
                <w:sz w:val="21"/>
                <w:szCs w:val="21"/>
                <w:u w:val="none"/>
                <w:lang w:val="en-US" w:eastAsia="zh-CN" w:bidi="ar"/>
              </w:rPr>
              <w:t>提供数据导出标准格式（CSV/Excel）；</w:t>
            </w:r>
          </w:p>
        </w:tc>
      </w:tr>
      <w:tr w14:paraId="09473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971" w:type="dxa"/>
            <w:vAlign w:val="center"/>
          </w:tcPr>
          <w:p w14:paraId="3C6C7482">
            <w:pPr>
              <w:keepNext w:val="0"/>
              <w:keepLines w:val="0"/>
              <w:widowControl/>
              <w:suppressLineNumbers w:val="0"/>
              <w:adjustRightInd w:val="0"/>
              <w:snapToGrid w:val="0"/>
              <w:spacing w:line="360" w:lineRule="auto"/>
              <w:jc w:val="left"/>
              <w:textAlignment w:val="center"/>
              <w:rPr>
                <w:rFonts w:hint="eastAsia" w:ascii="宋体" w:hAnsi="宋体"/>
                <w:color w:val="auto"/>
                <w:szCs w:val="21"/>
                <w:highlight w:val="none"/>
              </w:rPr>
            </w:pPr>
            <w:r>
              <w:rPr>
                <w:rFonts w:hint="eastAsia" w:ascii="宋体" w:hAnsi="宋体" w:eastAsia="宋体" w:cs="宋体"/>
                <w:i w:val="0"/>
                <w:iCs w:val="0"/>
                <w:color w:val="000000"/>
                <w:kern w:val="0"/>
                <w:sz w:val="21"/>
                <w:szCs w:val="21"/>
                <w:u w:val="none"/>
                <w:lang w:val="en-US" w:eastAsia="zh-CN" w:bidi="ar"/>
              </w:rPr>
              <w:t>FR-013</w:t>
            </w:r>
          </w:p>
        </w:tc>
        <w:tc>
          <w:tcPr>
            <w:tcW w:w="1190" w:type="dxa"/>
            <w:vAlign w:val="center"/>
          </w:tcPr>
          <w:p w14:paraId="49D18D55">
            <w:pPr>
              <w:keepNext w:val="0"/>
              <w:keepLines w:val="0"/>
              <w:widowControl/>
              <w:suppressLineNumbers w:val="0"/>
              <w:adjustRightInd w:val="0"/>
              <w:snapToGrid w:val="0"/>
              <w:spacing w:line="360" w:lineRule="auto"/>
              <w:jc w:val="left"/>
              <w:textAlignment w:val="center"/>
              <w:rPr>
                <w:rFonts w:hint="eastAsia" w:ascii="宋体" w:hAnsi="宋体" w:cs="宋体"/>
                <w:color w:val="auto"/>
                <w:kern w:val="0"/>
                <w:szCs w:val="21"/>
                <w:highlight w:val="none"/>
              </w:rPr>
            </w:pPr>
            <w:r>
              <w:rPr>
                <w:rFonts w:hint="eastAsia" w:ascii="宋体" w:hAnsi="宋体" w:eastAsia="宋体" w:cs="宋体"/>
                <w:i w:val="0"/>
                <w:iCs w:val="0"/>
                <w:color w:val="000000"/>
                <w:kern w:val="0"/>
                <w:sz w:val="21"/>
                <w:szCs w:val="21"/>
                <w:u w:val="none"/>
                <w:lang w:val="en-US" w:eastAsia="zh-CN" w:bidi="ar"/>
              </w:rPr>
              <w:t>应急排障模块</w:t>
            </w:r>
          </w:p>
        </w:tc>
        <w:tc>
          <w:tcPr>
            <w:tcW w:w="7638" w:type="dxa"/>
            <w:vAlign w:val="center"/>
          </w:tcPr>
          <w:p w14:paraId="4CBA66D5">
            <w:pPr>
              <w:keepNext w:val="0"/>
              <w:keepLines w:val="0"/>
              <w:widowControl/>
              <w:suppressLineNumbers w:val="0"/>
              <w:adjustRightInd w:val="0"/>
              <w:snapToGrid w:val="0"/>
              <w:spacing w:line="360" w:lineRule="auto"/>
              <w:jc w:val="left"/>
              <w:textAlignment w:val="center"/>
              <w:rPr>
                <w:rFonts w:ascii="宋体" w:hAnsi="宋体" w:cs="宋体"/>
                <w:bCs/>
                <w:color w:val="auto"/>
                <w:szCs w:val="21"/>
                <w:highlight w:val="none"/>
              </w:rPr>
            </w:pPr>
            <w:r>
              <w:rPr>
                <w:rFonts w:hint="eastAsia" w:ascii="宋体" w:hAnsi="宋体" w:eastAsia="宋体" w:cs="宋体"/>
                <w:i w:val="0"/>
                <w:iCs w:val="0"/>
                <w:color w:val="000000"/>
                <w:kern w:val="0"/>
                <w:sz w:val="21"/>
                <w:szCs w:val="21"/>
                <w:u w:val="none"/>
                <w:lang w:val="en-US" w:eastAsia="zh-CN" w:bidi="ar"/>
              </w:rPr>
              <w:t>不要求专用模块，但须满足：1.正式环境操作须审批留痕 2.操作前可一键备份 3.操作记录可查</w:t>
            </w:r>
          </w:p>
        </w:tc>
      </w:tr>
      <w:tr w14:paraId="1DA27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971" w:type="dxa"/>
            <w:vAlign w:val="center"/>
          </w:tcPr>
          <w:p w14:paraId="23FD1AE1">
            <w:pPr>
              <w:keepNext w:val="0"/>
              <w:keepLines w:val="0"/>
              <w:widowControl/>
              <w:suppressLineNumbers w:val="0"/>
              <w:adjustRightInd w:val="0"/>
              <w:snapToGrid w:val="0"/>
              <w:spacing w:line="360" w:lineRule="auto"/>
              <w:jc w:val="left"/>
              <w:textAlignment w:val="center"/>
              <w:rPr>
                <w:rFonts w:hint="eastAsia" w:ascii="宋体" w:hAnsi="宋体"/>
                <w:color w:val="auto"/>
                <w:szCs w:val="21"/>
                <w:highlight w:val="none"/>
              </w:rPr>
            </w:pPr>
            <w:r>
              <w:rPr>
                <w:rFonts w:hint="eastAsia" w:ascii="宋体" w:hAnsi="宋体" w:eastAsia="宋体" w:cs="宋体"/>
                <w:i w:val="0"/>
                <w:iCs w:val="0"/>
                <w:color w:val="000000"/>
                <w:kern w:val="0"/>
                <w:sz w:val="21"/>
                <w:szCs w:val="21"/>
                <w:u w:val="none"/>
                <w:lang w:val="en-US" w:eastAsia="zh-CN" w:bidi="ar"/>
              </w:rPr>
              <w:t>FR-014</w:t>
            </w:r>
          </w:p>
        </w:tc>
        <w:tc>
          <w:tcPr>
            <w:tcW w:w="1190" w:type="dxa"/>
            <w:vAlign w:val="center"/>
          </w:tcPr>
          <w:p w14:paraId="0DCF81EF">
            <w:pPr>
              <w:keepNext w:val="0"/>
              <w:keepLines w:val="0"/>
              <w:widowControl/>
              <w:suppressLineNumbers w:val="0"/>
              <w:adjustRightInd w:val="0"/>
              <w:snapToGrid w:val="0"/>
              <w:spacing w:line="360" w:lineRule="auto"/>
              <w:jc w:val="left"/>
              <w:textAlignment w:val="center"/>
              <w:rPr>
                <w:rFonts w:hint="eastAsia" w:ascii="宋体" w:hAnsi="宋体" w:cs="宋体"/>
                <w:color w:val="auto"/>
                <w:kern w:val="0"/>
                <w:szCs w:val="21"/>
                <w:highlight w:val="none"/>
              </w:rPr>
            </w:pPr>
            <w:r>
              <w:rPr>
                <w:rFonts w:hint="eastAsia" w:ascii="宋体" w:hAnsi="宋体" w:eastAsia="宋体" w:cs="宋体"/>
                <w:i w:val="0"/>
                <w:iCs w:val="0"/>
                <w:color w:val="000000"/>
                <w:kern w:val="0"/>
                <w:sz w:val="21"/>
                <w:szCs w:val="21"/>
                <w:u w:val="none"/>
                <w:lang w:val="en-US" w:eastAsia="zh-CN" w:bidi="ar"/>
              </w:rPr>
              <w:t>排障留痕</w:t>
            </w:r>
          </w:p>
        </w:tc>
        <w:tc>
          <w:tcPr>
            <w:tcW w:w="7638" w:type="dxa"/>
            <w:vAlign w:val="center"/>
          </w:tcPr>
          <w:p w14:paraId="1E9F5D17">
            <w:pPr>
              <w:keepNext w:val="0"/>
              <w:keepLines w:val="0"/>
              <w:widowControl/>
              <w:suppressLineNumbers w:val="0"/>
              <w:adjustRightInd w:val="0"/>
              <w:snapToGrid w:val="0"/>
              <w:spacing w:line="360" w:lineRule="auto"/>
              <w:jc w:val="left"/>
              <w:textAlignment w:val="center"/>
              <w:rPr>
                <w:rFonts w:ascii="宋体" w:hAnsi="宋体" w:cs="宋体"/>
                <w:bCs/>
                <w:color w:val="auto"/>
                <w:szCs w:val="21"/>
                <w:highlight w:val="none"/>
              </w:rPr>
            </w:pPr>
            <w:r>
              <w:rPr>
                <w:rFonts w:hint="eastAsia" w:ascii="宋体" w:hAnsi="宋体" w:eastAsia="宋体" w:cs="宋体"/>
                <w:i w:val="0"/>
                <w:iCs w:val="0"/>
                <w:color w:val="000000"/>
                <w:kern w:val="0"/>
                <w:sz w:val="21"/>
                <w:szCs w:val="21"/>
                <w:u w:val="none"/>
                <w:lang w:val="en-US" w:eastAsia="zh-CN" w:bidi="ar"/>
              </w:rPr>
              <w:t>谁在正式环境执行了SQL/修改了数据，必须记录</w:t>
            </w:r>
          </w:p>
        </w:tc>
      </w:tr>
      <w:tr w14:paraId="3C1D3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971" w:type="dxa"/>
            <w:vAlign w:val="center"/>
          </w:tcPr>
          <w:p w14:paraId="79840EE9">
            <w:pPr>
              <w:keepNext w:val="0"/>
              <w:keepLines w:val="0"/>
              <w:widowControl/>
              <w:suppressLineNumbers w:val="0"/>
              <w:adjustRightInd w:val="0"/>
              <w:snapToGrid w:val="0"/>
              <w:spacing w:line="360" w:lineRule="auto"/>
              <w:jc w:val="left"/>
              <w:textAlignment w:val="center"/>
              <w:rPr>
                <w:rFonts w:hint="eastAsia" w:ascii="宋体" w:hAnsi="宋体"/>
                <w:color w:val="auto"/>
                <w:szCs w:val="21"/>
                <w:highlight w:val="none"/>
              </w:rPr>
            </w:pPr>
            <w:r>
              <w:rPr>
                <w:rFonts w:hint="eastAsia" w:ascii="宋体" w:hAnsi="宋体" w:eastAsia="宋体" w:cs="宋体"/>
                <w:i w:val="0"/>
                <w:iCs w:val="0"/>
                <w:color w:val="000000"/>
                <w:kern w:val="0"/>
                <w:sz w:val="21"/>
                <w:szCs w:val="21"/>
                <w:u w:val="none"/>
                <w:lang w:val="en-US" w:eastAsia="zh-CN" w:bidi="ar"/>
              </w:rPr>
              <w:t>NFR-001</w:t>
            </w:r>
          </w:p>
        </w:tc>
        <w:tc>
          <w:tcPr>
            <w:tcW w:w="1190" w:type="dxa"/>
            <w:vAlign w:val="center"/>
          </w:tcPr>
          <w:p w14:paraId="0721A483">
            <w:pPr>
              <w:keepNext w:val="0"/>
              <w:keepLines w:val="0"/>
              <w:widowControl/>
              <w:suppressLineNumbers w:val="0"/>
              <w:adjustRightInd w:val="0"/>
              <w:snapToGrid w:val="0"/>
              <w:spacing w:line="360" w:lineRule="auto"/>
              <w:jc w:val="left"/>
              <w:textAlignment w:val="center"/>
              <w:rPr>
                <w:rFonts w:hint="eastAsia" w:ascii="宋体" w:hAnsi="宋体" w:cs="宋体"/>
                <w:color w:val="auto"/>
                <w:kern w:val="0"/>
                <w:szCs w:val="21"/>
                <w:highlight w:val="none"/>
              </w:rPr>
            </w:pPr>
            <w:r>
              <w:rPr>
                <w:rFonts w:hint="eastAsia" w:ascii="宋体" w:hAnsi="宋体" w:eastAsia="宋体" w:cs="宋体"/>
                <w:i w:val="0"/>
                <w:iCs w:val="0"/>
                <w:color w:val="000000"/>
                <w:kern w:val="0"/>
                <w:sz w:val="21"/>
                <w:szCs w:val="21"/>
                <w:u w:val="none"/>
                <w:lang w:val="en-US" w:eastAsia="zh-CN" w:bidi="ar"/>
              </w:rPr>
              <w:t>账号存储</w:t>
            </w:r>
          </w:p>
        </w:tc>
        <w:tc>
          <w:tcPr>
            <w:tcW w:w="7638" w:type="dxa"/>
            <w:vAlign w:val="center"/>
          </w:tcPr>
          <w:p w14:paraId="54DCFDCC">
            <w:pPr>
              <w:keepNext w:val="0"/>
              <w:keepLines w:val="0"/>
              <w:widowControl/>
              <w:suppressLineNumbers w:val="0"/>
              <w:adjustRightInd w:val="0"/>
              <w:snapToGrid w:val="0"/>
              <w:spacing w:line="360" w:lineRule="auto"/>
              <w:jc w:val="left"/>
              <w:textAlignment w:val="center"/>
              <w:rPr>
                <w:rFonts w:ascii="宋体" w:hAnsi="宋体" w:cs="宋体"/>
                <w:bCs/>
                <w:color w:val="auto"/>
                <w:szCs w:val="21"/>
                <w:highlight w:val="none"/>
              </w:rPr>
            </w:pPr>
            <w:r>
              <w:rPr>
                <w:rFonts w:hint="eastAsia" w:ascii="宋体" w:hAnsi="宋体" w:eastAsia="宋体" w:cs="宋体"/>
                <w:i w:val="0"/>
                <w:iCs w:val="0"/>
                <w:color w:val="000000"/>
                <w:kern w:val="0"/>
                <w:sz w:val="21"/>
                <w:szCs w:val="21"/>
                <w:u w:val="none"/>
                <w:lang w:val="en-US" w:eastAsia="zh-CN" w:bidi="ar"/>
              </w:rPr>
              <w:t>配置文件中的密码须加密</w:t>
            </w:r>
          </w:p>
        </w:tc>
      </w:tr>
      <w:tr w14:paraId="7C422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971" w:type="dxa"/>
            <w:vAlign w:val="center"/>
          </w:tcPr>
          <w:p w14:paraId="7F7F782B">
            <w:pPr>
              <w:keepNext w:val="0"/>
              <w:keepLines w:val="0"/>
              <w:widowControl/>
              <w:suppressLineNumbers w:val="0"/>
              <w:adjustRightInd w:val="0"/>
              <w:snapToGrid w:val="0"/>
              <w:spacing w:line="360" w:lineRule="auto"/>
              <w:jc w:val="left"/>
              <w:textAlignment w:val="center"/>
              <w:rPr>
                <w:rFonts w:hint="eastAsia" w:ascii="宋体" w:hAnsi="宋体"/>
                <w:color w:val="auto"/>
                <w:szCs w:val="21"/>
                <w:highlight w:val="none"/>
              </w:rPr>
            </w:pPr>
            <w:r>
              <w:rPr>
                <w:rFonts w:hint="eastAsia" w:ascii="宋体" w:hAnsi="宋体" w:eastAsia="宋体" w:cs="宋体"/>
                <w:i w:val="0"/>
                <w:iCs w:val="0"/>
                <w:color w:val="000000"/>
                <w:kern w:val="0"/>
                <w:sz w:val="21"/>
                <w:szCs w:val="21"/>
                <w:u w:val="none"/>
                <w:lang w:val="en-US" w:eastAsia="zh-CN" w:bidi="ar"/>
              </w:rPr>
              <w:t>NFR-002</w:t>
            </w:r>
          </w:p>
        </w:tc>
        <w:tc>
          <w:tcPr>
            <w:tcW w:w="1190" w:type="dxa"/>
            <w:vAlign w:val="center"/>
          </w:tcPr>
          <w:p w14:paraId="5ED89921">
            <w:pPr>
              <w:keepNext w:val="0"/>
              <w:keepLines w:val="0"/>
              <w:widowControl/>
              <w:suppressLineNumbers w:val="0"/>
              <w:adjustRightInd w:val="0"/>
              <w:snapToGrid w:val="0"/>
              <w:spacing w:line="360" w:lineRule="auto"/>
              <w:jc w:val="left"/>
              <w:textAlignment w:val="center"/>
              <w:rPr>
                <w:rFonts w:hint="eastAsia" w:ascii="宋体" w:hAnsi="宋体" w:cs="宋体"/>
                <w:color w:val="auto"/>
                <w:kern w:val="0"/>
                <w:szCs w:val="21"/>
                <w:highlight w:val="none"/>
              </w:rPr>
            </w:pPr>
            <w:r>
              <w:rPr>
                <w:rFonts w:hint="eastAsia" w:ascii="宋体" w:hAnsi="宋体" w:eastAsia="宋体" w:cs="宋体"/>
                <w:i w:val="0"/>
                <w:iCs w:val="0"/>
                <w:color w:val="000000"/>
                <w:kern w:val="0"/>
                <w:sz w:val="21"/>
                <w:szCs w:val="21"/>
                <w:u w:val="none"/>
                <w:lang w:val="en-US" w:eastAsia="zh-CN" w:bidi="ar"/>
              </w:rPr>
              <w:t>账号不可见</w:t>
            </w:r>
          </w:p>
        </w:tc>
        <w:tc>
          <w:tcPr>
            <w:tcW w:w="7638" w:type="dxa"/>
            <w:vAlign w:val="center"/>
          </w:tcPr>
          <w:p w14:paraId="57B696CA">
            <w:pPr>
              <w:keepNext w:val="0"/>
              <w:keepLines w:val="0"/>
              <w:widowControl/>
              <w:suppressLineNumbers w:val="0"/>
              <w:adjustRightInd w:val="0"/>
              <w:snapToGrid w:val="0"/>
              <w:spacing w:line="360" w:lineRule="auto"/>
              <w:jc w:val="left"/>
              <w:textAlignment w:val="center"/>
              <w:rPr>
                <w:rFonts w:ascii="宋体" w:hAnsi="宋体" w:cs="宋体"/>
                <w:bCs/>
                <w:color w:val="auto"/>
                <w:szCs w:val="21"/>
                <w:highlight w:val="none"/>
              </w:rPr>
            </w:pPr>
            <w:r>
              <w:rPr>
                <w:rFonts w:hint="eastAsia" w:ascii="宋体" w:hAnsi="宋体" w:eastAsia="宋体" w:cs="宋体"/>
                <w:i w:val="0"/>
                <w:iCs w:val="0"/>
                <w:color w:val="000000"/>
                <w:kern w:val="0"/>
                <w:sz w:val="21"/>
                <w:szCs w:val="21"/>
                <w:u w:val="none"/>
                <w:lang w:val="en-US" w:eastAsia="zh-CN" w:bidi="ar"/>
              </w:rPr>
              <w:t>前端界面、日志中不得明文显示密码；调试模式下也须隐藏</w:t>
            </w:r>
          </w:p>
        </w:tc>
      </w:tr>
      <w:tr w14:paraId="62BA8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971" w:type="dxa"/>
            <w:vAlign w:val="center"/>
          </w:tcPr>
          <w:p w14:paraId="6C2A6EF4">
            <w:pPr>
              <w:keepNext w:val="0"/>
              <w:keepLines w:val="0"/>
              <w:widowControl/>
              <w:suppressLineNumbers w:val="0"/>
              <w:adjustRightInd w:val="0"/>
              <w:snapToGrid w:val="0"/>
              <w:spacing w:line="360" w:lineRule="auto"/>
              <w:jc w:val="left"/>
              <w:textAlignment w:val="center"/>
              <w:rPr>
                <w:rFonts w:hint="eastAsia" w:ascii="宋体" w:hAnsi="宋体"/>
                <w:color w:val="auto"/>
                <w:szCs w:val="21"/>
                <w:highlight w:val="none"/>
              </w:rPr>
            </w:pPr>
            <w:r>
              <w:rPr>
                <w:rFonts w:hint="eastAsia" w:ascii="宋体" w:hAnsi="宋体" w:eastAsia="宋体" w:cs="宋体"/>
                <w:i w:val="0"/>
                <w:iCs w:val="0"/>
                <w:color w:val="000000"/>
                <w:kern w:val="0"/>
                <w:sz w:val="21"/>
                <w:szCs w:val="21"/>
                <w:u w:val="none"/>
                <w:lang w:val="en-US" w:eastAsia="zh-CN" w:bidi="ar"/>
              </w:rPr>
              <w:t>NFR-003</w:t>
            </w:r>
          </w:p>
        </w:tc>
        <w:tc>
          <w:tcPr>
            <w:tcW w:w="1190" w:type="dxa"/>
            <w:vAlign w:val="center"/>
          </w:tcPr>
          <w:p w14:paraId="1D381534">
            <w:pPr>
              <w:keepNext w:val="0"/>
              <w:keepLines w:val="0"/>
              <w:widowControl/>
              <w:suppressLineNumbers w:val="0"/>
              <w:adjustRightInd w:val="0"/>
              <w:snapToGrid w:val="0"/>
              <w:spacing w:line="360" w:lineRule="auto"/>
              <w:jc w:val="left"/>
              <w:textAlignment w:val="center"/>
              <w:rPr>
                <w:rFonts w:hint="eastAsia" w:ascii="宋体" w:hAnsi="宋体" w:cs="宋体"/>
                <w:color w:val="auto"/>
                <w:kern w:val="0"/>
                <w:szCs w:val="21"/>
                <w:highlight w:val="none"/>
              </w:rPr>
            </w:pPr>
            <w:r>
              <w:rPr>
                <w:rFonts w:hint="eastAsia" w:ascii="宋体" w:hAnsi="宋体" w:eastAsia="宋体" w:cs="宋体"/>
                <w:i w:val="0"/>
                <w:iCs w:val="0"/>
                <w:color w:val="000000"/>
                <w:kern w:val="0"/>
                <w:sz w:val="21"/>
                <w:szCs w:val="21"/>
                <w:u w:val="none"/>
                <w:lang w:val="en-US" w:eastAsia="zh-CN" w:bidi="ar"/>
              </w:rPr>
              <w:t>环境隔离</w:t>
            </w:r>
          </w:p>
        </w:tc>
        <w:tc>
          <w:tcPr>
            <w:tcW w:w="7638" w:type="dxa"/>
            <w:vAlign w:val="center"/>
          </w:tcPr>
          <w:p w14:paraId="1D1B70A6">
            <w:pPr>
              <w:keepNext w:val="0"/>
              <w:keepLines w:val="0"/>
              <w:widowControl/>
              <w:suppressLineNumbers w:val="0"/>
              <w:adjustRightInd w:val="0"/>
              <w:snapToGrid w:val="0"/>
              <w:spacing w:line="360" w:lineRule="auto"/>
              <w:jc w:val="left"/>
              <w:textAlignment w:val="center"/>
              <w:rPr>
                <w:rFonts w:ascii="宋体" w:hAnsi="宋体" w:cs="宋体"/>
                <w:bCs/>
                <w:color w:val="auto"/>
                <w:szCs w:val="21"/>
                <w:highlight w:val="none"/>
              </w:rPr>
            </w:pPr>
            <w:r>
              <w:rPr>
                <w:rFonts w:hint="eastAsia" w:ascii="宋体" w:hAnsi="宋体" w:eastAsia="宋体" w:cs="宋体"/>
                <w:i w:val="0"/>
                <w:iCs w:val="0"/>
                <w:color w:val="000000"/>
                <w:kern w:val="0"/>
                <w:sz w:val="21"/>
                <w:szCs w:val="21"/>
                <w:u w:val="none"/>
                <w:lang w:val="en-US" w:eastAsia="zh-CN" w:bidi="ar"/>
              </w:rPr>
              <w:t>生产、测试使用不同账号，密码不同即可，不强求完全独立账号体系</w:t>
            </w:r>
          </w:p>
        </w:tc>
      </w:tr>
      <w:tr w14:paraId="03F73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971" w:type="dxa"/>
            <w:vAlign w:val="center"/>
          </w:tcPr>
          <w:p w14:paraId="290F95AF">
            <w:pPr>
              <w:keepNext w:val="0"/>
              <w:keepLines w:val="0"/>
              <w:widowControl/>
              <w:suppressLineNumbers w:val="0"/>
              <w:adjustRightInd w:val="0"/>
              <w:snapToGrid w:val="0"/>
              <w:spacing w:line="360" w:lineRule="auto"/>
              <w:jc w:val="left"/>
              <w:textAlignment w:val="center"/>
              <w:rPr>
                <w:rFonts w:hint="eastAsia" w:ascii="宋体" w:hAnsi="宋体"/>
                <w:color w:val="auto"/>
                <w:szCs w:val="21"/>
                <w:highlight w:val="none"/>
              </w:rPr>
            </w:pPr>
            <w:r>
              <w:rPr>
                <w:rFonts w:hint="eastAsia" w:ascii="宋体" w:hAnsi="宋体" w:eastAsia="宋体" w:cs="宋体"/>
                <w:i w:val="0"/>
                <w:iCs w:val="0"/>
                <w:color w:val="000000"/>
                <w:kern w:val="0"/>
                <w:sz w:val="21"/>
                <w:szCs w:val="21"/>
                <w:u w:val="none"/>
                <w:lang w:val="en-US" w:eastAsia="zh-CN" w:bidi="ar"/>
              </w:rPr>
              <w:t>NFR-004</w:t>
            </w:r>
          </w:p>
        </w:tc>
        <w:tc>
          <w:tcPr>
            <w:tcW w:w="1190" w:type="dxa"/>
            <w:vAlign w:val="center"/>
          </w:tcPr>
          <w:p w14:paraId="26CAB8A4">
            <w:pPr>
              <w:keepNext w:val="0"/>
              <w:keepLines w:val="0"/>
              <w:widowControl/>
              <w:suppressLineNumbers w:val="0"/>
              <w:adjustRightInd w:val="0"/>
              <w:snapToGrid w:val="0"/>
              <w:spacing w:line="360" w:lineRule="auto"/>
              <w:jc w:val="left"/>
              <w:textAlignment w:val="center"/>
              <w:rPr>
                <w:rFonts w:hint="eastAsia" w:ascii="宋体" w:hAnsi="宋体" w:cs="宋体"/>
                <w:color w:val="auto"/>
                <w:kern w:val="0"/>
                <w:szCs w:val="21"/>
                <w:highlight w:val="none"/>
              </w:rPr>
            </w:pPr>
            <w:r>
              <w:rPr>
                <w:rFonts w:hint="eastAsia" w:ascii="宋体" w:hAnsi="宋体" w:eastAsia="宋体" w:cs="宋体"/>
                <w:i w:val="0"/>
                <w:iCs w:val="0"/>
                <w:color w:val="000000"/>
                <w:kern w:val="0"/>
                <w:sz w:val="21"/>
                <w:szCs w:val="21"/>
                <w:u w:val="none"/>
                <w:lang w:val="en-US" w:eastAsia="zh-CN" w:bidi="ar"/>
              </w:rPr>
              <w:t>最小权限</w:t>
            </w:r>
          </w:p>
        </w:tc>
        <w:tc>
          <w:tcPr>
            <w:tcW w:w="7638" w:type="dxa"/>
            <w:vAlign w:val="center"/>
          </w:tcPr>
          <w:p w14:paraId="0FCB2BC5">
            <w:pPr>
              <w:keepNext w:val="0"/>
              <w:keepLines w:val="0"/>
              <w:widowControl/>
              <w:suppressLineNumbers w:val="0"/>
              <w:adjustRightInd w:val="0"/>
              <w:snapToGrid w:val="0"/>
              <w:spacing w:line="360" w:lineRule="auto"/>
              <w:jc w:val="left"/>
              <w:textAlignment w:val="center"/>
              <w:rPr>
                <w:rFonts w:ascii="宋体" w:hAnsi="宋体" w:cs="宋体"/>
                <w:bCs/>
                <w:color w:val="auto"/>
                <w:szCs w:val="21"/>
                <w:highlight w:val="none"/>
              </w:rPr>
            </w:pPr>
            <w:r>
              <w:rPr>
                <w:rFonts w:hint="eastAsia" w:ascii="宋体" w:hAnsi="宋体" w:eastAsia="宋体" w:cs="宋体"/>
                <w:i w:val="0"/>
                <w:iCs w:val="0"/>
                <w:color w:val="000000"/>
                <w:kern w:val="0"/>
                <w:sz w:val="21"/>
                <w:szCs w:val="21"/>
                <w:u w:val="none"/>
                <w:lang w:val="en-US" w:eastAsia="zh-CN" w:bidi="ar"/>
              </w:rPr>
              <w:t>应用账号不授予DBA权限；建表/改结构须用独立高权限账号</w:t>
            </w:r>
          </w:p>
        </w:tc>
      </w:tr>
      <w:tr w14:paraId="1E176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971" w:type="dxa"/>
            <w:vAlign w:val="center"/>
          </w:tcPr>
          <w:p w14:paraId="0E2DA8B8">
            <w:pPr>
              <w:keepNext w:val="0"/>
              <w:keepLines w:val="0"/>
              <w:widowControl/>
              <w:suppressLineNumbers w:val="0"/>
              <w:adjustRightInd w:val="0"/>
              <w:snapToGrid w:val="0"/>
              <w:spacing w:line="360" w:lineRule="auto"/>
              <w:jc w:val="left"/>
              <w:textAlignment w:val="center"/>
              <w:rPr>
                <w:rFonts w:hint="eastAsia" w:ascii="宋体" w:hAnsi="宋体"/>
                <w:color w:val="auto"/>
                <w:szCs w:val="21"/>
                <w:highlight w:val="none"/>
              </w:rPr>
            </w:pPr>
            <w:r>
              <w:rPr>
                <w:rFonts w:hint="eastAsia" w:ascii="宋体" w:hAnsi="宋体" w:eastAsia="宋体" w:cs="宋体"/>
                <w:i w:val="0"/>
                <w:iCs w:val="0"/>
                <w:color w:val="000000"/>
                <w:kern w:val="0"/>
                <w:sz w:val="21"/>
                <w:szCs w:val="21"/>
                <w:u w:val="none"/>
                <w:lang w:val="en-US" w:eastAsia="zh-CN" w:bidi="ar"/>
              </w:rPr>
              <w:t>NFR-005</w:t>
            </w:r>
          </w:p>
        </w:tc>
        <w:tc>
          <w:tcPr>
            <w:tcW w:w="1190" w:type="dxa"/>
            <w:vAlign w:val="center"/>
          </w:tcPr>
          <w:p w14:paraId="6B691EC7">
            <w:pPr>
              <w:keepNext w:val="0"/>
              <w:keepLines w:val="0"/>
              <w:widowControl/>
              <w:suppressLineNumbers w:val="0"/>
              <w:adjustRightInd w:val="0"/>
              <w:snapToGrid w:val="0"/>
              <w:spacing w:line="360" w:lineRule="auto"/>
              <w:jc w:val="left"/>
              <w:textAlignment w:val="center"/>
              <w:rPr>
                <w:rFonts w:hint="eastAsia" w:ascii="宋体" w:hAnsi="宋体" w:cs="宋体"/>
                <w:color w:val="auto"/>
                <w:kern w:val="0"/>
                <w:szCs w:val="21"/>
                <w:highlight w:val="none"/>
              </w:rPr>
            </w:pPr>
            <w:r>
              <w:rPr>
                <w:rFonts w:hint="eastAsia" w:ascii="宋体" w:hAnsi="宋体" w:eastAsia="宋体" w:cs="宋体"/>
                <w:i w:val="0"/>
                <w:iCs w:val="0"/>
                <w:color w:val="000000"/>
                <w:kern w:val="0"/>
                <w:sz w:val="21"/>
                <w:szCs w:val="21"/>
                <w:u w:val="none"/>
                <w:lang w:val="en-US" w:eastAsia="zh-CN" w:bidi="ar"/>
              </w:rPr>
              <w:t>异常监测</w:t>
            </w:r>
          </w:p>
        </w:tc>
        <w:tc>
          <w:tcPr>
            <w:tcW w:w="7638" w:type="dxa"/>
            <w:vAlign w:val="center"/>
          </w:tcPr>
          <w:p w14:paraId="06E8CA77">
            <w:pPr>
              <w:keepNext w:val="0"/>
              <w:keepLines w:val="0"/>
              <w:widowControl/>
              <w:suppressLineNumbers w:val="0"/>
              <w:adjustRightInd w:val="0"/>
              <w:snapToGrid w:val="0"/>
              <w:spacing w:line="360" w:lineRule="auto"/>
              <w:jc w:val="left"/>
              <w:textAlignment w:val="center"/>
              <w:rPr>
                <w:rFonts w:ascii="宋体" w:hAnsi="宋体" w:cs="宋体"/>
                <w:bCs/>
                <w:color w:val="auto"/>
                <w:szCs w:val="21"/>
                <w:highlight w:val="none"/>
              </w:rPr>
            </w:pPr>
            <w:r>
              <w:rPr>
                <w:rFonts w:hint="eastAsia" w:ascii="宋体" w:hAnsi="宋体" w:eastAsia="宋体" w:cs="宋体"/>
                <w:i w:val="0"/>
                <w:iCs w:val="0"/>
                <w:color w:val="000000"/>
                <w:kern w:val="0"/>
                <w:sz w:val="21"/>
                <w:szCs w:val="21"/>
                <w:u w:val="none"/>
                <w:lang w:val="en-US" w:eastAsia="zh-CN" w:bidi="ar"/>
              </w:rPr>
              <w:t>提供异常查询统计报表（如夜间查询、超量导出清单），实时预警为加分项</w:t>
            </w:r>
          </w:p>
        </w:tc>
      </w:tr>
      <w:tr w14:paraId="2FE96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971" w:type="dxa"/>
            <w:vAlign w:val="center"/>
          </w:tcPr>
          <w:p w14:paraId="224BB594">
            <w:pPr>
              <w:keepNext w:val="0"/>
              <w:keepLines w:val="0"/>
              <w:widowControl/>
              <w:suppressLineNumbers w:val="0"/>
              <w:adjustRightInd w:val="0"/>
              <w:snapToGrid w:val="0"/>
              <w:spacing w:line="360" w:lineRule="auto"/>
              <w:jc w:val="left"/>
              <w:textAlignment w:val="center"/>
              <w:rPr>
                <w:rFonts w:hint="eastAsia" w:ascii="宋体" w:hAnsi="宋体"/>
                <w:color w:val="auto"/>
                <w:szCs w:val="21"/>
                <w:highlight w:val="none"/>
              </w:rPr>
            </w:pPr>
            <w:r>
              <w:rPr>
                <w:rFonts w:hint="eastAsia" w:ascii="宋体" w:hAnsi="宋体" w:eastAsia="宋体" w:cs="宋体"/>
                <w:i w:val="0"/>
                <w:iCs w:val="0"/>
                <w:color w:val="000000"/>
                <w:kern w:val="0"/>
                <w:sz w:val="21"/>
                <w:szCs w:val="21"/>
                <w:u w:val="none"/>
                <w:lang w:val="en-US" w:eastAsia="zh-CN" w:bidi="ar"/>
              </w:rPr>
              <w:t>NFR-006</w:t>
            </w:r>
          </w:p>
        </w:tc>
        <w:tc>
          <w:tcPr>
            <w:tcW w:w="1190" w:type="dxa"/>
            <w:vAlign w:val="center"/>
          </w:tcPr>
          <w:p w14:paraId="6D4445F1">
            <w:pPr>
              <w:keepNext w:val="0"/>
              <w:keepLines w:val="0"/>
              <w:widowControl/>
              <w:suppressLineNumbers w:val="0"/>
              <w:adjustRightInd w:val="0"/>
              <w:snapToGrid w:val="0"/>
              <w:spacing w:line="360" w:lineRule="auto"/>
              <w:jc w:val="left"/>
              <w:textAlignment w:val="center"/>
              <w:rPr>
                <w:rFonts w:hint="eastAsia" w:ascii="宋体" w:hAnsi="宋体" w:cs="宋体"/>
                <w:color w:val="auto"/>
                <w:kern w:val="0"/>
                <w:szCs w:val="21"/>
                <w:highlight w:val="none"/>
              </w:rPr>
            </w:pPr>
            <w:r>
              <w:rPr>
                <w:rFonts w:hint="eastAsia" w:ascii="宋体" w:hAnsi="宋体" w:eastAsia="宋体" w:cs="宋体"/>
                <w:i w:val="0"/>
                <w:iCs w:val="0"/>
                <w:color w:val="000000"/>
                <w:kern w:val="0"/>
                <w:sz w:val="21"/>
                <w:szCs w:val="21"/>
                <w:u w:val="none"/>
                <w:lang w:val="en-US" w:eastAsia="zh-CN" w:bidi="ar"/>
              </w:rPr>
              <w:t>预警机制</w:t>
            </w:r>
          </w:p>
        </w:tc>
        <w:tc>
          <w:tcPr>
            <w:tcW w:w="7638" w:type="dxa"/>
            <w:vAlign w:val="center"/>
          </w:tcPr>
          <w:p w14:paraId="5735AD19">
            <w:pPr>
              <w:keepNext w:val="0"/>
              <w:keepLines w:val="0"/>
              <w:widowControl/>
              <w:suppressLineNumbers w:val="0"/>
              <w:adjustRightInd w:val="0"/>
              <w:snapToGrid w:val="0"/>
              <w:spacing w:line="360" w:lineRule="auto"/>
              <w:jc w:val="left"/>
              <w:textAlignment w:val="center"/>
              <w:rPr>
                <w:rFonts w:ascii="宋体" w:hAnsi="宋体" w:cs="宋体"/>
                <w:bCs/>
                <w:color w:val="auto"/>
                <w:szCs w:val="21"/>
                <w:highlight w:val="none"/>
              </w:rPr>
            </w:pPr>
            <w:r>
              <w:rPr>
                <w:rFonts w:hint="eastAsia" w:ascii="宋体" w:hAnsi="宋体" w:eastAsia="宋体" w:cs="宋体"/>
                <w:i w:val="0"/>
                <w:iCs w:val="0"/>
                <w:color w:val="000000"/>
                <w:kern w:val="0"/>
                <w:sz w:val="21"/>
                <w:szCs w:val="21"/>
                <w:u w:val="none"/>
                <w:lang w:val="en-US" w:eastAsia="zh-CN" w:bidi="ar"/>
              </w:rPr>
              <w:t>异常报表可推送到指定短信、企业微信</w:t>
            </w:r>
          </w:p>
        </w:tc>
      </w:tr>
      <w:tr w14:paraId="4BE43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971" w:type="dxa"/>
            <w:vAlign w:val="center"/>
          </w:tcPr>
          <w:p w14:paraId="022C96AB">
            <w:pPr>
              <w:keepNext w:val="0"/>
              <w:keepLines w:val="0"/>
              <w:widowControl/>
              <w:suppressLineNumbers w:val="0"/>
              <w:adjustRightInd w:val="0"/>
              <w:snapToGrid w:val="0"/>
              <w:spacing w:line="360" w:lineRule="auto"/>
              <w:jc w:val="left"/>
              <w:textAlignment w:val="center"/>
              <w:rPr>
                <w:rFonts w:hint="eastAsia" w:ascii="宋体" w:hAnsi="宋体"/>
                <w:color w:val="auto"/>
                <w:szCs w:val="21"/>
                <w:highlight w:val="none"/>
              </w:rPr>
            </w:pPr>
            <w:r>
              <w:rPr>
                <w:rFonts w:hint="eastAsia" w:ascii="宋体" w:hAnsi="宋体" w:eastAsia="宋体" w:cs="宋体"/>
                <w:i w:val="0"/>
                <w:iCs w:val="0"/>
                <w:color w:val="000000"/>
                <w:kern w:val="0"/>
                <w:sz w:val="21"/>
                <w:szCs w:val="21"/>
                <w:u w:val="none"/>
                <w:lang w:val="en-US" w:eastAsia="zh-CN" w:bidi="ar"/>
              </w:rPr>
              <w:t>NFR-007</w:t>
            </w:r>
          </w:p>
        </w:tc>
        <w:tc>
          <w:tcPr>
            <w:tcW w:w="1190" w:type="dxa"/>
            <w:vAlign w:val="center"/>
          </w:tcPr>
          <w:p w14:paraId="30013FC4">
            <w:pPr>
              <w:keepNext w:val="0"/>
              <w:keepLines w:val="0"/>
              <w:widowControl/>
              <w:suppressLineNumbers w:val="0"/>
              <w:adjustRightInd w:val="0"/>
              <w:snapToGrid w:val="0"/>
              <w:spacing w:line="360" w:lineRule="auto"/>
              <w:jc w:val="left"/>
              <w:textAlignment w:val="center"/>
              <w:rPr>
                <w:rFonts w:hint="eastAsia" w:ascii="宋体" w:hAnsi="宋体" w:cs="宋体"/>
                <w:color w:val="auto"/>
                <w:kern w:val="0"/>
                <w:szCs w:val="21"/>
                <w:highlight w:val="none"/>
              </w:rPr>
            </w:pPr>
            <w:r>
              <w:rPr>
                <w:rFonts w:hint="eastAsia" w:ascii="宋体" w:hAnsi="宋体" w:eastAsia="宋体" w:cs="宋体"/>
                <w:i w:val="0"/>
                <w:iCs w:val="0"/>
                <w:color w:val="000000"/>
                <w:kern w:val="0"/>
                <w:sz w:val="21"/>
                <w:szCs w:val="21"/>
                <w:u w:val="none"/>
                <w:lang w:val="en-US" w:eastAsia="zh-CN" w:bidi="ar"/>
              </w:rPr>
              <w:t>审计报表</w:t>
            </w:r>
          </w:p>
        </w:tc>
        <w:tc>
          <w:tcPr>
            <w:tcW w:w="7638" w:type="dxa"/>
            <w:vAlign w:val="center"/>
          </w:tcPr>
          <w:p w14:paraId="7A008B4C">
            <w:pPr>
              <w:keepNext w:val="0"/>
              <w:keepLines w:val="0"/>
              <w:widowControl/>
              <w:suppressLineNumbers w:val="0"/>
              <w:adjustRightInd w:val="0"/>
              <w:snapToGrid w:val="0"/>
              <w:spacing w:line="360" w:lineRule="auto"/>
              <w:jc w:val="left"/>
              <w:textAlignment w:val="center"/>
              <w:rPr>
                <w:rFonts w:ascii="宋体" w:hAnsi="宋体" w:cs="宋体"/>
                <w:bCs/>
                <w:color w:val="auto"/>
                <w:szCs w:val="21"/>
                <w:highlight w:val="none"/>
              </w:rPr>
            </w:pPr>
            <w:r>
              <w:rPr>
                <w:rFonts w:hint="eastAsia" w:ascii="宋体" w:hAnsi="宋体" w:eastAsia="宋体" w:cs="宋体"/>
                <w:i w:val="0"/>
                <w:iCs w:val="0"/>
                <w:color w:val="000000"/>
                <w:kern w:val="0"/>
                <w:sz w:val="21"/>
                <w:szCs w:val="21"/>
                <w:u w:val="none"/>
                <w:lang w:val="en-US" w:eastAsia="zh-CN" w:bidi="ar"/>
              </w:rPr>
              <w:t>提供标准查询：用户操作明细、导出记录、敏感表访问记录</w:t>
            </w:r>
          </w:p>
        </w:tc>
      </w:tr>
      <w:tr w14:paraId="0E19C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971" w:type="dxa"/>
            <w:vAlign w:val="center"/>
          </w:tcPr>
          <w:p w14:paraId="0B77956D">
            <w:pPr>
              <w:keepNext w:val="0"/>
              <w:keepLines w:val="0"/>
              <w:widowControl/>
              <w:suppressLineNumbers w:val="0"/>
              <w:adjustRightInd w:val="0"/>
              <w:snapToGrid w:val="0"/>
              <w:spacing w:line="360" w:lineRule="auto"/>
              <w:jc w:val="left"/>
              <w:textAlignment w:val="center"/>
              <w:rPr>
                <w:rFonts w:hint="eastAsia" w:ascii="宋体" w:hAnsi="宋体"/>
                <w:color w:val="auto"/>
                <w:szCs w:val="21"/>
                <w:highlight w:val="none"/>
              </w:rPr>
            </w:pPr>
            <w:r>
              <w:rPr>
                <w:rFonts w:hint="eastAsia" w:ascii="宋体" w:hAnsi="宋体" w:eastAsia="宋体" w:cs="宋体"/>
                <w:i w:val="0"/>
                <w:iCs w:val="0"/>
                <w:color w:val="000000"/>
                <w:kern w:val="0"/>
                <w:sz w:val="21"/>
                <w:szCs w:val="21"/>
                <w:u w:val="none"/>
                <w:lang w:val="en-US" w:eastAsia="zh-CN" w:bidi="ar"/>
              </w:rPr>
              <w:t>NFR-008</w:t>
            </w:r>
          </w:p>
        </w:tc>
        <w:tc>
          <w:tcPr>
            <w:tcW w:w="1190" w:type="dxa"/>
            <w:vAlign w:val="center"/>
          </w:tcPr>
          <w:p w14:paraId="4ABC41AF">
            <w:pPr>
              <w:keepNext w:val="0"/>
              <w:keepLines w:val="0"/>
              <w:widowControl/>
              <w:suppressLineNumbers w:val="0"/>
              <w:adjustRightInd w:val="0"/>
              <w:snapToGrid w:val="0"/>
              <w:spacing w:line="360" w:lineRule="auto"/>
              <w:jc w:val="left"/>
              <w:textAlignment w:val="center"/>
              <w:rPr>
                <w:rFonts w:hint="eastAsia" w:ascii="宋体" w:hAnsi="宋体" w:cs="宋体"/>
                <w:color w:val="auto"/>
                <w:kern w:val="0"/>
                <w:szCs w:val="21"/>
                <w:highlight w:val="none"/>
              </w:rPr>
            </w:pPr>
            <w:r>
              <w:rPr>
                <w:rFonts w:hint="eastAsia" w:ascii="宋体" w:hAnsi="宋体" w:eastAsia="宋体" w:cs="宋体"/>
                <w:i w:val="0"/>
                <w:iCs w:val="0"/>
                <w:color w:val="000000"/>
                <w:kern w:val="0"/>
                <w:sz w:val="21"/>
                <w:szCs w:val="21"/>
                <w:u w:val="none"/>
                <w:lang w:val="en-US" w:eastAsia="zh-CN" w:bidi="ar"/>
              </w:rPr>
              <w:t>堡垒机对接</w:t>
            </w:r>
          </w:p>
        </w:tc>
        <w:tc>
          <w:tcPr>
            <w:tcW w:w="7638" w:type="dxa"/>
            <w:vAlign w:val="center"/>
          </w:tcPr>
          <w:p w14:paraId="7D09CE80">
            <w:pPr>
              <w:keepNext w:val="0"/>
              <w:keepLines w:val="0"/>
              <w:widowControl/>
              <w:suppressLineNumbers w:val="0"/>
              <w:adjustRightInd w:val="0"/>
              <w:snapToGrid w:val="0"/>
              <w:spacing w:line="360" w:lineRule="auto"/>
              <w:jc w:val="left"/>
              <w:textAlignment w:val="center"/>
              <w:rPr>
                <w:rFonts w:ascii="宋体" w:hAnsi="宋体" w:cs="宋体"/>
                <w:bCs/>
                <w:color w:val="auto"/>
                <w:szCs w:val="21"/>
                <w:highlight w:val="none"/>
              </w:rPr>
            </w:pPr>
            <w:r>
              <w:rPr>
                <w:rFonts w:hint="eastAsia" w:ascii="宋体" w:hAnsi="宋体" w:eastAsia="宋体" w:cs="宋体"/>
                <w:i w:val="0"/>
                <w:iCs w:val="0"/>
                <w:color w:val="000000"/>
                <w:kern w:val="0"/>
                <w:sz w:val="21"/>
                <w:szCs w:val="21"/>
                <w:u w:val="none"/>
                <w:lang w:val="en-US" w:eastAsia="zh-CN" w:bidi="ar"/>
              </w:rPr>
              <w:t>提供日志查询接口，允许堡垒机调用；不要求深度集成</w:t>
            </w:r>
          </w:p>
        </w:tc>
      </w:tr>
      <w:tr w14:paraId="5BDFC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971" w:type="dxa"/>
            <w:vAlign w:val="center"/>
          </w:tcPr>
          <w:p w14:paraId="061C94F0">
            <w:pPr>
              <w:keepNext w:val="0"/>
              <w:keepLines w:val="0"/>
              <w:widowControl/>
              <w:suppressLineNumbers w:val="0"/>
              <w:adjustRightInd w:val="0"/>
              <w:snapToGrid w:val="0"/>
              <w:spacing w:line="360" w:lineRule="auto"/>
              <w:jc w:val="left"/>
              <w:textAlignment w:val="center"/>
              <w:rPr>
                <w:rFonts w:hint="eastAsia" w:ascii="宋体" w:hAnsi="宋体"/>
                <w:color w:val="auto"/>
                <w:szCs w:val="21"/>
                <w:highlight w:val="none"/>
              </w:rPr>
            </w:pPr>
            <w:r>
              <w:rPr>
                <w:rFonts w:hint="eastAsia" w:ascii="宋体" w:hAnsi="宋体" w:eastAsia="宋体" w:cs="宋体"/>
                <w:i w:val="0"/>
                <w:iCs w:val="0"/>
                <w:color w:val="000000"/>
                <w:kern w:val="0"/>
                <w:sz w:val="21"/>
                <w:szCs w:val="21"/>
                <w:u w:val="none"/>
                <w:lang w:val="en-US" w:eastAsia="zh-CN" w:bidi="ar"/>
              </w:rPr>
              <w:t>NFR-010</w:t>
            </w:r>
          </w:p>
        </w:tc>
        <w:tc>
          <w:tcPr>
            <w:tcW w:w="1190" w:type="dxa"/>
            <w:vAlign w:val="center"/>
          </w:tcPr>
          <w:p w14:paraId="05E52F22">
            <w:pPr>
              <w:keepNext w:val="0"/>
              <w:keepLines w:val="0"/>
              <w:widowControl/>
              <w:suppressLineNumbers w:val="0"/>
              <w:adjustRightInd w:val="0"/>
              <w:snapToGrid w:val="0"/>
              <w:spacing w:line="360" w:lineRule="auto"/>
              <w:jc w:val="left"/>
              <w:textAlignment w:val="center"/>
              <w:rPr>
                <w:rFonts w:hint="eastAsia" w:ascii="宋体" w:hAnsi="宋体" w:cs="宋体"/>
                <w:color w:val="auto"/>
                <w:kern w:val="0"/>
                <w:szCs w:val="21"/>
                <w:highlight w:val="none"/>
              </w:rPr>
            </w:pPr>
            <w:r>
              <w:rPr>
                <w:rFonts w:hint="eastAsia" w:ascii="宋体" w:hAnsi="宋体" w:eastAsia="宋体" w:cs="宋体"/>
                <w:i w:val="0"/>
                <w:iCs w:val="0"/>
                <w:color w:val="000000"/>
                <w:kern w:val="0"/>
                <w:sz w:val="21"/>
                <w:szCs w:val="21"/>
                <w:u w:val="none"/>
                <w:lang w:val="en-US" w:eastAsia="zh-CN" w:bidi="ar"/>
              </w:rPr>
              <w:t>日志平台对接</w:t>
            </w:r>
          </w:p>
        </w:tc>
        <w:tc>
          <w:tcPr>
            <w:tcW w:w="7638" w:type="dxa"/>
            <w:vAlign w:val="center"/>
          </w:tcPr>
          <w:p w14:paraId="07DC7E66">
            <w:pPr>
              <w:keepNext w:val="0"/>
              <w:keepLines w:val="0"/>
              <w:widowControl/>
              <w:suppressLineNumbers w:val="0"/>
              <w:adjustRightInd w:val="0"/>
              <w:snapToGrid w:val="0"/>
              <w:spacing w:line="360" w:lineRule="auto"/>
              <w:jc w:val="left"/>
              <w:textAlignment w:val="center"/>
              <w:rPr>
                <w:rFonts w:ascii="宋体" w:hAnsi="宋体" w:cs="宋体"/>
                <w:bCs/>
                <w:color w:val="auto"/>
                <w:szCs w:val="21"/>
                <w:highlight w:val="none"/>
              </w:rPr>
            </w:pPr>
            <w:r>
              <w:rPr>
                <w:rFonts w:hint="eastAsia" w:ascii="宋体" w:hAnsi="宋体" w:eastAsia="宋体" w:cs="宋体"/>
                <w:i w:val="0"/>
                <w:iCs w:val="0"/>
                <w:color w:val="000000"/>
                <w:kern w:val="0"/>
                <w:sz w:val="21"/>
                <w:szCs w:val="21"/>
                <w:u w:val="none"/>
                <w:lang w:val="en-US" w:eastAsia="zh-CN" w:bidi="ar"/>
              </w:rPr>
              <w:t>支持按时间段导出日志文件（CSV/JSON格式）</w:t>
            </w:r>
          </w:p>
        </w:tc>
      </w:tr>
      <w:tr w14:paraId="26C98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971" w:type="dxa"/>
            <w:vAlign w:val="center"/>
          </w:tcPr>
          <w:p w14:paraId="4AE22CD0">
            <w:pPr>
              <w:keepNext w:val="0"/>
              <w:keepLines w:val="0"/>
              <w:widowControl/>
              <w:suppressLineNumbers w:val="0"/>
              <w:adjustRightInd w:val="0"/>
              <w:snapToGrid w:val="0"/>
              <w:spacing w:line="360" w:lineRule="auto"/>
              <w:jc w:val="left"/>
              <w:textAlignment w:val="center"/>
              <w:rPr>
                <w:rFonts w:hint="eastAsia" w:ascii="宋体" w:hAnsi="宋体"/>
                <w:color w:val="auto"/>
                <w:szCs w:val="21"/>
                <w:highlight w:val="none"/>
              </w:rPr>
            </w:pPr>
            <w:r>
              <w:rPr>
                <w:rFonts w:hint="eastAsia" w:ascii="宋体" w:hAnsi="宋体" w:eastAsia="宋体" w:cs="宋体"/>
                <w:i w:val="0"/>
                <w:iCs w:val="0"/>
                <w:color w:val="000000"/>
                <w:kern w:val="0"/>
                <w:sz w:val="21"/>
                <w:szCs w:val="21"/>
                <w:u w:val="none"/>
                <w:lang w:val="en-US" w:eastAsia="zh-CN" w:bidi="ar"/>
              </w:rPr>
              <w:t>DR-001</w:t>
            </w:r>
          </w:p>
        </w:tc>
        <w:tc>
          <w:tcPr>
            <w:tcW w:w="1190" w:type="dxa"/>
            <w:vAlign w:val="center"/>
          </w:tcPr>
          <w:p w14:paraId="697329F1">
            <w:pPr>
              <w:keepNext w:val="0"/>
              <w:keepLines w:val="0"/>
              <w:widowControl/>
              <w:suppressLineNumbers w:val="0"/>
              <w:adjustRightInd w:val="0"/>
              <w:snapToGrid w:val="0"/>
              <w:spacing w:line="360" w:lineRule="auto"/>
              <w:jc w:val="left"/>
              <w:textAlignment w:val="center"/>
              <w:rPr>
                <w:rFonts w:hint="eastAsia" w:ascii="宋体" w:hAnsi="宋体" w:cs="宋体"/>
                <w:color w:val="auto"/>
                <w:kern w:val="0"/>
                <w:szCs w:val="21"/>
                <w:highlight w:val="none"/>
              </w:rPr>
            </w:pPr>
            <w:r>
              <w:rPr>
                <w:rFonts w:hint="eastAsia" w:ascii="宋体" w:hAnsi="宋体" w:eastAsia="宋体" w:cs="宋体"/>
                <w:i w:val="0"/>
                <w:iCs w:val="0"/>
                <w:color w:val="000000"/>
                <w:kern w:val="0"/>
                <w:sz w:val="21"/>
                <w:szCs w:val="21"/>
                <w:u w:val="none"/>
                <w:lang w:val="en-US" w:eastAsia="zh-CN" w:bidi="ar"/>
              </w:rPr>
              <w:t>日志保留</w:t>
            </w:r>
          </w:p>
        </w:tc>
        <w:tc>
          <w:tcPr>
            <w:tcW w:w="7638" w:type="dxa"/>
            <w:vAlign w:val="center"/>
          </w:tcPr>
          <w:p w14:paraId="2451E0F3">
            <w:pPr>
              <w:keepNext w:val="0"/>
              <w:keepLines w:val="0"/>
              <w:widowControl/>
              <w:suppressLineNumbers w:val="0"/>
              <w:adjustRightInd w:val="0"/>
              <w:snapToGrid w:val="0"/>
              <w:spacing w:line="360" w:lineRule="auto"/>
              <w:jc w:val="left"/>
              <w:textAlignment w:val="center"/>
              <w:rPr>
                <w:rFonts w:ascii="宋体" w:hAnsi="宋体" w:cs="宋体"/>
                <w:bCs/>
                <w:color w:val="auto"/>
                <w:szCs w:val="21"/>
                <w:highlight w:val="none"/>
              </w:rPr>
            </w:pPr>
            <w:r>
              <w:rPr>
                <w:rFonts w:hint="eastAsia" w:ascii="宋体" w:hAnsi="宋体" w:eastAsia="宋体" w:cs="宋体"/>
                <w:i w:val="0"/>
                <w:iCs w:val="0"/>
                <w:color w:val="000000"/>
                <w:kern w:val="0"/>
                <w:sz w:val="21"/>
                <w:szCs w:val="21"/>
                <w:u w:val="none"/>
                <w:lang w:val="en-US" w:eastAsia="zh-CN" w:bidi="ar"/>
              </w:rPr>
              <w:t>在线查询1年，归档保留3年（不要求10年）</w:t>
            </w:r>
          </w:p>
        </w:tc>
      </w:tr>
      <w:tr w14:paraId="021F1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971" w:type="dxa"/>
            <w:vAlign w:val="center"/>
          </w:tcPr>
          <w:p w14:paraId="5D402F5A">
            <w:pPr>
              <w:keepNext w:val="0"/>
              <w:keepLines w:val="0"/>
              <w:widowControl/>
              <w:suppressLineNumbers w:val="0"/>
              <w:adjustRightInd w:val="0"/>
              <w:snapToGrid w:val="0"/>
              <w:spacing w:line="360" w:lineRule="auto"/>
              <w:jc w:val="left"/>
              <w:textAlignment w:val="center"/>
              <w:rPr>
                <w:rFonts w:hint="eastAsia" w:ascii="宋体" w:hAnsi="宋体"/>
                <w:color w:val="auto"/>
                <w:szCs w:val="21"/>
                <w:highlight w:val="none"/>
              </w:rPr>
            </w:pPr>
            <w:r>
              <w:rPr>
                <w:rFonts w:hint="eastAsia" w:ascii="宋体" w:hAnsi="宋体" w:eastAsia="宋体" w:cs="宋体"/>
                <w:i w:val="0"/>
                <w:iCs w:val="0"/>
                <w:color w:val="000000"/>
                <w:kern w:val="0"/>
                <w:sz w:val="21"/>
                <w:szCs w:val="21"/>
                <w:u w:val="none"/>
                <w:lang w:val="en-US" w:eastAsia="zh-CN" w:bidi="ar"/>
              </w:rPr>
              <w:t>DR-002</w:t>
            </w:r>
          </w:p>
        </w:tc>
        <w:tc>
          <w:tcPr>
            <w:tcW w:w="1190" w:type="dxa"/>
            <w:vAlign w:val="center"/>
          </w:tcPr>
          <w:p w14:paraId="30A725CA">
            <w:pPr>
              <w:keepNext w:val="0"/>
              <w:keepLines w:val="0"/>
              <w:widowControl/>
              <w:suppressLineNumbers w:val="0"/>
              <w:adjustRightInd w:val="0"/>
              <w:snapToGrid w:val="0"/>
              <w:spacing w:line="360" w:lineRule="auto"/>
              <w:jc w:val="left"/>
              <w:textAlignment w:val="center"/>
              <w:rPr>
                <w:rFonts w:hint="eastAsia" w:ascii="宋体" w:hAnsi="宋体" w:cs="宋体"/>
                <w:color w:val="auto"/>
                <w:kern w:val="0"/>
                <w:szCs w:val="21"/>
                <w:highlight w:val="none"/>
              </w:rPr>
            </w:pPr>
            <w:r>
              <w:rPr>
                <w:rFonts w:hint="eastAsia" w:ascii="宋体" w:hAnsi="宋体" w:eastAsia="宋体" w:cs="宋体"/>
                <w:i w:val="0"/>
                <w:iCs w:val="0"/>
                <w:color w:val="000000"/>
                <w:kern w:val="0"/>
                <w:sz w:val="21"/>
                <w:szCs w:val="21"/>
                <w:u w:val="none"/>
                <w:lang w:val="en-US" w:eastAsia="zh-CN" w:bidi="ar"/>
              </w:rPr>
              <w:t>性能影响</w:t>
            </w:r>
          </w:p>
        </w:tc>
        <w:tc>
          <w:tcPr>
            <w:tcW w:w="7638" w:type="dxa"/>
            <w:vAlign w:val="center"/>
          </w:tcPr>
          <w:p w14:paraId="4B133290">
            <w:pPr>
              <w:keepNext w:val="0"/>
              <w:keepLines w:val="0"/>
              <w:widowControl/>
              <w:suppressLineNumbers w:val="0"/>
              <w:adjustRightInd w:val="0"/>
              <w:snapToGrid w:val="0"/>
              <w:spacing w:line="360" w:lineRule="auto"/>
              <w:jc w:val="left"/>
              <w:textAlignment w:val="center"/>
              <w:rPr>
                <w:rFonts w:ascii="宋体" w:hAnsi="宋体" w:cs="宋体"/>
                <w:bCs/>
                <w:color w:val="auto"/>
                <w:szCs w:val="21"/>
                <w:highlight w:val="none"/>
              </w:rPr>
            </w:pPr>
            <w:r>
              <w:rPr>
                <w:rFonts w:hint="eastAsia" w:ascii="宋体" w:hAnsi="宋体" w:eastAsia="宋体" w:cs="宋体"/>
                <w:i w:val="0"/>
                <w:iCs w:val="0"/>
                <w:color w:val="000000"/>
                <w:kern w:val="0"/>
                <w:sz w:val="21"/>
                <w:szCs w:val="21"/>
                <w:u w:val="none"/>
                <w:lang w:val="en-US" w:eastAsia="zh-CN" w:bidi="ar"/>
              </w:rPr>
              <w:t>日志写入不造成用户可感知的卡顿（响应时间增加&lt;1秒即可）</w:t>
            </w:r>
          </w:p>
        </w:tc>
      </w:tr>
      <w:tr w14:paraId="0F481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971" w:type="dxa"/>
            <w:vAlign w:val="center"/>
          </w:tcPr>
          <w:p w14:paraId="50147F00">
            <w:pPr>
              <w:keepNext w:val="0"/>
              <w:keepLines w:val="0"/>
              <w:widowControl/>
              <w:suppressLineNumbers w:val="0"/>
              <w:adjustRightInd w:val="0"/>
              <w:snapToGrid w:val="0"/>
              <w:spacing w:line="360" w:lineRule="auto"/>
              <w:jc w:val="left"/>
              <w:textAlignment w:val="center"/>
              <w:rPr>
                <w:rFonts w:hint="eastAsia" w:ascii="宋体" w:hAnsi="宋体"/>
                <w:color w:val="auto"/>
                <w:szCs w:val="21"/>
                <w:highlight w:val="none"/>
              </w:rPr>
            </w:pPr>
            <w:r>
              <w:rPr>
                <w:rFonts w:hint="eastAsia" w:ascii="宋体" w:hAnsi="宋体" w:eastAsia="宋体" w:cs="宋体"/>
                <w:i w:val="0"/>
                <w:iCs w:val="0"/>
                <w:color w:val="000000"/>
                <w:kern w:val="0"/>
                <w:sz w:val="21"/>
                <w:szCs w:val="21"/>
                <w:u w:val="none"/>
                <w:lang w:val="en-US" w:eastAsia="zh-CN" w:bidi="ar"/>
              </w:rPr>
              <w:t>DR-003</w:t>
            </w:r>
          </w:p>
        </w:tc>
        <w:tc>
          <w:tcPr>
            <w:tcW w:w="1190" w:type="dxa"/>
            <w:vAlign w:val="center"/>
          </w:tcPr>
          <w:p w14:paraId="3DBCCF44">
            <w:pPr>
              <w:keepNext w:val="0"/>
              <w:keepLines w:val="0"/>
              <w:widowControl/>
              <w:suppressLineNumbers w:val="0"/>
              <w:adjustRightInd w:val="0"/>
              <w:snapToGrid w:val="0"/>
              <w:spacing w:line="360" w:lineRule="auto"/>
              <w:jc w:val="left"/>
              <w:textAlignment w:val="center"/>
              <w:rPr>
                <w:rFonts w:hint="eastAsia" w:ascii="宋体" w:hAnsi="宋体" w:cs="宋体"/>
                <w:color w:val="auto"/>
                <w:kern w:val="0"/>
                <w:szCs w:val="21"/>
                <w:highlight w:val="none"/>
              </w:rPr>
            </w:pPr>
            <w:r>
              <w:rPr>
                <w:rFonts w:hint="eastAsia" w:ascii="宋体" w:hAnsi="宋体" w:eastAsia="宋体" w:cs="宋体"/>
                <w:i w:val="0"/>
                <w:iCs w:val="0"/>
                <w:color w:val="000000"/>
                <w:kern w:val="0"/>
                <w:sz w:val="21"/>
                <w:szCs w:val="21"/>
                <w:u w:val="none"/>
                <w:lang w:val="en-US" w:eastAsia="zh-CN" w:bidi="ar"/>
              </w:rPr>
              <w:t>日志字段</w:t>
            </w:r>
          </w:p>
        </w:tc>
        <w:tc>
          <w:tcPr>
            <w:tcW w:w="7638" w:type="dxa"/>
            <w:vAlign w:val="center"/>
          </w:tcPr>
          <w:p w14:paraId="6CFE2C09">
            <w:pPr>
              <w:keepNext w:val="0"/>
              <w:keepLines w:val="0"/>
              <w:widowControl/>
              <w:suppressLineNumbers w:val="0"/>
              <w:adjustRightInd w:val="0"/>
              <w:snapToGrid w:val="0"/>
              <w:spacing w:line="360" w:lineRule="auto"/>
              <w:jc w:val="left"/>
              <w:textAlignment w:val="center"/>
              <w:rPr>
                <w:rFonts w:ascii="宋体" w:hAnsi="宋体" w:cs="宋体"/>
                <w:bCs/>
                <w:color w:val="auto"/>
                <w:szCs w:val="21"/>
                <w:highlight w:val="none"/>
              </w:rPr>
            </w:pPr>
            <w:r>
              <w:rPr>
                <w:rFonts w:hint="eastAsia" w:ascii="宋体" w:hAnsi="宋体" w:eastAsia="宋体" w:cs="宋体"/>
                <w:i w:val="0"/>
                <w:iCs w:val="0"/>
                <w:color w:val="000000"/>
                <w:kern w:val="0"/>
                <w:sz w:val="21"/>
                <w:szCs w:val="21"/>
                <w:u w:val="none"/>
                <w:lang w:val="en-US" w:eastAsia="zh-CN" w:bidi="ar"/>
              </w:rPr>
              <w:t>包含：时间、用户、操作类型、模块、患者ID（或数量）、IP地址</w:t>
            </w:r>
          </w:p>
        </w:tc>
      </w:tr>
      <w:tr w14:paraId="6C8AD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9799" w:type="dxa"/>
            <w:gridSpan w:val="3"/>
            <w:vAlign w:val="center"/>
          </w:tcPr>
          <w:p w14:paraId="57648D5D">
            <w:pPr>
              <w:keepNext w:val="0"/>
              <w:keepLines w:val="0"/>
              <w:widowControl/>
              <w:suppressLineNumbers w:val="0"/>
              <w:tabs>
                <w:tab w:val="left" w:pos="770"/>
              </w:tabs>
              <w:adjustRightInd w:val="0"/>
              <w:snapToGrid w:val="0"/>
              <w:spacing w:line="360" w:lineRule="auto"/>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其他技术要求</w:t>
            </w:r>
          </w:p>
        </w:tc>
      </w:tr>
      <w:tr w14:paraId="2A2A5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971" w:type="dxa"/>
            <w:vAlign w:val="center"/>
          </w:tcPr>
          <w:p w14:paraId="7142C8CD">
            <w:pPr>
              <w:keepNext w:val="0"/>
              <w:keepLines w:val="0"/>
              <w:widowControl/>
              <w:suppressLineNumbers w:val="0"/>
              <w:adjustRightInd w:val="0"/>
              <w:snapToGrid w:val="0"/>
              <w:spacing w:line="360" w:lineRule="auto"/>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1</w:t>
            </w:r>
          </w:p>
        </w:tc>
        <w:tc>
          <w:tcPr>
            <w:tcW w:w="1190" w:type="dxa"/>
            <w:vAlign w:val="center"/>
          </w:tcPr>
          <w:p w14:paraId="0A9F22F5">
            <w:pPr>
              <w:keepNext w:val="0"/>
              <w:keepLines w:val="0"/>
              <w:widowControl/>
              <w:suppressLineNumbers w:val="0"/>
              <w:adjustRightInd w:val="0"/>
              <w:snapToGrid w:val="0"/>
              <w:spacing w:line="360" w:lineRule="auto"/>
              <w:jc w:val="left"/>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系统操作日志</w:t>
            </w:r>
          </w:p>
        </w:tc>
        <w:tc>
          <w:tcPr>
            <w:tcW w:w="7638" w:type="dxa"/>
            <w:vAlign w:val="center"/>
          </w:tcPr>
          <w:p w14:paraId="301E419A">
            <w:pPr>
              <w:keepNext w:val="0"/>
              <w:keepLines w:val="0"/>
              <w:widowControl/>
              <w:suppressLineNumbers w:val="0"/>
              <w:tabs>
                <w:tab w:val="left" w:pos="634"/>
              </w:tabs>
              <w:adjustRightInd w:val="0"/>
              <w:snapToGrid w:val="0"/>
              <w:spacing w:line="36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HIS系统</w:t>
            </w:r>
            <w:r>
              <w:rPr>
                <w:rFonts w:hint="eastAsia" w:ascii="宋体" w:hAnsi="宋体" w:eastAsia="宋体" w:cs="宋体"/>
                <w:i w:val="0"/>
                <w:iCs w:val="0"/>
                <w:color w:val="000000"/>
                <w:kern w:val="0"/>
                <w:sz w:val="21"/>
                <w:szCs w:val="21"/>
                <w:u w:val="none"/>
                <w:lang w:val="en-US" w:eastAsia="zh-CN" w:bidi="ar"/>
              </w:rPr>
              <w:t>所有操作自动记录日志，支持按操作人、时间、操作类型一键查询和导出，日志信息包含操作前/后数据对比，方便问题追溯和审计</w:t>
            </w:r>
          </w:p>
        </w:tc>
      </w:tr>
    </w:tbl>
    <w:p w14:paraId="741BE7B0">
      <w:pPr>
        <w:rPr>
          <w:rFonts w:ascii="宋体" w:hAnsi="宋体"/>
          <w:color w:val="auto"/>
          <w:highlight w:val="none"/>
        </w:rPr>
      </w:pPr>
      <w:r>
        <w:rPr>
          <w:rFonts w:ascii="宋体" w:hAnsi="宋体"/>
          <w:color w:val="auto"/>
          <w:highlight w:val="none"/>
        </w:rPr>
        <w:br w:type="page"/>
      </w:r>
    </w:p>
    <w:p w14:paraId="26E97314">
      <w:pPr>
        <w:pStyle w:val="2"/>
        <w:bidi w:val="0"/>
        <w:rPr>
          <w:rFonts w:hint="default"/>
          <w:lang w:val="en-US" w:eastAsia="zh-CN"/>
        </w:rPr>
      </w:pPr>
      <w:bookmarkStart w:id="306" w:name="_Toc16124"/>
      <w:bookmarkStart w:id="307" w:name="_Toc6908"/>
      <w:bookmarkStart w:id="308" w:name="_Toc7833"/>
      <w:bookmarkStart w:id="309" w:name="_Toc3409"/>
      <w:bookmarkStart w:id="310" w:name="_Toc17363"/>
      <w:r>
        <w:rPr>
          <w:rFonts w:hint="eastAsia"/>
          <w:lang w:val="en-US" w:eastAsia="zh-CN"/>
        </w:rPr>
        <w:t>商务需求</w:t>
      </w:r>
      <w:bookmarkEnd w:id="306"/>
      <w:bookmarkEnd w:id="307"/>
      <w:bookmarkEnd w:id="308"/>
      <w:bookmarkEnd w:id="309"/>
      <w:bookmarkEnd w:id="310"/>
    </w:p>
    <w:p w14:paraId="0B52A461"/>
    <w:tbl>
      <w:tblPr>
        <w:tblStyle w:val="46"/>
        <w:tblW w:w="9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7"/>
        <w:gridCol w:w="924"/>
        <w:gridCol w:w="7584"/>
      </w:tblGrid>
      <w:tr w14:paraId="3A99F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377" w:type="dxa"/>
            <w:shd w:val="clear" w:color="auto" w:fill="FFFFFF"/>
            <w:vAlign w:val="center"/>
          </w:tcPr>
          <w:p w14:paraId="5FA8C4CB">
            <w:pPr>
              <w:keepNext w:val="0"/>
              <w:keepLines w:val="0"/>
              <w:pageBreakBefore w:val="0"/>
              <w:kinsoku/>
              <w:wordWrap/>
              <w:overflowPunct/>
              <w:topLinePunct w:val="0"/>
              <w:autoSpaceDE/>
              <w:autoSpaceDN/>
              <w:bidi w:val="0"/>
              <w:adjustRightInd w:val="0"/>
              <w:snapToGrid w:val="0"/>
              <w:spacing w:line="360" w:lineRule="auto"/>
              <w:jc w:val="center"/>
              <w:textAlignment w:val="auto"/>
              <w:rPr>
                <w:rFonts w:ascii="宋体" w:hAnsi="宋体" w:cs="宋体"/>
                <w:color w:val="auto"/>
                <w:sz w:val="21"/>
                <w:szCs w:val="21"/>
                <w:highlight w:val="none"/>
              </w:rPr>
            </w:pPr>
            <w:r>
              <w:rPr>
                <w:rFonts w:hint="eastAsia" w:ascii="宋体" w:hAnsi="宋体" w:cs="宋体"/>
                <w:color w:val="auto"/>
                <w:kern w:val="0"/>
                <w:sz w:val="21"/>
                <w:szCs w:val="21"/>
                <w:highlight w:val="none"/>
              </w:rPr>
              <w:t>需求名称</w:t>
            </w:r>
          </w:p>
        </w:tc>
        <w:tc>
          <w:tcPr>
            <w:tcW w:w="924" w:type="dxa"/>
            <w:shd w:val="clear" w:color="auto" w:fill="FFFFFF"/>
            <w:vAlign w:val="center"/>
          </w:tcPr>
          <w:p w14:paraId="2FDF7EA8">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序号</w:t>
            </w:r>
          </w:p>
        </w:tc>
        <w:tc>
          <w:tcPr>
            <w:tcW w:w="7584" w:type="dxa"/>
            <w:shd w:val="clear" w:color="auto" w:fill="FFFFFF"/>
            <w:vAlign w:val="center"/>
          </w:tcPr>
          <w:p w14:paraId="35E4DCC2">
            <w:pPr>
              <w:keepNext w:val="0"/>
              <w:keepLines w:val="0"/>
              <w:pageBreakBefore w:val="0"/>
              <w:kinsoku/>
              <w:wordWrap/>
              <w:overflowPunct/>
              <w:topLinePunct w:val="0"/>
              <w:autoSpaceDE/>
              <w:autoSpaceDN/>
              <w:bidi w:val="0"/>
              <w:adjustRightInd w:val="0"/>
              <w:snapToGrid w:val="0"/>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需求描述</w:t>
            </w:r>
          </w:p>
        </w:tc>
      </w:tr>
      <w:tr w14:paraId="69149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377" w:type="dxa"/>
            <w:vAlign w:val="center"/>
          </w:tcPr>
          <w:p w14:paraId="7D8DC4C0">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default" w:ascii="宋体" w:hAnsi="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实施周期</w:t>
            </w:r>
          </w:p>
        </w:tc>
        <w:tc>
          <w:tcPr>
            <w:tcW w:w="924" w:type="dxa"/>
            <w:shd w:val="clear" w:color="auto" w:fill="auto"/>
            <w:vAlign w:val="center"/>
          </w:tcPr>
          <w:p w14:paraId="3661E6DF">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default" w:ascii="宋体" w:hAnsi="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1</w:t>
            </w:r>
          </w:p>
        </w:tc>
        <w:tc>
          <w:tcPr>
            <w:tcW w:w="7584" w:type="dxa"/>
            <w:vAlign w:val="center"/>
          </w:tcPr>
          <w:p w14:paraId="460C327C">
            <w:pPr>
              <w:pStyle w:val="56"/>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olor w:val="auto"/>
                <w:sz w:val="21"/>
                <w:szCs w:val="21"/>
                <w:highlight w:val="none"/>
                <w:lang w:val="en-US" w:eastAsia="zh-CN"/>
              </w:rPr>
            </w:pPr>
            <w:r>
              <w:rPr>
                <w:rFonts w:hint="eastAsia" w:ascii="宋体" w:hAnsi="宋体"/>
                <w:b/>
                <w:bCs w:val="0"/>
                <w:color w:val="auto"/>
                <w:sz w:val="21"/>
                <w:szCs w:val="21"/>
                <w:highlight w:val="none"/>
                <w:lang w:val="en-US" w:eastAsia="zh-CN"/>
              </w:rPr>
              <w:t>【18】个月</w:t>
            </w:r>
            <w:r>
              <w:rPr>
                <w:rFonts w:hint="eastAsia" w:ascii="宋体" w:hAnsi="宋体"/>
                <w:color w:val="auto"/>
                <w:sz w:val="21"/>
                <w:szCs w:val="21"/>
                <w:highlight w:val="none"/>
                <w:lang w:val="en-US" w:eastAsia="zh-CN"/>
              </w:rPr>
              <w:t>内完成项目范围内全部系统的建设与本地化适配（定制化改造），</w:t>
            </w:r>
            <w:r>
              <w:rPr>
                <w:rFonts w:hint="eastAsia" w:ascii="宋体" w:hAnsi="宋体"/>
                <w:b/>
                <w:bCs w:val="0"/>
                <w:color w:val="auto"/>
                <w:sz w:val="21"/>
                <w:szCs w:val="21"/>
                <w:highlight w:val="none"/>
                <w:lang w:val="en-US" w:eastAsia="zh-CN"/>
              </w:rPr>
              <w:t>【6】个月</w:t>
            </w:r>
            <w:r>
              <w:rPr>
                <w:rFonts w:hint="eastAsia" w:ascii="宋体" w:hAnsi="宋体"/>
                <w:color w:val="auto"/>
                <w:sz w:val="21"/>
                <w:szCs w:val="21"/>
                <w:highlight w:val="none"/>
                <w:lang w:val="en-US" w:eastAsia="zh-CN"/>
              </w:rPr>
              <w:t>内完成HIS核心系统的部署、建设与上线试用。</w:t>
            </w:r>
          </w:p>
          <w:p w14:paraId="311C139D">
            <w:pPr>
              <w:pStyle w:val="56"/>
              <w:keepNext w:val="0"/>
              <w:keepLines w:val="0"/>
              <w:pageBreakBefore w:val="0"/>
              <w:kinsoku/>
              <w:wordWrap/>
              <w:overflowPunct/>
              <w:topLinePunct w:val="0"/>
              <w:autoSpaceDE/>
              <w:autoSpaceDN/>
              <w:bidi w:val="0"/>
              <w:adjustRightInd w:val="0"/>
              <w:snapToGrid w:val="0"/>
              <w:spacing w:line="360" w:lineRule="auto"/>
              <w:textAlignment w:val="auto"/>
              <w:rPr>
                <w:rFonts w:hint="default" w:ascii="宋体" w:hAnsi="宋体"/>
                <w:color w:val="auto"/>
                <w:sz w:val="21"/>
                <w:szCs w:val="21"/>
                <w:highlight w:val="none"/>
                <w:lang w:val="en-US" w:eastAsia="zh-CN"/>
              </w:rPr>
            </w:pPr>
            <w:r>
              <w:rPr>
                <w:rFonts w:hint="default" w:ascii="宋体" w:hAnsi="宋体"/>
                <w:color w:val="auto"/>
                <w:sz w:val="21"/>
                <w:szCs w:val="21"/>
                <w:highlight w:val="none"/>
                <w:lang w:val="en-US" w:eastAsia="zh-CN"/>
              </w:rPr>
              <w:t>HIS核心系统包括：门诊医生站、门诊电子病历、住院医生站、住院护士工作站、药库系统、门诊药房系统、住院药房系统、预存扣款系统、门诊收费系统、住院收费系统、社保审批系统、基础信息维护系统、集成平台。</w:t>
            </w:r>
          </w:p>
        </w:tc>
      </w:tr>
      <w:tr w14:paraId="2BEAD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377" w:type="dxa"/>
            <w:vAlign w:val="center"/>
          </w:tcPr>
          <w:p w14:paraId="1CFECB12">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default"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实施要求</w:t>
            </w:r>
          </w:p>
        </w:tc>
        <w:tc>
          <w:tcPr>
            <w:tcW w:w="924" w:type="dxa"/>
            <w:shd w:val="clear" w:color="auto" w:fill="auto"/>
            <w:vAlign w:val="center"/>
          </w:tcPr>
          <w:p w14:paraId="3725440F">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default"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rPr>
              <w:t>2</w:t>
            </w:r>
          </w:p>
        </w:tc>
        <w:tc>
          <w:tcPr>
            <w:tcW w:w="7584" w:type="dxa"/>
            <w:vAlign w:val="center"/>
          </w:tcPr>
          <w:p w14:paraId="1304EBDC">
            <w:pPr>
              <w:pStyle w:val="56"/>
              <w:keepNext w:val="0"/>
              <w:keepLines w:val="0"/>
              <w:pageBreakBefore w:val="0"/>
              <w:kinsoku/>
              <w:wordWrap/>
              <w:overflowPunct/>
              <w:topLinePunct w:val="0"/>
              <w:autoSpaceDE/>
              <w:autoSpaceDN/>
              <w:bidi w:val="0"/>
              <w:adjustRightInd w:val="0"/>
              <w:snapToGrid w:val="0"/>
              <w:spacing w:line="360" w:lineRule="auto"/>
              <w:textAlignment w:val="auto"/>
              <w:rPr>
                <w:rFonts w:hint="default" w:ascii="宋体" w:hAnsi="宋体"/>
                <w:color w:val="auto"/>
                <w:sz w:val="21"/>
                <w:szCs w:val="21"/>
                <w:highlight w:val="none"/>
                <w:lang w:val="en-US" w:eastAsia="zh-CN"/>
              </w:rPr>
            </w:pPr>
            <w:r>
              <w:rPr>
                <w:rFonts w:hint="eastAsia" w:ascii="宋体" w:hAnsi="宋体"/>
                <w:color w:val="auto"/>
                <w:sz w:val="21"/>
                <w:szCs w:val="21"/>
                <w:highlight w:val="none"/>
                <w:lang w:val="en-US" w:eastAsia="zh-CN"/>
              </w:rPr>
              <w:t>1、历史数据迁移：按中山大学附属第七医院（深圳）技术部门要求完成</w:t>
            </w:r>
            <w:r>
              <w:rPr>
                <w:rFonts w:hint="eastAsia" w:ascii="Segoe UI" w:hAnsi="Segoe UI" w:eastAsia="Segoe UI" w:cs="Segoe UI"/>
                <w:i w:val="0"/>
                <w:iCs w:val="0"/>
                <w:caps w:val="0"/>
                <w:spacing w:val="0"/>
                <w:sz w:val="21"/>
                <w:szCs w:val="21"/>
                <w:highlight w:val="none"/>
                <w:shd w:val="clear" w:fill="FFFFFF"/>
                <w:lang w:val="en-US" w:eastAsia="zh-CN"/>
              </w:rPr>
              <w:t>部分</w:t>
            </w:r>
            <w:r>
              <w:rPr>
                <w:rFonts w:ascii="Segoe UI" w:hAnsi="Segoe UI" w:eastAsia="Segoe UI" w:cs="Segoe UI"/>
                <w:i w:val="0"/>
                <w:iCs w:val="0"/>
                <w:caps w:val="0"/>
                <w:spacing w:val="0"/>
                <w:sz w:val="21"/>
                <w:szCs w:val="21"/>
                <w:highlight w:val="none"/>
                <w:shd w:val="clear" w:fill="FFFFFF"/>
              </w:rPr>
              <w:t>历史数据</w:t>
            </w:r>
            <w:r>
              <w:rPr>
                <w:rFonts w:hint="eastAsia" w:ascii="Segoe UI" w:hAnsi="Segoe UI" w:eastAsia="Segoe UI" w:cs="Segoe UI"/>
                <w:i w:val="0"/>
                <w:iCs w:val="0"/>
                <w:caps w:val="0"/>
                <w:spacing w:val="0"/>
                <w:sz w:val="21"/>
                <w:szCs w:val="21"/>
                <w:highlight w:val="none"/>
                <w:shd w:val="clear" w:fill="FFFFFF"/>
                <w:lang w:val="en-US" w:eastAsia="zh-CN"/>
              </w:rPr>
              <w:t>的</w:t>
            </w:r>
            <w:r>
              <w:rPr>
                <w:rFonts w:ascii="Segoe UI" w:hAnsi="Segoe UI" w:eastAsia="Segoe UI" w:cs="Segoe UI"/>
                <w:i w:val="0"/>
                <w:iCs w:val="0"/>
                <w:caps w:val="0"/>
                <w:spacing w:val="0"/>
                <w:sz w:val="21"/>
                <w:szCs w:val="21"/>
                <w:highlight w:val="none"/>
                <w:shd w:val="clear" w:fill="FFFFFF"/>
              </w:rPr>
              <w:t>迁移工作，保障历史数据的可追溯查询与规范化导入。</w:t>
            </w:r>
          </w:p>
          <w:p w14:paraId="22803198">
            <w:pPr>
              <w:pStyle w:val="56"/>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2、系统安装及使用：支持在</w:t>
            </w:r>
            <w:r>
              <w:rPr>
                <w:rFonts w:hint="default" w:ascii="宋体" w:hAnsi="宋体"/>
                <w:color w:val="auto"/>
                <w:sz w:val="21"/>
                <w:szCs w:val="21"/>
                <w:highlight w:val="none"/>
                <w:lang w:val="en-US" w:eastAsia="zh-CN"/>
              </w:rPr>
              <w:t>中山大学附属第七医院（深圳）</w:t>
            </w:r>
            <w:r>
              <w:rPr>
                <w:rFonts w:hint="eastAsia" w:ascii="宋体" w:hAnsi="宋体"/>
                <w:color w:val="auto"/>
                <w:sz w:val="21"/>
                <w:szCs w:val="21"/>
                <w:highlight w:val="none"/>
                <w:lang w:val="en-US" w:eastAsia="zh-CN"/>
              </w:rPr>
              <w:t>现有操作系统的主机设备上应用，系统的安装使用不限制客户端数量，不限制系统使用的用户数。</w:t>
            </w:r>
          </w:p>
          <w:p w14:paraId="5C92A7CC">
            <w:pPr>
              <w:pStyle w:val="56"/>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3、自动化部署：配合</w:t>
            </w:r>
            <w:r>
              <w:rPr>
                <w:rFonts w:hint="default" w:ascii="宋体" w:hAnsi="宋体"/>
                <w:color w:val="auto"/>
                <w:sz w:val="21"/>
                <w:szCs w:val="21"/>
                <w:highlight w:val="none"/>
                <w:lang w:val="en-US" w:eastAsia="zh-CN"/>
              </w:rPr>
              <w:t>中山大学附属第七医院（深圳）</w:t>
            </w:r>
            <w:r>
              <w:rPr>
                <w:rFonts w:hint="eastAsia" w:ascii="宋体" w:hAnsi="宋体"/>
                <w:color w:val="auto"/>
                <w:sz w:val="21"/>
                <w:szCs w:val="21"/>
                <w:highlight w:val="none"/>
                <w:lang w:val="en-US" w:eastAsia="zh-CN"/>
              </w:rPr>
              <w:t>搭建CICD自动化部署服务，并提供完整的部署文档。</w:t>
            </w:r>
          </w:p>
          <w:p w14:paraId="74A1135A">
            <w:pPr>
              <w:pStyle w:val="56"/>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4、技术与服务升级：</w:t>
            </w:r>
          </w:p>
          <w:p w14:paraId="0F93424D">
            <w:pPr>
              <w:pStyle w:val="56"/>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（1）软件安装与部署：承建单位提供全面的现场培训、安装、调试和开通服务。</w:t>
            </w:r>
          </w:p>
          <w:p w14:paraId="5B2B43E9">
            <w:pPr>
              <w:pStyle w:val="56"/>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（2）系统升级与维护：承建单位在质保期内免费提供软件升级服务，并对系统自身缺陷引起的故障提供终身免费维护。</w:t>
            </w:r>
          </w:p>
          <w:p w14:paraId="00BA7781">
            <w:pPr>
              <w:pStyle w:val="56"/>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（3）系统培训：承建单位提供分类培训，确保工作人员全面掌握系统操作。</w:t>
            </w:r>
          </w:p>
          <w:p w14:paraId="3DA26C81">
            <w:pPr>
              <w:pStyle w:val="56"/>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（4）故障响应：承建单位保证软件故障5分钟内响应，紧急问题2小时内解决。</w:t>
            </w:r>
          </w:p>
          <w:p w14:paraId="75DBE14B">
            <w:pPr>
              <w:pStyle w:val="56"/>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olor w:val="auto"/>
                <w:sz w:val="21"/>
                <w:szCs w:val="21"/>
                <w:highlight w:val="yellow"/>
                <w:lang w:val="en-US" w:eastAsia="zh-CN"/>
              </w:rPr>
            </w:pPr>
            <w:r>
              <w:rPr>
                <w:rFonts w:hint="eastAsia" w:ascii="宋体" w:hAnsi="宋体"/>
                <w:color w:val="auto"/>
                <w:sz w:val="21"/>
                <w:szCs w:val="21"/>
                <w:highlight w:val="none"/>
                <w:lang w:val="en-US" w:eastAsia="zh-CN"/>
              </w:rPr>
              <w:t>（5）技术支持：承建单位提供持续的技术支持服务，解答</w:t>
            </w:r>
            <w:r>
              <w:rPr>
                <w:rFonts w:hint="default" w:ascii="宋体" w:hAnsi="宋体"/>
                <w:color w:val="auto"/>
                <w:sz w:val="21"/>
                <w:szCs w:val="21"/>
                <w:highlight w:val="none"/>
                <w:lang w:val="en-US" w:eastAsia="zh-CN"/>
              </w:rPr>
              <w:t>中山大学附属第七医院（深圳）</w:t>
            </w:r>
            <w:r>
              <w:rPr>
                <w:rFonts w:hint="eastAsia" w:ascii="宋体" w:hAnsi="宋体"/>
                <w:color w:val="auto"/>
                <w:sz w:val="21"/>
                <w:szCs w:val="21"/>
                <w:highlight w:val="none"/>
                <w:lang w:val="en-US" w:eastAsia="zh-CN"/>
              </w:rPr>
              <w:t>在使用过程中的问题。</w:t>
            </w:r>
          </w:p>
        </w:tc>
      </w:tr>
      <w:tr w14:paraId="1A556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377" w:type="dxa"/>
            <w:vAlign w:val="center"/>
          </w:tcPr>
          <w:p w14:paraId="214AA032">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实施阶段人员配置</w:t>
            </w:r>
          </w:p>
        </w:tc>
        <w:tc>
          <w:tcPr>
            <w:tcW w:w="924" w:type="dxa"/>
            <w:shd w:val="clear" w:color="auto" w:fill="auto"/>
            <w:vAlign w:val="center"/>
          </w:tcPr>
          <w:p w14:paraId="537BD6D2">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default" w:ascii="宋体" w:hAnsi="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3</w:t>
            </w:r>
          </w:p>
        </w:tc>
        <w:tc>
          <w:tcPr>
            <w:tcW w:w="7584" w:type="dxa"/>
            <w:vAlign w:val="center"/>
          </w:tcPr>
          <w:p w14:paraId="6FEF3BBC">
            <w:pPr>
              <w:pStyle w:val="56"/>
              <w:keepNext w:val="0"/>
              <w:keepLines w:val="0"/>
              <w:pageBreakBefore w:val="0"/>
              <w:numPr>
                <w:ilvl w:val="0"/>
                <w:numId w:val="127"/>
              </w:numPr>
              <w:kinsoku/>
              <w:wordWrap/>
              <w:overflowPunct/>
              <w:topLinePunct w:val="0"/>
              <w:autoSpaceDE/>
              <w:autoSpaceDN/>
              <w:bidi w:val="0"/>
              <w:adjustRightInd w:val="0"/>
              <w:snapToGrid w:val="0"/>
              <w:spacing w:line="360" w:lineRule="auto"/>
              <w:textAlignment w:val="auto"/>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项目人员</w:t>
            </w:r>
            <w:r>
              <w:rPr>
                <w:rFonts w:hint="eastAsia" w:ascii="宋体" w:hAnsi="宋体"/>
                <w:b w:val="0"/>
                <w:bCs/>
                <w:color w:val="auto"/>
                <w:sz w:val="21"/>
                <w:szCs w:val="21"/>
                <w:highlight w:val="none"/>
                <w:lang w:val="en-US" w:eastAsia="zh-CN"/>
              </w:rPr>
              <w:t>配置</w:t>
            </w:r>
            <w:r>
              <w:rPr>
                <w:rFonts w:hint="eastAsia" w:ascii="宋体" w:hAnsi="宋体"/>
                <w:b/>
                <w:bCs w:val="0"/>
                <w:color w:val="auto"/>
                <w:sz w:val="21"/>
                <w:szCs w:val="21"/>
                <w:highlight w:val="none"/>
                <w:lang w:val="en-US" w:eastAsia="zh-CN"/>
              </w:rPr>
              <w:t>：HIS项目不低于50人（日驻场人数不低于30人），其余系统根据复杂程度配置人员1-3人</w:t>
            </w:r>
            <w:r>
              <w:rPr>
                <w:rFonts w:hint="eastAsia" w:ascii="宋体" w:hAnsi="宋体"/>
                <w:color w:val="auto"/>
                <w:sz w:val="21"/>
                <w:szCs w:val="21"/>
                <w:highlight w:val="none"/>
                <w:lang w:val="en-US" w:eastAsia="zh-CN"/>
              </w:rPr>
              <w:t>，并根据项目进度实际所需，适当增派满足相应领域要求的项目人员；</w:t>
            </w:r>
          </w:p>
          <w:p w14:paraId="53079529">
            <w:pPr>
              <w:pStyle w:val="56"/>
              <w:keepNext w:val="0"/>
              <w:keepLines w:val="0"/>
              <w:pageBreakBefore w:val="0"/>
              <w:numPr>
                <w:ilvl w:val="0"/>
                <w:numId w:val="127"/>
              </w:numPr>
              <w:kinsoku/>
              <w:wordWrap/>
              <w:overflowPunct/>
              <w:topLinePunct w:val="0"/>
              <w:autoSpaceDE/>
              <w:autoSpaceDN/>
              <w:bidi w:val="0"/>
              <w:adjustRightInd w:val="0"/>
              <w:snapToGrid w:val="0"/>
              <w:spacing w:line="360" w:lineRule="auto"/>
              <w:textAlignment w:val="auto"/>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项目经理配置：集成项目经理至少1人；HIS及第三方各功能模块系统均需配置实施</w:t>
            </w:r>
            <w:r>
              <w:rPr>
                <w:rFonts w:hint="eastAsia" w:ascii="宋体" w:hAnsi="宋体"/>
                <w:b w:val="0"/>
                <w:bCs/>
                <w:color w:val="auto"/>
                <w:sz w:val="21"/>
                <w:szCs w:val="21"/>
                <w:highlight w:val="none"/>
                <w:lang w:val="en-US" w:eastAsia="zh-CN"/>
              </w:rPr>
              <w:t>项目经理至少1人；</w:t>
            </w:r>
          </w:p>
          <w:p w14:paraId="182767EA">
            <w:pPr>
              <w:pStyle w:val="56"/>
              <w:keepNext w:val="0"/>
              <w:keepLines w:val="0"/>
              <w:pageBreakBefore w:val="0"/>
              <w:numPr>
                <w:ilvl w:val="0"/>
                <w:numId w:val="127"/>
              </w:numPr>
              <w:kinsoku/>
              <w:wordWrap/>
              <w:overflowPunct/>
              <w:topLinePunct w:val="0"/>
              <w:autoSpaceDE/>
              <w:autoSpaceDN/>
              <w:bidi w:val="0"/>
              <w:adjustRightInd w:val="0"/>
              <w:snapToGrid w:val="0"/>
              <w:spacing w:line="360" w:lineRule="auto"/>
              <w:textAlignment w:val="auto"/>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开发工程师配置：各功能模块系统需配置开发工程师至少2人，新建及升级项目如门诊医生站、收费系统等，需适当增派（3-9人不等）以满足项目实施进度。</w:t>
            </w:r>
          </w:p>
        </w:tc>
      </w:tr>
      <w:tr w14:paraId="76074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377" w:type="dxa"/>
            <w:shd w:val="clear" w:color="auto" w:fill="auto"/>
            <w:vAlign w:val="center"/>
          </w:tcPr>
          <w:p w14:paraId="2A32DB4E">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rPr>
              <w:t>人员资质</w:t>
            </w:r>
          </w:p>
        </w:tc>
        <w:tc>
          <w:tcPr>
            <w:tcW w:w="924" w:type="dxa"/>
            <w:shd w:val="clear" w:color="auto" w:fill="auto"/>
            <w:vAlign w:val="center"/>
          </w:tcPr>
          <w:p w14:paraId="4B78647F">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rPr>
              <w:t>4</w:t>
            </w:r>
          </w:p>
        </w:tc>
        <w:tc>
          <w:tcPr>
            <w:tcW w:w="7584" w:type="dxa"/>
            <w:shd w:val="clear" w:color="auto" w:fill="auto"/>
            <w:vAlign w:val="center"/>
          </w:tcPr>
          <w:p w14:paraId="2788920B">
            <w:pPr>
              <w:pStyle w:val="56"/>
              <w:keepNext w:val="0"/>
              <w:keepLines w:val="0"/>
              <w:pageBreakBefore w:val="0"/>
              <w:numPr>
                <w:ilvl w:val="-1"/>
                <w:numId w:val="0"/>
              </w:numPr>
              <w:kinsoku/>
              <w:wordWrap/>
              <w:overflowPunct/>
              <w:topLinePunct w:val="0"/>
              <w:autoSpaceDE/>
              <w:autoSpaceDN/>
              <w:bidi w:val="0"/>
              <w:adjustRightInd w:val="0"/>
              <w:snapToGrid w:val="0"/>
              <w:spacing w:line="360" w:lineRule="auto"/>
              <w:ind w:firstLine="0" w:firstLineChars="0"/>
              <w:textAlignment w:val="auto"/>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1、项目经理资质要求：计算机专业本科及以上学历，具有3年及以上软件开发项目管理工作经验，1年及以上医院开发项目工作及服务经验。具备系统的医疗业务知识体系，能准确理解医疗行业业务逻辑，可快速对接项目中与医疗场景相关的需求分析、方案设计工作。具备优秀的团队组织能力、丰富的项目实施经验及卓越的领导能力，能科学制定跟踪开发计划，发现及规避项目风险，具备强有力的项目资源协调，及组织能力。有同类同规模项目的实施经验(提供证明材料需盖章)。医院在项目入场实施前通过面试确定项目经理的能力能否胜任，并有权要求对能力不符合要求的项目经理进行更换。项目经理一旦确认原则上不允许随意更换，不可抗力因素导致确需更换的，需要经过医院审批。</w:t>
            </w:r>
          </w:p>
          <w:p w14:paraId="0B61677B">
            <w:pPr>
              <w:pStyle w:val="56"/>
              <w:keepNext w:val="0"/>
              <w:keepLines w:val="0"/>
              <w:pageBreakBefore w:val="0"/>
              <w:numPr>
                <w:ilvl w:val="-1"/>
                <w:numId w:val="0"/>
              </w:numPr>
              <w:kinsoku/>
              <w:wordWrap/>
              <w:overflowPunct/>
              <w:topLinePunct w:val="0"/>
              <w:autoSpaceDE/>
              <w:autoSpaceDN/>
              <w:bidi w:val="0"/>
              <w:adjustRightInd w:val="0"/>
              <w:snapToGrid w:val="0"/>
              <w:spacing w:line="360" w:lineRule="auto"/>
              <w:ind w:firstLine="0" w:firstLineChars="0"/>
              <w:textAlignment w:val="auto"/>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（需提供项目经理及备选人员名单及履历，并加盖公章；提供承诺函，承诺在招标阶段项目经理的人选与评审会的人选保持一致，否则视为无效投标）</w:t>
            </w:r>
          </w:p>
          <w:p w14:paraId="2C06266A">
            <w:pPr>
              <w:pStyle w:val="56"/>
              <w:keepNext w:val="0"/>
              <w:keepLines w:val="0"/>
              <w:pageBreakBefore w:val="0"/>
              <w:kinsoku/>
              <w:wordWrap/>
              <w:overflowPunct/>
              <w:topLinePunct w:val="0"/>
              <w:autoSpaceDE/>
              <w:autoSpaceDN/>
              <w:bidi w:val="0"/>
              <w:adjustRightInd w:val="0"/>
              <w:snapToGrid w:val="0"/>
              <w:spacing w:line="360" w:lineRule="auto"/>
              <w:ind w:firstLine="0" w:firstLineChars="0"/>
              <w:textAlignment w:val="auto"/>
              <w:rPr>
                <w:rFonts w:hint="eastAsia" w:ascii="宋体" w:hAnsi="宋体" w:eastAsia="宋体" w:cs="Times New Roman"/>
                <w:bCs/>
                <w:color w:val="auto"/>
                <w:spacing w:val="10"/>
                <w:kern w:val="0"/>
                <w:sz w:val="21"/>
                <w:szCs w:val="21"/>
                <w:highlight w:val="yellow"/>
                <w:lang w:val="en-US" w:eastAsia="zh-CN" w:bidi="ar-SA"/>
              </w:rPr>
            </w:pPr>
            <w:r>
              <w:rPr>
                <w:rFonts w:hint="eastAsia" w:ascii="宋体" w:hAnsi="宋体"/>
                <w:color w:val="auto"/>
                <w:sz w:val="21"/>
                <w:szCs w:val="21"/>
                <w:highlight w:val="none"/>
                <w:lang w:val="en-US" w:eastAsia="zh-CN"/>
              </w:rPr>
              <w:t>2、开发工程师资质要求：计算机/信息技术相关专业本科及以上学历，2年及以上医疗信息化（相关行业）业务系统开发经验，组织协调能力强，有责任心，熟悉J2EE架构体系，开发团队需掌握JAVA、C#、Node.js、主流前端框架等编程技术，精通SQL语言及PL/SOL工具，具有较强的源代码走读能力。</w:t>
            </w:r>
          </w:p>
        </w:tc>
      </w:tr>
      <w:tr w14:paraId="685EA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377" w:type="dxa"/>
            <w:vAlign w:val="center"/>
          </w:tcPr>
          <w:p w14:paraId="09E7F90A">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default"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验收标准</w:t>
            </w:r>
          </w:p>
        </w:tc>
        <w:tc>
          <w:tcPr>
            <w:tcW w:w="924" w:type="dxa"/>
            <w:shd w:val="clear" w:color="auto" w:fill="auto"/>
            <w:vAlign w:val="center"/>
          </w:tcPr>
          <w:p w14:paraId="0AFE83A4">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default" w:ascii="宋体" w:hAnsi="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5</w:t>
            </w:r>
          </w:p>
        </w:tc>
        <w:tc>
          <w:tcPr>
            <w:tcW w:w="7584" w:type="dxa"/>
            <w:vAlign w:val="center"/>
          </w:tcPr>
          <w:p w14:paraId="65100EBC">
            <w:pPr>
              <w:pStyle w:val="56"/>
              <w:keepNext w:val="0"/>
              <w:keepLines w:val="0"/>
              <w:pageBreakBefore w:val="0"/>
              <w:numPr>
                <w:ilvl w:val="0"/>
                <w:numId w:val="0"/>
              </w:numPr>
              <w:kinsoku/>
              <w:wordWrap/>
              <w:overflowPunct/>
              <w:topLinePunct w:val="0"/>
              <w:autoSpaceDE/>
              <w:autoSpaceDN/>
              <w:bidi w:val="0"/>
              <w:adjustRightInd w:val="0"/>
              <w:snapToGrid w:val="0"/>
              <w:spacing w:line="360" w:lineRule="auto"/>
              <w:textAlignment w:val="auto"/>
              <w:rPr>
                <w:rFonts w:hint="default" w:ascii="宋体" w:hAnsi="宋体"/>
                <w:color w:val="auto"/>
                <w:sz w:val="21"/>
                <w:szCs w:val="21"/>
                <w:highlight w:val="none"/>
                <w:lang w:val="en-US" w:eastAsia="zh-CN"/>
              </w:rPr>
            </w:pPr>
            <w:r>
              <w:rPr>
                <w:rFonts w:hint="eastAsia" w:ascii="宋体" w:hAnsi="宋体"/>
                <w:color w:val="auto"/>
                <w:sz w:val="21"/>
                <w:szCs w:val="21"/>
                <w:highlight w:val="none"/>
                <w:lang w:val="en-US" w:eastAsia="zh-CN"/>
              </w:rPr>
              <w:t>一、关于HIS部分的验收条件（即PB技术更换部分与集成平台，编号1.1.1—1.1.15，2.1）</w:t>
            </w:r>
          </w:p>
          <w:p w14:paraId="4A7F4E82">
            <w:pPr>
              <w:pStyle w:val="56"/>
              <w:keepNext w:val="0"/>
              <w:keepLines w:val="0"/>
              <w:pageBreakBefore w:val="0"/>
              <w:numPr>
                <w:ilvl w:val="0"/>
                <w:numId w:val="0"/>
              </w:numPr>
              <w:kinsoku/>
              <w:wordWrap/>
              <w:overflowPunct/>
              <w:topLinePunct w:val="0"/>
              <w:autoSpaceDE/>
              <w:autoSpaceDN/>
              <w:bidi w:val="0"/>
              <w:adjustRightInd w:val="0"/>
              <w:snapToGrid w:val="0"/>
              <w:spacing w:line="360" w:lineRule="auto"/>
              <w:textAlignment w:val="auto"/>
              <w:rPr>
                <w:rFonts w:hint="default" w:ascii="宋体" w:hAnsi="宋体"/>
                <w:color w:val="auto"/>
                <w:sz w:val="21"/>
                <w:szCs w:val="21"/>
                <w:highlight w:val="none"/>
                <w:lang w:val="en-US" w:eastAsia="zh-CN"/>
              </w:rPr>
            </w:pPr>
            <w:r>
              <w:rPr>
                <w:rFonts w:hint="eastAsia" w:ascii="宋体" w:hAnsi="宋体"/>
                <w:color w:val="auto"/>
                <w:sz w:val="21"/>
                <w:szCs w:val="21"/>
                <w:highlight w:val="none"/>
                <w:lang w:val="en-US" w:eastAsia="zh-CN"/>
              </w:rPr>
              <w:t>1、</w:t>
            </w:r>
            <w:r>
              <w:rPr>
                <w:rFonts w:hint="default" w:ascii="宋体" w:hAnsi="宋体"/>
                <w:color w:val="auto"/>
                <w:sz w:val="21"/>
                <w:szCs w:val="21"/>
                <w:highlight w:val="none"/>
                <w:lang w:val="en-US" w:eastAsia="zh-CN"/>
              </w:rPr>
              <w:t>各功能模块系统（含配套硬件设施）需满足</w:t>
            </w:r>
            <w:r>
              <w:rPr>
                <w:rFonts w:hint="eastAsia" w:ascii="宋体" w:hAnsi="宋体"/>
                <w:color w:val="auto"/>
                <w:sz w:val="21"/>
                <w:szCs w:val="21"/>
                <w:highlight w:val="none"/>
                <w:lang w:val="en-US" w:eastAsia="zh-CN"/>
              </w:rPr>
              <w:t>技术要求，完成软硬件系统的本地化部署、调试、测试；</w:t>
            </w:r>
          </w:p>
          <w:p w14:paraId="40E17A36">
            <w:pPr>
              <w:pStyle w:val="56"/>
              <w:keepNext w:val="0"/>
              <w:keepLines w:val="0"/>
              <w:pageBreakBefore w:val="0"/>
              <w:numPr>
                <w:ilvl w:val="0"/>
                <w:numId w:val="0"/>
              </w:numPr>
              <w:kinsoku/>
              <w:wordWrap/>
              <w:overflowPunct/>
              <w:topLinePunct w:val="0"/>
              <w:autoSpaceDE/>
              <w:autoSpaceDN/>
              <w:bidi w:val="0"/>
              <w:adjustRightInd w:val="0"/>
              <w:snapToGrid w:val="0"/>
              <w:spacing w:line="360" w:lineRule="auto"/>
              <w:textAlignment w:val="auto"/>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3、承建单位须委托具备相应资质的第三方检测机构（经医院认可）开展项目验收测评(含软件开发与系统及相关硬件设备的验收测评)、</w:t>
            </w:r>
            <w:r>
              <w:rPr>
                <w:rFonts w:hint="eastAsia" w:ascii="宋体" w:hAnsi="宋体"/>
                <w:b/>
                <w:bCs w:val="0"/>
                <w:color w:val="auto"/>
                <w:sz w:val="21"/>
                <w:szCs w:val="21"/>
                <w:highlight w:val="none"/>
                <w:lang w:val="en-US" w:eastAsia="zh-CN"/>
              </w:rPr>
              <w:t>网络安全等级保护测评</w:t>
            </w:r>
            <w:r>
              <w:rPr>
                <w:rFonts w:hint="eastAsia" w:ascii="宋体" w:hAnsi="宋体"/>
                <w:color w:val="auto"/>
                <w:sz w:val="21"/>
                <w:szCs w:val="21"/>
                <w:highlight w:val="none"/>
                <w:lang w:val="en-US" w:eastAsia="zh-CN"/>
              </w:rPr>
              <w:t>、商用密码应用安全性评估，并出具检测报告，测评通过后方可上线试运行；</w:t>
            </w:r>
          </w:p>
          <w:p w14:paraId="4BEAA46F">
            <w:pPr>
              <w:pStyle w:val="56"/>
              <w:keepNext w:val="0"/>
              <w:keepLines w:val="0"/>
              <w:pageBreakBefore w:val="0"/>
              <w:numPr>
                <w:ilvl w:val="0"/>
                <w:numId w:val="0"/>
              </w:numPr>
              <w:kinsoku/>
              <w:wordWrap/>
              <w:overflowPunct/>
              <w:topLinePunct w:val="0"/>
              <w:autoSpaceDE/>
              <w:autoSpaceDN/>
              <w:bidi w:val="0"/>
              <w:adjustRightInd w:val="0"/>
              <w:snapToGrid w:val="0"/>
              <w:spacing w:line="360" w:lineRule="auto"/>
              <w:textAlignment w:val="auto"/>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4、</w:t>
            </w:r>
            <w:r>
              <w:rPr>
                <w:rFonts w:hint="default" w:ascii="宋体" w:hAnsi="宋体"/>
                <w:color w:val="auto"/>
                <w:sz w:val="21"/>
                <w:szCs w:val="21"/>
                <w:highlight w:val="none"/>
                <w:lang w:val="en-US" w:eastAsia="zh-CN"/>
              </w:rPr>
              <w:t>上线无故障试运行</w:t>
            </w:r>
            <w:r>
              <w:rPr>
                <w:rFonts w:hint="eastAsia" w:ascii="宋体" w:hAnsi="宋体"/>
                <w:color w:val="auto"/>
                <w:sz w:val="21"/>
                <w:szCs w:val="21"/>
                <w:highlight w:val="none"/>
                <w:lang w:val="en-US" w:eastAsia="zh-CN"/>
              </w:rPr>
              <w:t>3</w:t>
            </w:r>
            <w:r>
              <w:rPr>
                <w:rFonts w:hint="default" w:ascii="宋体" w:hAnsi="宋体"/>
                <w:color w:val="auto"/>
                <w:sz w:val="21"/>
                <w:szCs w:val="21"/>
                <w:highlight w:val="none"/>
                <w:lang w:val="en-US" w:eastAsia="zh-CN"/>
              </w:rPr>
              <w:t>个月</w:t>
            </w:r>
            <w:r>
              <w:rPr>
                <w:rFonts w:hint="eastAsia" w:ascii="宋体" w:hAnsi="宋体"/>
                <w:color w:val="auto"/>
                <w:sz w:val="21"/>
                <w:szCs w:val="21"/>
                <w:highlight w:val="none"/>
                <w:lang w:val="en-US" w:eastAsia="zh-CN"/>
              </w:rPr>
              <w:t>；</w:t>
            </w:r>
          </w:p>
          <w:p w14:paraId="5DF868FD">
            <w:pPr>
              <w:pStyle w:val="56"/>
              <w:keepNext w:val="0"/>
              <w:keepLines w:val="0"/>
              <w:pageBreakBefore w:val="0"/>
              <w:numPr>
                <w:ilvl w:val="0"/>
                <w:numId w:val="0"/>
              </w:numPr>
              <w:kinsoku/>
              <w:wordWrap/>
              <w:overflowPunct/>
              <w:topLinePunct w:val="0"/>
              <w:autoSpaceDE/>
              <w:autoSpaceDN/>
              <w:bidi w:val="0"/>
              <w:adjustRightInd w:val="0"/>
              <w:snapToGrid w:val="0"/>
              <w:spacing w:line="360" w:lineRule="auto"/>
              <w:textAlignment w:val="auto"/>
              <w:rPr>
                <w:rFonts w:hint="default" w:ascii="宋体" w:hAnsi="宋体"/>
                <w:color w:val="auto"/>
                <w:sz w:val="21"/>
                <w:szCs w:val="21"/>
                <w:highlight w:val="none"/>
                <w:lang w:val="en-US" w:eastAsia="zh-CN"/>
              </w:rPr>
            </w:pPr>
            <w:r>
              <w:rPr>
                <w:rFonts w:hint="eastAsia" w:ascii="宋体" w:hAnsi="宋体"/>
                <w:color w:val="auto"/>
                <w:sz w:val="21"/>
                <w:szCs w:val="21"/>
                <w:highlight w:val="none"/>
                <w:lang w:val="en-US" w:eastAsia="zh-CN"/>
              </w:rPr>
              <w:t>5、提供完整的技术资料</w:t>
            </w:r>
            <w:r>
              <w:rPr>
                <w:rFonts w:hint="default" w:ascii="宋体" w:hAnsi="宋体"/>
                <w:color w:val="auto"/>
                <w:sz w:val="21"/>
                <w:szCs w:val="21"/>
                <w:highlight w:val="none"/>
                <w:lang w:val="en-US" w:eastAsia="zh-CN"/>
              </w:rPr>
              <w:t>，</w:t>
            </w:r>
            <w:r>
              <w:rPr>
                <w:rFonts w:hint="eastAsia" w:ascii="宋体" w:hAnsi="宋体"/>
                <w:color w:val="auto"/>
                <w:sz w:val="21"/>
                <w:szCs w:val="21"/>
                <w:highlight w:val="none"/>
                <w:lang w:val="en-US" w:eastAsia="zh-CN"/>
              </w:rPr>
              <w:t>包括但不限于用户需求说明书、需求规格说明书、概要设计说明书、数据库设计说明书、详细设计说明书、实施文档、部署文档、服务器安装软件清单、服务器配置清单、接口文档、测试计划、测试报告、用户手册、系统管理及维护手册、试运行报告、</w:t>
            </w:r>
            <w:r>
              <w:rPr>
                <w:rFonts w:hint="eastAsia" w:ascii="宋体" w:hAnsi="宋体"/>
                <w:b/>
                <w:bCs w:val="0"/>
                <w:color w:val="auto"/>
                <w:sz w:val="21"/>
                <w:szCs w:val="21"/>
                <w:highlight w:val="none"/>
                <w:lang w:val="en-US" w:eastAsia="zh-CN"/>
              </w:rPr>
              <w:t>各系统的源代码和编译后的代码</w:t>
            </w:r>
            <w:r>
              <w:rPr>
                <w:rFonts w:hint="eastAsia" w:ascii="宋体" w:hAnsi="宋体"/>
                <w:color w:val="auto"/>
                <w:sz w:val="21"/>
                <w:szCs w:val="21"/>
                <w:highlight w:val="none"/>
                <w:lang w:val="en-US" w:eastAsia="zh-CN"/>
              </w:rPr>
              <w:t>等；</w:t>
            </w:r>
          </w:p>
          <w:p w14:paraId="4AA577AD">
            <w:pPr>
              <w:pStyle w:val="56"/>
              <w:keepNext w:val="0"/>
              <w:keepLines w:val="0"/>
              <w:pageBreakBefore w:val="0"/>
              <w:numPr>
                <w:ilvl w:val="0"/>
                <w:numId w:val="0"/>
              </w:numPr>
              <w:kinsoku/>
              <w:wordWrap/>
              <w:overflowPunct/>
              <w:topLinePunct w:val="0"/>
              <w:autoSpaceDE/>
              <w:autoSpaceDN/>
              <w:bidi w:val="0"/>
              <w:adjustRightInd w:val="0"/>
              <w:snapToGrid w:val="0"/>
              <w:spacing w:line="360" w:lineRule="auto"/>
              <w:textAlignment w:val="auto"/>
              <w:rPr>
                <w:rFonts w:hint="default" w:ascii="宋体" w:hAnsi="宋体"/>
                <w:color w:val="auto"/>
                <w:sz w:val="21"/>
                <w:szCs w:val="21"/>
                <w:highlight w:val="none"/>
                <w:lang w:val="en-US" w:eastAsia="zh-CN"/>
              </w:rPr>
            </w:pPr>
            <w:r>
              <w:rPr>
                <w:rFonts w:hint="eastAsia" w:ascii="宋体" w:hAnsi="宋体"/>
                <w:color w:val="auto"/>
                <w:sz w:val="21"/>
                <w:szCs w:val="21"/>
                <w:highlight w:val="none"/>
                <w:lang w:val="en-US" w:eastAsia="zh-CN"/>
              </w:rPr>
              <w:t>6、</w:t>
            </w:r>
            <w:r>
              <w:rPr>
                <w:rFonts w:hint="default" w:ascii="宋体" w:hAnsi="宋体"/>
                <w:color w:val="auto"/>
                <w:sz w:val="21"/>
                <w:szCs w:val="21"/>
                <w:highlight w:val="none"/>
                <w:lang w:val="en-US" w:eastAsia="zh-CN"/>
              </w:rPr>
              <w:t>经中山大学附属第七医院（深圳）同意，承建单位分别对各功能模块系统提出验收申请。</w:t>
            </w:r>
          </w:p>
          <w:p w14:paraId="051E49AD">
            <w:pPr>
              <w:pStyle w:val="56"/>
              <w:keepNext w:val="0"/>
              <w:keepLines w:val="0"/>
              <w:pageBreakBefore w:val="0"/>
              <w:numPr>
                <w:ilvl w:val="0"/>
                <w:numId w:val="0"/>
              </w:numPr>
              <w:kinsoku/>
              <w:wordWrap/>
              <w:overflowPunct/>
              <w:topLinePunct w:val="0"/>
              <w:autoSpaceDE/>
              <w:autoSpaceDN/>
              <w:bidi w:val="0"/>
              <w:adjustRightInd w:val="0"/>
              <w:snapToGrid w:val="0"/>
              <w:spacing w:line="360" w:lineRule="auto"/>
              <w:textAlignment w:val="auto"/>
              <w:rPr>
                <w:rFonts w:hint="default" w:ascii="宋体" w:hAnsi="宋体"/>
                <w:color w:val="auto"/>
                <w:sz w:val="21"/>
                <w:szCs w:val="21"/>
                <w:highlight w:val="none"/>
                <w:lang w:val="en-US" w:eastAsia="zh-CN"/>
              </w:rPr>
            </w:pPr>
          </w:p>
          <w:p w14:paraId="41A04F12">
            <w:pPr>
              <w:pStyle w:val="56"/>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textAlignment w:val="auto"/>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二、关于非HIS部分的建设/升级系统验收条件（编号1.2.1—1.2.7，2.2</w:t>
            </w:r>
            <w:bookmarkStart w:id="311" w:name="_GoBack"/>
            <w:bookmarkEnd w:id="311"/>
            <w:r>
              <w:rPr>
                <w:rFonts w:hint="eastAsia" w:ascii="宋体" w:hAnsi="宋体"/>
                <w:color w:val="auto"/>
                <w:sz w:val="21"/>
                <w:szCs w:val="21"/>
                <w:highlight w:val="none"/>
                <w:lang w:val="en-US" w:eastAsia="zh-CN"/>
              </w:rPr>
              <w:t>—2.12）</w:t>
            </w:r>
          </w:p>
          <w:p w14:paraId="218E5E37">
            <w:pPr>
              <w:pStyle w:val="56"/>
              <w:keepNext w:val="0"/>
              <w:keepLines w:val="0"/>
              <w:pageBreakBefore w:val="0"/>
              <w:numPr>
                <w:ilvl w:val="-1"/>
                <w:numId w:val="0"/>
              </w:numPr>
              <w:kinsoku/>
              <w:wordWrap/>
              <w:overflowPunct/>
              <w:topLinePunct w:val="0"/>
              <w:autoSpaceDE/>
              <w:autoSpaceDN/>
              <w:bidi w:val="0"/>
              <w:adjustRightInd w:val="0"/>
              <w:snapToGrid w:val="0"/>
              <w:spacing w:line="360" w:lineRule="auto"/>
              <w:textAlignment w:val="auto"/>
              <w:rPr>
                <w:rFonts w:hint="default" w:ascii="宋体" w:hAnsi="宋体"/>
                <w:color w:val="auto"/>
                <w:sz w:val="21"/>
                <w:szCs w:val="21"/>
                <w:highlight w:val="none"/>
                <w:lang w:val="en-US" w:eastAsia="zh-CN"/>
              </w:rPr>
            </w:pPr>
            <w:r>
              <w:rPr>
                <w:rFonts w:hint="eastAsia" w:ascii="宋体" w:hAnsi="宋体"/>
                <w:color w:val="auto"/>
                <w:sz w:val="21"/>
                <w:szCs w:val="21"/>
                <w:highlight w:val="none"/>
                <w:lang w:val="en-US" w:eastAsia="zh-CN"/>
              </w:rPr>
              <w:t>1、</w:t>
            </w:r>
            <w:r>
              <w:rPr>
                <w:rFonts w:hint="default" w:ascii="宋体" w:hAnsi="宋体"/>
                <w:color w:val="auto"/>
                <w:sz w:val="21"/>
                <w:szCs w:val="21"/>
                <w:highlight w:val="none"/>
                <w:lang w:val="en-US" w:eastAsia="zh-CN"/>
              </w:rPr>
              <w:t>各功能模块系统（含配套硬件设施）需满足</w:t>
            </w:r>
            <w:r>
              <w:rPr>
                <w:rFonts w:hint="eastAsia" w:ascii="宋体" w:hAnsi="宋体"/>
                <w:color w:val="auto"/>
                <w:sz w:val="21"/>
                <w:szCs w:val="21"/>
                <w:highlight w:val="none"/>
                <w:lang w:val="en-US" w:eastAsia="zh-CN"/>
              </w:rPr>
              <w:t>技术要求，完成软硬件系统的本地化部署、调试、测试；</w:t>
            </w:r>
          </w:p>
          <w:p w14:paraId="0EA82476">
            <w:pPr>
              <w:pStyle w:val="56"/>
              <w:keepNext w:val="0"/>
              <w:keepLines w:val="0"/>
              <w:pageBreakBefore w:val="0"/>
              <w:numPr>
                <w:ilvl w:val="-1"/>
                <w:numId w:val="0"/>
              </w:numPr>
              <w:kinsoku/>
              <w:wordWrap/>
              <w:overflowPunct/>
              <w:topLinePunct w:val="0"/>
              <w:autoSpaceDE/>
              <w:autoSpaceDN/>
              <w:bidi w:val="0"/>
              <w:adjustRightInd w:val="0"/>
              <w:snapToGrid w:val="0"/>
              <w:spacing w:line="360" w:lineRule="auto"/>
              <w:textAlignment w:val="auto"/>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3、承建单位须委托具备相应资质的第三方检测机构（经医院认可）开展项目验收测评(含软件开发与系统及相关硬件设备的验收测评)、商用密码应用安全性评估，并出具检测报告，测评通过后方可上线试运行；</w:t>
            </w:r>
          </w:p>
          <w:p w14:paraId="11749281">
            <w:pPr>
              <w:pStyle w:val="56"/>
              <w:keepNext w:val="0"/>
              <w:keepLines w:val="0"/>
              <w:pageBreakBefore w:val="0"/>
              <w:numPr>
                <w:ilvl w:val="-1"/>
                <w:numId w:val="0"/>
              </w:numPr>
              <w:kinsoku/>
              <w:wordWrap/>
              <w:overflowPunct/>
              <w:topLinePunct w:val="0"/>
              <w:autoSpaceDE/>
              <w:autoSpaceDN/>
              <w:bidi w:val="0"/>
              <w:adjustRightInd w:val="0"/>
              <w:snapToGrid w:val="0"/>
              <w:spacing w:line="360" w:lineRule="auto"/>
              <w:textAlignment w:val="auto"/>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4、</w:t>
            </w:r>
            <w:r>
              <w:rPr>
                <w:rFonts w:hint="default" w:ascii="宋体" w:hAnsi="宋体"/>
                <w:color w:val="auto"/>
                <w:sz w:val="21"/>
                <w:szCs w:val="21"/>
                <w:highlight w:val="none"/>
                <w:lang w:val="en-US" w:eastAsia="zh-CN"/>
              </w:rPr>
              <w:t>上线无故障试运行</w:t>
            </w:r>
            <w:r>
              <w:rPr>
                <w:rFonts w:hint="eastAsia" w:ascii="宋体" w:hAnsi="宋体"/>
                <w:color w:val="auto"/>
                <w:sz w:val="21"/>
                <w:szCs w:val="21"/>
                <w:highlight w:val="none"/>
                <w:lang w:val="en-US" w:eastAsia="zh-CN"/>
              </w:rPr>
              <w:t>3</w:t>
            </w:r>
            <w:r>
              <w:rPr>
                <w:rFonts w:hint="default" w:ascii="宋体" w:hAnsi="宋体"/>
                <w:color w:val="auto"/>
                <w:sz w:val="21"/>
                <w:szCs w:val="21"/>
                <w:highlight w:val="none"/>
                <w:lang w:val="en-US" w:eastAsia="zh-CN"/>
              </w:rPr>
              <w:t>个月</w:t>
            </w:r>
            <w:r>
              <w:rPr>
                <w:rFonts w:hint="eastAsia" w:ascii="宋体" w:hAnsi="宋体"/>
                <w:color w:val="auto"/>
                <w:sz w:val="21"/>
                <w:szCs w:val="21"/>
                <w:highlight w:val="none"/>
                <w:lang w:val="en-US" w:eastAsia="zh-CN"/>
              </w:rPr>
              <w:t>；</w:t>
            </w:r>
          </w:p>
          <w:p w14:paraId="0671C3CD">
            <w:pPr>
              <w:pStyle w:val="56"/>
              <w:keepNext w:val="0"/>
              <w:keepLines w:val="0"/>
              <w:pageBreakBefore w:val="0"/>
              <w:numPr>
                <w:ilvl w:val="-1"/>
                <w:numId w:val="0"/>
              </w:numPr>
              <w:kinsoku/>
              <w:wordWrap/>
              <w:overflowPunct/>
              <w:topLinePunct w:val="0"/>
              <w:autoSpaceDE/>
              <w:autoSpaceDN/>
              <w:bidi w:val="0"/>
              <w:adjustRightInd w:val="0"/>
              <w:snapToGrid w:val="0"/>
              <w:spacing w:line="360" w:lineRule="auto"/>
              <w:textAlignment w:val="auto"/>
              <w:rPr>
                <w:rFonts w:hint="default" w:ascii="宋体" w:hAnsi="宋体"/>
                <w:color w:val="auto"/>
                <w:sz w:val="21"/>
                <w:szCs w:val="21"/>
                <w:highlight w:val="none"/>
                <w:lang w:val="en-US" w:eastAsia="zh-CN"/>
              </w:rPr>
            </w:pPr>
            <w:r>
              <w:rPr>
                <w:rFonts w:hint="eastAsia" w:ascii="宋体" w:hAnsi="宋体"/>
                <w:color w:val="auto"/>
                <w:sz w:val="21"/>
                <w:szCs w:val="21"/>
                <w:highlight w:val="none"/>
                <w:lang w:val="en-US" w:eastAsia="zh-CN"/>
              </w:rPr>
              <w:t>5、提供完整的技术资料</w:t>
            </w:r>
            <w:r>
              <w:rPr>
                <w:rFonts w:hint="default" w:ascii="宋体" w:hAnsi="宋体"/>
                <w:color w:val="auto"/>
                <w:sz w:val="21"/>
                <w:szCs w:val="21"/>
                <w:highlight w:val="none"/>
                <w:lang w:val="en-US" w:eastAsia="zh-CN"/>
              </w:rPr>
              <w:t>，</w:t>
            </w:r>
            <w:r>
              <w:rPr>
                <w:rFonts w:hint="eastAsia" w:ascii="宋体" w:hAnsi="宋体"/>
                <w:color w:val="auto"/>
                <w:sz w:val="21"/>
                <w:szCs w:val="21"/>
                <w:highlight w:val="none"/>
                <w:lang w:val="en-US" w:eastAsia="zh-CN"/>
              </w:rPr>
              <w:t>包括但不限于用户需求说明书、需求规格说明书、概要设计说明书、数据库设计说明书、详细设计说明书、实施文档、部署文档、服务器安装软件清单、服务器配置清单、接口文档、测试计划、测试报告、用户手册、系统管理及维护手册、试运行报告等；</w:t>
            </w:r>
          </w:p>
          <w:p w14:paraId="00A884D2">
            <w:pPr>
              <w:pStyle w:val="56"/>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textAlignment w:val="auto"/>
              <w:rPr>
                <w:rFonts w:hint="default" w:ascii="宋体" w:hAnsi="宋体"/>
                <w:color w:val="auto"/>
                <w:sz w:val="21"/>
                <w:szCs w:val="21"/>
                <w:highlight w:val="none"/>
                <w:lang w:val="en-US" w:eastAsia="zh-CN"/>
              </w:rPr>
            </w:pPr>
            <w:r>
              <w:rPr>
                <w:rFonts w:hint="eastAsia" w:ascii="宋体" w:hAnsi="宋体"/>
                <w:color w:val="auto"/>
                <w:sz w:val="21"/>
                <w:szCs w:val="21"/>
                <w:highlight w:val="none"/>
                <w:lang w:val="en-US" w:eastAsia="zh-CN"/>
              </w:rPr>
              <w:t>6、</w:t>
            </w:r>
            <w:r>
              <w:rPr>
                <w:rFonts w:hint="default" w:ascii="宋体" w:hAnsi="宋体"/>
                <w:color w:val="auto"/>
                <w:sz w:val="21"/>
                <w:szCs w:val="21"/>
                <w:highlight w:val="none"/>
                <w:lang w:val="en-US" w:eastAsia="zh-CN"/>
              </w:rPr>
              <w:t>经中山大学附属第七医院（深圳）同意，承建单位分别对各功能模块系统提出验收申请。</w:t>
            </w:r>
          </w:p>
          <w:p w14:paraId="1CE9FFE6">
            <w:pPr>
              <w:pStyle w:val="56"/>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textAlignment w:val="auto"/>
              <w:rPr>
                <w:rFonts w:hint="eastAsia" w:ascii="宋体" w:hAnsi="宋体"/>
                <w:color w:val="auto"/>
                <w:sz w:val="21"/>
                <w:szCs w:val="21"/>
                <w:highlight w:val="none"/>
                <w:lang w:val="en-US" w:eastAsia="zh-CN"/>
              </w:rPr>
            </w:pPr>
          </w:p>
          <w:p w14:paraId="272CA9B2">
            <w:pPr>
              <w:pStyle w:val="56"/>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textAlignment w:val="auto"/>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三、关于HIS系统对接需求的验收条件（编号4）</w:t>
            </w:r>
          </w:p>
          <w:p w14:paraId="74E042BB">
            <w:pPr>
              <w:pStyle w:val="56"/>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textAlignment w:val="auto"/>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1、按医院要求或提供的接口文档完成对接；</w:t>
            </w:r>
          </w:p>
          <w:p w14:paraId="203D7B90">
            <w:pPr>
              <w:pStyle w:val="56"/>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textAlignment w:val="auto"/>
              <w:rPr>
                <w:rFonts w:hint="default" w:ascii="宋体" w:hAnsi="宋体"/>
                <w:color w:val="auto"/>
                <w:sz w:val="21"/>
                <w:szCs w:val="21"/>
                <w:highlight w:val="none"/>
                <w:lang w:val="en-US" w:eastAsia="zh-CN"/>
              </w:rPr>
            </w:pPr>
            <w:r>
              <w:rPr>
                <w:rFonts w:hint="eastAsia" w:ascii="宋体" w:hAnsi="宋体"/>
                <w:color w:val="auto"/>
                <w:sz w:val="21"/>
                <w:szCs w:val="21"/>
                <w:highlight w:val="none"/>
                <w:lang w:val="en-US" w:eastAsia="zh-CN"/>
              </w:rPr>
              <w:t>2、按医保、卫健、疾控等上级管理单位所发布的政策文件的要求完成对接。</w:t>
            </w:r>
          </w:p>
          <w:p w14:paraId="2CC6D8F4">
            <w:pPr>
              <w:pStyle w:val="56"/>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textAlignment w:val="auto"/>
              <w:rPr>
                <w:rFonts w:hint="eastAsia" w:ascii="宋体" w:hAnsi="宋体"/>
                <w:color w:val="auto"/>
                <w:sz w:val="21"/>
                <w:szCs w:val="21"/>
                <w:highlight w:val="none"/>
                <w:lang w:val="en-US" w:eastAsia="zh-CN"/>
              </w:rPr>
            </w:pPr>
          </w:p>
          <w:p w14:paraId="3A629A61">
            <w:pPr>
              <w:pStyle w:val="56"/>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textAlignment w:val="auto"/>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四、关于建设/升级系统、HIS系统对接需求的</w:t>
            </w:r>
            <w:r>
              <w:rPr>
                <w:rFonts w:hint="default" w:ascii="宋体" w:hAnsi="宋体"/>
                <w:color w:val="auto"/>
                <w:sz w:val="21"/>
                <w:szCs w:val="21"/>
                <w:highlight w:val="none"/>
                <w:lang w:val="en-US" w:eastAsia="zh-CN"/>
              </w:rPr>
              <w:t>验收流程</w:t>
            </w:r>
            <w:r>
              <w:rPr>
                <w:rFonts w:hint="eastAsia" w:ascii="宋体" w:hAnsi="宋体"/>
                <w:color w:val="auto"/>
                <w:sz w:val="21"/>
                <w:szCs w:val="21"/>
                <w:highlight w:val="none"/>
                <w:lang w:val="en-US" w:eastAsia="zh-CN"/>
              </w:rPr>
              <w:t>（编号1.1.1—1.1.15，1.2.1—1.2.7，2.1—2.12，4）</w:t>
            </w:r>
          </w:p>
          <w:p w14:paraId="5CCA8DD8">
            <w:pPr>
              <w:pStyle w:val="56"/>
              <w:keepNext w:val="0"/>
              <w:keepLines w:val="0"/>
              <w:pageBreakBefore w:val="0"/>
              <w:numPr>
                <w:ilvl w:val="-1"/>
                <w:numId w:val="0"/>
              </w:numPr>
              <w:kinsoku/>
              <w:wordWrap/>
              <w:overflowPunct/>
              <w:topLinePunct w:val="0"/>
              <w:autoSpaceDE/>
              <w:autoSpaceDN/>
              <w:bidi w:val="0"/>
              <w:adjustRightInd w:val="0"/>
              <w:snapToGrid w:val="0"/>
              <w:spacing w:line="360" w:lineRule="auto"/>
              <w:textAlignment w:val="auto"/>
              <w:rPr>
                <w:rFonts w:hint="default" w:ascii="宋体" w:hAnsi="宋体"/>
                <w:color w:val="auto"/>
                <w:sz w:val="21"/>
                <w:szCs w:val="21"/>
                <w:highlight w:val="none"/>
                <w:lang w:val="en-US" w:eastAsia="zh-CN"/>
              </w:rPr>
            </w:pPr>
            <w:r>
              <w:rPr>
                <w:rFonts w:hint="default" w:ascii="宋体" w:hAnsi="宋体"/>
                <w:color w:val="auto"/>
                <w:sz w:val="21"/>
                <w:szCs w:val="21"/>
                <w:highlight w:val="none"/>
                <w:lang w:val="en-US" w:eastAsia="zh-CN"/>
              </w:rPr>
              <w:t>1</w:t>
            </w:r>
            <w:r>
              <w:rPr>
                <w:rFonts w:hint="eastAsia" w:ascii="宋体" w:hAnsi="宋体"/>
                <w:color w:val="auto"/>
                <w:sz w:val="21"/>
                <w:szCs w:val="21"/>
                <w:highlight w:val="none"/>
                <w:lang w:val="en-US" w:eastAsia="zh-CN"/>
              </w:rPr>
              <w:t>、</w:t>
            </w:r>
            <w:r>
              <w:rPr>
                <w:rFonts w:hint="default" w:ascii="宋体" w:hAnsi="宋体"/>
                <w:color w:val="auto"/>
                <w:sz w:val="21"/>
                <w:szCs w:val="21"/>
                <w:highlight w:val="none"/>
                <w:lang w:val="en-US" w:eastAsia="zh-CN"/>
              </w:rPr>
              <w:t>满足验收条件后，承建单位通过书面形式向中山大学附属第七医院（深圳）提出验收申请。</w:t>
            </w:r>
          </w:p>
          <w:p w14:paraId="6B335AEF">
            <w:pPr>
              <w:pStyle w:val="56"/>
              <w:keepNext w:val="0"/>
              <w:keepLines w:val="0"/>
              <w:pageBreakBefore w:val="0"/>
              <w:numPr>
                <w:ilvl w:val="-1"/>
                <w:numId w:val="0"/>
              </w:numPr>
              <w:kinsoku/>
              <w:wordWrap/>
              <w:overflowPunct/>
              <w:topLinePunct w:val="0"/>
              <w:autoSpaceDE/>
              <w:autoSpaceDN/>
              <w:bidi w:val="0"/>
              <w:adjustRightInd w:val="0"/>
              <w:snapToGrid w:val="0"/>
              <w:spacing w:line="360" w:lineRule="auto"/>
              <w:textAlignment w:val="auto"/>
              <w:rPr>
                <w:rFonts w:hint="default" w:ascii="宋体" w:hAnsi="宋体"/>
                <w:color w:val="auto"/>
                <w:sz w:val="21"/>
                <w:szCs w:val="21"/>
                <w:highlight w:val="none"/>
                <w:lang w:val="en-US" w:eastAsia="zh-CN"/>
              </w:rPr>
            </w:pPr>
            <w:r>
              <w:rPr>
                <w:rFonts w:hint="default" w:ascii="宋体" w:hAnsi="宋体"/>
                <w:color w:val="auto"/>
                <w:sz w:val="21"/>
                <w:szCs w:val="21"/>
                <w:highlight w:val="none"/>
                <w:lang w:val="en-US" w:eastAsia="zh-CN"/>
              </w:rPr>
              <w:t>2</w:t>
            </w:r>
            <w:r>
              <w:rPr>
                <w:rFonts w:hint="eastAsia" w:ascii="宋体" w:hAnsi="宋体"/>
                <w:color w:val="auto"/>
                <w:sz w:val="21"/>
                <w:szCs w:val="21"/>
                <w:highlight w:val="none"/>
                <w:lang w:val="en-US" w:eastAsia="zh-CN"/>
              </w:rPr>
              <w:t>、</w:t>
            </w:r>
            <w:r>
              <w:rPr>
                <w:rFonts w:hint="default" w:ascii="宋体" w:hAnsi="宋体"/>
                <w:color w:val="auto"/>
                <w:sz w:val="21"/>
                <w:szCs w:val="21"/>
                <w:highlight w:val="none"/>
                <w:lang w:val="en-US" w:eastAsia="zh-CN"/>
              </w:rPr>
              <w:t>中山大学附属第七医院（深圳）组织相关人员对项目进行验收，根据不同功能模块系统分别出具</w:t>
            </w:r>
            <w:r>
              <w:rPr>
                <w:rFonts w:hint="eastAsia" w:ascii="宋体" w:hAnsi="宋体"/>
                <w:color w:val="auto"/>
                <w:sz w:val="21"/>
                <w:szCs w:val="21"/>
                <w:highlight w:val="none"/>
                <w:lang w:val="en-US" w:eastAsia="zh-CN"/>
              </w:rPr>
              <w:t>分项</w:t>
            </w:r>
            <w:r>
              <w:rPr>
                <w:rFonts w:hint="default" w:ascii="宋体" w:hAnsi="宋体"/>
                <w:color w:val="auto"/>
                <w:sz w:val="21"/>
                <w:szCs w:val="21"/>
                <w:highlight w:val="none"/>
                <w:lang w:val="en-US" w:eastAsia="zh-CN"/>
              </w:rPr>
              <w:t>验收报告</w:t>
            </w:r>
            <w:r>
              <w:rPr>
                <w:rFonts w:hint="eastAsia" w:ascii="宋体" w:hAnsi="宋体"/>
                <w:color w:val="auto"/>
                <w:sz w:val="21"/>
                <w:szCs w:val="21"/>
                <w:highlight w:val="none"/>
                <w:lang w:val="en-US" w:eastAsia="zh-CN"/>
              </w:rPr>
              <w:t>。</w:t>
            </w:r>
          </w:p>
          <w:p w14:paraId="4D67A8DF">
            <w:pPr>
              <w:pStyle w:val="56"/>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textAlignment w:val="auto"/>
              <w:rPr>
                <w:rFonts w:hint="eastAsia" w:ascii="宋体" w:hAnsi="宋体"/>
                <w:color w:val="auto"/>
                <w:sz w:val="21"/>
                <w:szCs w:val="21"/>
                <w:highlight w:val="none"/>
                <w:lang w:val="en-US" w:eastAsia="zh-CN"/>
              </w:rPr>
            </w:pPr>
            <w:r>
              <w:rPr>
                <w:rFonts w:hint="default" w:ascii="宋体" w:hAnsi="宋体"/>
                <w:color w:val="auto"/>
                <w:sz w:val="21"/>
                <w:szCs w:val="21"/>
                <w:highlight w:val="none"/>
                <w:lang w:val="en-US" w:eastAsia="zh-CN"/>
              </w:rPr>
              <w:t>3</w:t>
            </w:r>
            <w:r>
              <w:rPr>
                <w:rFonts w:hint="eastAsia" w:ascii="宋体" w:hAnsi="宋体"/>
                <w:color w:val="auto"/>
                <w:sz w:val="21"/>
                <w:szCs w:val="21"/>
                <w:highlight w:val="none"/>
                <w:lang w:val="en-US" w:eastAsia="zh-CN"/>
              </w:rPr>
              <w:t>、</w:t>
            </w:r>
            <w:r>
              <w:rPr>
                <w:rFonts w:hint="default" w:ascii="宋体" w:hAnsi="宋体"/>
                <w:color w:val="auto"/>
                <w:sz w:val="21"/>
                <w:szCs w:val="21"/>
                <w:highlight w:val="none"/>
                <w:lang w:val="en-US" w:eastAsia="zh-CN"/>
              </w:rPr>
              <w:t>在验收过程中，如出现严重缺陷等问题时，中山大学附属第七医院（深圳）可暂停验收，直至缺陷和问题得到纠正。</w:t>
            </w:r>
          </w:p>
          <w:p w14:paraId="4F09C72B">
            <w:pPr>
              <w:pStyle w:val="56"/>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textAlignment w:val="auto"/>
              <w:rPr>
                <w:rFonts w:hint="eastAsia" w:ascii="宋体" w:hAnsi="宋体"/>
                <w:color w:val="auto"/>
                <w:sz w:val="21"/>
                <w:szCs w:val="21"/>
                <w:highlight w:val="none"/>
                <w:lang w:val="en-US" w:eastAsia="zh-CN"/>
              </w:rPr>
            </w:pPr>
          </w:p>
          <w:p w14:paraId="1660F34E">
            <w:pPr>
              <w:pStyle w:val="56"/>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textAlignment w:val="auto"/>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五、关于其他技术需求的验收条件（编号3.1—3.11）</w:t>
            </w:r>
          </w:p>
          <w:p w14:paraId="17DBC2D2">
            <w:pPr>
              <w:pStyle w:val="56"/>
              <w:keepNext w:val="0"/>
              <w:keepLines w:val="0"/>
              <w:pageBreakBefore w:val="0"/>
              <w:numPr>
                <w:ilvl w:val="-1"/>
                <w:numId w:val="0"/>
              </w:numPr>
              <w:kinsoku/>
              <w:wordWrap/>
              <w:overflowPunct/>
              <w:topLinePunct w:val="0"/>
              <w:autoSpaceDE/>
              <w:autoSpaceDN/>
              <w:bidi w:val="0"/>
              <w:adjustRightInd w:val="0"/>
              <w:snapToGrid w:val="0"/>
              <w:spacing w:line="360" w:lineRule="auto"/>
              <w:textAlignment w:val="auto"/>
              <w:rPr>
                <w:rFonts w:hint="default" w:ascii="宋体" w:hAnsi="宋体"/>
                <w:color w:val="auto"/>
                <w:sz w:val="21"/>
                <w:szCs w:val="21"/>
                <w:highlight w:val="none"/>
                <w:lang w:val="en-US" w:eastAsia="zh-CN"/>
              </w:rPr>
            </w:pPr>
            <w:r>
              <w:rPr>
                <w:rFonts w:hint="eastAsia" w:ascii="宋体" w:hAnsi="宋体"/>
                <w:color w:val="auto"/>
                <w:sz w:val="21"/>
                <w:szCs w:val="21"/>
                <w:highlight w:val="none"/>
                <w:lang w:val="en-US" w:eastAsia="zh-CN"/>
              </w:rPr>
              <w:t>1、</w:t>
            </w:r>
            <w:r>
              <w:rPr>
                <w:rFonts w:hint="default" w:ascii="宋体" w:hAnsi="宋体"/>
                <w:color w:val="auto"/>
                <w:sz w:val="21"/>
                <w:szCs w:val="21"/>
                <w:highlight w:val="none"/>
                <w:lang w:val="en-US" w:eastAsia="zh-CN"/>
              </w:rPr>
              <w:t>各功能模块系统（含配套硬件设施）需满足</w:t>
            </w:r>
            <w:r>
              <w:rPr>
                <w:rFonts w:hint="eastAsia" w:ascii="宋体" w:hAnsi="宋体"/>
                <w:color w:val="auto"/>
                <w:sz w:val="21"/>
                <w:szCs w:val="21"/>
                <w:highlight w:val="none"/>
                <w:lang w:val="en-US" w:eastAsia="zh-CN"/>
              </w:rPr>
              <w:t>技术要求，完成软硬件系统的本地化部署、调试、测试；</w:t>
            </w:r>
          </w:p>
          <w:p w14:paraId="66FEF565">
            <w:pPr>
              <w:pStyle w:val="56"/>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textAlignment w:val="auto"/>
              <w:rPr>
                <w:rFonts w:hint="default" w:ascii="宋体" w:hAnsi="宋体"/>
                <w:color w:val="auto"/>
                <w:sz w:val="21"/>
                <w:szCs w:val="21"/>
                <w:highlight w:val="none"/>
                <w:lang w:val="en-US" w:eastAsia="zh-CN"/>
              </w:rPr>
            </w:pPr>
            <w:r>
              <w:rPr>
                <w:rFonts w:hint="eastAsia" w:ascii="宋体" w:hAnsi="宋体"/>
                <w:color w:val="auto"/>
                <w:sz w:val="21"/>
                <w:szCs w:val="21"/>
                <w:highlight w:val="none"/>
                <w:lang w:val="en-US" w:eastAsia="zh-CN"/>
              </w:rPr>
              <w:t>2、提供完整的技术资料</w:t>
            </w:r>
            <w:r>
              <w:rPr>
                <w:rFonts w:hint="default" w:ascii="宋体" w:hAnsi="宋体"/>
                <w:color w:val="auto"/>
                <w:sz w:val="21"/>
                <w:szCs w:val="21"/>
                <w:highlight w:val="none"/>
                <w:lang w:val="en-US" w:eastAsia="zh-CN"/>
              </w:rPr>
              <w:t>，</w:t>
            </w:r>
            <w:r>
              <w:rPr>
                <w:rFonts w:hint="eastAsia" w:ascii="宋体" w:hAnsi="宋体"/>
                <w:color w:val="auto"/>
                <w:sz w:val="21"/>
                <w:szCs w:val="21"/>
                <w:highlight w:val="none"/>
                <w:lang w:val="en-US" w:eastAsia="zh-CN"/>
              </w:rPr>
              <w:t>包括但不限于接口文档、测试报告、用户手册、系统管理及维护手册。</w:t>
            </w:r>
          </w:p>
          <w:p w14:paraId="3E508E4A">
            <w:pPr>
              <w:pStyle w:val="56"/>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textAlignment w:val="auto"/>
              <w:rPr>
                <w:rFonts w:hint="default" w:ascii="宋体" w:hAnsi="宋体"/>
                <w:color w:val="auto"/>
                <w:sz w:val="21"/>
                <w:szCs w:val="21"/>
                <w:highlight w:val="none"/>
                <w:lang w:val="en-US" w:eastAsia="zh-CN"/>
              </w:rPr>
            </w:pPr>
            <w:r>
              <w:rPr>
                <w:rFonts w:hint="eastAsia" w:ascii="宋体" w:hAnsi="宋体"/>
                <w:color w:val="auto"/>
                <w:sz w:val="21"/>
                <w:szCs w:val="21"/>
                <w:highlight w:val="none"/>
                <w:lang w:val="en-US" w:eastAsia="zh-CN"/>
              </w:rPr>
              <w:t>六、关于其他技术需求的验收流程（编号3.1—3.11）</w:t>
            </w:r>
          </w:p>
          <w:p w14:paraId="6E8861F4">
            <w:pPr>
              <w:pStyle w:val="56"/>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textAlignment w:val="auto"/>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1、</w:t>
            </w:r>
            <w:r>
              <w:rPr>
                <w:rFonts w:hint="default" w:ascii="宋体" w:hAnsi="宋体"/>
                <w:color w:val="auto"/>
                <w:sz w:val="21"/>
                <w:szCs w:val="21"/>
                <w:highlight w:val="none"/>
                <w:lang w:val="en-US" w:eastAsia="zh-CN"/>
              </w:rPr>
              <w:t>中山大学附属第七医院（深圳）组织相关人员</w:t>
            </w:r>
            <w:r>
              <w:rPr>
                <w:rFonts w:hint="eastAsia" w:ascii="宋体" w:hAnsi="宋体"/>
                <w:color w:val="auto"/>
                <w:sz w:val="21"/>
                <w:szCs w:val="21"/>
                <w:highlight w:val="none"/>
                <w:lang w:val="en-US" w:eastAsia="zh-CN"/>
              </w:rPr>
              <w:t>每年</w:t>
            </w:r>
            <w:r>
              <w:rPr>
                <w:rFonts w:hint="default" w:ascii="宋体" w:hAnsi="宋体"/>
                <w:color w:val="auto"/>
                <w:sz w:val="21"/>
                <w:szCs w:val="21"/>
                <w:highlight w:val="none"/>
                <w:lang w:val="en-US" w:eastAsia="zh-CN"/>
              </w:rPr>
              <w:t>对项目进行</w:t>
            </w:r>
            <w:r>
              <w:rPr>
                <w:rFonts w:hint="eastAsia" w:ascii="宋体" w:hAnsi="宋体"/>
                <w:color w:val="auto"/>
                <w:sz w:val="21"/>
                <w:szCs w:val="21"/>
                <w:highlight w:val="none"/>
                <w:lang w:val="en-US" w:eastAsia="zh-CN"/>
              </w:rPr>
              <w:t>年度履约评价，履约评价达到合格及以上视为验收通过；</w:t>
            </w:r>
          </w:p>
          <w:p w14:paraId="48C6E975">
            <w:pPr>
              <w:pStyle w:val="56"/>
              <w:keepNext w:val="0"/>
              <w:keepLines w:val="0"/>
              <w:pageBreakBefore w:val="0"/>
              <w:numPr>
                <w:ilvl w:val="0"/>
                <w:numId w:val="0"/>
              </w:numPr>
              <w:kinsoku/>
              <w:wordWrap/>
              <w:overflowPunct/>
              <w:topLinePunct w:val="0"/>
              <w:autoSpaceDE/>
              <w:autoSpaceDN/>
              <w:bidi w:val="0"/>
              <w:adjustRightInd w:val="0"/>
              <w:snapToGrid w:val="0"/>
              <w:spacing w:line="360" w:lineRule="auto"/>
              <w:textAlignment w:val="auto"/>
              <w:rPr>
                <w:rFonts w:hint="default" w:ascii="宋体" w:hAnsi="宋体"/>
                <w:color w:val="auto"/>
                <w:sz w:val="21"/>
                <w:szCs w:val="21"/>
                <w:highlight w:val="none"/>
                <w:lang w:val="en-US" w:eastAsia="zh-CN"/>
              </w:rPr>
            </w:pPr>
            <w:r>
              <w:rPr>
                <w:rFonts w:hint="eastAsia" w:ascii="宋体" w:hAnsi="宋体"/>
                <w:color w:val="auto"/>
                <w:sz w:val="21"/>
                <w:szCs w:val="21"/>
                <w:highlight w:val="none"/>
                <w:lang w:val="en-US" w:eastAsia="zh-CN"/>
              </w:rPr>
              <w:t>2、如履约评价不合格，中山大学附属第七医院（深圳）可暂停验收，直至缺陷和问题得到纠正后再次进行履约评价。</w:t>
            </w:r>
          </w:p>
        </w:tc>
      </w:tr>
      <w:tr w14:paraId="2A12C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377" w:type="dxa"/>
            <w:vAlign w:val="center"/>
          </w:tcPr>
          <w:p w14:paraId="3D820EDB">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default"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付款方式</w:t>
            </w:r>
          </w:p>
        </w:tc>
        <w:tc>
          <w:tcPr>
            <w:tcW w:w="924" w:type="dxa"/>
            <w:shd w:val="clear" w:color="auto" w:fill="auto"/>
            <w:vAlign w:val="center"/>
          </w:tcPr>
          <w:p w14:paraId="2E45DF0F">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default" w:ascii="宋体" w:hAnsi="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6</w:t>
            </w:r>
          </w:p>
        </w:tc>
        <w:tc>
          <w:tcPr>
            <w:tcW w:w="7584" w:type="dxa"/>
            <w:vAlign w:val="center"/>
          </w:tcPr>
          <w:p w14:paraId="5698C3EC">
            <w:pPr>
              <w:pStyle w:val="56"/>
              <w:keepNext w:val="0"/>
              <w:keepLines w:val="0"/>
              <w:pageBreakBefore w:val="0"/>
              <w:numPr>
                <w:ilvl w:val="-1"/>
                <w:numId w:val="0"/>
              </w:numPr>
              <w:kinsoku/>
              <w:wordWrap/>
              <w:overflowPunct/>
              <w:topLinePunct w:val="0"/>
              <w:autoSpaceDE/>
              <w:autoSpaceDN/>
              <w:bidi w:val="0"/>
              <w:adjustRightInd w:val="0"/>
              <w:snapToGrid w:val="0"/>
              <w:spacing w:line="360" w:lineRule="auto"/>
              <w:textAlignment w:val="auto"/>
              <w:rPr>
                <w:rFonts w:hint="default" w:ascii="宋体" w:hAnsi="宋体"/>
                <w:color w:val="auto"/>
                <w:sz w:val="21"/>
                <w:szCs w:val="21"/>
                <w:highlight w:val="none"/>
                <w:lang w:val="en-US" w:eastAsia="zh-CN"/>
              </w:rPr>
            </w:pPr>
            <w:r>
              <w:rPr>
                <w:rFonts w:hint="eastAsia" w:ascii="宋体" w:hAnsi="宋体"/>
                <w:color w:val="auto"/>
                <w:sz w:val="21"/>
                <w:szCs w:val="21"/>
                <w:highlight w:val="none"/>
                <w:lang w:val="en-US" w:eastAsia="zh-CN"/>
              </w:rPr>
              <w:t>一、关于建设/升级系统、HIS系统对接需求的付款方式（编号1.1.1—1.1.15，1.2.1—1.2.7，2.1—2.12，4）</w:t>
            </w:r>
          </w:p>
          <w:p w14:paraId="074B3300">
            <w:pPr>
              <w:pStyle w:val="56"/>
              <w:keepNext w:val="0"/>
              <w:keepLines w:val="0"/>
              <w:pageBreakBefore w:val="0"/>
              <w:numPr>
                <w:ilvl w:val="-1"/>
                <w:numId w:val="0"/>
              </w:numPr>
              <w:kinsoku/>
              <w:wordWrap/>
              <w:overflowPunct/>
              <w:topLinePunct w:val="0"/>
              <w:autoSpaceDE/>
              <w:autoSpaceDN/>
              <w:bidi w:val="0"/>
              <w:adjustRightInd w:val="0"/>
              <w:snapToGrid w:val="0"/>
              <w:spacing w:line="360" w:lineRule="auto"/>
              <w:textAlignment w:val="auto"/>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1、首期款（30%）：</w:t>
            </w:r>
          </w:p>
          <w:p w14:paraId="43B27DC1">
            <w:pPr>
              <w:pStyle w:val="56"/>
              <w:keepNext w:val="0"/>
              <w:keepLines w:val="0"/>
              <w:pageBreakBefore w:val="0"/>
              <w:numPr>
                <w:ilvl w:val="-1"/>
                <w:numId w:val="0"/>
              </w:numPr>
              <w:kinsoku/>
              <w:wordWrap/>
              <w:overflowPunct/>
              <w:topLinePunct w:val="0"/>
              <w:autoSpaceDE/>
              <w:autoSpaceDN/>
              <w:bidi w:val="0"/>
              <w:adjustRightInd w:val="0"/>
              <w:snapToGrid w:val="0"/>
              <w:spacing w:line="360" w:lineRule="auto"/>
              <w:textAlignment w:val="auto"/>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自合同签订，承建单位提交等额合法的增值税专用发票，核对发票金额无误后，支付合同总金额的30%作为首期款。</w:t>
            </w:r>
          </w:p>
          <w:p w14:paraId="07F4632E">
            <w:pPr>
              <w:pStyle w:val="56"/>
              <w:keepNext w:val="0"/>
              <w:keepLines w:val="0"/>
              <w:pageBreakBefore w:val="0"/>
              <w:numPr>
                <w:ilvl w:val="-1"/>
                <w:numId w:val="0"/>
              </w:numPr>
              <w:kinsoku/>
              <w:wordWrap/>
              <w:overflowPunct/>
              <w:topLinePunct w:val="0"/>
              <w:autoSpaceDE/>
              <w:autoSpaceDN/>
              <w:bidi w:val="0"/>
              <w:adjustRightInd w:val="0"/>
              <w:snapToGrid w:val="0"/>
              <w:spacing w:line="360" w:lineRule="auto"/>
              <w:textAlignment w:val="auto"/>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2、进度款（累计不超过80%）：</w:t>
            </w:r>
          </w:p>
          <w:p w14:paraId="32F6D0C2">
            <w:pPr>
              <w:pStyle w:val="56"/>
              <w:keepNext w:val="0"/>
              <w:keepLines w:val="0"/>
              <w:pageBreakBefore w:val="0"/>
              <w:numPr>
                <w:ilvl w:val="-1"/>
                <w:numId w:val="0"/>
              </w:numPr>
              <w:kinsoku/>
              <w:wordWrap/>
              <w:overflowPunct/>
              <w:topLinePunct w:val="0"/>
              <w:autoSpaceDE/>
              <w:autoSpaceDN/>
              <w:bidi w:val="0"/>
              <w:adjustRightInd w:val="0"/>
              <w:snapToGrid w:val="0"/>
              <w:spacing w:line="360" w:lineRule="auto"/>
              <w:textAlignment w:val="auto"/>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各功能模块系统分别通过验收之后，由</w:t>
            </w:r>
            <w:r>
              <w:rPr>
                <w:rFonts w:hint="default" w:ascii="宋体" w:hAnsi="宋体"/>
                <w:color w:val="auto"/>
                <w:sz w:val="21"/>
                <w:szCs w:val="21"/>
                <w:highlight w:val="none"/>
                <w:lang w:val="en-US" w:eastAsia="zh-CN"/>
              </w:rPr>
              <w:t>中山大学附属第七医院（深圳）</w:t>
            </w:r>
            <w:r>
              <w:rPr>
                <w:rFonts w:hint="eastAsia" w:ascii="宋体" w:hAnsi="宋体"/>
                <w:color w:val="auto"/>
                <w:sz w:val="21"/>
                <w:szCs w:val="21"/>
                <w:highlight w:val="none"/>
                <w:lang w:val="en-US" w:eastAsia="zh-CN"/>
              </w:rPr>
              <w:t>出具各系统对应的验收报告。支付各功能模块系统合同对应金额的50%作为中期款，累计已付款项不得超过已通过验收功能模块系统合同对应金额的80%。</w:t>
            </w:r>
          </w:p>
          <w:p w14:paraId="0B782A76">
            <w:pPr>
              <w:pStyle w:val="56"/>
              <w:keepNext w:val="0"/>
              <w:keepLines w:val="0"/>
              <w:pageBreakBefore w:val="0"/>
              <w:numPr>
                <w:ilvl w:val="-1"/>
                <w:numId w:val="0"/>
              </w:numPr>
              <w:kinsoku/>
              <w:wordWrap/>
              <w:overflowPunct/>
              <w:topLinePunct w:val="0"/>
              <w:autoSpaceDE/>
              <w:autoSpaceDN/>
              <w:bidi w:val="0"/>
              <w:adjustRightInd w:val="0"/>
              <w:snapToGrid w:val="0"/>
              <w:spacing w:line="360" w:lineRule="auto"/>
              <w:textAlignment w:val="auto"/>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3、尾款（5年分期支付至100%）：</w:t>
            </w:r>
          </w:p>
          <w:p w14:paraId="1DAA4CCF">
            <w:pPr>
              <w:pStyle w:val="56"/>
              <w:keepNext w:val="0"/>
              <w:keepLines w:val="0"/>
              <w:pageBreakBefore w:val="0"/>
              <w:numPr>
                <w:ilvl w:val="-1"/>
                <w:numId w:val="0"/>
              </w:numPr>
              <w:kinsoku/>
              <w:wordWrap/>
              <w:overflowPunct/>
              <w:topLinePunct w:val="0"/>
              <w:autoSpaceDE/>
              <w:autoSpaceDN/>
              <w:bidi w:val="0"/>
              <w:adjustRightInd w:val="0"/>
              <w:snapToGrid w:val="0"/>
              <w:spacing w:line="360" w:lineRule="auto"/>
              <w:textAlignment w:val="auto"/>
              <w:rPr>
                <w:rFonts w:hint="default" w:ascii="宋体" w:hAnsi="宋体"/>
                <w:color w:val="auto"/>
                <w:sz w:val="21"/>
                <w:szCs w:val="21"/>
                <w:highlight w:val="none"/>
                <w:lang w:val="en-US" w:eastAsia="zh-CN"/>
              </w:rPr>
            </w:pPr>
            <w:r>
              <w:rPr>
                <w:rFonts w:hint="default" w:ascii="宋体" w:hAnsi="宋体"/>
                <w:color w:val="auto"/>
                <w:sz w:val="21"/>
                <w:szCs w:val="21"/>
                <w:highlight w:val="none"/>
                <w:lang w:val="en-US" w:eastAsia="zh-CN"/>
              </w:rPr>
              <w:t>尾款按年度分期支付。</w:t>
            </w:r>
            <w:r>
              <w:rPr>
                <w:rFonts w:hint="eastAsia" w:ascii="宋体" w:hAnsi="宋体"/>
                <w:color w:val="auto"/>
                <w:sz w:val="21"/>
                <w:szCs w:val="21"/>
                <w:highlight w:val="none"/>
                <w:lang w:val="en-US" w:eastAsia="zh-CN"/>
              </w:rPr>
              <w:t>承建单位</w:t>
            </w:r>
            <w:r>
              <w:rPr>
                <w:rFonts w:hint="default" w:ascii="宋体" w:hAnsi="宋体"/>
                <w:color w:val="auto"/>
                <w:sz w:val="21"/>
                <w:szCs w:val="21"/>
                <w:highlight w:val="none"/>
                <w:lang w:val="en-US" w:eastAsia="zh-CN"/>
              </w:rPr>
              <w:t>每年提供等额合法的增值税专用发票，经核对无误后，每年支付已通过验收功能模块系统合同对应金额的 4%；5年售后维保期满后，累计支付至已通过验收功能模块系统合同对应金额的 100%。</w:t>
            </w:r>
          </w:p>
          <w:p w14:paraId="4C6339D8">
            <w:pPr>
              <w:pStyle w:val="56"/>
              <w:keepNext w:val="0"/>
              <w:keepLines w:val="0"/>
              <w:pageBreakBefore w:val="0"/>
              <w:numPr>
                <w:ilvl w:val="-1"/>
                <w:numId w:val="0"/>
              </w:numPr>
              <w:kinsoku/>
              <w:wordWrap/>
              <w:overflowPunct/>
              <w:topLinePunct w:val="0"/>
              <w:autoSpaceDE/>
              <w:autoSpaceDN/>
              <w:bidi w:val="0"/>
              <w:adjustRightInd w:val="0"/>
              <w:snapToGrid w:val="0"/>
              <w:spacing w:line="360" w:lineRule="auto"/>
              <w:textAlignment w:val="auto"/>
              <w:rPr>
                <w:rFonts w:hint="default" w:ascii="宋体" w:hAnsi="宋体"/>
                <w:color w:val="auto"/>
                <w:sz w:val="21"/>
                <w:szCs w:val="21"/>
                <w:highlight w:val="none"/>
                <w:lang w:val="en-US" w:eastAsia="zh-CN"/>
              </w:rPr>
            </w:pPr>
          </w:p>
          <w:p w14:paraId="5D5984F8">
            <w:pPr>
              <w:pStyle w:val="56"/>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textAlignment w:val="auto"/>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二、关于其他技术需求的付款方式（编号3.1—3.11）</w:t>
            </w:r>
          </w:p>
          <w:p w14:paraId="72B9E549">
            <w:pPr>
              <w:pStyle w:val="56"/>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textAlignment w:val="auto"/>
              <w:rPr>
                <w:rFonts w:hint="default" w:ascii="宋体" w:hAnsi="宋体"/>
                <w:color w:val="auto"/>
                <w:sz w:val="21"/>
                <w:szCs w:val="21"/>
                <w:highlight w:val="none"/>
                <w:lang w:val="en-US" w:eastAsia="zh-CN"/>
              </w:rPr>
            </w:pPr>
            <w:r>
              <w:rPr>
                <w:rFonts w:hint="eastAsia" w:ascii="宋体" w:hAnsi="宋体"/>
                <w:color w:val="auto"/>
                <w:sz w:val="21"/>
                <w:szCs w:val="21"/>
                <w:highlight w:val="none"/>
                <w:lang w:val="en-US" w:eastAsia="zh-CN"/>
              </w:rPr>
              <w:t>1、按5年分期支付，每年支付第3部分对应金额的20%；</w:t>
            </w:r>
          </w:p>
          <w:p w14:paraId="77E82EAB">
            <w:pPr>
              <w:pStyle w:val="56"/>
              <w:keepNext w:val="0"/>
              <w:keepLines w:val="0"/>
              <w:pageBreakBefore w:val="0"/>
              <w:numPr>
                <w:ilvl w:val="-1"/>
                <w:numId w:val="0"/>
              </w:numPr>
              <w:kinsoku/>
              <w:wordWrap/>
              <w:overflowPunct/>
              <w:topLinePunct w:val="0"/>
              <w:autoSpaceDE/>
              <w:autoSpaceDN/>
              <w:bidi w:val="0"/>
              <w:adjustRightInd w:val="0"/>
              <w:snapToGrid w:val="0"/>
              <w:spacing w:line="360" w:lineRule="auto"/>
              <w:ind w:left="0" w:firstLine="0"/>
              <w:textAlignment w:val="auto"/>
              <w:rPr>
                <w:rFonts w:hint="default" w:ascii="宋体" w:hAnsi="宋体"/>
                <w:color w:val="auto"/>
                <w:sz w:val="21"/>
                <w:szCs w:val="21"/>
                <w:highlight w:val="none"/>
                <w:lang w:val="en-US" w:eastAsia="zh-CN"/>
              </w:rPr>
            </w:pPr>
            <w:r>
              <w:rPr>
                <w:rFonts w:hint="eastAsia" w:ascii="宋体" w:hAnsi="宋体"/>
                <w:color w:val="auto"/>
                <w:sz w:val="21"/>
                <w:szCs w:val="21"/>
                <w:highlight w:val="none"/>
                <w:lang w:val="en-US" w:eastAsia="zh-CN"/>
              </w:rPr>
              <w:t>2、年度履约评价合格后，承建单位</w:t>
            </w:r>
            <w:r>
              <w:rPr>
                <w:rFonts w:hint="default" w:ascii="宋体" w:hAnsi="宋体"/>
                <w:color w:val="auto"/>
                <w:sz w:val="21"/>
                <w:szCs w:val="21"/>
                <w:highlight w:val="none"/>
                <w:lang w:val="en-US" w:eastAsia="zh-CN"/>
              </w:rPr>
              <w:t>提供等额合法的增值税专用发票，经核对无误后</w:t>
            </w:r>
            <w:r>
              <w:rPr>
                <w:rFonts w:hint="eastAsia" w:ascii="宋体" w:hAnsi="宋体"/>
                <w:color w:val="auto"/>
                <w:sz w:val="21"/>
                <w:szCs w:val="21"/>
                <w:highlight w:val="none"/>
                <w:lang w:val="en-US" w:eastAsia="zh-CN"/>
              </w:rPr>
              <w:t>支付对应款项；</w:t>
            </w:r>
          </w:p>
          <w:p w14:paraId="64A4187A">
            <w:pPr>
              <w:pStyle w:val="56"/>
              <w:keepNext w:val="0"/>
              <w:keepLines w:val="0"/>
              <w:pageBreakBefore w:val="0"/>
              <w:numPr>
                <w:ilvl w:val="-1"/>
                <w:numId w:val="0"/>
              </w:numPr>
              <w:kinsoku/>
              <w:wordWrap/>
              <w:overflowPunct/>
              <w:topLinePunct w:val="0"/>
              <w:autoSpaceDE/>
              <w:autoSpaceDN/>
              <w:bidi w:val="0"/>
              <w:adjustRightInd w:val="0"/>
              <w:snapToGrid w:val="0"/>
              <w:spacing w:line="360" w:lineRule="auto"/>
              <w:textAlignment w:val="auto"/>
              <w:rPr>
                <w:rFonts w:hint="default" w:ascii="宋体" w:hAnsi="宋体"/>
                <w:color w:val="auto"/>
                <w:sz w:val="21"/>
                <w:szCs w:val="21"/>
                <w:highlight w:val="none"/>
                <w:lang w:val="en-US" w:eastAsia="zh-CN"/>
              </w:rPr>
            </w:pPr>
            <w:r>
              <w:rPr>
                <w:rFonts w:hint="eastAsia" w:ascii="宋体" w:hAnsi="宋体"/>
                <w:color w:val="auto"/>
                <w:sz w:val="21"/>
                <w:szCs w:val="21"/>
                <w:highlight w:val="none"/>
                <w:lang w:val="en-US" w:eastAsia="zh-CN"/>
              </w:rPr>
              <w:t>3、</w:t>
            </w:r>
            <w:r>
              <w:rPr>
                <w:rFonts w:hint="default" w:ascii="宋体" w:hAnsi="宋体"/>
                <w:color w:val="auto"/>
                <w:sz w:val="21"/>
                <w:szCs w:val="21"/>
                <w:highlight w:val="none"/>
                <w:lang w:val="en-US" w:eastAsia="zh-CN"/>
              </w:rPr>
              <w:t>5年售后维保期满后，累计支付至</w:t>
            </w:r>
            <w:r>
              <w:rPr>
                <w:rFonts w:hint="eastAsia" w:ascii="宋体" w:hAnsi="宋体"/>
                <w:color w:val="auto"/>
                <w:sz w:val="21"/>
                <w:szCs w:val="21"/>
                <w:highlight w:val="none"/>
                <w:lang w:val="en-US" w:eastAsia="zh-CN"/>
              </w:rPr>
              <w:t>第3部分</w:t>
            </w:r>
            <w:r>
              <w:rPr>
                <w:rFonts w:hint="default" w:ascii="宋体" w:hAnsi="宋体"/>
                <w:color w:val="auto"/>
                <w:sz w:val="21"/>
                <w:szCs w:val="21"/>
                <w:highlight w:val="none"/>
                <w:lang w:val="en-US" w:eastAsia="zh-CN"/>
              </w:rPr>
              <w:t>对应金额的 100%。</w:t>
            </w:r>
          </w:p>
        </w:tc>
      </w:tr>
      <w:tr w14:paraId="08AE7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377" w:type="dxa"/>
            <w:vAlign w:val="center"/>
          </w:tcPr>
          <w:p w14:paraId="41E1EDD0">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default" w:ascii="宋体" w:hAnsi="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违约责任</w:t>
            </w:r>
          </w:p>
        </w:tc>
        <w:tc>
          <w:tcPr>
            <w:tcW w:w="924" w:type="dxa"/>
            <w:shd w:val="clear" w:color="auto" w:fill="auto"/>
            <w:vAlign w:val="center"/>
          </w:tcPr>
          <w:p w14:paraId="0B38BE31">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default" w:ascii="宋体" w:hAnsi="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7</w:t>
            </w:r>
          </w:p>
        </w:tc>
        <w:tc>
          <w:tcPr>
            <w:tcW w:w="7584" w:type="dxa"/>
            <w:vAlign w:val="center"/>
          </w:tcPr>
          <w:p w14:paraId="483685A6">
            <w:pPr>
              <w:keepNext w:val="0"/>
              <w:keepLines w:val="0"/>
              <w:pageBreakBefore w:val="0"/>
              <w:widowControl w:val="0"/>
              <w:kinsoku/>
              <w:wordWrap/>
              <w:overflowPunct/>
              <w:topLinePunct w:val="0"/>
              <w:autoSpaceDE/>
              <w:autoSpaceDN/>
              <w:bidi w:val="0"/>
              <w:adjustRightInd w:val="0"/>
              <w:snapToGrid w:val="0"/>
              <w:spacing w:line="38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出现下列情形之一的，</w:t>
            </w:r>
            <w:r>
              <w:rPr>
                <w:rFonts w:hint="default" w:ascii="Times New Roman" w:hAnsi="Times New Roman" w:eastAsia="宋体" w:cs="Times New Roman"/>
                <w:sz w:val="21"/>
                <w:szCs w:val="21"/>
                <w:lang w:eastAsia="zh-CN"/>
              </w:rPr>
              <w:t>采购人</w:t>
            </w:r>
            <w:r>
              <w:rPr>
                <w:rFonts w:hint="default" w:ascii="Times New Roman" w:hAnsi="Times New Roman" w:eastAsia="宋体" w:cs="Times New Roman"/>
                <w:sz w:val="21"/>
                <w:szCs w:val="21"/>
              </w:rPr>
              <w:t>有权单方解除/终止合同，</w:t>
            </w:r>
            <w:r>
              <w:rPr>
                <w:rFonts w:hint="default" w:ascii="Times New Roman" w:hAnsi="Times New Roman" w:eastAsia="宋体" w:cs="Times New Roman"/>
                <w:sz w:val="21"/>
                <w:szCs w:val="21"/>
                <w:lang w:eastAsia="zh-CN"/>
              </w:rPr>
              <w:t>中标人</w:t>
            </w:r>
            <w:r>
              <w:rPr>
                <w:rFonts w:hint="default" w:ascii="Times New Roman" w:hAnsi="Times New Roman" w:eastAsia="宋体" w:cs="Times New Roman"/>
                <w:sz w:val="21"/>
                <w:szCs w:val="21"/>
              </w:rPr>
              <w:t>应在收到</w:t>
            </w:r>
            <w:r>
              <w:rPr>
                <w:rFonts w:hint="default" w:ascii="Times New Roman" w:hAnsi="Times New Roman" w:eastAsia="宋体" w:cs="Times New Roman"/>
                <w:sz w:val="21"/>
                <w:szCs w:val="21"/>
                <w:lang w:eastAsia="zh-CN"/>
              </w:rPr>
              <w:t>采购人</w:t>
            </w:r>
            <w:r>
              <w:rPr>
                <w:rFonts w:hint="default" w:ascii="Times New Roman" w:hAnsi="Times New Roman" w:eastAsia="宋体" w:cs="Times New Roman"/>
                <w:sz w:val="21"/>
                <w:szCs w:val="21"/>
              </w:rPr>
              <w:t>解除/终止合同的通知之日起10个工作日内返还</w:t>
            </w:r>
            <w:r>
              <w:rPr>
                <w:rFonts w:hint="default" w:ascii="Times New Roman" w:hAnsi="Times New Roman" w:eastAsia="宋体" w:cs="Times New Roman"/>
                <w:sz w:val="21"/>
                <w:szCs w:val="21"/>
                <w:lang w:eastAsia="zh-CN"/>
              </w:rPr>
              <w:t>采购人</w:t>
            </w:r>
            <w:r>
              <w:rPr>
                <w:rFonts w:hint="default" w:ascii="Times New Roman" w:hAnsi="Times New Roman" w:eastAsia="宋体" w:cs="Times New Roman"/>
                <w:sz w:val="21"/>
                <w:szCs w:val="21"/>
              </w:rPr>
              <w:t>已付服务费并依</w:t>
            </w:r>
            <w:r>
              <w:rPr>
                <w:rFonts w:hint="default" w:ascii="Times New Roman" w:hAnsi="Times New Roman" w:eastAsia="宋体" w:cs="Times New Roman"/>
                <w:sz w:val="21"/>
                <w:szCs w:val="21"/>
                <w:lang w:eastAsia="zh-CN"/>
              </w:rPr>
              <w:t>采购人</w:t>
            </w:r>
            <w:r>
              <w:rPr>
                <w:rFonts w:hint="default" w:ascii="Times New Roman" w:hAnsi="Times New Roman" w:eastAsia="宋体" w:cs="Times New Roman"/>
                <w:sz w:val="21"/>
                <w:szCs w:val="21"/>
              </w:rPr>
              <w:t>的指示退还所有的基础性文件和原始资料，同时</w:t>
            </w:r>
            <w:r>
              <w:rPr>
                <w:rFonts w:hint="default" w:ascii="Times New Roman" w:hAnsi="Times New Roman" w:eastAsia="宋体" w:cs="Times New Roman"/>
                <w:sz w:val="21"/>
                <w:szCs w:val="21"/>
                <w:lang w:eastAsia="zh-CN"/>
              </w:rPr>
              <w:t>中标人</w:t>
            </w:r>
            <w:r>
              <w:rPr>
                <w:rFonts w:hint="default" w:ascii="Times New Roman" w:hAnsi="Times New Roman" w:eastAsia="宋体" w:cs="Times New Roman"/>
                <w:sz w:val="21"/>
                <w:szCs w:val="21"/>
              </w:rPr>
              <w:t>须按合同总金额的</w:t>
            </w:r>
            <w:r>
              <w:rPr>
                <w:rFonts w:hint="default"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rPr>
              <w:t>0%向</w:t>
            </w:r>
            <w:r>
              <w:rPr>
                <w:rFonts w:hint="default" w:ascii="Times New Roman" w:hAnsi="Times New Roman" w:eastAsia="宋体" w:cs="Times New Roman"/>
                <w:sz w:val="21"/>
                <w:szCs w:val="21"/>
                <w:lang w:eastAsia="zh-CN"/>
              </w:rPr>
              <w:t>采购人</w:t>
            </w:r>
            <w:r>
              <w:rPr>
                <w:rFonts w:hint="default" w:ascii="Times New Roman" w:hAnsi="Times New Roman" w:eastAsia="宋体" w:cs="Times New Roman"/>
                <w:sz w:val="21"/>
                <w:szCs w:val="21"/>
              </w:rPr>
              <w:t>赔偿违约金。违约金不足以赔偿</w:t>
            </w:r>
            <w:r>
              <w:rPr>
                <w:rFonts w:hint="default" w:ascii="Times New Roman" w:hAnsi="Times New Roman" w:eastAsia="宋体" w:cs="Times New Roman"/>
                <w:sz w:val="21"/>
                <w:szCs w:val="21"/>
                <w:lang w:eastAsia="zh-CN"/>
              </w:rPr>
              <w:t>采购人</w:t>
            </w:r>
            <w:r>
              <w:rPr>
                <w:rFonts w:hint="default" w:ascii="Times New Roman" w:hAnsi="Times New Roman" w:eastAsia="宋体" w:cs="Times New Roman"/>
                <w:sz w:val="21"/>
                <w:szCs w:val="21"/>
              </w:rPr>
              <w:t>由此而遭受的直接和间接损失的，</w:t>
            </w:r>
            <w:r>
              <w:rPr>
                <w:rFonts w:hint="default" w:ascii="Times New Roman" w:hAnsi="Times New Roman" w:eastAsia="宋体" w:cs="Times New Roman"/>
                <w:sz w:val="21"/>
                <w:szCs w:val="21"/>
                <w:lang w:eastAsia="zh-CN"/>
              </w:rPr>
              <w:t>采购人</w:t>
            </w:r>
            <w:r>
              <w:rPr>
                <w:rFonts w:hint="default" w:ascii="Times New Roman" w:hAnsi="Times New Roman" w:eastAsia="宋体" w:cs="Times New Roman"/>
                <w:sz w:val="21"/>
                <w:szCs w:val="21"/>
              </w:rPr>
              <w:t>有权继续追偿。</w:t>
            </w:r>
          </w:p>
          <w:p w14:paraId="247E00D1">
            <w:pPr>
              <w:keepNext w:val="0"/>
              <w:keepLines w:val="0"/>
              <w:pageBreakBefore w:val="0"/>
              <w:widowControl w:val="0"/>
              <w:numPr>
                <w:ilvl w:val="0"/>
                <w:numId w:val="128"/>
              </w:numPr>
              <w:kinsoku/>
              <w:wordWrap/>
              <w:overflowPunct/>
              <w:topLinePunct w:val="0"/>
              <w:autoSpaceDE/>
              <w:autoSpaceDN/>
              <w:bidi w:val="0"/>
              <w:adjustRightInd w:val="0"/>
              <w:snapToGrid w:val="0"/>
              <w:spacing w:line="380" w:lineRule="exact"/>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如</w:t>
            </w:r>
            <w:r>
              <w:rPr>
                <w:rFonts w:hint="default" w:ascii="Times New Roman" w:hAnsi="Times New Roman" w:eastAsia="宋体" w:cs="Times New Roman"/>
                <w:sz w:val="21"/>
                <w:szCs w:val="21"/>
                <w:lang w:eastAsia="zh-CN"/>
              </w:rPr>
              <w:t>中标人</w:t>
            </w:r>
            <w:r>
              <w:rPr>
                <w:rFonts w:hint="default" w:ascii="Times New Roman" w:hAnsi="Times New Roman" w:eastAsia="宋体" w:cs="Times New Roman"/>
                <w:sz w:val="21"/>
                <w:szCs w:val="21"/>
              </w:rPr>
              <w:t>未按照合同中承诺的时间提供服务，</w:t>
            </w:r>
            <w:r>
              <w:rPr>
                <w:rFonts w:hint="default" w:ascii="Times New Roman" w:hAnsi="Times New Roman" w:eastAsia="宋体" w:cs="Times New Roman"/>
                <w:sz w:val="21"/>
                <w:szCs w:val="21"/>
                <w:lang w:eastAsia="zh-CN"/>
              </w:rPr>
              <w:t>中标人</w:t>
            </w:r>
            <w:r>
              <w:rPr>
                <w:rFonts w:hint="default" w:ascii="Times New Roman" w:hAnsi="Times New Roman" w:eastAsia="宋体" w:cs="Times New Roman"/>
                <w:sz w:val="21"/>
                <w:szCs w:val="21"/>
              </w:rPr>
              <w:t>应承担延期服务的违约责任，向</w:t>
            </w:r>
            <w:r>
              <w:rPr>
                <w:rFonts w:hint="default" w:ascii="Times New Roman" w:hAnsi="Times New Roman" w:eastAsia="宋体" w:cs="Times New Roman"/>
                <w:sz w:val="21"/>
                <w:szCs w:val="21"/>
                <w:lang w:eastAsia="zh-CN"/>
              </w:rPr>
              <w:t>采购人</w:t>
            </w:r>
            <w:r>
              <w:rPr>
                <w:rFonts w:hint="default" w:ascii="Times New Roman" w:hAnsi="Times New Roman" w:eastAsia="宋体" w:cs="Times New Roman"/>
                <w:sz w:val="21"/>
                <w:szCs w:val="21"/>
              </w:rPr>
              <w:t>每日偿付合同额 0.</w:t>
            </w:r>
            <w:r>
              <w:rPr>
                <w:rFonts w:hint="eastAsia" w:eastAsia="宋体" w:cs="Times New Roman"/>
                <w:sz w:val="21"/>
                <w:szCs w:val="21"/>
                <w:lang w:val="en-US" w:eastAsia="zh-CN"/>
              </w:rPr>
              <w:t>3</w:t>
            </w:r>
            <w:r>
              <w:rPr>
                <w:rFonts w:hint="default" w:ascii="Times New Roman" w:hAnsi="Times New Roman" w:eastAsia="宋体" w:cs="Times New Roman"/>
                <w:sz w:val="21"/>
                <w:szCs w:val="21"/>
              </w:rPr>
              <w:t xml:space="preserve"> %的违约金。逾期超过30日的，</w:t>
            </w:r>
            <w:r>
              <w:rPr>
                <w:rFonts w:hint="default" w:ascii="Times New Roman" w:hAnsi="Times New Roman" w:eastAsia="宋体" w:cs="Times New Roman"/>
                <w:sz w:val="21"/>
                <w:szCs w:val="21"/>
                <w:lang w:eastAsia="zh-CN"/>
              </w:rPr>
              <w:t>中标人</w:t>
            </w:r>
            <w:r>
              <w:rPr>
                <w:rFonts w:hint="default" w:ascii="Times New Roman" w:hAnsi="Times New Roman" w:eastAsia="宋体" w:cs="Times New Roman"/>
                <w:sz w:val="21"/>
                <w:szCs w:val="21"/>
              </w:rPr>
              <w:t>应当向</w:t>
            </w:r>
            <w:r>
              <w:rPr>
                <w:rFonts w:hint="default" w:ascii="Times New Roman" w:hAnsi="Times New Roman" w:eastAsia="宋体" w:cs="Times New Roman"/>
                <w:sz w:val="21"/>
                <w:szCs w:val="21"/>
                <w:lang w:eastAsia="zh-CN"/>
              </w:rPr>
              <w:t>采购人</w:t>
            </w:r>
            <w:r>
              <w:rPr>
                <w:rFonts w:hint="default" w:ascii="Times New Roman" w:hAnsi="Times New Roman" w:eastAsia="宋体" w:cs="Times New Roman"/>
                <w:sz w:val="21"/>
                <w:szCs w:val="21"/>
              </w:rPr>
              <w:t>承担合同总价款</w:t>
            </w:r>
            <w:r>
              <w:rPr>
                <w:rFonts w:hint="default"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rPr>
              <w:t>0%违约赔偿责任，且</w:t>
            </w:r>
            <w:r>
              <w:rPr>
                <w:rFonts w:hint="default" w:ascii="Times New Roman" w:hAnsi="Times New Roman" w:eastAsia="宋体" w:cs="Times New Roman"/>
                <w:sz w:val="21"/>
                <w:szCs w:val="21"/>
                <w:lang w:eastAsia="zh-CN"/>
              </w:rPr>
              <w:t>采购人</w:t>
            </w:r>
            <w:r>
              <w:rPr>
                <w:rFonts w:hint="default" w:ascii="Times New Roman" w:hAnsi="Times New Roman" w:eastAsia="宋体" w:cs="Times New Roman"/>
                <w:sz w:val="21"/>
                <w:szCs w:val="21"/>
              </w:rPr>
              <w:t>有权解除合同，并追回首付款。若</w:t>
            </w:r>
            <w:r>
              <w:rPr>
                <w:rFonts w:hint="default" w:ascii="Times New Roman" w:hAnsi="Times New Roman" w:eastAsia="宋体" w:cs="Times New Roman"/>
                <w:sz w:val="21"/>
                <w:szCs w:val="21"/>
                <w:lang w:eastAsia="zh-CN"/>
              </w:rPr>
              <w:t>中标人</w:t>
            </w:r>
            <w:r>
              <w:rPr>
                <w:rFonts w:hint="default" w:ascii="Times New Roman" w:hAnsi="Times New Roman" w:eastAsia="宋体" w:cs="Times New Roman"/>
                <w:sz w:val="21"/>
                <w:szCs w:val="21"/>
              </w:rPr>
              <w:t>违约赔偿款不足以弥补</w:t>
            </w:r>
            <w:r>
              <w:rPr>
                <w:rFonts w:hint="default" w:ascii="Times New Roman" w:hAnsi="Times New Roman" w:eastAsia="宋体" w:cs="Times New Roman"/>
                <w:sz w:val="21"/>
                <w:szCs w:val="21"/>
                <w:lang w:eastAsia="zh-CN"/>
              </w:rPr>
              <w:t>采购人</w:t>
            </w:r>
            <w:r>
              <w:rPr>
                <w:rFonts w:hint="default" w:ascii="Times New Roman" w:hAnsi="Times New Roman" w:eastAsia="宋体" w:cs="Times New Roman"/>
                <w:sz w:val="21"/>
                <w:szCs w:val="21"/>
              </w:rPr>
              <w:t>损失的，</w:t>
            </w:r>
            <w:r>
              <w:rPr>
                <w:rFonts w:hint="default" w:ascii="Times New Roman" w:hAnsi="Times New Roman" w:eastAsia="宋体" w:cs="Times New Roman"/>
                <w:sz w:val="21"/>
                <w:szCs w:val="21"/>
                <w:lang w:eastAsia="zh-CN"/>
              </w:rPr>
              <w:t>采购人</w:t>
            </w:r>
            <w:r>
              <w:rPr>
                <w:rFonts w:hint="default" w:ascii="Times New Roman" w:hAnsi="Times New Roman" w:eastAsia="宋体" w:cs="Times New Roman"/>
                <w:sz w:val="21"/>
                <w:szCs w:val="21"/>
              </w:rPr>
              <w:t>有权要求</w:t>
            </w:r>
            <w:r>
              <w:rPr>
                <w:rFonts w:hint="default" w:ascii="Times New Roman" w:hAnsi="Times New Roman" w:eastAsia="宋体" w:cs="Times New Roman"/>
                <w:sz w:val="21"/>
                <w:szCs w:val="21"/>
                <w:lang w:eastAsia="zh-CN"/>
              </w:rPr>
              <w:t>中标人</w:t>
            </w:r>
            <w:r>
              <w:rPr>
                <w:rFonts w:hint="default" w:ascii="Times New Roman" w:hAnsi="Times New Roman" w:eastAsia="宋体" w:cs="Times New Roman"/>
                <w:sz w:val="21"/>
                <w:szCs w:val="21"/>
              </w:rPr>
              <w:t>补足损失；</w:t>
            </w:r>
          </w:p>
          <w:p w14:paraId="38CAE8FE">
            <w:pPr>
              <w:keepNext w:val="0"/>
              <w:keepLines w:val="0"/>
              <w:pageBreakBefore w:val="0"/>
              <w:widowControl w:val="0"/>
              <w:numPr>
                <w:ilvl w:val="0"/>
                <w:numId w:val="128"/>
              </w:numPr>
              <w:kinsoku/>
              <w:wordWrap/>
              <w:overflowPunct/>
              <w:topLinePunct w:val="0"/>
              <w:autoSpaceDE/>
              <w:autoSpaceDN/>
              <w:bidi w:val="0"/>
              <w:adjustRightInd w:val="0"/>
              <w:snapToGrid w:val="0"/>
              <w:spacing w:line="380" w:lineRule="exact"/>
              <w:ind w:left="0" w:leftChars="0"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中标人</w:t>
            </w:r>
            <w:r>
              <w:rPr>
                <w:rFonts w:hint="default" w:ascii="Times New Roman" w:hAnsi="Times New Roman" w:eastAsia="宋体" w:cs="Times New Roman"/>
                <w:sz w:val="21"/>
                <w:szCs w:val="21"/>
              </w:rPr>
              <w:t>在履行合同过程中明显地体现出无法按双方约定的主要技术要求完成本技术服务的；</w:t>
            </w:r>
          </w:p>
          <w:p w14:paraId="396049B2">
            <w:pPr>
              <w:keepNext w:val="0"/>
              <w:keepLines w:val="0"/>
              <w:pageBreakBefore w:val="0"/>
              <w:widowControl w:val="0"/>
              <w:numPr>
                <w:ilvl w:val="0"/>
                <w:numId w:val="128"/>
              </w:numPr>
              <w:kinsoku/>
              <w:wordWrap/>
              <w:overflowPunct/>
              <w:topLinePunct w:val="0"/>
              <w:autoSpaceDE/>
              <w:autoSpaceDN/>
              <w:bidi w:val="0"/>
              <w:adjustRightInd w:val="0"/>
              <w:snapToGrid w:val="0"/>
              <w:spacing w:line="380" w:lineRule="exact"/>
              <w:ind w:left="0" w:leftChars="0"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非经</w:t>
            </w:r>
            <w:r>
              <w:rPr>
                <w:rFonts w:hint="default" w:ascii="Times New Roman" w:hAnsi="Times New Roman" w:eastAsia="宋体" w:cs="Times New Roman"/>
                <w:sz w:val="21"/>
                <w:szCs w:val="21"/>
                <w:lang w:eastAsia="zh-CN"/>
              </w:rPr>
              <w:t>采购人</w:t>
            </w:r>
            <w:r>
              <w:rPr>
                <w:rFonts w:hint="default" w:ascii="Times New Roman" w:hAnsi="Times New Roman" w:eastAsia="宋体" w:cs="Times New Roman"/>
                <w:sz w:val="21"/>
                <w:szCs w:val="21"/>
              </w:rPr>
              <w:t>书面同意，</w:t>
            </w:r>
            <w:r>
              <w:rPr>
                <w:rFonts w:hint="default" w:ascii="Times New Roman" w:hAnsi="Times New Roman" w:eastAsia="宋体" w:cs="Times New Roman"/>
                <w:sz w:val="21"/>
                <w:szCs w:val="21"/>
                <w:lang w:eastAsia="zh-CN"/>
              </w:rPr>
              <w:t>中标人</w:t>
            </w:r>
            <w:r>
              <w:rPr>
                <w:rFonts w:hint="default" w:ascii="Times New Roman" w:hAnsi="Times New Roman" w:eastAsia="宋体" w:cs="Times New Roman"/>
                <w:sz w:val="21"/>
                <w:szCs w:val="21"/>
              </w:rPr>
              <w:t>擅自变更本合同内容或将本合同项下权利义务全部或部分转让给任何第三方的；</w:t>
            </w:r>
          </w:p>
          <w:p w14:paraId="369D3AA9">
            <w:pPr>
              <w:keepNext w:val="0"/>
              <w:keepLines w:val="0"/>
              <w:pageBreakBefore w:val="0"/>
              <w:widowControl w:val="0"/>
              <w:numPr>
                <w:ilvl w:val="0"/>
                <w:numId w:val="128"/>
              </w:numPr>
              <w:kinsoku/>
              <w:wordWrap/>
              <w:overflowPunct/>
              <w:topLinePunct w:val="0"/>
              <w:autoSpaceDE/>
              <w:autoSpaceDN/>
              <w:bidi w:val="0"/>
              <w:adjustRightInd w:val="0"/>
              <w:snapToGrid w:val="0"/>
              <w:spacing w:line="380" w:lineRule="exact"/>
              <w:ind w:left="0" w:leftChars="0"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中标人</w:t>
            </w:r>
            <w:r>
              <w:rPr>
                <w:rFonts w:hint="default" w:ascii="Times New Roman" w:hAnsi="Times New Roman" w:eastAsia="宋体" w:cs="Times New Roman"/>
                <w:sz w:val="21"/>
                <w:szCs w:val="21"/>
              </w:rPr>
              <w:t>有不履行或不适当履行合同义务的情形，经</w:t>
            </w:r>
            <w:r>
              <w:rPr>
                <w:rFonts w:hint="default" w:ascii="Times New Roman" w:hAnsi="Times New Roman" w:eastAsia="宋体" w:cs="Times New Roman"/>
                <w:sz w:val="21"/>
                <w:szCs w:val="21"/>
                <w:lang w:eastAsia="zh-CN"/>
              </w:rPr>
              <w:t>采购人</w:t>
            </w:r>
            <w:r>
              <w:rPr>
                <w:rFonts w:hint="default" w:ascii="Times New Roman" w:hAnsi="Times New Roman" w:eastAsia="宋体" w:cs="Times New Roman"/>
                <w:sz w:val="21"/>
                <w:szCs w:val="21"/>
              </w:rPr>
              <w:t>2次书面催促仍未有效改正的，或整改后仍达不到</w:t>
            </w:r>
            <w:r>
              <w:rPr>
                <w:rFonts w:hint="default" w:ascii="Times New Roman" w:hAnsi="Times New Roman" w:eastAsia="宋体" w:cs="Times New Roman"/>
                <w:sz w:val="21"/>
                <w:szCs w:val="21"/>
                <w:lang w:eastAsia="zh-CN"/>
              </w:rPr>
              <w:t>采购人</w:t>
            </w:r>
            <w:r>
              <w:rPr>
                <w:rFonts w:hint="default" w:ascii="Times New Roman" w:hAnsi="Times New Roman" w:eastAsia="宋体" w:cs="Times New Roman"/>
                <w:sz w:val="21"/>
                <w:szCs w:val="21"/>
              </w:rPr>
              <w:t>要求的；</w:t>
            </w:r>
          </w:p>
          <w:p w14:paraId="475807F9">
            <w:pPr>
              <w:keepNext w:val="0"/>
              <w:keepLines w:val="0"/>
              <w:pageBreakBefore w:val="0"/>
              <w:widowControl w:val="0"/>
              <w:numPr>
                <w:ilvl w:val="0"/>
                <w:numId w:val="128"/>
              </w:numPr>
              <w:kinsoku/>
              <w:wordWrap/>
              <w:overflowPunct/>
              <w:topLinePunct w:val="0"/>
              <w:autoSpaceDE/>
              <w:autoSpaceDN/>
              <w:bidi w:val="0"/>
              <w:adjustRightInd w:val="0"/>
              <w:snapToGrid w:val="0"/>
              <w:spacing w:line="380" w:lineRule="exact"/>
              <w:ind w:left="0" w:leftChars="0"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中标人</w:t>
            </w:r>
            <w:r>
              <w:rPr>
                <w:rFonts w:hint="default" w:ascii="Times New Roman" w:hAnsi="Times New Roman" w:eastAsia="宋体" w:cs="Times New Roman"/>
                <w:sz w:val="21"/>
                <w:szCs w:val="21"/>
              </w:rPr>
              <w:t>从事商业贿赂行为或其他违法违规行为的；</w:t>
            </w:r>
          </w:p>
          <w:p w14:paraId="788D0A53">
            <w:pPr>
              <w:keepNext w:val="0"/>
              <w:keepLines w:val="0"/>
              <w:pageBreakBefore w:val="0"/>
              <w:widowControl w:val="0"/>
              <w:numPr>
                <w:ilvl w:val="0"/>
                <w:numId w:val="0"/>
              </w:numPr>
              <w:kinsoku/>
              <w:wordWrap/>
              <w:overflowPunct/>
              <w:topLinePunct w:val="0"/>
              <w:autoSpaceDE/>
              <w:autoSpaceDN/>
              <w:bidi w:val="0"/>
              <w:adjustRightInd w:val="0"/>
              <w:snapToGrid w:val="0"/>
              <w:spacing w:line="380" w:lineRule="exact"/>
              <w:ind w:left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6、法律规定的或本合同约定的其他</w:t>
            </w:r>
            <w:r>
              <w:rPr>
                <w:rFonts w:hint="default" w:ascii="Times New Roman" w:hAnsi="Times New Roman" w:eastAsia="宋体" w:cs="Times New Roman"/>
                <w:sz w:val="21"/>
                <w:szCs w:val="21"/>
                <w:lang w:eastAsia="zh-CN"/>
              </w:rPr>
              <w:t>采购人</w:t>
            </w:r>
            <w:r>
              <w:rPr>
                <w:rFonts w:hint="default" w:ascii="Times New Roman" w:hAnsi="Times New Roman" w:eastAsia="宋体" w:cs="Times New Roman"/>
                <w:sz w:val="21"/>
                <w:szCs w:val="21"/>
              </w:rPr>
              <w:t>有权单方解除/终止合同的情形。</w:t>
            </w:r>
            <w:r>
              <w:rPr>
                <w:rFonts w:hint="default" w:ascii="Times New Roman" w:hAnsi="Times New Roman" w:eastAsia="宋体" w:cs="Times New Roman"/>
                <w:sz w:val="21"/>
                <w:szCs w:val="21"/>
                <w:lang w:eastAsia="zh-CN"/>
              </w:rPr>
              <w:t>中标人</w:t>
            </w:r>
            <w:r>
              <w:rPr>
                <w:rFonts w:hint="default" w:ascii="Times New Roman" w:hAnsi="Times New Roman" w:eastAsia="宋体" w:cs="Times New Roman"/>
                <w:sz w:val="21"/>
                <w:szCs w:val="21"/>
              </w:rPr>
              <w:t>如出现歇业、停业、被吊销营业执照或被人民法院裁定宣告进入破产还债程序等情形，应提前1个月以书面形式通知</w:t>
            </w:r>
            <w:r>
              <w:rPr>
                <w:rFonts w:hint="default" w:ascii="Times New Roman" w:hAnsi="Times New Roman" w:eastAsia="宋体" w:cs="Times New Roman"/>
                <w:sz w:val="21"/>
                <w:szCs w:val="21"/>
                <w:lang w:eastAsia="zh-CN"/>
              </w:rPr>
              <w:t>采购人</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eastAsia="zh-CN"/>
              </w:rPr>
              <w:t>采购人</w:t>
            </w:r>
            <w:r>
              <w:rPr>
                <w:rFonts w:hint="default" w:ascii="Times New Roman" w:hAnsi="Times New Roman" w:eastAsia="宋体" w:cs="Times New Roman"/>
                <w:sz w:val="21"/>
                <w:szCs w:val="21"/>
              </w:rPr>
              <w:t>有权单方解除合同，</w:t>
            </w:r>
            <w:r>
              <w:rPr>
                <w:rFonts w:hint="default" w:ascii="Times New Roman" w:hAnsi="Times New Roman" w:eastAsia="宋体" w:cs="Times New Roman"/>
                <w:sz w:val="21"/>
                <w:szCs w:val="21"/>
                <w:lang w:eastAsia="zh-CN"/>
              </w:rPr>
              <w:t>中标人</w:t>
            </w:r>
            <w:r>
              <w:rPr>
                <w:rFonts w:hint="default" w:ascii="Times New Roman" w:hAnsi="Times New Roman" w:eastAsia="宋体" w:cs="Times New Roman"/>
                <w:sz w:val="21"/>
                <w:szCs w:val="21"/>
              </w:rPr>
              <w:t>应在收到</w:t>
            </w:r>
            <w:r>
              <w:rPr>
                <w:rFonts w:hint="default" w:ascii="Times New Roman" w:hAnsi="Times New Roman" w:eastAsia="宋体" w:cs="Times New Roman"/>
                <w:sz w:val="21"/>
                <w:szCs w:val="21"/>
                <w:lang w:eastAsia="zh-CN"/>
              </w:rPr>
              <w:t>采购人</w:t>
            </w:r>
            <w:r>
              <w:rPr>
                <w:rFonts w:hint="default" w:ascii="Times New Roman" w:hAnsi="Times New Roman" w:eastAsia="宋体" w:cs="Times New Roman"/>
                <w:sz w:val="21"/>
                <w:szCs w:val="21"/>
              </w:rPr>
              <w:t>发出的解除/终止合同通知后10天内无条件退回</w:t>
            </w:r>
            <w:r>
              <w:rPr>
                <w:rFonts w:hint="default" w:ascii="Times New Roman" w:hAnsi="Times New Roman" w:eastAsia="宋体" w:cs="Times New Roman"/>
                <w:sz w:val="21"/>
                <w:szCs w:val="21"/>
                <w:lang w:eastAsia="zh-CN"/>
              </w:rPr>
              <w:t>采购人</w:t>
            </w:r>
            <w:r>
              <w:rPr>
                <w:rFonts w:hint="default" w:ascii="Times New Roman" w:hAnsi="Times New Roman" w:eastAsia="宋体" w:cs="Times New Roman"/>
                <w:sz w:val="21"/>
                <w:szCs w:val="21"/>
              </w:rPr>
              <w:t>已支付的全部款项，按合同总价的</w:t>
            </w:r>
            <w:r>
              <w:rPr>
                <w:rFonts w:hint="default"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rPr>
              <w:t>0%向</w:t>
            </w:r>
            <w:r>
              <w:rPr>
                <w:rFonts w:hint="default" w:ascii="Times New Roman" w:hAnsi="Times New Roman" w:eastAsia="宋体" w:cs="Times New Roman"/>
                <w:sz w:val="21"/>
                <w:szCs w:val="21"/>
                <w:lang w:eastAsia="zh-CN"/>
              </w:rPr>
              <w:t>采购人</w:t>
            </w:r>
            <w:r>
              <w:rPr>
                <w:rFonts w:hint="default" w:ascii="Times New Roman" w:hAnsi="Times New Roman" w:eastAsia="宋体" w:cs="Times New Roman"/>
                <w:sz w:val="21"/>
                <w:szCs w:val="21"/>
              </w:rPr>
              <w:t>支付违约金，并对</w:t>
            </w:r>
            <w:r>
              <w:rPr>
                <w:rFonts w:hint="default" w:ascii="Times New Roman" w:hAnsi="Times New Roman" w:eastAsia="宋体" w:cs="Times New Roman"/>
                <w:sz w:val="21"/>
                <w:szCs w:val="21"/>
                <w:lang w:eastAsia="zh-CN"/>
              </w:rPr>
              <w:t>采购人</w:t>
            </w:r>
            <w:r>
              <w:rPr>
                <w:rFonts w:hint="default" w:ascii="Times New Roman" w:hAnsi="Times New Roman" w:eastAsia="宋体" w:cs="Times New Roman"/>
                <w:sz w:val="21"/>
                <w:szCs w:val="21"/>
              </w:rPr>
              <w:t>遭受的损失进行赔偿。</w:t>
            </w:r>
          </w:p>
          <w:p w14:paraId="1FC74DFD">
            <w:pPr>
              <w:pStyle w:val="56"/>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olor w:val="auto"/>
                <w:sz w:val="21"/>
                <w:szCs w:val="21"/>
                <w:highlight w:val="none"/>
                <w:lang w:val="en-US" w:eastAsia="zh-CN"/>
              </w:rPr>
            </w:pPr>
            <w:r>
              <w:rPr>
                <w:rFonts w:hint="eastAsia" w:eastAsia="宋体" w:cs="Times New Roman"/>
                <w:sz w:val="21"/>
                <w:szCs w:val="21"/>
                <w:lang w:val="en-US" w:eastAsia="zh-CN"/>
              </w:rPr>
              <w:t>7、</w:t>
            </w:r>
            <w:r>
              <w:rPr>
                <w:rFonts w:hint="default" w:ascii="Times New Roman" w:hAnsi="Times New Roman" w:eastAsia="宋体" w:cs="Times New Roman"/>
                <w:sz w:val="21"/>
                <w:szCs w:val="21"/>
              </w:rPr>
              <w:t>在合同履行期间，若发现中标人存有被有关部门予以政府采购方面行政处罚情况的，采购人有权单方解除合同，并且中标人应偿付采购人合同价款【</w:t>
            </w:r>
            <w:r>
              <w:rPr>
                <w:rFonts w:hint="default"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rPr>
              <w:t>0】%的违约金，违约金不足以弥补采购人损失的，采购人有权追偿。</w:t>
            </w:r>
          </w:p>
        </w:tc>
      </w:tr>
      <w:tr w14:paraId="2CC05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377" w:type="dxa"/>
            <w:vAlign w:val="center"/>
          </w:tcPr>
          <w:p w14:paraId="4AC1BBA4">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售后服务</w:t>
            </w:r>
          </w:p>
        </w:tc>
        <w:tc>
          <w:tcPr>
            <w:tcW w:w="924" w:type="dxa"/>
            <w:shd w:val="clear" w:color="auto" w:fill="auto"/>
            <w:vAlign w:val="center"/>
          </w:tcPr>
          <w:p w14:paraId="172E0329">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rPr>
              <w:t>8</w:t>
            </w:r>
          </w:p>
        </w:tc>
        <w:tc>
          <w:tcPr>
            <w:tcW w:w="7584" w:type="dxa"/>
            <w:vAlign w:val="center"/>
          </w:tcPr>
          <w:p w14:paraId="639F9344">
            <w:pPr>
              <w:pStyle w:val="56"/>
              <w:keepNext w:val="0"/>
              <w:keepLines w:val="0"/>
              <w:pageBreakBefore w:val="0"/>
              <w:numPr>
                <w:ilvl w:val="-1"/>
                <w:numId w:val="0"/>
              </w:numPr>
              <w:kinsoku/>
              <w:wordWrap/>
              <w:overflowPunct/>
              <w:topLinePunct w:val="0"/>
              <w:autoSpaceDE/>
              <w:autoSpaceDN/>
              <w:bidi w:val="0"/>
              <w:adjustRightInd w:val="0"/>
              <w:snapToGrid w:val="0"/>
              <w:spacing w:line="360" w:lineRule="auto"/>
              <w:textAlignment w:val="auto"/>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1、</w:t>
            </w:r>
            <w:r>
              <w:rPr>
                <w:rFonts w:hint="eastAsia" w:ascii="宋体" w:hAnsi="宋体"/>
                <w:color w:val="auto"/>
                <w:sz w:val="21"/>
                <w:szCs w:val="21"/>
                <w:highlight w:val="none"/>
              </w:rPr>
              <w:t>★升级维护期：</w:t>
            </w:r>
            <w:r>
              <w:rPr>
                <w:rFonts w:hint="eastAsia" w:ascii="宋体" w:hAnsi="宋体"/>
                <w:b/>
                <w:bCs w:val="0"/>
                <w:color w:val="auto"/>
                <w:sz w:val="21"/>
                <w:szCs w:val="21"/>
                <w:highlight w:val="none"/>
                <w:lang w:val="en-US" w:eastAsia="zh-CN"/>
              </w:rPr>
              <w:t>5年</w:t>
            </w:r>
            <w:r>
              <w:rPr>
                <w:rFonts w:hint="eastAsia" w:ascii="宋体" w:hAnsi="宋体"/>
                <w:color w:val="auto"/>
                <w:sz w:val="21"/>
                <w:szCs w:val="21"/>
                <w:highlight w:val="none"/>
                <w:lang w:val="en-US" w:eastAsia="zh-CN"/>
              </w:rPr>
              <w:t>。</w:t>
            </w:r>
          </w:p>
          <w:p w14:paraId="4A391588">
            <w:pPr>
              <w:pStyle w:val="56"/>
              <w:keepNext w:val="0"/>
              <w:keepLines w:val="0"/>
              <w:pageBreakBefore w:val="0"/>
              <w:numPr>
                <w:ilvl w:val="0"/>
                <w:numId w:val="0"/>
              </w:numPr>
              <w:kinsoku/>
              <w:wordWrap/>
              <w:overflowPunct/>
              <w:topLinePunct w:val="0"/>
              <w:autoSpaceDE/>
              <w:autoSpaceDN/>
              <w:bidi w:val="0"/>
              <w:adjustRightInd w:val="0"/>
              <w:snapToGrid w:val="0"/>
              <w:spacing w:line="360" w:lineRule="auto"/>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新建及升级系统，</w:t>
            </w:r>
            <w:r>
              <w:rPr>
                <w:rFonts w:hint="eastAsia" w:ascii="宋体" w:hAnsi="宋体"/>
                <w:color w:val="auto"/>
                <w:sz w:val="21"/>
                <w:szCs w:val="21"/>
                <w:highlight w:val="none"/>
              </w:rPr>
              <w:t>自系统验收合格之日起；</w:t>
            </w:r>
            <w:r>
              <w:rPr>
                <w:rFonts w:hint="eastAsia" w:ascii="宋体" w:hAnsi="宋体"/>
                <w:color w:val="auto"/>
                <w:sz w:val="21"/>
                <w:szCs w:val="21"/>
                <w:highlight w:val="none"/>
                <w:lang w:val="en-US" w:eastAsia="zh-CN"/>
              </w:rPr>
              <w:t>其他系统，自维保服务开始日期起。</w:t>
            </w:r>
          </w:p>
          <w:p w14:paraId="154044C9">
            <w:pPr>
              <w:pStyle w:val="56"/>
              <w:keepNext w:val="0"/>
              <w:keepLines w:val="0"/>
              <w:pageBreakBefore w:val="0"/>
              <w:kinsoku/>
              <w:wordWrap/>
              <w:overflowPunct/>
              <w:topLinePunct w:val="0"/>
              <w:autoSpaceDE/>
              <w:autoSpaceDN/>
              <w:bidi w:val="0"/>
              <w:adjustRightInd w:val="0"/>
              <w:snapToGrid w:val="0"/>
              <w:spacing w:line="360" w:lineRule="auto"/>
              <w:textAlignment w:val="auto"/>
              <w:rPr>
                <w:rFonts w:ascii="宋体" w:hAnsi="宋体"/>
                <w:color w:val="auto"/>
                <w:sz w:val="21"/>
                <w:szCs w:val="21"/>
                <w:highlight w:val="none"/>
              </w:rPr>
            </w:pPr>
            <w:r>
              <w:rPr>
                <w:rFonts w:hint="eastAsia" w:ascii="宋体" w:hAnsi="宋体"/>
                <w:color w:val="auto"/>
                <w:sz w:val="21"/>
                <w:szCs w:val="21"/>
                <w:highlight w:val="none"/>
              </w:rPr>
              <w:t>2、服务范围：涵盖项目合同约定的系统所有功能模块、软硬件设备、接口及附属设施，包括但不限于：</w:t>
            </w:r>
          </w:p>
          <w:p w14:paraId="6F829FA9">
            <w:pPr>
              <w:pStyle w:val="56"/>
              <w:keepNext w:val="0"/>
              <w:keepLines w:val="0"/>
              <w:pageBreakBefore w:val="0"/>
              <w:kinsoku/>
              <w:wordWrap/>
              <w:overflowPunct/>
              <w:topLinePunct w:val="0"/>
              <w:autoSpaceDE/>
              <w:autoSpaceDN/>
              <w:bidi w:val="0"/>
              <w:adjustRightInd w:val="0"/>
              <w:snapToGrid w:val="0"/>
              <w:spacing w:line="360" w:lineRule="auto"/>
              <w:textAlignment w:val="auto"/>
              <w:rPr>
                <w:rFonts w:ascii="宋体" w:hAnsi="宋体"/>
                <w:color w:val="auto"/>
                <w:sz w:val="21"/>
                <w:szCs w:val="21"/>
                <w:highlight w:val="none"/>
              </w:rPr>
            </w:pP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1）</w:t>
            </w:r>
            <w:r>
              <w:rPr>
                <w:rFonts w:hint="eastAsia" w:ascii="宋体" w:hAnsi="宋体"/>
                <w:color w:val="auto"/>
                <w:sz w:val="21"/>
                <w:szCs w:val="21"/>
                <w:highlight w:val="none"/>
              </w:rPr>
              <w:t>系统日常运行维护、故障修复、性能优化；</w:t>
            </w:r>
          </w:p>
          <w:p w14:paraId="1AEBA2B0">
            <w:pPr>
              <w:pStyle w:val="56"/>
              <w:spacing w:line="360" w:lineRule="auto"/>
              <w:rPr>
                <w:rFonts w:hint="eastAsia" w:ascii="宋体" w:hAnsi="宋体"/>
                <w:color w:val="auto"/>
                <w:sz w:val="21"/>
                <w:szCs w:val="21"/>
                <w:highlight w:val="none"/>
              </w:rPr>
            </w:pP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2</w:t>
            </w:r>
            <w:r>
              <w:rPr>
                <w:rFonts w:hint="eastAsia" w:ascii="宋体" w:hAnsi="宋体"/>
                <w:color w:val="auto"/>
                <w:sz w:val="21"/>
                <w:szCs w:val="21"/>
                <w:highlight w:val="none"/>
                <w:lang w:eastAsia="zh-CN"/>
              </w:rPr>
              <w:t>）</w:t>
            </w:r>
            <w:r>
              <w:rPr>
                <w:rFonts w:hint="eastAsia" w:ascii="宋体" w:hAnsi="宋体"/>
                <w:color w:val="auto"/>
                <w:sz w:val="21"/>
                <w:szCs w:val="21"/>
                <w:highlight w:val="none"/>
              </w:rPr>
              <w:t>国产化信创环境适配升级；</w:t>
            </w:r>
          </w:p>
          <w:p w14:paraId="40347CEF">
            <w:pPr>
              <w:pStyle w:val="56"/>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跟踪信息技术发展，</w:t>
            </w:r>
            <w:r>
              <w:rPr>
                <w:rFonts w:hint="eastAsia" w:asciiTheme="minorEastAsia" w:hAnsiTheme="minorEastAsia" w:eastAsiaTheme="minorEastAsia" w:cstheme="minorEastAsia"/>
                <w:color w:val="auto"/>
                <w:sz w:val="21"/>
                <w:szCs w:val="21"/>
                <w:highlight w:val="none"/>
                <w:lang w:val="en-US" w:eastAsia="zh-CN"/>
              </w:rPr>
              <w:t>维护期</w:t>
            </w:r>
            <w:r>
              <w:rPr>
                <w:rFonts w:hint="eastAsia" w:asciiTheme="minorEastAsia" w:hAnsiTheme="minorEastAsia" w:eastAsiaTheme="minorEastAsia" w:cstheme="minorEastAsia"/>
                <w:color w:val="auto"/>
                <w:sz w:val="21"/>
                <w:szCs w:val="21"/>
                <w:highlight w:val="none"/>
              </w:rPr>
              <w:t>内免费适配主流新操作系统、数据库及中间件；</w:t>
            </w:r>
          </w:p>
          <w:p w14:paraId="7E12C9E5">
            <w:pPr>
              <w:pStyle w:val="56"/>
              <w:keepNext w:val="0"/>
              <w:keepLines w:val="0"/>
              <w:pageBreakBefore w:val="0"/>
              <w:kinsoku/>
              <w:wordWrap/>
              <w:overflowPunct/>
              <w:topLinePunct w:val="0"/>
              <w:autoSpaceDE/>
              <w:autoSpaceDN/>
              <w:bidi w:val="0"/>
              <w:adjustRightInd w:val="0"/>
              <w:snapToGrid w:val="0"/>
              <w:spacing w:line="360" w:lineRule="auto"/>
              <w:textAlignment w:val="auto"/>
              <w:rPr>
                <w:rFonts w:ascii="宋体" w:hAnsi="宋体"/>
                <w:color w:val="auto"/>
                <w:sz w:val="21"/>
                <w:szCs w:val="21"/>
                <w:highlight w:val="none"/>
              </w:rPr>
            </w:pP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4</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维护期</w:t>
            </w:r>
            <w:r>
              <w:rPr>
                <w:rFonts w:hint="eastAsia" w:asciiTheme="minorEastAsia" w:hAnsiTheme="minorEastAsia" w:eastAsiaTheme="minorEastAsia" w:cstheme="minorEastAsia"/>
                <w:color w:val="auto"/>
                <w:sz w:val="21"/>
                <w:szCs w:val="21"/>
                <w:highlight w:val="none"/>
              </w:rPr>
              <w:t>内若因技术迭代导致系统无法兼容，免费提供重构或迁移方案。</w:t>
            </w:r>
          </w:p>
          <w:p w14:paraId="5A698360">
            <w:pPr>
              <w:pStyle w:val="56"/>
              <w:keepNext w:val="0"/>
              <w:keepLines w:val="0"/>
              <w:pageBreakBefore w:val="0"/>
              <w:kinsoku/>
              <w:wordWrap/>
              <w:overflowPunct/>
              <w:topLinePunct w:val="0"/>
              <w:autoSpaceDE/>
              <w:autoSpaceDN/>
              <w:bidi w:val="0"/>
              <w:adjustRightInd w:val="0"/>
              <w:snapToGrid w:val="0"/>
              <w:spacing w:line="360" w:lineRule="auto"/>
              <w:textAlignment w:val="auto"/>
              <w:rPr>
                <w:rFonts w:ascii="宋体" w:hAnsi="宋体"/>
                <w:color w:val="auto"/>
                <w:sz w:val="21"/>
                <w:szCs w:val="21"/>
                <w:highlight w:val="none"/>
              </w:rPr>
            </w:pP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5</w:t>
            </w:r>
            <w:r>
              <w:rPr>
                <w:rFonts w:hint="eastAsia" w:ascii="宋体" w:hAnsi="宋体"/>
                <w:color w:val="auto"/>
                <w:sz w:val="21"/>
                <w:szCs w:val="21"/>
                <w:highlight w:val="none"/>
                <w:lang w:eastAsia="zh-CN"/>
              </w:rPr>
              <w:t>）</w:t>
            </w:r>
            <w:r>
              <w:rPr>
                <w:rFonts w:hint="eastAsia" w:ascii="宋体" w:hAnsi="宋体"/>
                <w:color w:val="auto"/>
                <w:sz w:val="21"/>
                <w:szCs w:val="21"/>
                <w:highlight w:val="none"/>
              </w:rPr>
              <w:t>政策调整或业务变更引发的功能修改需求</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需在政策及相关通知要求的时限内完成</w:t>
            </w:r>
            <w:r>
              <w:rPr>
                <w:rFonts w:hint="eastAsia" w:ascii="宋体" w:hAnsi="宋体"/>
                <w:color w:val="auto"/>
                <w:sz w:val="21"/>
                <w:szCs w:val="21"/>
                <w:highlight w:val="none"/>
              </w:rPr>
              <w:t>；</w:t>
            </w:r>
          </w:p>
          <w:p w14:paraId="04D32C00">
            <w:pPr>
              <w:pStyle w:val="56"/>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olor w:val="auto"/>
                <w:sz w:val="21"/>
                <w:szCs w:val="21"/>
                <w:highlight w:val="none"/>
                <w:lang w:eastAsia="zh-CN"/>
              </w:rPr>
            </w:pP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6</w:t>
            </w:r>
            <w:r>
              <w:rPr>
                <w:rFonts w:hint="eastAsia" w:ascii="宋体" w:hAnsi="宋体"/>
                <w:color w:val="auto"/>
                <w:sz w:val="21"/>
                <w:szCs w:val="21"/>
                <w:highlight w:val="none"/>
                <w:lang w:eastAsia="zh-CN"/>
              </w:rPr>
              <w:t>）</w:t>
            </w:r>
            <w:r>
              <w:rPr>
                <w:rFonts w:hint="eastAsia" w:ascii="宋体" w:hAnsi="宋体"/>
                <w:color w:val="auto"/>
                <w:sz w:val="21"/>
                <w:szCs w:val="21"/>
                <w:highlight w:val="none"/>
              </w:rPr>
              <w:t>数据迁移、备份恢复及安全防护支持</w:t>
            </w:r>
            <w:r>
              <w:rPr>
                <w:rFonts w:hint="eastAsia" w:ascii="宋体" w:hAnsi="宋体"/>
                <w:color w:val="auto"/>
                <w:sz w:val="21"/>
                <w:szCs w:val="21"/>
                <w:highlight w:val="none"/>
                <w:lang w:eastAsia="zh-CN"/>
              </w:rPr>
              <w:t>；</w:t>
            </w:r>
          </w:p>
          <w:p w14:paraId="6F45016A">
            <w:pPr>
              <w:pStyle w:val="56"/>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olor w:val="auto"/>
                <w:sz w:val="21"/>
                <w:szCs w:val="21"/>
                <w:highlight w:val="none"/>
                <w:lang w:eastAsia="zh-CN"/>
              </w:rPr>
            </w:pP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7</w:t>
            </w:r>
            <w:r>
              <w:rPr>
                <w:rFonts w:hint="eastAsia" w:ascii="宋体" w:hAnsi="宋体"/>
                <w:color w:val="auto"/>
                <w:sz w:val="21"/>
                <w:szCs w:val="21"/>
                <w:highlight w:val="none"/>
                <w:lang w:eastAsia="zh-CN"/>
              </w:rPr>
              <w:t>）</w:t>
            </w:r>
            <w:r>
              <w:rPr>
                <w:rFonts w:hint="eastAsia" w:ascii="宋体" w:hAnsi="宋体"/>
                <w:color w:val="auto"/>
                <w:sz w:val="21"/>
                <w:szCs w:val="21"/>
                <w:highlight w:val="none"/>
              </w:rPr>
              <w:t>统计数据</w:t>
            </w:r>
            <w:r>
              <w:rPr>
                <w:rFonts w:hint="eastAsia" w:ascii="宋体" w:hAnsi="宋体"/>
                <w:color w:val="auto"/>
                <w:sz w:val="21"/>
                <w:szCs w:val="21"/>
                <w:highlight w:val="none"/>
                <w:lang w:val="en-US" w:eastAsia="zh-CN"/>
              </w:rPr>
              <w:t>查询代码编写、数据</w:t>
            </w:r>
            <w:r>
              <w:rPr>
                <w:rFonts w:hint="eastAsia" w:ascii="宋体" w:hAnsi="宋体"/>
                <w:color w:val="auto"/>
                <w:sz w:val="21"/>
                <w:szCs w:val="21"/>
                <w:highlight w:val="none"/>
              </w:rPr>
              <w:t>核验修正、统计指标增补</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指标业务系统溯源</w:t>
            </w:r>
            <w:r>
              <w:rPr>
                <w:rFonts w:hint="eastAsia" w:ascii="宋体" w:hAnsi="宋体"/>
                <w:color w:val="auto"/>
                <w:sz w:val="21"/>
                <w:szCs w:val="21"/>
                <w:highlight w:val="none"/>
              </w:rPr>
              <w:t>与算法结果正确输出、报表推送等服务</w:t>
            </w:r>
            <w:r>
              <w:rPr>
                <w:rFonts w:hint="eastAsia" w:ascii="宋体" w:hAnsi="宋体"/>
                <w:color w:val="auto"/>
                <w:sz w:val="21"/>
                <w:szCs w:val="21"/>
                <w:highlight w:val="none"/>
                <w:lang w:eastAsia="zh-CN"/>
              </w:rPr>
              <w:t>；</w:t>
            </w:r>
          </w:p>
          <w:p w14:paraId="16CBFDF4">
            <w:pPr>
              <w:pStyle w:val="56"/>
              <w:keepNext w:val="0"/>
              <w:keepLines w:val="0"/>
              <w:pageBreakBefore w:val="0"/>
              <w:kinsoku/>
              <w:wordWrap/>
              <w:overflowPunct/>
              <w:topLinePunct w:val="0"/>
              <w:autoSpaceDE/>
              <w:autoSpaceDN/>
              <w:bidi w:val="0"/>
              <w:adjustRightInd w:val="0"/>
              <w:snapToGrid w:val="0"/>
              <w:spacing w:line="360" w:lineRule="auto"/>
              <w:textAlignment w:val="auto"/>
              <w:rPr>
                <w:rFonts w:hint="default" w:ascii="宋体" w:hAnsi="宋体"/>
                <w:color w:val="auto"/>
                <w:sz w:val="21"/>
                <w:szCs w:val="21"/>
                <w:highlight w:val="none"/>
                <w:lang w:val="en-US" w:eastAsia="zh-CN"/>
              </w:rPr>
            </w:pP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8</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门诊病历文书、住院病历文书的模板维护支持；</w:t>
            </w:r>
          </w:p>
          <w:p w14:paraId="78E8418A">
            <w:pPr>
              <w:pStyle w:val="56"/>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olor w:val="auto"/>
                <w:sz w:val="21"/>
                <w:szCs w:val="21"/>
                <w:highlight w:val="none"/>
                <w:lang w:eastAsia="zh-CN"/>
              </w:rPr>
            </w:pP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9</w:t>
            </w:r>
            <w:r>
              <w:rPr>
                <w:rFonts w:hint="eastAsia" w:ascii="宋体" w:hAnsi="宋体"/>
                <w:color w:val="auto"/>
                <w:sz w:val="21"/>
                <w:szCs w:val="21"/>
                <w:highlight w:val="none"/>
                <w:lang w:eastAsia="zh-CN"/>
              </w:rPr>
              <w:t>）系统所在服务器重启后，相应系统服务自动启动；</w:t>
            </w:r>
          </w:p>
          <w:p w14:paraId="7D0ACA37">
            <w:pPr>
              <w:pStyle w:val="56"/>
              <w:spacing w:line="360" w:lineRule="auto"/>
              <w:rPr>
                <w:rFonts w:hint="eastAsia" w:ascii="宋体" w:hAnsi="宋体"/>
                <w:color w:val="auto"/>
                <w:sz w:val="24"/>
                <w:szCs w:val="24"/>
                <w:highlight w:val="none"/>
                <w:lang w:eastAsia="zh-CN"/>
              </w:rPr>
            </w:pP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10</w:t>
            </w:r>
            <w:r>
              <w:rPr>
                <w:rFonts w:hint="eastAsia" w:ascii="宋体" w:hAnsi="宋体"/>
                <w:color w:val="auto"/>
                <w:sz w:val="21"/>
                <w:szCs w:val="21"/>
                <w:highlight w:val="none"/>
                <w:lang w:eastAsia="zh-CN"/>
              </w:rPr>
              <w:t>）维保期内，在后续实施工作中，如需</w:t>
            </w:r>
            <w:r>
              <w:rPr>
                <w:rFonts w:hint="eastAsia" w:ascii="宋体" w:hAnsi="宋体"/>
                <w:b/>
                <w:bCs w:val="0"/>
                <w:color w:val="auto"/>
                <w:sz w:val="21"/>
                <w:szCs w:val="21"/>
                <w:highlight w:val="none"/>
                <w:lang w:eastAsia="zh-CN"/>
              </w:rPr>
              <w:t>与其他第三方系统及平台进行接口对接，进行免费实施处理</w:t>
            </w:r>
            <w:r>
              <w:rPr>
                <w:rFonts w:hint="eastAsia" w:ascii="宋体" w:hAnsi="宋体"/>
                <w:color w:val="auto"/>
                <w:sz w:val="21"/>
                <w:szCs w:val="21"/>
                <w:highlight w:val="none"/>
                <w:lang w:eastAsia="zh-CN"/>
              </w:rPr>
              <w:t>。</w:t>
            </w:r>
          </w:p>
          <w:p w14:paraId="35ED749E">
            <w:pPr>
              <w:pStyle w:val="56"/>
              <w:spacing w:line="360" w:lineRule="auto"/>
              <w:rPr>
                <w:rFonts w:hint="eastAsia" w:ascii="宋体" w:hAnsi="宋体" w:eastAsia="宋体" w:cs="Times New Roman"/>
                <w:color w:val="auto"/>
                <w:sz w:val="21"/>
                <w:szCs w:val="21"/>
                <w:highlight w:val="none"/>
                <w:lang w:val="en-US" w:eastAsia="zh-CN"/>
              </w:rPr>
            </w:pPr>
            <w:r>
              <w:rPr>
                <w:rFonts w:hint="eastAsia" w:ascii="宋体" w:hAnsi="宋体" w:eastAsia="宋体" w:cs="Times New Roman"/>
                <w:color w:val="auto"/>
                <w:sz w:val="21"/>
                <w:szCs w:val="21"/>
                <w:highlight w:val="none"/>
                <w:lang w:val="en-US" w:eastAsia="zh-CN"/>
              </w:rPr>
              <w:t>3、故障响应：</w:t>
            </w:r>
          </w:p>
          <w:p w14:paraId="2723717E">
            <w:pPr>
              <w:pStyle w:val="56"/>
              <w:spacing w:line="360" w:lineRule="auto"/>
              <w:rPr>
                <w:rFonts w:hint="eastAsia" w:ascii="宋体" w:hAnsi="宋体" w:eastAsia="宋体" w:cs="Times New Roman"/>
                <w:color w:val="auto"/>
                <w:sz w:val="21"/>
                <w:szCs w:val="21"/>
                <w:highlight w:val="none"/>
                <w:lang w:val="en-US" w:eastAsia="zh-CN"/>
              </w:rPr>
            </w:pPr>
            <w:r>
              <w:rPr>
                <w:rFonts w:hint="eastAsia" w:ascii="宋体" w:hAnsi="宋体" w:eastAsia="宋体" w:cs="Times New Roman"/>
                <w:color w:val="auto"/>
                <w:sz w:val="21"/>
                <w:szCs w:val="21"/>
                <w:highlight w:val="none"/>
                <w:lang w:val="en-US" w:eastAsia="zh-CN"/>
              </w:rPr>
              <w:t>7×24小时全天候技术支持，接到报修通知后：</w:t>
            </w:r>
          </w:p>
          <w:p w14:paraId="65F87703">
            <w:pPr>
              <w:pStyle w:val="56"/>
              <w:spacing w:line="360" w:lineRule="auto"/>
              <w:rPr>
                <w:rFonts w:hint="eastAsia" w:ascii="宋体" w:hAnsi="宋体" w:eastAsia="宋体" w:cs="Times New Roman"/>
                <w:color w:val="auto"/>
                <w:sz w:val="21"/>
                <w:szCs w:val="21"/>
                <w:highlight w:val="none"/>
                <w:lang w:val="en-US" w:eastAsia="zh-CN"/>
              </w:rPr>
            </w:pPr>
            <w:r>
              <w:rPr>
                <w:rFonts w:hint="eastAsia" w:ascii="宋体" w:hAnsi="宋体" w:eastAsia="宋体" w:cs="Times New Roman"/>
                <w:color w:val="auto"/>
                <w:sz w:val="21"/>
                <w:szCs w:val="21"/>
                <w:highlight w:val="none"/>
                <w:lang w:val="en-US" w:eastAsia="zh-CN"/>
              </w:rPr>
              <w:t>故障响应时限：15分钟内现场/远程响应，1小时内提出解决方案；</w:t>
            </w:r>
          </w:p>
          <w:p w14:paraId="148D6314">
            <w:pPr>
              <w:pStyle w:val="56"/>
              <w:spacing w:line="360" w:lineRule="auto"/>
              <w:rPr>
                <w:rFonts w:hint="eastAsia" w:ascii="宋体" w:hAnsi="宋体" w:eastAsia="宋体" w:cs="Times New Roman"/>
                <w:color w:val="auto"/>
                <w:sz w:val="21"/>
                <w:szCs w:val="21"/>
                <w:highlight w:val="none"/>
                <w:lang w:val="en-US" w:eastAsia="zh-CN"/>
              </w:rPr>
            </w:pPr>
            <w:r>
              <w:rPr>
                <w:rFonts w:hint="eastAsia" w:ascii="宋体" w:hAnsi="宋体" w:eastAsia="宋体" w:cs="Times New Roman"/>
                <w:color w:val="auto"/>
                <w:sz w:val="21"/>
                <w:szCs w:val="21"/>
                <w:highlight w:val="none"/>
                <w:lang w:val="en-US" w:eastAsia="zh-CN"/>
              </w:rPr>
              <w:t>故障修复时限：普通问题≤1.5小时，重大问题≤1小时（不可抗力除外）。</w:t>
            </w:r>
          </w:p>
          <w:p w14:paraId="5ADBA37A">
            <w:pPr>
              <w:pStyle w:val="56"/>
              <w:spacing w:line="360" w:lineRule="auto"/>
              <w:rPr>
                <w:rFonts w:hint="eastAsia" w:ascii="宋体" w:hAnsi="宋体" w:eastAsia="宋体" w:cs="Times New Roman"/>
                <w:color w:val="auto"/>
                <w:sz w:val="21"/>
                <w:szCs w:val="21"/>
                <w:highlight w:val="none"/>
                <w:lang w:eastAsia="zh-CN"/>
              </w:rPr>
            </w:pPr>
            <w:r>
              <w:rPr>
                <w:rFonts w:hint="eastAsia" w:ascii="宋体" w:hAnsi="宋体" w:eastAsia="宋体" w:cs="Times New Roman"/>
                <w:color w:val="auto"/>
                <w:sz w:val="21"/>
                <w:szCs w:val="21"/>
                <w:highlight w:val="none"/>
                <w:lang w:val="en-US" w:eastAsia="zh-CN"/>
              </w:rPr>
              <w:t>4、</w:t>
            </w:r>
            <w:r>
              <w:rPr>
                <w:rFonts w:hint="eastAsia" w:ascii="宋体" w:hAnsi="宋体" w:eastAsia="宋体" w:cs="Times New Roman"/>
                <w:color w:val="auto"/>
                <w:sz w:val="21"/>
                <w:szCs w:val="21"/>
                <w:highlight w:val="none"/>
              </w:rPr>
              <w:t>定期维护与优化</w:t>
            </w:r>
            <w:r>
              <w:rPr>
                <w:rFonts w:hint="eastAsia" w:ascii="宋体" w:hAnsi="宋体" w:eastAsia="宋体" w:cs="Times New Roman"/>
                <w:color w:val="auto"/>
                <w:sz w:val="21"/>
                <w:szCs w:val="21"/>
                <w:highlight w:val="none"/>
                <w:lang w:eastAsia="zh-CN"/>
              </w:rPr>
              <w:t>：</w:t>
            </w:r>
          </w:p>
          <w:p w14:paraId="310AF13E">
            <w:pPr>
              <w:pStyle w:val="56"/>
              <w:spacing w:line="360" w:lineRule="auto"/>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每季度提供1次系统巡检，出具《系统巡检报告》；</w:t>
            </w:r>
          </w:p>
          <w:p w14:paraId="35DE44C7">
            <w:pPr>
              <w:pStyle w:val="56"/>
              <w:spacing w:line="360" w:lineRule="auto"/>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免费提供系统性能优化及安全漏洞修复；</w:t>
            </w:r>
          </w:p>
          <w:p w14:paraId="4034EFC0">
            <w:pPr>
              <w:pStyle w:val="56"/>
              <w:spacing w:line="360" w:lineRule="auto"/>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免费提供系统补丁更新及版本升级服务。</w:t>
            </w:r>
          </w:p>
          <w:p w14:paraId="34A64DAC">
            <w:pPr>
              <w:pStyle w:val="56"/>
              <w:spacing w:line="360" w:lineRule="auto"/>
              <w:rPr>
                <w:rFonts w:hint="eastAsia" w:ascii="宋体" w:hAnsi="宋体" w:eastAsia="宋体" w:cs="Times New Roman"/>
                <w:color w:val="auto"/>
                <w:sz w:val="21"/>
                <w:szCs w:val="21"/>
                <w:highlight w:val="none"/>
                <w:lang w:eastAsia="zh-CN"/>
              </w:rPr>
            </w:pPr>
            <w:r>
              <w:rPr>
                <w:rFonts w:hint="eastAsia" w:ascii="宋体" w:hAnsi="宋体" w:eastAsia="宋体" w:cs="Times New Roman"/>
                <w:color w:val="auto"/>
                <w:sz w:val="21"/>
                <w:szCs w:val="21"/>
                <w:highlight w:val="none"/>
                <w:lang w:val="en-US" w:eastAsia="zh-CN"/>
              </w:rPr>
              <w:t>5</w:t>
            </w:r>
            <w:r>
              <w:rPr>
                <w:rFonts w:hint="eastAsia" w:ascii="宋体" w:hAnsi="宋体" w:eastAsia="宋体" w:cs="Times New Roman"/>
                <w:color w:val="auto"/>
                <w:sz w:val="21"/>
                <w:szCs w:val="21"/>
                <w:highlight w:val="none"/>
              </w:rPr>
              <w:t>、人员培训与知识转移</w:t>
            </w:r>
            <w:r>
              <w:rPr>
                <w:rFonts w:hint="eastAsia" w:ascii="宋体" w:hAnsi="宋体" w:eastAsia="宋体" w:cs="Times New Roman"/>
                <w:color w:val="auto"/>
                <w:sz w:val="21"/>
                <w:szCs w:val="21"/>
                <w:highlight w:val="none"/>
                <w:lang w:eastAsia="zh-CN"/>
              </w:rPr>
              <w:t>：</w:t>
            </w:r>
          </w:p>
          <w:p w14:paraId="0282BB1F">
            <w:pPr>
              <w:pStyle w:val="56"/>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Times New Roman"/>
                <w:color w:val="auto"/>
                <w:sz w:val="21"/>
                <w:szCs w:val="21"/>
                <w:highlight w:val="none"/>
                <w:lang w:eastAsia="zh-CN"/>
              </w:rPr>
            </w:pPr>
            <w:r>
              <w:rPr>
                <w:rFonts w:hint="eastAsia" w:ascii="宋体" w:hAnsi="宋体" w:eastAsia="宋体" w:cs="Times New Roman"/>
                <w:color w:val="auto"/>
                <w:sz w:val="21"/>
                <w:szCs w:val="21"/>
                <w:highlight w:val="none"/>
              </w:rPr>
              <w:t>在进行版本升级时，免费提供版本升级优化功能的详细指引，以及新版本的操作手册</w:t>
            </w:r>
            <w:r>
              <w:rPr>
                <w:rFonts w:hint="eastAsia" w:ascii="宋体" w:hAnsi="宋体" w:eastAsia="宋体" w:cs="Times New Roman"/>
                <w:color w:val="auto"/>
                <w:sz w:val="21"/>
                <w:szCs w:val="21"/>
                <w:highlight w:val="none"/>
                <w:lang w:eastAsia="zh-CN"/>
              </w:rPr>
              <w:t>；</w:t>
            </w:r>
            <w:r>
              <w:rPr>
                <w:rFonts w:hint="eastAsia" w:ascii="宋体" w:hAnsi="宋体" w:eastAsia="宋体" w:cs="Times New Roman"/>
                <w:color w:val="auto"/>
                <w:sz w:val="21"/>
                <w:szCs w:val="21"/>
                <w:highlight w:val="none"/>
              </w:rPr>
              <w:t>必要时需负责组织专业人员，为各业务科室开展相应的培训工作；维保期满前3个月，提供完整的技术文档移交及系统运维交接指导。</w:t>
            </w:r>
          </w:p>
          <w:p w14:paraId="4405C4F9">
            <w:pPr>
              <w:pStyle w:val="56"/>
              <w:keepNext w:val="0"/>
              <w:keepLines w:val="0"/>
              <w:pageBreakBefore w:val="0"/>
              <w:numPr>
                <w:ilvl w:val="0"/>
                <w:numId w:val="128"/>
              </w:numPr>
              <w:kinsoku/>
              <w:wordWrap/>
              <w:overflowPunct/>
              <w:topLinePunct w:val="0"/>
              <w:autoSpaceDE/>
              <w:autoSpaceDN/>
              <w:bidi w:val="0"/>
              <w:adjustRightInd w:val="0"/>
              <w:snapToGrid w:val="0"/>
              <w:spacing w:line="360" w:lineRule="auto"/>
              <w:textAlignment w:val="auto"/>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驻场服务人员要求：</w:t>
            </w:r>
          </w:p>
          <w:p w14:paraId="01ECA6D7">
            <w:pPr>
              <w:pStyle w:val="56"/>
              <w:keepNext w:val="0"/>
              <w:keepLines w:val="0"/>
              <w:pageBreakBefore w:val="0"/>
              <w:numPr>
                <w:ilvl w:val="-1"/>
                <w:numId w:val="0"/>
              </w:numPr>
              <w:kinsoku/>
              <w:wordWrap/>
              <w:overflowPunct/>
              <w:topLinePunct w:val="0"/>
              <w:autoSpaceDE/>
              <w:autoSpaceDN/>
              <w:bidi w:val="0"/>
              <w:adjustRightInd w:val="0"/>
              <w:snapToGrid w:val="0"/>
              <w:spacing w:line="360" w:lineRule="auto"/>
              <w:textAlignment w:val="auto"/>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日常工作时间（以医院工作时间为准）维护驻场人员</w:t>
            </w:r>
            <w:r>
              <w:rPr>
                <w:rFonts w:hint="eastAsia" w:ascii="宋体" w:hAnsi="宋体"/>
                <w:b/>
                <w:bCs w:val="0"/>
                <w:color w:val="auto"/>
                <w:sz w:val="21"/>
                <w:szCs w:val="21"/>
                <w:highlight w:val="none"/>
                <w:lang w:val="en-US" w:eastAsia="zh-CN"/>
              </w:rPr>
              <w:t>不少于10人</w:t>
            </w:r>
            <w:r>
              <w:rPr>
                <w:rFonts w:hint="eastAsia" w:ascii="宋体" w:hAnsi="宋体"/>
                <w:color w:val="auto"/>
                <w:sz w:val="21"/>
                <w:szCs w:val="21"/>
                <w:highlight w:val="none"/>
                <w:lang w:val="en-US" w:eastAsia="zh-CN"/>
              </w:rPr>
              <w:t>，提供驻点维护、升级、故障排除、性能调优、技术咨询等服务，其中，需配置3人及以上通过轮班机制实现</w:t>
            </w:r>
            <w:r>
              <w:rPr>
                <w:rFonts w:hint="eastAsia" w:ascii="宋体" w:hAnsi="宋体"/>
                <w:b/>
                <w:bCs w:val="0"/>
                <w:color w:val="auto"/>
                <w:sz w:val="21"/>
                <w:szCs w:val="21"/>
                <w:highlight w:val="none"/>
                <w:lang w:val="en-US" w:eastAsia="zh-CN"/>
              </w:rPr>
              <w:t>全天候（7×24小时）技术支撑</w:t>
            </w:r>
            <w:r>
              <w:rPr>
                <w:rFonts w:hint="eastAsia" w:ascii="宋体" w:hAnsi="宋体"/>
                <w:color w:val="auto"/>
                <w:sz w:val="21"/>
                <w:szCs w:val="21"/>
                <w:highlight w:val="none"/>
                <w:lang w:val="en-US" w:eastAsia="zh-CN"/>
              </w:rPr>
              <w:t>，保证每个自然日均有专人值守。未经医院同意，不得擅自减少驻场人数或更换核心成员。</w:t>
            </w:r>
          </w:p>
          <w:p w14:paraId="4A5F5DDA">
            <w:pPr>
              <w:pStyle w:val="56"/>
              <w:keepNext w:val="0"/>
              <w:keepLines w:val="0"/>
              <w:pageBreakBefore w:val="0"/>
              <w:kinsoku/>
              <w:wordWrap/>
              <w:overflowPunct/>
              <w:topLinePunct w:val="0"/>
              <w:autoSpaceDE/>
              <w:autoSpaceDN/>
              <w:bidi w:val="0"/>
              <w:adjustRightInd w:val="0"/>
              <w:snapToGrid w:val="0"/>
              <w:spacing w:line="360" w:lineRule="auto"/>
              <w:textAlignment w:val="auto"/>
              <w:rPr>
                <w:rFonts w:hint="default" w:ascii="宋体" w:hAnsi="宋体"/>
                <w:color w:val="auto"/>
                <w:sz w:val="21"/>
                <w:szCs w:val="21"/>
                <w:highlight w:val="yellow"/>
                <w:lang w:val="en-US" w:eastAsia="zh-CN"/>
              </w:rPr>
            </w:pPr>
            <w:r>
              <w:rPr>
                <w:rFonts w:hint="eastAsia" w:ascii="宋体" w:hAnsi="宋体"/>
                <w:color w:val="auto"/>
                <w:sz w:val="21"/>
                <w:szCs w:val="21"/>
                <w:highlight w:val="none"/>
                <w:lang w:val="en-US" w:eastAsia="zh-CN"/>
              </w:rPr>
              <w:t>7、续保费用：HIS核心系统免费升级维护期满后，年度延续升级维护费用不得超过合同对应金额的8%。</w:t>
            </w:r>
          </w:p>
        </w:tc>
      </w:tr>
      <w:tr w14:paraId="5981E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377" w:type="dxa"/>
            <w:shd w:val="clear" w:color="auto" w:fill="auto"/>
            <w:vAlign w:val="center"/>
          </w:tcPr>
          <w:p w14:paraId="0483D431">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default" w:ascii="宋体" w:hAnsi="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源代码</w:t>
            </w:r>
          </w:p>
        </w:tc>
        <w:tc>
          <w:tcPr>
            <w:tcW w:w="924" w:type="dxa"/>
            <w:shd w:val="clear" w:color="auto" w:fill="auto"/>
            <w:vAlign w:val="center"/>
          </w:tcPr>
          <w:p w14:paraId="69D8EDD7">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default"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bidi="ar-SA"/>
              </w:rPr>
              <w:t>9</w:t>
            </w:r>
          </w:p>
        </w:tc>
        <w:tc>
          <w:tcPr>
            <w:tcW w:w="7584" w:type="dxa"/>
            <w:shd w:val="clear" w:color="auto" w:fill="auto"/>
            <w:vAlign w:val="center"/>
          </w:tcPr>
          <w:p w14:paraId="3E3C9C31">
            <w:pPr>
              <w:pStyle w:val="56"/>
              <w:keepNext w:val="0"/>
              <w:keepLines w:val="0"/>
              <w:pageBreakBefore w:val="0"/>
              <w:kinsoku/>
              <w:wordWrap/>
              <w:overflowPunct/>
              <w:topLinePunct w:val="0"/>
              <w:autoSpaceDE/>
              <w:autoSpaceDN/>
              <w:bidi w:val="0"/>
              <w:adjustRightInd w:val="0"/>
              <w:snapToGrid w:val="0"/>
              <w:spacing w:line="360" w:lineRule="auto"/>
              <w:ind w:firstLine="0" w:firstLineChars="0"/>
              <w:textAlignment w:val="auto"/>
              <w:rPr>
                <w:rFonts w:hint="default" w:ascii="宋体" w:hAnsi="宋体"/>
                <w:color w:val="auto"/>
                <w:sz w:val="21"/>
                <w:szCs w:val="21"/>
                <w:highlight w:val="none"/>
                <w:lang w:val="en-US" w:eastAsia="zh-CN"/>
              </w:rPr>
            </w:pPr>
            <w:r>
              <w:rPr>
                <w:rFonts w:hint="default" w:ascii="宋体" w:hAnsi="宋体"/>
                <w:color w:val="auto"/>
                <w:sz w:val="21"/>
                <w:szCs w:val="21"/>
                <w:highlight w:val="none"/>
                <w:lang w:val="en-US" w:eastAsia="zh-CN"/>
              </w:rPr>
              <w:t>1、HIS 核心系统完成开发与集成部署后，应向中山大学附属第七医院（深圳）</w:t>
            </w:r>
            <w:r>
              <w:rPr>
                <w:rFonts w:hint="default" w:ascii="宋体" w:hAnsi="宋体"/>
                <w:b/>
                <w:bCs w:val="0"/>
                <w:color w:val="auto"/>
                <w:sz w:val="21"/>
                <w:szCs w:val="21"/>
                <w:highlight w:val="none"/>
                <w:lang w:val="en-US" w:eastAsia="zh-CN"/>
              </w:rPr>
              <w:t>提供所有系统的完整源代码及编译后的可执行代码</w:t>
            </w:r>
            <w:r>
              <w:rPr>
                <w:rFonts w:hint="default" w:ascii="宋体" w:hAnsi="宋体"/>
                <w:color w:val="auto"/>
                <w:sz w:val="21"/>
                <w:szCs w:val="21"/>
                <w:highlight w:val="none"/>
                <w:lang w:val="en-US" w:eastAsia="zh-CN"/>
              </w:rPr>
              <w:t>。</w:t>
            </w:r>
          </w:p>
          <w:p w14:paraId="731373E1">
            <w:pPr>
              <w:pStyle w:val="56"/>
              <w:keepNext w:val="0"/>
              <w:keepLines w:val="0"/>
              <w:pageBreakBefore w:val="0"/>
              <w:kinsoku/>
              <w:wordWrap/>
              <w:overflowPunct/>
              <w:topLinePunct w:val="0"/>
              <w:autoSpaceDE/>
              <w:autoSpaceDN/>
              <w:bidi w:val="0"/>
              <w:adjustRightInd w:val="0"/>
              <w:snapToGrid w:val="0"/>
              <w:spacing w:line="360" w:lineRule="auto"/>
              <w:ind w:firstLine="0" w:firstLineChars="0"/>
              <w:textAlignment w:val="auto"/>
              <w:rPr>
                <w:rFonts w:hint="default" w:ascii="宋体" w:hAnsi="宋体"/>
                <w:color w:val="auto"/>
                <w:sz w:val="21"/>
                <w:szCs w:val="21"/>
                <w:highlight w:val="yellow"/>
                <w:lang w:val="en-US" w:eastAsia="zh-CN"/>
              </w:rPr>
            </w:pPr>
            <w:r>
              <w:rPr>
                <w:rFonts w:hint="default" w:ascii="宋体" w:hAnsi="宋体"/>
                <w:color w:val="auto"/>
                <w:sz w:val="21"/>
                <w:szCs w:val="21"/>
                <w:highlight w:val="none"/>
                <w:lang w:val="en-US" w:eastAsia="zh-CN"/>
              </w:rPr>
              <w:t>2、所有源代码及相关构建产物应统一托管在中山大学附属第七医院（深圳） GitLab 管理平台，由供应商配合实现系统的自动化部署与持续集成，确保代码版本管理规范、部署流程可控、</w:t>
            </w:r>
            <w:r>
              <w:rPr>
                <w:rFonts w:ascii="宋体" w:hAnsi="宋体" w:eastAsia="宋体" w:cs="宋体"/>
                <w:sz w:val="21"/>
                <w:szCs w:val="21"/>
              </w:rPr>
              <w:t>系统可快速上线及回滚操作</w:t>
            </w:r>
            <w:r>
              <w:rPr>
                <w:rFonts w:hint="default" w:ascii="宋体" w:hAnsi="宋体"/>
                <w:color w:val="auto"/>
                <w:sz w:val="21"/>
                <w:szCs w:val="21"/>
                <w:highlight w:val="none"/>
                <w:lang w:val="en-US" w:eastAsia="zh-CN"/>
              </w:rPr>
              <w:t>。</w:t>
            </w:r>
          </w:p>
        </w:tc>
      </w:tr>
      <w:tr w14:paraId="521CD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377" w:type="dxa"/>
            <w:shd w:val="clear" w:color="auto" w:fill="auto"/>
            <w:vAlign w:val="center"/>
          </w:tcPr>
          <w:p w14:paraId="06AB5A07">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default" w:ascii="宋体" w:hAnsi="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评级要求</w:t>
            </w:r>
          </w:p>
        </w:tc>
        <w:tc>
          <w:tcPr>
            <w:tcW w:w="924" w:type="dxa"/>
            <w:shd w:val="clear" w:color="auto" w:fill="auto"/>
            <w:vAlign w:val="center"/>
          </w:tcPr>
          <w:p w14:paraId="05BFE222">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default"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rPr>
              <w:t>10</w:t>
            </w:r>
          </w:p>
        </w:tc>
        <w:tc>
          <w:tcPr>
            <w:tcW w:w="7584" w:type="dxa"/>
            <w:shd w:val="clear" w:color="auto" w:fill="auto"/>
            <w:vAlign w:val="center"/>
          </w:tcPr>
          <w:p w14:paraId="44FD8AA2">
            <w:pPr>
              <w:pStyle w:val="56"/>
              <w:keepNext w:val="0"/>
              <w:keepLines w:val="0"/>
              <w:pageBreakBefore w:val="0"/>
              <w:numPr>
                <w:ilvl w:val="0"/>
                <w:numId w:val="0"/>
              </w:numPr>
              <w:kinsoku/>
              <w:wordWrap/>
              <w:overflowPunct/>
              <w:topLinePunct w:val="0"/>
              <w:autoSpaceDE/>
              <w:autoSpaceDN/>
              <w:bidi w:val="0"/>
              <w:adjustRightInd w:val="0"/>
              <w:snapToGrid w:val="0"/>
              <w:spacing w:line="360" w:lineRule="auto"/>
              <w:textAlignment w:val="auto"/>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项目建设（包括新建和升级的系统）需符合以下评级标准，并包含项目维护期内因评级标准变化的功能升级改造，采购方和</w:t>
            </w:r>
            <w:r>
              <w:rPr>
                <w:rFonts w:hint="default" w:ascii="宋体" w:hAnsi="宋体"/>
                <w:color w:val="auto"/>
                <w:sz w:val="21"/>
                <w:szCs w:val="21"/>
                <w:highlight w:val="none"/>
                <w:lang w:val="en-US" w:eastAsia="zh-CN"/>
              </w:rPr>
              <w:t>中山大学附属第七医院（深圳）</w:t>
            </w:r>
            <w:r>
              <w:rPr>
                <w:rFonts w:hint="eastAsia" w:ascii="宋体" w:hAnsi="宋体"/>
                <w:color w:val="auto"/>
                <w:sz w:val="21"/>
                <w:szCs w:val="21"/>
                <w:highlight w:val="none"/>
                <w:lang w:val="en-US" w:eastAsia="zh-CN"/>
              </w:rPr>
              <w:t>无需为此再支付其他任何费用：</w:t>
            </w:r>
          </w:p>
          <w:p w14:paraId="66F9A54D">
            <w:pPr>
              <w:pStyle w:val="56"/>
              <w:keepNext w:val="0"/>
              <w:keepLines w:val="0"/>
              <w:pageBreakBefore w:val="0"/>
              <w:numPr>
                <w:ilvl w:val="0"/>
                <w:numId w:val="129"/>
              </w:numPr>
              <w:kinsoku/>
              <w:wordWrap/>
              <w:overflowPunct/>
              <w:topLinePunct w:val="0"/>
              <w:autoSpaceDE/>
              <w:autoSpaceDN/>
              <w:bidi w:val="0"/>
              <w:adjustRightInd w:val="0"/>
              <w:snapToGrid w:val="0"/>
              <w:spacing w:line="360" w:lineRule="auto"/>
              <w:ind w:firstLine="0" w:firstLineChars="0"/>
              <w:textAlignment w:val="auto"/>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智慧医疗分级评价6级，即电子病历系统应用水平分级评价6级；</w:t>
            </w:r>
          </w:p>
          <w:p w14:paraId="1B93420B">
            <w:pPr>
              <w:pStyle w:val="56"/>
              <w:keepNext w:val="0"/>
              <w:keepLines w:val="0"/>
              <w:pageBreakBefore w:val="0"/>
              <w:numPr>
                <w:ilvl w:val="0"/>
                <w:numId w:val="129"/>
              </w:numPr>
              <w:kinsoku/>
              <w:wordWrap/>
              <w:overflowPunct/>
              <w:topLinePunct w:val="0"/>
              <w:autoSpaceDE/>
              <w:autoSpaceDN/>
              <w:bidi w:val="0"/>
              <w:adjustRightInd w:val="0"/>
              <w:snapToGrid w:val="0"/>
              <w:spacing w:line="360" w:lineRule="auto"/>
              <w:ind w:firstLine="0" w:firstLineChars="0"/>
              <w:textAlignment w:val="auto"/>
              <w:rPr>
                <w:rFonts w:hint="default" w:ascii="宋体" w:hAnsi="宋体"/>
                <w:color w:val="auto"/>
                <w:sz w:val="21"/>
                <w:szCs w:val="21"/>
                <w:highlight w:val="none"/>
                <w:lang w:val="en-US" w:eastAsia="zh-CN"/>
              </w:rPr>
            </w:pPr>
            <w:r>
              <w:rPr>
                <w:rFonts w:hint="default" w:ascii="宋体" w:hAnsi="宋体"/>
                <w:color w:val="auto"/>
                <w:sz w:val="21"/>
                <w:szCs w:val="21"/>
                <w:highlight w:val="none"/>
                <w:lang w:val="en-US" w:eastAsia="zh-CN"/>
              </w:rPr>
              <w:t>互联互通标准化成熟度测评</w:t>
            </w:r>
            <w:r>
              <w:rPr>
                <w:rFonts w:hint="eastAsia" w:ascii="宋体" w:hAnsi="宋体"/>
                <w:color w:val="auto"/>
                <w:sz w:val="21"/>
                <w:szCs w:val="21"/>
                <w:highlight w:val="none"/>
                <w:lang w:val="en-US" w:eastAsia="zh-CN"/>
              </w:rPr>
              <w:t>五乙；</w:t>
            </w:r>
          </w:p>
          <w:p w14:paraId="2834642E">
            <w:pPr>
              <w:pStyle w:val="56"/>
              <w:keepNext w:val="0"/>
              <w:keepLines w:val="0"/>
              <w:pageBreakBefore w:val="0"/>
              <w:numPr>
                <w:ilvl w:val="0"/>
                <w:numId w:val="129"/>
              </w:numPr>
              <w:kinsoku/>
              <w:wordWrap/>
              <w:overflowPunct/>
              <w:topLinePunct w:val="0"/>
              <w:autoSpaceDE/>
              <w:autoSpaceDN/>
              <w:bidi w:val="0"/>
              <w:adjustRightInd w:val="0"/>
              <w:snapToGrid w:val="0"/>
              <w:spacing w:line="360" w:lineRule="auto"/>
              <w:ind w:firstLine="0" w:firstLineChars="0"/>
              <w:textAlignment w:val="auto"/>
              <w:rPr>
                <w:rFonts w:hint="default" w:ascii="宋体" w:hAnsi="宋体"/>
                <w:color w:val="auto"/>
                <w:sz w:val="21"/>
                <w:szCs w:val="21"/>
                <w:highlight w:val="none"/>
                <w:lang w:val="en-US" w:eastAsia="zh-CN"/>
              </w:rPr>
            </w:pPr>
            <w:r>
              <w:rPr>
                <w:rFonts w:hint="eastAsia" w:ascii="宋体" w:hAnsi="宋体"/>
                <w:color w:val="auto"/>
                <w:sz w:val="21"/>
                <w:szCs w:val="21"/>
                <w:highlight w:val="none"/>
                <w:lang w:val="en-US" w:eastAsia="zh-CN"/>
              </w:rPr>
              <w:t>智慧服务分级评价4级；</w:t>
            </w:r>
          </w:p>
          <w:p w14:paraId="2B9A247A">
            <w:pPr>
              <w:pStyle w:val="56"/>
              <w:keepNext w:val="0"/>
              <w:keepLines w:val="0"/>
              <w:pageBreakBefore w:val="0"/>
              <w:numPr>
                <w:ilvl w:val="0"/>
                <w:numId w:val="129"/>
              </w:numPr>
              <w:kinsoku/>
              <w:wordWrap/>
              <w:overflowPunct/>
              <w:topLinePunct w:val="0"/>
              <w:autoSpaceDE/>
              <w:autoSpaceDN/>
              <w:bidi w:val="0"/>
              <w:adjustRightInd w:val="0"/>
              <w:snapToGrid w:val="0"/>
              <w:spacing w:line="360" w:lineRule="auto"/>
              <w:ind w:firstLine="0" w:firstLineChars="0"/>
              <w:textAlignment w:val="auto"/>
              <w:rPr>
                <w:rFonts w:hint="default" w:ascii="宋体" w:hAnsi="宋体"/>
                <w:color w:val="auto"/>
                <w:sz w:val="21"/>
                <w:szCs w:val="21"/>
                <w:highlight w:val="none"/>
                <w:lang w:val="en-US" w:eastAsia="zh-CN"/>
              </w:rPr>
            </w:pPr>
            <w:r>
              <w:rPr>
                <w:rFonts w:hint="eastAsia" w:ascii="宋体" w:hAnsi="宋体"/>
                <w:color w:val="auto"/>
                <w:sz w:val="21"/>
                <w:szCs w:val="21"/>
                <w:highlight w:val="none"/>
                <w:lang w:val="en-US" w:eastAsia="zh-CN"/>
              </w:rPr>
              <w:t>智慧管理分级评价4级；</w:t>
            </w:r>
          </w:p>
          <w:p w14:paraId="4EA8B648">
            <w:pPr>
              <w:pStyle w:val="56"/>
              <w:keepNext w:val="0"/>
              <w:keepLines w:val="0"/>
              <w:pageBreakBefore w:val="0"/>
              <w:numPr>
                <w:ilvl w:val="0"/>
                <w:numId w:val="129"/>
              </w:numPr>
              <w:kinsoku/>
              <w:wordWrap/>
              <w:overflowPunct/>
              <w:topLinePunct w:val="0"/>
              <w:autoSpaceDE/>
              <w:autoSpaceDN/>
              <w:bidi w:val="0"/>
              <w:adjustRightInd w:val="0"/>
              <w:snapToGrid w:val="0"/>
              <w:spacing w:line="360" w:lineRule="auto"/>
              <w:ind w:firstLine="0" w:firstLineChars="0"/>
              <w:textAlignment w:val="auto"/>
              <w:rPr>
                <w:rFonts w:hint="default" w:ascii="宋体" w:hAnsi="宋体"/>
                <w:color w:val="auto"/>
                <w:sz w:val="21"/>
                <w:szCs w:val="21"/>
                <w:highlight w:val="none"/>
                <w:lang w:val="en-US" w:eastAsia="zh-CN"/>
              </w:rPr>
            </w:pPr>
            <w:r>
              <w:rPr>
                <w:rFonts w:hint="eastAsia" w:ascii="宋体" w:hAnsi="宋体"/>
                <w:color w:val="auto"/>
                <w:sz w:val="21"/>
                <w:szCs w:val="21"/>
                <w:highlight w:val="none"/>
                <w:lang w:val="en-US" w:eastAsia="zh-CN"/>
              </w:rPr>
              <w:t>HIS系统安全等级保护3级；</w:t>
            </w:r>
          </w:p>
          <w:p w14:paraId="3EF3F5F3">
            <w:pPr>
              <w:pStyle w:val="56"/>
              <w:keepNext w:val="0"/>
              <w:keepLines w:val="0"/>
              <w:pageBreakBefore w:val="0"/>
              <w:numPr>
                <w:ilvl w:val="0"/>
                <w:numId w:val="129"/>
              </w:numPr>
              <w:kinsoku/>
              <w:wordWrap/>
              <w:overflowPunct/>
              <w:topLinePunct w:val="0"/>
              <w:autoSpaceDE/>
              <w:autoSpaceDN/>
              <w:bidi w:val="0"/>
              <w:adjustRightInd w:val="0"/>
              <w:snapToGrid w:val="0"/>
              <w:spacing w:line="360" w:lineRule="auto"/>
              <w:ind w:firstLine="0" w:firstLineChars="0"/>
              <w:textAlignment w:val="auto"/>
              <w:rPr>
                <w:rFonts w:hint="default" w:ascii="宋体" w:hAnsi="宋体"/>
                <w:color w:val="auto"/>
                <w:sz w:val="21"/>
                <w:szCs w:val="21"/>
                <w:highlight w:val="none"/>
                <w:lang w:val="en-US" w:eastAsia="zh-CN"/>
              </w:rPr>
            </w:pPr>
            <w:r>
              <w:rPr>
                <w:rFonts w:hint="eastAsia" w:ascii="宋体" w:hAnsi="宋体"/>
                <w:color w:val="auto"/>
                <w:sz w:val="21"/>
                <w:szCs w:val="21"/>
                <w:highlight w:val="none"/>
                <w:lang w:val="en-US" w:eastAsia="zh-CN"/>
              </w:rPr>
              <w:t>以上评级标准如遇政策重大调整、标准变更，则双方另行协商。</w:t>
            </w:r>
          </w:p>
        </w:tc>
      </w:tr>
      <w:tr w14:paraId="2A535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377" w:type="dxa"/>
            <w:shd w:val="clear" w:color="auto" w:fill="auto"/>
            <w:vAlign w:val="center"/>
          </w:tcPr>
          <w:p w14:paraId="71D0DF8B">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default" w:ascii="宋体" w:hAnsi="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HIS系统信创兼容要求</w:t>
            </w:r>
          </w:p>
        </w:tc>
        <w:tc>
          <w:tcPr>
            <w:tcW w:w="924" w:type="dxa"/>
            <w:shd w:val="clear" w:color="auto" w:fill="auto"/>
            <w:vAlign w:val="center"/>
          </w:tcPr>
          <w:p w14:paraId="3A56EE3C">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default" w:ascii="宋体" w:hAnsi="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11</w:t>
            </w:r>
          </w:p>
        </w:tc>
        <w:tc>
          <w:tcPr>
            <w:tcW w:w="7584" w:type="dxa"/>
            <w:shd w:val="clear" w:color="auto" w:fill="auto"/>
            <w:vAlign w:val="center"/>
          </w:tcPr>
          <w:p w14:paraId="649F4EE9">
            <w:pPr>
              <w:pStyle w:val="56"/>
              <w:keepNext w:val="0"/>
              <w:keepLines w:val="0"/>
              <w:pageBreakBefore w:val="0"/>
              <w:numPr>
                <w:ilvl w:val="-1"/>
                <w:numId w:val="0"/>
              </w:numPr>
              <w:kinsoku/>
              <w:wordWrap/>
              <w:overflowPunct/>
              <w:topLinePunct w:val="0"/>
              <w:autoSpaceDE/>
              <w:autoSpaceDN/>
              <w:bidi w:val="0"/>
              <w:adjustRightInd w:val="0"/>
              <w:snapToGrid w:val="0"/>
              <w:spacing w:line="360" w:lineRule="auto"/>
              <w:ind w:firstLine="0" w:firstLineChars="0"/>
              <w:textAlignment w:val="auto"/>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HIS系统需全面适配信创环境，包括：</w:t>
            </w:r>
          </w:p>
          <w:p w14:paraId="62DDBA01">
            <w:pPr>
              <w:pStyle w:val="56"/>
              <w:keepNext w:val="0"/>
              <w:keepLines w:val="0"/>
              <w:pageBreakBefore w:val="0"/>
              <w:numPr>
                <w:ilvl w:val="-1"/>
                <w:numId w:val="0"/>
              </w:numPr>
              <w:kinsoku/>
              <w:wordWrap/>
              <w:overflowPunct/>
              <w:topLinePunct w:val="0"/>
              <w:autoSpaceDE/>
              <w:autoSpaceDN/>
              <w:bidi w:val="0"/>
              <w:adjustRightInd w:val="0"/>
              <w:snapToGrid w:val="0"/>
              <w:spacing w:line="360" w:lineRule="auto"/>
              <w:ind w:firstLine="0" w:firstLineChars="0"/>
              <w:textAlignment w:val="auto"/>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1.后端：开发编程语言需为开源并且在安可目录之内；</w:t>
            </w:r>
          </w:p>
          <w:p w14:paraId="22ABCF3A">
            <w:pPr>
              <w:pStyle w:val="56"/>
              <w:keepNext w:val="0"/>
              <w:keepLines w:val="0"/>
              <w:pageBreakBefore w:val="0"/>
              <w:numPr>
                <w:ilvl w:val="-1"/>
                <w:numId w:val="0"/>
              </w:numPr>
              <w:kinsoku/>
              <w:wordWrap/>
              <w:overflowPunct/>
              <w:topLinePunct w:val="0"/>
              <w:autoSpaceDE/>
              <w:autoSpaceDN/>
              <w:bidi w:val="0"/>
              <w:adjustRightInd w:val="0"/>
              <w:snapToGrid w:val="0"/>
              <w:spacing w:line="360" w:lineRule="auto"/>
              <w:ind w:firstLine="0" w:firstLineChars="0"/>
              <w:textAlignment w:val="auto"/>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2.中间件：适配国产中间件（如金蝶、东方通、中创等）；</w:t>
            </w:r>
          </w:p>
          <w:p w14:paraId="3740628C">
            <w:pPr>
              <w:pStyle w:val="56"/>
              <w:keepNext w:val="0"/>
              <w:keepLines w:val="0"/>
              <w:pageBreakBefore w:val="0"/>
              <w:numPr>
                <w:ilvl w:val="-1"/>
                <w:numId w:val="0"/>
              </w:numPr>
              <w:kinsoku/>
              <w:wordWrap/>
              <w:overflowPunct/>
              <w:topLinePunct w:val="0"/>
              <w:autoSpaceDE/>
              <w:autoSpaceDN/>
              <w:bidi w:val="0"/>
              <w:adjustRightInd w:val="0"/>
              <w:snapToGrid w:val="0"/>
              <w:spacing w:line="360" w:lineRule="auto"/>
              <w:ind w:firstLine="0" w:firstLineChars="0"/>
              <w:textAlignment w:val="auto"/>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3.如政策有强制信创要求，则需配合进行信创数据库适配（如达梦、人大金仓、华为高斯、阿里巴巴海量、深圳崖山等）；</w:t>
            </w:r>
          </w:p>
          <w:p w14:paraId="3F3724DB">
            <w:pPr>
              <w:pStyle w:val="56"/>
              <w:keepNext w:val="0"/>
              <w:keepLines w:val="0"/>
              <w:pageBreakBefore w:val="0"/>
              <w:numPr>
                <w:ilvl w:val="-1"/>
                <w:numId w:val="0"/>
              </w:numPr>
              <w:kinsoku/>
              <w:wordWrap/>
              <w:overflowPunct/>
              <w:topLinePunct w:val="0"/>
              <w:autoSpaceDE/>
              <w:autoSpaceDN/>
              <w:bidi w:val="0"/>
              <w:adjustRightInd w:val="0"/>
              <w:snapToGrid w:val="0"/>
              <w:spacing w:line="360" w:lineRule="auto"/>
              <w:ind w:firstLine="0" w:firstLineChars="0"/>
              <w:textAlignment w:val="auto"/>
              <w:rPr>
                <w:rFonts w:hint="default" w:ascii="宋体" w:hAnsi="宋体"/>
                <w:color w:val="auto"/>
                <w:sz w:val="21"/>
                <w:szCs w:val="21"/>
                <w:highlight w:val="none"/>
                <w:lang w:val="en-US" w:eastAsia="zh-CN"/>
              </w:rPr>
            </w:pPr>
            <w:r>
              <w:rPr>
                <w:rFonts w:hint="eastAsia" w:ascii="宋体" w:hAnsi="宋体"/>
                <w:color w:val="auto"/>
                <w:sz w:val="21"/>
                <w:szCs w:val="21"/>
                <w:highlight w:val="none"/>
                <w:lang w:val="en-US" w:eastAsia="zh-CN"/>
              </w:rPr>
              <w:t>4.支持国产化服务器、操作系统（如统信、中标麒麟、银河麒麟等），支持国产虚拟化平台及安全防护体系。</w:t>
            </w:r>
          </w:p>
        </w:tc>
      </w:tr>
      <w:tr w14:paraId="649D2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377" w:type="dxa"/>
            <w:shd w:val="clear" w:color="auto" w:fill="auto"/>
            <w:vAlign w:val="center"/>
          </w:tcPr>
          <w:p w14:paraId="71CC0B7F">
            <w:pPr>
              <w:widowControl/>
              <w:jc w:val="center"/>
              <w:rPr>
                <w:rFonts w:hint="eastAsia" w:ascii="宋体" w:hAnsi="宋体" w:eastAsia="宋体" w:cs="宋体"/>
                <w:color w:val="auto"/>
                <w:kern w:val="0"/>
                <w:sz w:val="21"/>
                <w:szCs w:val="21"/>
                <w:highlight w:val="none"/>
                <w:lang w:val="en-US" w:eastAsia="zh-CN" w:bidi="ar-SA"/>
              </w:rPr>
            </w:pPr>
            <w:r>
              <w:rPr>
                <w:rFonts w:ascii="宋体" w:hAnsi="宋体" w:eastAsia="宋体" w:cs="宋体"/>
                <w:sz w:val="21"/>
                <w:szCs w:val="21"/>
              </w:rPr>
              <w:t>HIS</w:t>
            </w:r>
            <w:r>
              <w:rPr>
                <w:rFonts w:hint="eastAsia" w:ascii="宋体" w:hAnsi="宋体" w:cs="宋体"/>
                <w:sz w:val="21"/>
                <w:szCs w:val="21"/>
                <w:lang w:val="en-US" w:eastAsia="zh-CN"/>
              </w:rPr>
              <w:t>系统</w:t>
            </w:r>
            <w:r>
              <w:rPr>
                <w:rFonts w:ascii="宋体" w:hAnsi="宋体" w:eastAsia="宋体" w:cs="宋体"/>
                <w:sz w:val="21"/>
                <w:szCs w:val="21"/>
              </w:rPr>
              <w:t>对接融合要求</w:t>
            </w:r>
          </w:p>
        </w:tc>
        <w:tc>
          <w:tcPr>
            <w:tcW w:w="924" w:type="dxa"/>
            <w:shd w:val="clear" w:color="auto" w:fill="auto"/>
            <w:vAlign w:val="center"/>
          </w:tcPr>
          <w:p w14:paraId="0E226C8F">
            <w:pPr>
              <w:widowControl/>
              <w:jc w:val="center"/>
              <w:rPr>
                <w:rFonts w:hint="default"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rPr>
              <w:t>12</w:t>
            </w:r>
          </w:p>
        </w:tc>
        <w:tc>
          <w:tcPr>
            <w:tcW w:w="7584" w:type="dxa"/>
            <w:shd w:val="clear" w:color="auto" w:fill="auto"/>
            <w:vAlign w:val="center"/>
          </w:tcPr>
          <w:p w14:paraId="57A27B1D">
            <w:pPr>
              <w:pStyle w:val="56"/>
              <w:numPr>
                <w:ilvl w:val="-1"/>
                <w:numId w:val="0"/>
              </w:numPr>
              <w:spacing w:line="360" w:lineRule="auto"/>
              <w:ind w:left="0" w:leftChars="0" w:firstLine="0" w:firstLineChars="0"/>
              <w:rPr>
                <w:rFonts w:hint="eastAsia" w:ascii="宋体" w:hAnsi="宋体" w:eastAsia="宋体" w:cs="Times New Roman"/>
                <w:bCs/>
                <w:color w:val="auto"/>
                <w:spacing w:val="10"/>
                <w:kern w:val="0"/>
                <w:sz w:val="21"/>
                <w:szCs w:val="21"/>
                <w:highlight w:val="none"/>
                <w:lang w:val="en-US" w:eastAsia="zh-CN" w:bidi="ar-SA"/>
              </w:rPr>
            </w:pPr>
            <w:r>
              <w:rPr>
                <w:rFonts w:ascii="宋体" w:hAnsi="宋体" w:eastAsia="宋体" w:cs="宋体"/>
                <w:sz w:val="21"/>
                <w:szCs w:val="21"/>
              </w:rPr>
              <w:t>1</w:t>
            </w:r>
            <w:r>
              <w:rPr>
                <w:rFonts w:hint="eastAsia" w:ascii="宋体" w:hAnsi="宋体" w:eastAsia="宋体" w:cs="宋体"/>
                <w:sz w:val="21"/>
                <w:szCs w:val="21"/>
                <w:lang w:eastAsia="zh-CN"/>
              </w:rPr>
              <w:t>、</w:t>
            </w:r>
            <w:r>
              <w:rPr>
                <w:rFonts w:ascii="宋体" w:hAnsi="宋体" w:eastAsia="宋体" w:cs="宋体"/>
                <w:sz w:val="21"/>
                <w:szCs w:val="21"/>
              </w:rPr>
              <w:t>数据库不加密，不使用加密狗等限制软件使用；数据库结构开放，支持数据湖对接。</w:t>
            </w:r>
            <w:r>
              <w:rPr>
                <w:rFonts w:ascii="宋体" w:hAnsi="宋体" w:eastAsia="宋体" w:cs="宋体"/>
                <w:sz w:val="21"/>
                <w:szCs w:val="21"/>
              </w:rPr>
              <w:br w:type="textWrapping"/>
            </w:r>
            <w:r>
              <w:rPr>
                <w:rFonts w:ascii="宋体" w:hAnsi="宋体" w:eastAsia="宋体" w:cs="宋体"/>
                <w:sz w:val="21"/>
                <w:szCs w:val="21"/>
              </w:rPr>
              <w:t>2</w:t>
            </w:r>
            <w:r>
              <w:rPr>
                <w:rFonts w:hint="eastAsia" w:ascii="宋体" w:hAnsi="宋体" w:eastAsia="宋体" w:cs="宋体"/>
                <w:sz w:val="21"/>
                <w:szCs w:val="21"/>
                <w:lang w:eastAsia="zh-CN"/>
              </w:rPr>
              <w:t>、</w:t>
            </w:r>
            <w:r>
              <w:rPr>
                <w:rFonts w:ascii="宋体" w:hAnsi="宋体" w:eastAsia="宋体" w:cs="宋体"/>
                <w:sz w:val="21"/>
                <w:szCs w:val="21"/>
              </w:rPr>
              <w:t>提供符合医疗行业标准要求的数据接口服务，如互联互通标准、电子病历标准等。无偿开放所有数据接口，不向第三方收接口费；配合支持全量数据入湖，提供实时双机热备库进行对接。</w:t>
            </w:r>
            <w:r>
              <w:rPr>
                <w:rFonts w:ascii="宋体" w:hAnsi="宋体" w:eastAsia="宋体" w:cs="宋体"/>
                <w:sz w:val="21"/>
                <w:szCs w:val="21"/>
              </w:rPr>
              <w:br w:type="textWrapping"/>
            </w:r>
            <w:r>
              <w:rPr>
                <w:rFonts w:ascii="宋体" w:hAnsi="宋体" w:eastAsia="宋体" w:cs="宋体"/>
                <w:sz w:val="21"/>
                <w:szCs w:val="21"/>
              </w:rPr>
              <w:t>3</w:t>
            </w:r>
            <w:r>
              <w:rPr>
                <w:rFonts w:hint="eastAsia" w:ascii="宋体" w:hAnsi="宋体" w:eastAsia="宋体" w:cs="宋体"/>
                <w:sz w:val="21"/>
                <w:szCs w:val="21"/>
                <w:lang w:eastAsia="zh-CN"/>
              </w:rPr>
              <w:t>、</w:t>
            </w:r>
            <w:r>
              <w:rPr>
                <w:rFonts w:ascii="宋体" w:hAnsi="宋体" w:eastAsia="宋体" w:cs="宋体"/>
                <w:sz w:val="21"/>
                <w:szCs w:val="21"/>
              </w:rPr>
              <w:t>需配合完成</w:t>
            </w:r>
            <w:r>
              <w:rPr>
                <w:rFonts w:hint="eastAsia" w:ascii="宋体" w:hAnsi="宋体" w:cs="宋体"/>
                <w:sz w:val="21"/>
                <w:szCs w:val="21"/>
                <w:lang w:val="en-US" w:eastAsia="zh-CN"/>
              </w:rPr>
              <w:t>国家卫健委统计信息中心相关要求进行改造</w:t>
            </w:r>
            <w:r>
              <w:rPr>
                <w:rFonts w:ascii="宋体" w:hAnsi="宋体" w:eastAsia="宋体" w:cs="宋体"/>
                <w:sz w:val="21"/>
                <w:szCs w:val="21"/>
              </w:rPr>
              <w:t>、三甲评审；配合运营管理、医疗质量管控、单点登录等应用的数据及界面集成；</w:t>
            </w:r>
            <w:r>
              <w:rPr>
                <w:rFonts w:ascii="宋体" w:hAnsi="宋体" w:eastAsia="宋体" w:cs="宋体"/>
                <w:sz w:val="21"/>
                <w:szCs w:val="21"/>
              </w:rPr>
              <w:br w:type="textWrapping"/>
            </w:r>
            <w:r>
              <w:rPr>
                <w:rFonts w:ascii="宋体" w:hAnsi="宋体" w:eastAsia="宋体" w:cs="宋体"/>
                <w:sz w:val="21"/>
                <w:szCs w:val="21"/>
              </w:rPr>
              <w:t>4</w:t>
            </w:r>
            <w:r>
              <w:rPr>
                <w:rFonts w:hint="eastAsia" w:ascii="宋体" w:hAnsi="宋体" w:eastAsia="宋体" w:cs="宋体"/>
                <w:sz w:val="21"/>
                <w:szCs w:val="21"/>
                <w:lang w:eastAsia="zh-CN"/>
              </w:rPr>
              <w:t>、基于医院现有商用密码基础设施，完成与密码服务平台的集成升级改造工作，实现身份认证、数据传输机密性完整性、数据存储机密性完整性、日志完整性及关键操作抗抵赖等方面国家商用密码应用安全相关标准要求，配合通过商用密码应用安全性评估</w:t>
            </w:r>
            <w:r>
              <w:rPr>
                <w:rFonts w:ascii="宋体" w:hAnsi="宋体" w:eastAsia="宋体" w:cs="宋体"/>
                <w:sz w:val="21"/>
                <w:szCs w:val="21"/>
              </w:rPr>
              <w:t>。</w:t>
            </w:r>
          </w:p>
        </w:tc>
      </w:tr>
      <w:tr w14:paraId="58044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377" w:type="dxa"/>
            <w:shd w:val="clear" w:color="auto" w:fill="auto"/>
            <w:vAlign w:val="center"/>
          </w:tcPr>
          <w:p w14:paraId="247E70D5">
            <w:pPr>
              <w:widowControl/>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分包管理</w:t>
            </w:r>
            <w:r>
              <w:rPr>
                <w:rFonts w:hint="eastAsia" w:ascii="宋体" w:hAnsi="宋体" w:eastAsia="宋体" w:cs="宋体"/>
                <w:sz w:val="21"/>
                <w:szCs w:val="21"/>
              </w:rPr>
              <w:t>要求</w:t>
            </w:r>
          </w:p>
        </w:tc>
        <w:tc>
          <w:tcPr>
            <w:tcW w:w="924" w:type="dxa"/>
            <w:shd w:val="clear" w:color="auto" w:fill="auto"/>
            <w:vAlign w:val="center"/>
          </w:tcPr>
          <w:p w14:paraId="747996F6">
            <w:pPr>
              <w:widowControl/>
              <w:jc w:val="center"/>
              <w:rPr>
                <w:rFonts w:hint="default"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rPr>
              <w:t>13</w:t>
            </w:r>
          </w:p>
        </w:tc>
        <w:tc>
          <w:tcPr>
            <w:tcW w:w="7584" w:type="dxa"/>
            <w:shd w:val="clear" w:color="auto" w:fill="auto"/>
            <w:vAlign w:val="center"/>
          </w:tcPr>
          <w:p w14:paraId="5AC4A772">
            <w:pPr>
              <w:pStyle w:val="56"/>
              <w:numPr>
                <w:ilvl w:val="-1"/>
                <w:numId w:val="0"/>
              </w:numPr>
              <w:spacing w:line="36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鉴于本项目的综合性，允许投标人(中标人)将</w:t>
            </w:r>
            <w:r>
              <w:rPr>
                <w:rFonts w:hint="eastAsia" w:ascii="宋体" w:hAnsi="宋体" w:eastAsia="宋体" w:cs="宋体"/>
                <w:color w:val="auto"/>
                <w:sz w:val="21"/>
                <w:szCs w:val="21"/>
                <w:highlight w:val="none"/>
                <w:lang w:val="en-US" w:eastAsia="zh-CN"/>
              </w:rPr>
              <w:t>项目需求</w:t>
            </w:r>
            <w:r>
              <w:rPr>
                <w:rFonts w:hint="eastAsia" w:ascii="宋体" w:hAnsi="宋体" w:eastAsia="宋体" w:cs="宋体"/>
                <w:color w:val="auto"/>
                <w:sz w:val="21"/>
                <w:szCs w:val="21"/>
                <w:highlight w:val="none"/>
              </w:rPr>
              <w:t>中自身</w:t>
            </w:r>
            <w:r>
              <w:rPr>
                <w:rFonts w:hint="eastAsia" w:ascii="宋体" w:hAnsi="宋体" w:eastAsia="宋体" w:cs="宋体"/>
                <w:color w:val="auto"/>
                <w:sz w:val="21"/>
                <w:szCs w:val="21"/>
                <w:highlight w:val="none"/>
                <w:lang w:val="en-US" w:eastAsia="zh-CN"/>
              </w:rPr>
              <w:t>无法开发的软件应用系统</w:t>
            </w:r>
            <w:r>
              <w:rPr>
                <w:rFonts w:hint="eastAsia" w:ascii="宋体" w:hAnsi="宋体" w:eastAsia="宋体" w:cs="宋体"/>
                <w:color w:val="auto"/>
                <w:sz w:val="21"/>
                <w:szCs w:val="21"/>
                <w:highlight w:val="none"/>
              </w:rPr>
              <w:t>，分包给符合本项目要求的第三方机构实施。但必须遵守以下规定：</w:t>
            </w:r>
          </w:p>
          <w:p w14:paraId="5C528092">
            <w:pPr>
              <w:pStyle w:val="56"/>
              <w:numPr>
                <w:ilvl w:val="-1"/>
                <w:numId w:val="0"/>
              </w:numPr>
              <w:spacing w:line="36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总包责任</w:t>
            </w:r>
          </w:p>
          <w:p w14:paraId="7293A8A2">
            <w:pPr>
              <w:pStyle w:val="56"/>
              <w:numPr>
                <w:ilvl w:val="-1"/>
                <w:numId w:val="0"/>
              </w:numPr>
              <w:spacing w:line="36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投标人(中标人)作为本项目的签约方和总负责方，须对全部</w:t>
            </w:r>
            <w:r>
              <w:rPr>
                <w:rFonts w:hint="eastAsia" w:ascii="宋体" w:hAnsi="宋体" w:eastAsia="宋体" w:cs="宋体"/>
                <w:color w:val="auto"/>
                <w:sz w:val="21"/>
                <w:szCs w:val="21"/>
                <w:highlight w:val="none"/>
                <w:lang w:val="en-US" w:eastAsia="zh-CN"/>
              </w:rPr>
              <w:t>软件应用系统</w:t>
            </w:r>
            <w:r>
              <w:rPr>
                <w:rFonts w:hint="eastAsia" w:ascii="宋体" w:hAnsi="宋体" w:eastAsia="宋体" w:cs="宋体"/>
                <w:color w:val="auto"/>
                <w:sz w:val="21"/>
                <w:szCs w:val="21"/>
                <w:highlight w:val="none"/>
              </w:rPr>
              <w:t>（包括其分包部分）的整体质量、进度、安全保密、协调配合和最终成果交付承担全部责任。采购人的所有指令、款项支付、履约验收及违约追责均仅针对投标人(中标人)。</w:t>
            </w:r>
          </w:p>
          <w:p w14:paraId="3AD839FD">
            <w:pPr>
              <w:pStyle w:val="56"/>
              <w:numPr>
                <w:ilvl w:val="-1"/>
                <w:numId w:val="0"/>
              </w:numPr>
              <w:spacing w:line="36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分包管理</w:t>
            </w:r>
          </w:p>
          <w:p w14:paraId="513018DE">
            <w:pPr>
              <w:pStyle w:val="56"/>
              <w:numPr>
                <w:ilvl w:val="-1"/>
                <w:numId w:val="0"/>
              </w:numPr>
              <w:spacing w:line="36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允许分包范围：</w:t>
            </w:r>
          </w:p>
          <w:p w14:paraId="3F97925E">
            <w:pPr>
              <w:pStyle w:val="56"/>
              <w:numPr>
                <w:ilvl w:val="-1"/>
                <w:numId w:val="0"/>
              </w:numPr>
              <w:spacing w:line="36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本项目仅允许将投标人（中标人）自身</w:t>
            </w:r>
            <w:r>
              <w:rPr>
                <w:rFonts w:hint="eastAsia" w:ascii="宋体" w:hAnsi="宋体" w:eastAsia="宋体" w:cs="宋体"/>
                <w:color w:val="auto"/>
                <w:sz w:val="21"/>
                <w:szCs w:val="21"/>
                <w:highlight w:val="none"/>
                <w:lang w:val="en-US" w:eastAsia="zh-CN"/>
              </w:rPr>
              <w:t>无法开发的软件应用系统</w:t>
            </w:r>
            <w:r>
              <w:rPr>
                <w:rFonts w:hint="eastAsia" w:ascii="宋体" w:hAnsi="宋体" w:eastAsia="宋体" w:cs="宋体"/>
                <w:color w:val="auto"/>
                <w:sz w:val="21"/>
                <w:szCs w:val="21"/>
                <w:highlight w:val="none"/>
              </w:rPr>
              <w:t>进行分包。</w:t>
            </w:r>
            <w:r>
              <w:rPr>
                <w:rFonts w:hint="eastAsia" w:ascii="宋体" w:hAnsi="宋体" w:eastAsia="宋体" w:cs="宋体"/>
                <w:b/>
                <w:bCs w:val="0"/>
                <w:color w:val="auto"/>
                <w:sz w:val="21"/>
                <w:szCs w:val="21"/>
                <w:highlight w:val="none"/>
                <w:lang w:val="en-US" w:eastAsia="zh-CN"/>
              </w:rPr>
              <w:t>HIS</w:t>
            </w:r>
            <w:r>
              <w:rPr>
                <w:rFonts w:ascii="宋体" w:hAnsi="宋体" w:eastAsia="宋体" w:cs="宋体"/>
                <w:b/>
                <w:bCs w:val="0"/>
                <w:color w:val="auto"/>
                <w:sz w:val="21"/>
                <w:szCs w:val="21"/>
                <w:highlight w:val="none"/>
              </w:rPr>
              <w:t>核心业务系统</w:t>
            </w:r>
            <w:r>
              <w:rPr>
                <w:rFonts w:hint="eastAsia" w:ascii="宋体" w:hAnsi="宋体" w:eastAsia="宋体" w:cs="宋体"/>
                <w:b/>
                <w:bCs w:val="0"/>
                <w:color w:val="auto"/>
                <w:sz w:val="21"/>
                <w:szCs w:val="21"/>
                <w:highlight w:val="none"/>
              </w:rPr>
              <w:t>作为本项目主体内容，投标人（中标人）必须自行完成，不得分包</w:t>
            </w:r>
            <w:r>
              <w:rPr>
                <w:rFonts w:hint="eastAsia" w:ascii="宋体" w:hAnsi="宋体" w:eastAsia="宋体" w:cs="宋体"/>
                <w:color w:val="auto"/>
                <w:sz w:val="21"/>
                <w:szCs w:val="21"/>
                <w:highlight w:val="none"/>
              </w:rPr>
              <w:t>。</w:t>
            </w:r>
          </w:p>
          <w:p w14:paraId="4322EDC9">
            <w:pPr>
              <w:pStyle w:val="56"/>
              <w:numPr>
                <w:ilvl w:val="-1"/>
                <w:numId w:val="0"/>
              </w:numPr>
              <w:spacing w:line="36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投标人(中标人)应在投标文件中明确其自身</w:t>
            </w:r>
            <w:r>
              <w:rPr>
                <w:rFonts w:hint="eastAsia" w:ascii="宋体" w:hAnsi="宋体" w:eastAsia="宋体" w:cs="宋体"/>
                <w:color w:val="auto"/>
                <w:sz w:val="21"/>
                <w:szCs w:val="21"/>
                <w:highlight w:val="none"/>
                <w:lang w:val="en-US" w:eastAsia="zh-CN"/>
              </w:rPr>
              <w:t>可完成的软件应用系统</w:t>
            </w:r>
            <w:r>
              <w:rPr>
                <w:rFonts w:hint="eastAsia" w:ascii="宋体" w:hAnsi="宋体" w:eastAsia="宋体" w:cs="宋体"/>
                <w:color w:val="auto"/>
                <w:sz w:val="21"/>
                <w:szCs w:val="21"/>
                <w:highlight w:val="none"/>
              </w:rPr>
              <w:t>，以及拟分包的</w:t>
            </w:r>
            <w:r>
              <w:rPr>
                <w:rFonts w:hint="eastAsia" w:ascii="宋体" w:hAnsi="宋体" w:eastAsia="宋体" w:cs="宋体"/>
                <w:color w:val="auto"/>
                <w:sz w:val="21"/>
                <w:szCs w:val="21"/>
                <w:highlight w:val="none"/>
                <w:lang w:val="en-US" w:eastAsia="zh-CN"/>
              </w:rPr>
              <w:t>软件应用系统</w:t>
            </w:r>
            <w:r>
              <w:rPr>
                <w:rFonts w:hint="eastAsia" w:ascii="宋体" w:hAnsi="宋体" w:eastAsia="宋体" w:cs="宋体"/>
                <w:color w:val="auto"/>
                <w:sz w:val="21"/>
                <w:szCs w:val="21"/>
                <w:highlight w:val="none"/>
              </w:rPr>
              <w:t>及候选分包机构情况。（提供分包意向协议书，加盖投标人和分包承担主体公章，</w:t>
            </w:r>
            <w:r>
              <w:rPr>
                <w:rFonts w:hint="eastAsia" w:ascii="宋体" w:hAnsi="宋体" w:cs="宋体"/>
                <w:color w:val="auto"/>
                <w:sz w:val="21"/>
                <w:szCs w:val="21"/>
                <w:highlight w:val="none"/>
                <w:lang w:val="en-US" w:eastAsia="zh-CN"/>
              </w:rPr>
              <w:t>协议书需按照医院要求的模板制定</w:t>
            </w:r>
            <w:r>
              <w:rPr>
                <w:rFonts w:hint="eastAsia" w:ascii="宋体" w:hAnsi="宋体" w:eastAsia="宋体" w:cs="宋体"/>
                <w:color w:val="auto"/>
                <w:sz w:val="21"/>
                <w:szCs w:val="21"/>
                <w:highlight w:val="none"/>
              </w:rPr>
              <w:t>）。</w:t>
            </w:r>
          </w:p>
          <w:p w14:paraId="039B77A7">
            <w:pPr>
              <w:pStyle w:val="56"/>
              <w:numPr>
                <w:ilvl w:val="-1"/>
                <w:numId w:val="0"/>
              </w:numPr>
              <w:spacing w:line="36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分包要求</w:t>
            </w:r>
          </w:p>
          <w:p w14:paraId="11EDC4F1">
            <w:pPr>
              <w:pStyle w:val="56"/>
              <w:numPr>
                <w:ilvl w:val="-1"/>
                <w:numId w:val="0"/>
              </w:numPr>
              <w:spacing w:line="36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投标人(中标人)需在分包合同签订前5个工作日向采购人提交分包商资质文件及分包方案，经采购人书面确认后方可实施。</w:t>
            </w:r>
          </w:p>
          <w:p w14:paraId="0A24A005">
            <w:pPr>
              <w:pStyle w:val="56"/>
              <w:numPr>
                <w:ilvl w:val="-1"/>
                <w:numId w:val="0"/>
              </w:numPr>
              <w:spacing w:line="36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分包必须签订正式协议，且分包商不得再次转包。</w:t>
            </w:r>
          </w:p>
          <w:p w14:paraId="780D9CEE">
            <w:pPr>
              <w:pStyle w:val="56"/>
              <w:numPr>
                <w:ilvl w:val="-1"/>
                <w:numId w:val="0"/>
              </w:numPr>
              <w:spacing w:line="36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分包商责任承担</w:t>
            </w:r>
          </w:p>
          <w:p w14:paraId="197C061E">
            <w:pPr>
              <w:pStyle w:val="56"/>
              <w:numPr>
                <w:ilvl w:val="-1"/>
                <w:numId w:val="0"/>
              </w:numPr>
              <w:spacing w:line="36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投标人(中标人)对分包工作的质量、进度及安全负全部责任，分包商的行为视为投标人(中标人)行为，采购人有权直接向投标人(中标人)主张权利；</w:t>
            </w:r>
          </w:p>
          <w:p w14:paraId="2B2B0D9E">
            <w:pPr>
              <w:pStyle w:val="56"/>
              <w:numPr>
                <w:ilvl w:val="-1"/>
                <w:numId w:val="0"/>
              </w:numPr>
              <w:spacing w:line="36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若因分包商原因导致项目延期、质量问题或产生第三方纠纷，投标人(中标人)需承担由此产生的全部损失（包括但不限于返工费用、违约金及采购人的间接损失）。</w:t>
            </w:r>
          </w:p>
          <w:p w14:paraId="13931C32">
            <w:pPr>
              <w:pStyle w:val="56"/>
              <w:numPr>
                <w:ilvl w:val="-1"/>
                <w:numId w:val="0"/>
              </w:numPr>
              <w:spacing w:line="36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合同管理</w:t>
            </w:r>
          </w:p>
          <w:p w14:paraId="42AB5A1F">
            <w:pPr>
              <w:pStyle w:val="56"/>
              <w:numPr>
                <w:ilvl w:val="-1"/>
                <w:numId w:val="0"/>
              </w:numPr>
              <w:spacing w:line="36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投标人(中标人)与分包商签订的分包合同需明确工作内容、交付标准、金额及违约责任，且不得违反本</w:t>
            </w:r>
            <w:r>
              <w:rPr>
                <w:rFonts w:hint="eastAsia" w:ascii="宋体" w:hAnsi="宋体" w:eastAsia="宋体" w:cs="宋体"/>
                <w:color w:val="auto"/>
                <w:sz w:val="21"/>
                <w:szCs w:val="21"/>
                <w:highlight w:val="none"/>
                <w:lang w:val="en-US" w:eastAsia="zh-CN"/>
              </w:rPr>
              <w:t>项目合同</w:t>
            </w:r>
            <w:r>
              <w:rPr>
                <w:rFonts w:hint="eastAsia" w:ascii="宋体" w:hAnsi="宋体" w:eastAsia="宋体" w:cs="宋体"/>
                <w:color w:val="auto"/>
                <w:sz w:val="21"/>
                <w:szCs w:val="21"/>
                <w:highlight w:val="none"/>
              </w:rPr>
              <w:t>约定；</w:t>
            </w:r>
          </w:p>
          <w:p w14:paraId="594C90E0">
            <w:pPr>
              <w:pStyle w:val="56"/>
              <w:numPr>
                <w:ilvl w:val="-1"/>
                <w:numId w:val="0"/>
              </w:numPr>
              <w:spacing w:line="360" w:lineRule="auto"/>
              <w:ind w:firstLine="0" w:firstLineChars="0"/>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分包合同需经医院审核通过后方可签订，</w:t>
            </w:r>
            <w:r>
              <w:rPr>
                <w:rFonts w:hint="eastAsia" w:ascii="宋体" w:hAnsi="宋体" w:eastAsia="宋体" w:cs="宋体"/>
                <w:color w:val="auto"/>
                <w:sz w:val="21"/>
                <w:szCs w:val="21"/>
                <w:highlight w:val="none"/>
              </w:rPr>
              <w:t>分包合同副本需在签订后5个工作日内提交</w:t>
            </w:r>
            <w:r>
              <w:rPr>
                <w:rFonts w:hint="eastAsia" w:ascii="宋体" w:hAnsi="宋体" w:cs="宋体"/>
                <w:color w:val="auto"/>
                <w:sz w:val="21"/>
                <w:szCs w:val="21"/>
                <w:highlight w:val="none"/>
                <w:lang w:val="en-US" w:eastAsia="zh-CN"/>
              </w:rPr>
              <w:t>医院</w:t>
            </w:r>
            <w:r>
              <w:rPr>
                <w:rFonts w:hint="eastAsia" w:ascii="宋体" w:hAnsi="宋体" w:eastAsia="宋体" w:cs="宋体"/>
                <w:color w:val="auto"/>
                <w:sz w:val="21"/>
                <w:szCs w:val="21"/>
                <w:highlight w:val="none"/>
              </w:rPr>
              <w:t>备案。</w:t>
            </w:r>
          </w:p>
          <w:p w14:paraId="00841548">
            <w:pPr>
              <w:pStyle w:val="56"/>
              <w:numPr>
                <w:ilvl w:val="-1"/>
                <w:numId w:val="0"/>
              </w:numPr>
              <w:spacing w:line="36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变更与终止</w:t>
            </w:r>
          </w:p>
          <w:p w14:paraId="4B1146CE">
            <w:pPr>
              <w:pStyle w:val="56"/>
              <w:numPr>
                <w:ilvl w:val="-1"/>
                <w:numId w:val="0"/>
              </w:numPr>
              <w:spacing w:line="36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若需变更分包范围或分包商，投标人(中标人)需提前10个工作日书面通知采购人并说明理由，经采购人同意后方可执行。</w:t>
            </w:r>
          </w:p>
          <w:p w14:paraId="248C9542">
            <w:pPr>
              <w:pStyle w:val="56"/>
              <w:numPr>
                <w:ilvl w:val="-1"/>
                <w:numId w:val="0"/>
              </w:numPr>
              <w:spacing w:line="36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采购人发现分包商不具备履约能力或分包工作存在重大风险时，有权要求投标人(中标人)更换分包商或终止分包，投标人(中标人)需在采购人要求的期限内完成整改。</w:t>
            </w:r>
          </w:p>
          <w:p w14:paraId="12C1688A">
            <w:pPr>
              <w:pStyle w:val="56"/>
              <w:numPr>
                <w:ilvl w:val="-1"/>
                <w:numId w:val="0"/>
              </w:numPr>
              <w:spacing w:line="36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2.6</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违约条款</w:t>
            </w:r>
          </w:p>
          <w:p w14:paraId="06D31A3D">
            <w:pPr>
              <w:pStyle w:val="56"/>
              <w:numPr>
                <w:ilvl w:val="-1"/>
                <w:numId w:val="0"/>
              </w:numPr>
              <w:spacing w:line="36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投标人(中标人)未经采购人同意擅自分包主体内容的，采购人有权解除合同，投标人(中标人)需支付合同总金额20%的违约金。</w:t>
            </w:r>
          </w:p>
          <w:p w14:paraId="55DAFBA7">
            <w:pPr>
              <w:pStyle w:val="56"/>
              <w:numPr>
                <w:ilvl w:val="-1"/>
                <w:numId w:val="0"/>
              </w:numPr>
              <w:spacing w:line="36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分包工作未达到合同约定质量标准的，投标人(中标人)需在30个工作日内完成整改，逾期未按要求整改的，采购人有权扣除相应部分的合同款项，并要求投标人(中标人)承担由此造成的工期延误责任。</w:t>
            </w:r>
          </w:p>
          <w:p w14:paraId="4890A781">
            <w:pPr>
              <w:pStyle w:val="56"/>
              <w:numPr>
                <w:ilvl w:val="-1"/>
                <w:numId w:val="0"/>
              </w:numPr>
              <w:spacing w:line="360" w:lineRule="auto"/>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费用承担</w:t>
            </w:r>
          </w:p>
          <w:p w14:paraId="257B6252">
            <w:pPr>
              <w:pStyle w:val="56"/>
              <w:numPr>
                <w:ilvl w:val="-1"/>
                <w:numId w:val="0"/>
              </w:numPr>
              <w:spacing w:line="360" w:lineRule="auto"/>
              <w:ind w:left="0" w:leftChars="0" w:firstLine="0" w:firstLineChars="0"/>
              <w:rPr>
                <w:rFonts w:hint="eastAsia" w:ascii="宋体" w:hAnsi="宋体" w:eastAsia="宋体" w:cs="宋体"/>
                <w:bCs/>
                <w:color w:val="auto"/>
                <w:spacing w:val="10"/>
                <w:kern w:val="0"/>
                <w:sz w:val="21"/>
                <w:szCs w:val="21"/>
                <w:highlight w:val="none"/>
                <w:lang w:val="en-US" w:eastAsia="zh-CN" w:bidi="ar-SA"/>
              </w:rPr>
            </w:pPr>
            <w:r>
              <w:rPr>
                <w:rFonts w:hint="eastAsia" w:ascii="宋体" w:hAnsi="宋体" w:eastAsia="宋体" w:cs="宋体"/>
                <w:color w:val="auto"/>
                <w:sz w:val="21"/>
                <w:szCs w:val="21"/>
                <w:highlight w:val="none"/>
              </w:rPr>
              <w:t>因履行本</w:t>
            </w:r>
            <w:r>
              <w:rPr>
                <w:rFonts w:hint="eastAsia" w:ascii="宋体" w:hAnsi="宋体" w:eastAsia="宋体" w:cs="宋体"/>
                <w:color w:val="auto"/>
                <w:sz w:val="21"/>
                <w:szCs w:val="21"/>
                <w:highlight w:val="none"/>
                <w:lang w:val="en-US" w:eastAsia="zh-CN"/>
              </w:rPr>
              <w:t>项目</w:t>
            </w:r>
            <w:r>
              <w:rPr>
                <w:rFonts w:hint="eastAsia" w:ascii="宋体" w:hAnsi="宋体" w:eastAsia="宋体" w:cs="宋体"/>
                <w:color w:val="auto"/>
                <w:sz w:val="21"/>
                <w:szCs w:val="21"/>
                <w:highlight w:val="none"/>
              </w:rPr>
              <w:t>合同所产生的一切费用，均已包含在项目总价中，由投标人(中标人)承担。</w:t>
            </w:r>
          </w:p>
        </w:tc>
      </w:tr>
      <w:tr w14:paraId="4C5F8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377" w:type="dxa"/>
            <w:shd w:val="clear" w:color="auto" w:fill="auto"/>
            <w:vAlign w:val="center"/>
          </w:tcPr>
          <w:p w14:paraId="2DBBD594">
            <w:pPr>
              <w:widowControl/>
              <w:jc w:val="center"/>
              <w:rPr>
                <w:rFonts w:hint="eastAsia" w:ascii="宋体" w:hAnsi="宋体" w:eastAsia="宋体" w:cs="宋体"/>
                <w:sz w:val="21"/>
                <w:szCs w:val="21"/>
                <w:lang w:val="en-US" w:eastAsia="zh-CN"/>
              </w:rPr>
            </w:pPr>
            <w:r>
              <w:rPr>
                <w:rFonts w:hint="eastAsia" w:asciiTheme="minorEastAsia" w:hAnsiTheme="minorEastAsia" w:eastAsiaTheme="minorEastAsia" w:cstheme="minorEastAsia"/>
                <w:sz w:val="21"/>
                <w:szCs w:val="21"/>
                <w:highlight w:val="none"/>
              </w:rPr>
              <w:t>技术延续性承诺</w:t>
            </w:r>
          </w:p>
        </w:tc>
        <w:tc>
          <w:tcPr>
            <w:tcW w:w="924" w:type="dxa"/>
            <w:shd w:val="clear" w:color="auto" w:fill="auto"/>
            <w:vAlign w:val="center"/>
          </w:tcPr>
          <w:p w14:paraId="1486A1EC">
            <w:pPr>
              <w:widowControl/>
              <w:jc w:val="center"/>
              <w:rPr>
                <w:rFonts w:hint="default" w:ascii="宋体" w:hAnsi="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14</w:t>
            </w:r>
          </w:p>
        </w:tc>
        <w:tc>
          <w:tcPr>
            <w:tcW w:w="7584" w:type="dxa"/>
            <w:shd w:val="clear" w:color="auto" w:fill="auto"/>
            <w:vAlign w:val="center"/>
          </w:tcPr>
          <w:p w14:paraId="31A23251">
            <w:pPr>
              <w:pStyle w:val="56"/>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1、跟踪信息技术发展，5年</w:t>
            </w:r>
            <w:r>
              <w:rPr>
                <w:rFonts w:hint="eastAsia" w:asciiTheme="minorEastAsia" w:hAnsiTheme="minorEastAsia" w:eastAsiaTheme="minorEastAsia" w:cstheme="minorEastAsia"/>
                <w:color w:val="auto"/>
                <w:sz w:val="21"/>
                <w:szCs w:val="21"/>
                <w:highlight w:val="none"/>
                <w:lang w:val="en-US" w:eastAsia="zh-CN"/>
              </w:rPr>
              <w:t>升级维护期</w:t>
            </w:r>
            <w:r>
              <w:rPr>
                <w:rFonts w:hint="eastAsia" w:asciiTheme="minorEastAsia" w:hAnsiTheme="minorEastAsia" w:eastAsiaTheme="minorEastAsia" w:cstheme="minorEastAsia"/>
                <w:color w:val="auto"/>
                <w:sz w:val="21"/>
                <w:szCs w:val="21"/>
                <w:highlight w:val="none"/>
              </w:rPr>
              <w:t>内免费适配主流新操作系统、数据库及中间件；</w:t>
            </w:r>
          </w:p>
          <w:p w14:paraId="397D03B8">
            <w:pPr>
              <w:pStyle w:val="56"/>
              <w:numPr>
                <w:ilvl w:val="-1"/>
                <w:numId w:val="0"/>
              </w:numPr>
              <w:spacing w:line="360" w:lineRule="auto"/>
              <w:ind w:left="0" w:leftChars="0" w:firstLine="0" w:firstLineChars="0"/>
              <w:rPr>
                <w:rFonts w:hint="eastAsia" w:ascii="宋体" w:hAnsi="宋体" w:eastAsia="宋体" w:cs="宋体"/>
                <w:color w:val="auto"/>
                <w:sz w:val="21"/>
                <w:szCs w:val="21"/>
                <w:highlight w:val="none"/>
              </w:rPr>
            </w:pPr>
            <w:r>
              <w:rPr>
                <w:rFonts w:hint="eastAsia" w:asciiTheme="minorEastAsia" w:hAnsiTheme="minorEastAsia" w:eastAsiaTheme="minorEastAsia" w:cstheme="minorEastAsia"/>
                <w:color w:val="auto"/>
                <w:sz w:val="21"/>
                <w:szCs w:val="21"/>
                <w:highlight w:val="none"/>
              </w:rPr>
              <w:t>2、若因技术迭代导致系统无法兼容，免费提供重构或迁移方案。</w:t>
            </w:r>
          </w:p>
        </w:tc>
      </w:tr>
    </w:tbl>
    <w:p w14:paraId="6828B568">
      <w:pPr>
        <w:pStyle w:val="58"/>
        <w:ind w:firstLine="0" w:firstLineChars="0"/>
        <w:rPr>
          <w:rFonts w:hint="default" w:ascii="宋体" w:hAnsi="宋体"/>
          <w:b/>
          <w:bCs/>
          <w:color w:val="auto"/>
          <w:highlight w:val="none"/>
          <w:lang w:val="en-US" w:eastAsia="zh-CN"/>
        </w:rPr>
      </w:pPr>
    </w:p>
    <w:sectPr>
      <w:footerReference r:id="rId3" w:type="default"/>
      <w:pgSz w:w="11906" w:h="16838"/>
      <w:pgMar w:top="1157" w:right="1179" w:bottom="1157" w:left="1179"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Arial Unicode MS">
    <w:panose1 w:val="020B0604020202020204"/>
    <w:charset w:val="86"/>
    <w:family w:val="swiss"/>
    <w:pitch w:val="default"/>
    <w:sig w:usb0="FFFFFFFF" w:usb1="E9FFFFFF" w:usb2="0000003F" w:usb3="00000000" w:csb0="603F01FF" w:csb1="FFFF0000"/>
  </w:font>
  <w:font w:name="隶书">
    <w:panose1 w:val="02010509060101010101"/>
    <w:charset w:val="86"/>
    <w:family w:val="modern"/>
    <w:pitch w:val="default"/>
    <w:sig w:usb0="00000001" w:usb1="080E0000" w:usb2="00000000" w:usb3="00000000" w:csb0="00040000" w:csb1="00000000"/>
  </w:font>
  <w:font w:name="长城仿宋">
    <w:altName w:val="仿宋"/>
    <w:panose1 w:val="00000000000000000000"/>
    <w:charset w:val="00"/>
    <w:family w:val="auto"/>
    <w:pitch w:val="default"/>
    <w:sig w:usb0="00000000" w:usb1="00000000" w:usb2="00000000" w:usb3="00000000" w:csb0="00040001"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ˎ̥">
    <w:altName w:val="方正公文小标宋"/>
    <w:panose1 w:val="00000000000000000000"/>
    <w:charset w:val="00"/>
    <w:family w:val="roman"/>
    <w:pitch w:val="default"/>
    <w:sig w:usb0="00000000" w:usb1="00000000" w:usb2="00000000" w:usb3="00000000" w:csb0="00040001" w:csb1="00000000"/>
  </w:font>
  <w:font w:name="方正公文小标宋">
    <w:panose1 w:val="02000500000000000000"/>
    <w:charset w:val="86"/>
    <w:family w:val="auto"/>
    <w:pitch w:val="default"/>
    <w:sig w:usb0="A00002BF" w:usb1="38CF7CFA" w:usb2="00000016" w:usb3="00000000" w:csb0="00040001" w:csb1="00000000"/>
  </w:font>
  <w:font w:name="??">
    <w:altName w:val="方正公文小标宋"/>
    <w:panose1 w:val="00000000000000000000"/>
    <w:charset w:val="00"/>
    <w:family w:val="auto"/>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幼圆">
    <w:panose1 w:val="02010509060101010101"/>
    <w:charset w:val="86"/>
    <w:family w:val="modern"/>
    <w:pitch w:val="default"/>
    <w:sig w:usb0="00000001" w:usb1="080E0000" w:usb2="00000000" w:usb3="00000000" w:csb0="00040000" w:csb1="00000000"/>
  </w:font>
  <w:font w:name="H Yb 2gj">
    <w:altName w:val="宋体"/>
    <w:panose1 w:val="00000000000000000000"/>
    <w:charset w:val="86"/>
    <w:family w:val="auto"/>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汉仪细等线简">
    <w:altName w:val="宋体"/>
    <w:panose1 w:val="00000000000000000000"/>
    <w:charset w:val="86"/>
    <w:family w:val="modern"/>
    <w:pitch w:val="default"/>
    <w:sig w:usb0="00000000" w:usb1="00000000" w:usb2="00000012" w:usb3="00000000" w:csb0="00040000" w:csb1="00000000"/>
  </w:font>
  <w:font w:name="Helvetica">
    <w:altName w:val="Arial"/>
    <w:panose1 w:val="00000000000000000000"/>
    <w:charset w:val="00"/>
    <w:family w:val="swiss"/>
    <w:pitch w:val="default"/>
    <w:sig w:usb0="00000000" w:usb1="00000000" w:usb2="00000000" w:usb3="00000000" w:csb0="2000019F" w:csb1="4F010000"/>
  </w:font>
  <w:font w:name="等线">
    <w:panose1 w:val="02010600030101010101"/>
    <w:charset w:val="86"/>
    <w:family w:val="auto"/>
    <w:pitch w:val="default"/>
    <w:sig w:usb0="A00002BF" w:usb1="38CF7CFA" w:usb2="00000016" w:usb3="00000000" w:csb0="0004000F" w:csb1="00000000"/>
  </w:font>
  <w:font w:name="文鼎粗黑">
    <w:altName w:val="黑体"/>
    <w:panose1 w:val="00000000000000000000"/>
    <w:charset w:val="86"/>
    <w:family w:val="modern"/>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Monaco">
    <w:altName w:val="Courier New"/>
    <w:panose1 w:val="00000000000000000000"/>
    <w:charset w:val="00"/>
    <w:family w:val="auto"/>
    <w:pitch w:val="default"/>
    <w:sig w:usb0="00000000" w:usb1="00000000" w:usb2="00000000" w:usb3="00000000" w:csb0="20000197" w:csb1="4F000000"/>
  </w:font>
  <w:font w:name="微软雅黑">
    <w:panose1 w:val="020B0503020204020204"/>
    <w:charset w:val="86"/>
    <w:family w:val="swiss"/>
    <w:pitch w:val="default"/>
    <w:sig w:usb0="80000287" w:usb1="2ACF3C50" w:usb2="00000016" w:usb3="00000000" w:csb0="0004001F" w:csb1="00000000"/>
  </w:font>
  <w:font w:name="'宋体'">
    <w:altName w:val="宋体"/>
    <w:panose1 w:val="00000000000000000000"/>
    <w:charset w:val="00"/>
    <w:family w:val="auto"/>
    <w:pitch w:val="default"/>
    <w:sig w:usb0="00000000" w:usb1="00000000" w:usb2="00000000" w:usb3="00000000" w:csb0="00000000" w:csb1="00000000"/>
  </w:font>
  <w:font w:name="Segoe UI">
    <w:panose1 w:val="020B0502040204020203"/>
    <w:charset w:val="00"/>
    <w:family w:val="auto"/>
    <w:pitch w:val="default"/>
    <w:sig w:usb0="E4002EFF" w:usb1="C000E47F" w:usb2="00000009" w:usb3="00000000" w:csb0="200001FF" w:csb1="00000000"/>
  </w:font>
  <w:font w:name="MS Mincho">
    <w:altName w:val="Yu Gothic UI"/>
    <w:panose1 w:val="02020609040205080304"/>
    <w:charset w:val="80"/>
    <w:family w:val="modern"/>
    <w:pitch w:val="default"/>
    <w:sig w:usb0="00000000" w:usb1="00000000" w:usb2="00000012" w:usb3="00000000" w:csb0="4002009F" w:csb1="DFD70000"/>
  </w:font>
  <w:font w:name="Yu Gothic UI">
    <w:panose1 w:val="020B0500000000000000"/>
    <w:charset w:val="80"/>
    <w:family w:val="auto"/>
    <w:pitch w:val="default"/>
    <w:sig w:usb0="E00002FF" w:usb1="2AC7FDFF" w:usb2="00000016" w:usb3="00000000" w:csb0="2002009F" w:csb1="00000000"/>
  </w:font>
  <w:font w:name="Segoe UI Symbol">
    <w:panose1 w:val="020B0502040204020203"/>
    <w:charset w:val="00"/>
    <w:family w:val="swiss"/>
    <w:pitch w:val="default"/>
    <w:sig w:usb0="800001E3" w:usb1="1200FFEF" w:usb2="00040000" w:usb3="04000000"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FC186C">
    <w:pPr>
      <w:pStyle w:val="2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DFD8344">
                          <w:pPr>
                            <w:pStyle w:val="28"/>
                          </w:pPr>
                          <w:r>
                            <w:fldChar w:fldCharType="begin"/>
                          </w:r>
                          <w:r>
                            <w:instrText xml:space="preserve"> PAGE  \* MERGEFORMAT </w:instrText>
                          </w:r>
                          <w:r>
                            <w:fldChar w:fldCharType="separate"/>
                          </w:r>
                          <w:r>
                            <w:t>7</w:t>
                          </w:r>
                          <w:r>
                            <w:fldChar w:fldCharType="end"/>
                          </w:r>
                        </w:p>
                      </w:txbxContent>
                    </wps:txbx>
                    <wps:bodyPr wrap="none" lIns="0" tIns="0" rIns="0" bIns="0" upright="1">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LeMqNjLAQAAnAMAAA4AAAAAAAAAAQAgAAAAHgEAAGRycy9lMm9E&#10;b2MueG1sUEsFBgAAAAAGAAYAWQEAAFsFAAAAAA==&#10;">
              <v:fill on="f" focussize="0,0"/>
              <v:stroke on="f"/>
              <v:imagedata o:title=""/>
              <o:lock v:ext="edit" aspectratio="f"/>
              <v:textbox inset="0mm,0mm,0mm,0mm" style="mso-fit-shape-to-text:t;">
                <w:txbxContent>
                  <w:p w14:paraId="3DFD8344">
                    <w:pPr>
                      <w:pStyle w:val="28"/>
                    </w:pPr>
                    <w:r>
                      <w:fldChar w:fldCharType="begin"/>
                    </w:r>
                    <w:r>
                      <w:instrText xml:space="preserve"> PAGE  \* MERGEFORMAT </w:instrText>
                    </w:r>
                    <w:r>
                      <w:fldChar w:fldCharType="separate"/>
                    </w:r>
                    <w:r>
                      <w:t>7</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7AD870"/>
    <w:multiLevelType w:val="multilevel"/>
    <w:tmpl w:val="807AD870"/>
    <w:lvl w:ilvl="0" w:tentative="0">
      <w:start w:val="1"/>
      <w:numFmt w:val="decimal"/>
      <w:lvlText w:val="%1."/>
      <w:lvlJc w:val="left"/>
      <w:pPr>
        <w:ind w:left="425" w:hanging="425"/>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1">
    <w:nsid w:val="81C523FC"/>
    <w:multiLevelType w:val="singleLevel"/>
    <w:tmpl w:val="81C523FC"/>
    <w:lvl w:ilvl="0" w:tentative="0">
      <w:start w:val="1"/>
      <w:numFmt w:val="bullet"/>
      <w:lvlText w:val=""/>
      <w:lvlJc w:val="left"/>
      <w:pPr>
        <w:ind w:left="420" w:hanging="420"/>
      </w:pPr>
      <w:rPr>
        <w:rFonts w:hint="default" w:ascii="Wingdings" w:hAnsi="Wingdings"/>
      </w:rPr>
    </w:lvl>
  </w:abstractNum>
  <w:abstractNum w:abstractNumId="2">
    <w:nsid w:val="855C644A"/>
    <w:multiLevelType w:val="singleLevel"/>
    <w:tmpl w:val="855C644A"/>
    <w:lvl w:ilvl="0" w:tentative="0">
      <w:start w:val="1"/>
      <w:numFmt w:val="decimal"/>
      <w:suff w:val="nothing"/>
      <w:lvlText w:val="%1、"/>
      <w:lvlJc w:val="left"/>
    </w:lvl>
  </w:abstractNum>
  <w:abstractNum w:abstractNumId="3">
    <w:nsid w:val="91FF6960"/>
    <w:multiLevelType w:val="singleLevel"/>
    <w:tmpl w:val="91FF6960"/>
    <w:lvl w:ilvl="0" w:tentative="0">
      <w:start w:val="1"/>
      <w:numFmt w:val="decimal"/>
      <w:lvlText w:val="(%1)"/>
      <w:lvlJc w:val="left"/>
      <w:pPr>
        <w:ind w:left="425" w:hanging="425"/>
      </w:pPr>
      <w:rPr>
        <w:rFonts w:hint="default"/>
      </w:rPr>
    </w:lvl>
  </w:abstractNum>
  <w:abstractNum w:abstractNumId="4">
    <w:nsid w:val="92F31D4A"/>
    <w:multiLevelType w:val="singleLevel"/>
    <w:tmpl w:val="92F31D4A"/>
    <w:lvl w:ilvl="0" w:tentative="0">
      <w:start w:val="1"/>
      <w:numFmt w:val="bullet"/>
      <w:lvlText w:val=""/>
      <w:lvlJc w:val="left"/>
      <w:pPr>
        <w:ind w:left="420" w:hanging="420"/>
      </w:pPr>
      <w:rPr>
        <w:rFonts w:hint="default" w:ascii="Wingdings" w:hAnsi="Wingdings"/>
      </w:rPr>
    </w:lvl>
  </w:abstractNum>
  <w:abstractNum w:abstractNumId="5">
    <w:nsid w:val="96640941"/>
    <w:multiLevelType w:val="singleLevel"/>
    <w:tmpl w:val="96640941"/>
    <w:lvl w:ilvl="0" w:tentative="0">
      <w:start w:val="1"/>
      <w:numFmt w:val="decimal"/>
      <w:lvlText w:val="(%1)"/>
      <w:lvlJc w:val="left"/>
      <w:pPr>
        <w:ind w:left="425" w:hanging="425"/>
      </w:pPr>
      <w:rPr>
        <w:rFonts w:hint="default"/>
      </w:rPr>
    </w:lvl>
  </w:abstractNum>
  <w:abstractNum w:abstractNumId="6">
    <w:nsid w:val="9CCB1875"/>
    <w:multiLevelType w:val="singleLevel"/>
    <w:tmpl w:val="9CCB1875"/>
    <w:lvl w:ilvl="0" w:tentative="0">
      <w:start w:val="1"/>
      <w:numFmt w:val="bullet"/>
      <w:lvlText w:val=""/>
      <w:lvlJc w:val="left"/>
      <w:pPr>
        <w:ind w:left="420" w:hanging="420"/>
      </w:pPr>
      <w:rPr>
        <w:rFonts w:hint="default" w:ascii="Wingdings" w:hAnsi="Wingdings"/>
      </w:rPr>
    </w:lvl>
  </w:abstractNum>
  <w:abstractNum w:abstractNumId="7">
    <w:nsid w:val="9D88A3D8"/>
    <w:multiLevelType w:val="singleLevel"/>
    <w:tmpl w:val="9D88A3D8"/>
    <w:lvl w:ilvl="0" w:tentative="0">
      <w:start w:val="1"/>
      <w:numFmt w:val="decimal"/>
      <w:suff w:val="space"/>
      <w:lvlText w:val="%1."/>
      <w:lvlJc w:val="left"/>
    </w:lvl>
  </w:abstractNum>
  <w:abstractNum w:abstractNumId="8">
    <w:nsid w:val="A34A07C2"/>
    <w:multiLevelType w:val="singleLevel"/>
    <w:tmpl w:val="A34A07C2"/>
    <w:lvl w:ilvl="0" w:tentative="0">
      <w:start w:val="1"/>
      <w:numFmt w:val="bullet"/>
      <w:lvlText w:val=""/>
      <w:lvlJc w:val="left"/>
      <w:pPr>
        <w:ind w:left="420" w:hanging="420"/>
      </w:pPr>
      <w:rPr>
        <w:rFonts w:hint="default" w:ascii="Wingdings" w:hAnsi="Wingdings"/>
      </w:rPr>
    </w:lvl>
  </w:abstractNum>
  <w:abstractNum w:abstractNumId="9">
    <w:nsid w:val="AC0B41AE"/>
    <w:multiLevelType w:val="singleLevel"/>
    <w:tmpl w:val="AC0B41AE"/>
    <w:lvl w:ilvl="0" w:tentative="0">
      <w:start w:val="1"/>
      <w:numFmt w:val="decimal"/>
      <w:lvlText w:val="(%1)"/>
      <w:lvlJc w:val="left"/>
      <w:pPr>
        <w:ind w:left="425" w:hanging="425"/>
      </w:pPr>
      <w:rPr>
        <w:rFonts w:hint="default"/>
      </w:rPr>
    </w:lvl>
  </w:abstractNum>
  <w:abstractNum w:abstractNumId="10">
    <w:nsid w:val="AD3EA33C"/>
    <w:multiLevelType w:val="multilevel"/>
    <w:tmpl w:val="AD3EA33C"/>
    <w:lvl w:ilvl="0" w:tentative="0">
      <w:start w:val="1"/>
      <w:numFmt w:val="decimal"/>
      <w:lvlText w:val="%1)"/>
      <w:lvlJc w:val="left"/>
      <w:pPr>
        <w:ind w:left="425" w:hanging="425"/>
      </w:pPr>
      <w:rPr>
        <w:rFonts w:hint="default" w:ascii="Times New Roman" w:hAnsi="Times New Roman" w:cs="Times New Roman"/>
      </w:rPr>
    </w:lvl>
    <w:lvl w:ilvl="1" w:tentative="0">
      <w:start w:val="1"/>
      <w:numFmt w:val="decimal"/>
      <w:lvlText w:val=")"/>
      <w:lvlJc w:val="left"/>
      <w:pPr>
        <w:ind w:left="0" w:firstLine="0"/>
      </w:pPr>
      <w:rPr>
        <w:rFonts w:hint="default" w:ascii="Times New Roman" w:hAnsi="Times New Roman" w:cs="Times New Roman"/>
      </w:rPr>
    </w:lvl>
    <w:lvl w:ilvl="2" w:tentative="0">
      <w:start w:val="1"/>
      <w:numFmt w:val="decimal"/>
      <w:lvlText w:val=")"/>
      <w:lvlJc w:val="left"/>
      <w:pPr>
        <w:ind w:left="0" w:firstLine="0"/>
      </w:pPr>
      <w:rPr>
        <w:rFonts w:hint="default" w:ascii="Times New Roman" w:hAnsi="Times New Roman" w:cs="Times New Roman"/>
      </w:rPr>
    </w:lvl>
    <w:lvl w:ilvl="3" w:tentative="0">
      <w:start w:val="1"/>
      <w:numFmt w:val="decimal"/>
      <w:lvlText w:val=")"/>
      <w:lvlJc w:val="left"/>
      <w:pPr>
        <w:ind w:left="0" w:firstLine="0"/>
      </w:pPr>
      <w:rPr>
        <w:rFonts w:hint="default" w:ascii="Times New Roman" w:hAnsi="Times New Roman" w:cs="Times New Roman"/>
      </w:rPr>
    </w:lvl>
    <w:lvl w:ilvl="4" w:tentative="0">
      <w:start w:val="1"/>
      <w:numFmt w:val="decimal"/>
      <w:lvlText w:val=")"/>
      <w:lvlJc w:val="left"/>
      <w:pPr>
        <w:ind w:left="0" w:firstLine="0"/>
      </w:pPr>
      <w:rPr>
        <w:rFonts w:hint="default" w:ascii="Times New Roman" w:hAnsi="Times New Roman" w:cs="Times New Roman"/>
      </w:rPr>
    </w:lvl>
    <w:lvl w:ilvl="5" w:tentative="0">
      <w:start w:val="1"/>
      <w:numFmt w:val="decimal"/>
      <w:lvlText w:val=")"/>
      <w:lvlJc w:val="left"/>
      <w:pPr>
        <w:ind w:left="0" w:firstLine="0"/>
      </w:pPr>
      <w:rPr>
        <w:rFonts w:hint="default" w:ascii="Times New Roman" w:hAnsi="Times New Roman" w:cs="Times New Roman"/>
      </w:rPr>
    </w:lvl>
    <w:lvl w:ilvl="6" w:tentative="0">
      <w:start w:val="1"/>
      <w:numFmt w:val="decimal"/>
      <w:lvlText w:val=")"/>
      <w:lvlJc w:val="left"/>
      <w:pPr>
        <w:ind w:left="0" w:firstLine="0"/>
      </w:pPr>
      <w:rPr>
        <w:rFonts w:hint="default" w:ascii="Times New Roman" w:hAnsi="Times New Roman" w:cs="Times New Roman"/>
      </w:rPr>
    </w:lvl>
    <w:lvl w:ilvl="7" w:tentative="0">
      <w:start w:val="1"/>
      <w:numFmt w:val="decimal"/>
      <w:lvlText w:val=")"/>
      <w:lvlJc w:val="left"/>
      <w:pPr>
        <w:ind w:left="0" w:firstLine="0"/>
      </w:pPr>
      <w:rPr>
        <w:rFonts w:hint="default" w:ascii="Times New Roman" w:hAnsi="Times New Roman" w:cs="Times New Roman"/>
      </w:rPr>
    </w:lvl>
    <w:lvl w:ilvl="8" w:tentative="0">
      <w:start w:val="1"/>
      <w:numFmt w:val="decimal"/>
      <w:lvlText w:val=")"/>
      <w:lvlJc w:val="left"/>
      <w:pPr>
        <w:ind w:left="0" w:firstLine="0"/>
      </w:pPr>
      <w:rPr>
        <w:rFonts w:hint="default" w:ascii="Times New Roman" w:hAnsi="Times New Roman" w:cs="Times New Roman"/>
      </w:rPr>
    </w:lvl>
  </w:abstractNum>
  <w:abstractNum w:abstractNumId="11">
    <w:nsid w:val="B45AFD28"/>
    <w:multiLevelType w:val="singleLevel"/>
    <w:tmpl w:val="B45AFD28"/>
    <w:lvl w:ilvl="0" w:tentative="0">
      <w:start w:val="1"/>
      <w:numFmt w:val="bullet"/>
      <w:lvlText w:val=""/>
      <w:lvlJc w:val="left"/>
      <w:pPr>
        <w:ind w:left="420" w:hanging="420"/>
      </w:pPr>
      <w:rPr>
        <w:rFonts w:hint="default" w:ascii="Wingdings" w:hAnsi="Wingdings"/>
      </w:rPr>
    </w:lvl>
  </w:abstractNum>
  <w:abstractNum w:abstractNumId="12">
    <w:nsid w:val="B5363EF4"/>
    <w:multiLevelType w:val="singleLevel"/>
    <w:tmpl w:val="B5363EF4"/>
    <w:lvl w:ilvl="0" w:tentative="0">
      <w:start w:val="1"/>
      <w:numFmt w:val="decimal"/>
      <w:lvlText w:val="(%1)"/>
      <w:lvlJc w:val="left"/>
      <w:pPr>
        <w:ind w:left="425" w:hanging="425"/>
      </w:pPr>
      <w:rPr>
        <w:rFonts w:hint="default"/>
      </w:rPr>
    </w:lvl>
  </w:abstractNum>
  <w:abstractNum w:abstractNumId="13">
    <w:nsid w:val="BA6003D8"/>
    <w:multiLevelType w:val="singleLevel"/>
    <w:tmpl w:val="BA6003D8"/>
    <w:lvl w:ilvl="0" w:tentative="0">
      <w:start w:val="1"/>
      <w:numFmt w:val="decimal"/>
      <w:lvlText w:val="(%1)"/>
      <w:lvlJc w:val="left"/>
      <w:pPr>
        <w:ind w:left="425" w:hanging="425"/>
      </w:pPr>
      <w:rPr>
        <w:rFonts w:hint="default"/>
      </w:rPr>
    </w:lvl>
  </w:abstractNum>
  <w:abstractNum w:abstractNumId="14">
    <w:nsid w:val="BCE8B4F0"/>
    <w:multiLevelType w:val="singleLevel"/>
    <w:tmpl w:val="BCE8B4F0"/>
    <w:lvl w:ilvl="0" w:tentative="0">
      <w:start w:val="1"/>
      <w:numFmt w:val="bullet"/>
      <w:lvlText w:val=""/>
      <w:lvlJc w:val="left"/>
      <w:pPr>
        <w:ind w:left="420" w:hanging="420"/>
      </w:pPr>
      <w:rPr>
        <w:rFonts w:hint="default" w:ascii="Wingdings" w:hAnsi="Wingdings"/>
      </w:rPr>
    </w:lvl>
  </w:abstractNum>
  <w:abstractNum w:abstractNumId="15">
    <w:nsid w:val="BE0B9068"/>
    <w:multiLevelType w:val="singleLevel"/>
    <w:tmpl w:val="BE0B9068"/>
    <w:lvl w:ilvl="0" w:tentative="0">
      <w:start w:val="1"/>
      <w:numFmt w:val="decimal"/>
      <w:lvlText w:val="(%1)"/>
      <w:lvlJc w:val="left"/>
      <w:pPr>
        <w:ind w:left="425" w:hanging="425"/>
      </w:pPr>
      <w:rPr>
        <w:rFonts w:hint="default"/>
      </w:rPr>
    </w:lvl>
  </w:abstractNum>
  <w:abstractNum w:abstractNumId="16">
    <w:nsid w:val="BE24E146"/>
    <w:multiLevelType w:val="singleLevel"/>
    <w:tmpl w:val="BE24E146"/>
    <w:lvl w:ilvl="0" w:tentative="0">
      <w:start w:val="1"/>
      <w:numFmt w:val="decimal"/>
      <w:lvlText w:val="(%1)"/>
      <w:lvlJc w:val="left"/>
      <w:pPr>
        <w:ind w:left="425" w:hanging="425"/>
      </w:pPr>
      <w:rPr>
        <w:rFonts w:hint="default"/>
      </w:rPr>
    </w:lvl>
  </w:abstractNum>
  <w:abstractNum w:abstractNumId="17">
    <w:nsid w:val="BE7E8F2F"/>
    <w:multiLevelType w:val="singleLevel"/>
    <w:tmpl w:val="BE7E8F2F"/>
    <w:lvl w:ilvl="0" w:tentative="0">
      <w:start w:val="1"/>
      <w:numFmt w:val="decimal"/>
      <w:lvlText w:val="(%1)"/>
      <w:lvlJc w:val="left"/>
      <w:pPr>
        <w:ind w:left="425" w:hanging="425"/>
      </w:pPr>
      <w:rPr>
        <w:rFonts w:hint="default"/>
      </w:rPr>
    </w:lvl>
  </w:abstractNum>
  <w:abstractNum w:abstractNumId="18">
    <w:nsid w:val="C49CD3DA"/>
    <w:multiLevelType w:val="singleLevel"/>
    <w:tmpl w:val="C49CD3DA"/>
    <w:lvl w:ilvl="0" w:tentative="0">
      <w:start w:val="1"/>
      <w:numFmt w:val="decimal"/>
      <w:lvlText w:val="(%1)"/>
      <w:lvlJc w:val="left"/>
      <w:pPr>
        <w:ind w:left="425" w:hanging="425"/>
      </w:pPr>
      <w:rPr>
        <w:rFonts w:hint="default"/>
      </w:rPr>
    </w:lvl>
  </w:abstractNum>
  <w:abstractNum w:abstractNumId="19">
    <w:nsid w:val="CADF6A2C"/>
    <w:multiLevelType w:val="singleLevel"/>
    <w:tmpl w:val="CADF6A2C"/>
    <w:lvl w:ilvl="0" w:tentative="0">
      <w:start w:val="1"/>
      <w:numFmt w:val="decimal"/>
      <w:lvlText w:val="(%1)"/>
      <w:lvlJc w:val="left"/>
      <w:pPr>
        <w:ind w:left="425" w:hanging="425"/>
      </w:pPr>
      <w:rPr>
        <w:rFonts w:hint="default"/>
      </w:rPr>
    </w:lvl>
  </w:abstractNum>
  <w:abstractNum w:abstractNumId="20">
    <w:nsid w:val="CDD16EE0"/>
    <w:multiLevelType w:val="singleLevel"/>
    <w:tmpl w:val="CDD16EE0"/>
    <w:lvl w:ilvl="0" w:tentative="0">
      <w:start w:val="1"/>
      <w:numFmt w:val="bullet"/>
      <w:lvlText w:val=""/>
      <w:lvlJc w:val="left"/>
      <w:pPr>
        <w:ind w:left="420" w:hanging="420"/>
      </w:pPr>
      <w:rPr>
        <w:rFonts w:hint="default" w:ascii="Wingdings" w:hAnsi="Wingdings"/>
      </w:rPr>
    </w:lvl>
  </w:abstractNum>
  <w:abstractNum w:abstractNumId="21">
    <w:nsid w:val="CF97BA46"/>
    <w:multiLevelType w:val="singleLevel"/>
    <w:tmpl w:val="CF97BA46"/>
    <w:lvl w:ilvl="0" w:tentative="0">
      <w:start w:val="1"/>
      <w:numFmt w:val="decimal"/>
      <w:lvlText w:val="(%1)"/>
      <w:lvlJc w:val="left"/>
      <w:pPr>
        <w:ind w:left="425" w:hanging="425"/>
      </w:pPr>
      <w:rPr>
        <w:rFonts w:hint="default"/>
      </w:rPr>
    </w:lvl>
  </w:abstractNum>
  <w:abstractNum w:abstractNumId="22">
    <w:nsid w:val="CFDEBD8C"/>
    <w:multiLevelType w:val="singleLevel"/>
    <w:tmpl w:val="CFDEBD8C"/>
    <w:lvl w:ilvl="0" w:tentative="0">
      <w:start w:val="1"/>
      <w:numFmt w:val="decimal"/>
      <w:lvlText w:val="(%1)"/>
      <w:lvlJc w:val="left"/>
      <w:pPr>
        <w:ind w:left="425" w:hanging="425"/>
      </w:pPr>
      <w:rPr>
        <w:rFonts w:hint="default"/>
      </w:rPr>
    </w:lvl>
  </w:abstractNum>
  <w:abstractNum w:abstractNumId="23">
    <w:nsid w:val="D19215E5"/>
    <w:multiLevelType w:val="singleLevel"/>
    <w:tmpl w:val="D19215E5"/>
    <w:lvl w:ilvl="0" w:tentative="0">
      <w:start w:val="1"/>
      <w:numFmt w:val="bullet"/>
      <w:lvlText w:val=""/>
      <w:lvlJc w:val="left"/>
      <w:pPr>
        <w:ind w:left="420" w:hanging="420"/>
      </w:pPr>
      <w:rPr>
        <w:rFonts w:hint="default" w:ascii="Wingdings" w:hAnsi="Wingdings"/>
      </w:rPr>
    </w:lvl>
  </w:abstractNum>
  <w:abstractNum w:abstractNumId="24">
    <w:nsid w:val="D8155212"/>
    <w:multiLevelType w:val="singleLevel"/>
    <w:tmpl w:val="D8155212"/>
    <w:lvl w:ilvl="0" w:tentative="0">
      <w:start w:val="2"/>
      <w:numFmt w:val="decimal"/>
      <w:suff w:val="nothing"/>
      <w:lvlText w:val="%1、"/>
      <w:lvlJc w:val="left"/>
    </w:lvl>
  </w:abstractNum>
  <w:abstractNum w:abstractNumId="25">
    <w:nsid w:val="DAFAFEAA"/>
    <w:multiLevelType w:val="singleLevel"/>
    <w:tmpl w:val="DAFAFEAA"/>
    <w:lvl w:ilvl="0" w:tentative="0">
      <w:start w:val="1"/>
      <w:numFmt w:val="decimal"/>
      <w:lvlText w:val="(%1)"/>
      <w:lvlJc w:val="left"/>
      <w:pPr>
        <w:ind w:left="425" w:hanging="425"/>
      </w:pPr>
      <w:rPr>
        <w:rFonts w:hint="default"/>
      </w:rPr>
    </w:lvl>
  </w:abstractNum>
  <w:abstractNum w:abstractNumId="26">
    <w:nsid w:val="DC75A900"/>
    <w:multiLevelType w:val="singleLevel"/>
    <w:tmpl w:val="DC75A900"/>
    <w:lvl w:ilvl="0" w:tentative="0">
      <w:start w:val="1"/>
      <w:numFmt w:val="decimal"/>
      <w:lvlText w:val="(%1)"/>
      <w:lvlJc w:val="left"/>
      <w:pPr>
        <w:ind w:left="425" w:hanging="425"/>
      </w:pPr>
      <w:rPr>
        <w:rFonts w:hint="default"/>
      </w:rPr>
    </w:lvl>
  </w:abstractNum>
  <w:abstractNum w:abstractNumId="27">
    <w:nsid w:val="DE6FDB27"/>
    <w:multiLevelType w:val="singleLevel"/>
    <w:tmpl w:val="DE6FDB27"/>
    <w:lvl w:ilvl="0" w:tentative="0">
      <w:start w:val="1"/>
      <w:numFmt w:val="decimal"/>
      <w:lvlText w:val="(%1)"/>
      <w:lvlJc w:val="left"/>
      <w:pPr>
        <w:ind w:left="425" w:hanging="425"/>
      </w:pPr>
      <w:rPr>
        <w:rFonts w:hint="default"/>
      </w:rPr>
    </w:lvl>
  </w:abstractNum>
  <w:abstractNum w:abstractNumId="28">
    <w:nsid w:val="DF6E0944"/>
    <w:multiLevelType w:val="singleLevel"/>
    <w:tmpl w:val="DF6E0944"/>
    <w:lvl w:ilvl="0" w:tentative="0">
      <w:start w:val="1"/>
      <w:numFmt w:val="decimal"/>
      <w:lvlText w:val="(%1)"/>
      <w:lvlJc w:val="left"/>
      <w:pPr>
        <w:ind w:left="425" w:hanging="425"/>
      </w:pPr>
      <w:rPr>
        <w:rFonts w:hint="default"/>
      </w:rPr>
    </w:lvl>
  </w:abstractNum>
  <w:abstractNum w:abstractNumId="29">
    <w:nsid w:val="DFFF457F"/>
    <w:multiLevelType w:val="singleLevel"/>
    <w:tmpl w:val="DFFF457F"/>
    <w:lvl w:ilvl="0" w:tentative="0">
      <w:start w:val="1"/>
      <w:numFmt w:val="decimal"/>
      <w:lvlText w:val="(%1)"/>
      <w:lvlJc w:val="left"/>
      <w:pPr>
        <w:ind w:left="425" w:hanging="425"/>
      </w:pPr>
      <w:rPr>
        <w:rFonts w:hint="default"/>
      </w:rPr>
    </w:lvl>
  </w:abstractNum>
  <w:abstractNum w:abstractNumId="30">
    <w:nsid w:val="E36814C4"/>
    <w:multiLevelType w:val="singleLevel"/>
    <w:tmpl w:val="E36814C4"/>
    <w:lvl w:ilvl="0" w:tentative="0">
      <w:start w:val="1"/>
      <w:numFmt w:val="decimal"/>
      <w:suff w:val="nothing"/>
      <w:lvlText w:val="%1、"/>
      <w:lvlJc w:val="left"/>
    </w:lvl>
  </w:abstractNum>
  <w:abstractNum w:abstractNumId="31">
    <w:nsid w:val="E8AD16B4"/>
    <w:multiLevelType w:val="singleLevel"/>
    <w:tmpl w:val="E8AD16B4"/>
    <w:lvl w:ilvl="0" w:tentative="0">
      <w:start w:val="1"/>
      <w:numFmt w:val="decimal"/>
      <w:suff w:val="nothing"/>
      <w:lvlText w:val="%1．"/>
      <w:lvlJc w:val="left"/>
      <w:pPr>
        <w:ind w:left="0" w:firstLine="400"/>
      </w:pPr>
      <w:rPr>
        <w:rFonts w:hint="default"/>
      </w:rPr>
    </w:lvl>
  </w:abstractNum>
  <w:abstractNum w:abstractNumId="32">
    <w:nsid w:val="E8E0A593"/>
    <w:multiLevelType w:val="singleLevel"/>
    <w:tmpl w:val="E8E0A593"/>
    <w:lvl w:ilvl="0" w:tentative="0">
      <w:start w:val="1"/>
      <w:numFmt w:val="decimal"/>
      <w:lvlText w:val="(%1)"/>
      <w:lvlJc w:val="left"/>
      <w:pPr>
        <w:ind w:left="425" w:hanging="425"/>
      </w:pPr>
      <w:rPr>
        <w:rFonts w:hint="default"/>
      </w:rPr>
    </w:lvl>
  </w:abstractNum>
  <w:abstractNum w:abstractNumId="33">
    <w:nsid w:val="E9D7D6EF"/>
    <w:multiLevelType w:val="singleLevel"/>
    <w:tmpl w:val="E9D7D6EF"/>
    <w:lvl w:ilvl="0" w:tentative="0">
      <w:start w:val="1"/>
      <w:numFmt w:val="decimal"/>
      <w:lvlText w:val="(%1)"/>
      <w:lvlJc w:val="left"/>
      <w:pPr>
        <w:ind w:left="425" w:hanging="425"/>
      </w:pPr>
      <w:rPr>
        <w:rFonts w:hint="default"/>
      </w:rPr>
    </w:lvl>
  </w:abstractNum>
  <w:abstractNum w:abstractNumId="34">
    <w:nsid w:val="EA2834AF"/>
    <w:multiLevelType w:val="singleLevel"/>
    <w:tmpl w:val="EA2834AF"/>
    <w:lvl w:ilvl="0" w:tentative="0">
      <w:start w:val="1"/>
      <w:numFmt w:val="bullet"/>
      <w:lvlText w:val=""/>
      <w:lvlJc w:val="left"/>
      <w:pPr>
        <w:ind w:left="420" w:hanging="420"/>
      </w:pPr>
      <w:rPr>
        <w:rFonts w:hint="default" w:ascii="Wingdings" w:hAnsi="Wingdings"/>
      </w:rPr>
    </w:lvl>
  </w:abstractNum>
  <w:abstractNum w:abstractNumId="35">
    <w:nsid w:val="EBF72760"/>
    <w:multiLevelType w:val="singleLevel"/>
    <w:tmpl w:val="EBF72760"/>
    <w:lvl w:ilvl="0" w:tentative="0">
      <w:start w:val="1"/>
      <w:numFmt w:val="decimal"/>
      <w:lvlText w:val="(%1)"/>
      <w:lvlJc w:val="left"/>
      <w:pPr>
        <w:ind w:left="425" w:hanging="425"/>
      </w:pPr>
      <w:rPr>
        <w:rFonts w:hint="default"/>
      </w:rPr>
    </w:lvl>
  </w:abstractNum>
  <w:abstractNum w:abstractNumId="36">
    <w:nsid w:val="ECA42AC5"/>
    <w:multiLevelType w:val="singleLevel"/>
    <w:tmpl w:val="ECA42AC5"/>
    <w:lvl w:ilvl="0" w:tentative="0">
      <w:start w:val="1"/>
      <w:numFmt w:val="chineseCounting"/>
      <w:suff w:val="nothing"/>
      <w:lvlText w:val="（%1）"/>
      <w:lvlJc w:val="left"/>
      <w:pPr>
        <w:ind w:left="0" w:firstLine="420"/>
      </w:pPr>
      <w:rPr>
        <w:rFonts w:hint="eastAsia"/>
      </w:rPr>
    </w:lvl>
  </w:abstractNum>
  <w:abstractNum w:abstractNumId="37">
    <w:nsid w:val="ED7344AB"/>
    <w:multiLevelType w:val="singleLevel"/>
    <w:tmpl w:val="ED7344AB"/>
    <w:lvl w:ilvl="0" w:tentative="0">
      <w:start w:val="1"/>
      <w:numFmt w:val="decimal"/>
      <w:suff w:val="nothing"/>
      <w:lvlText w:val="%1、"/>
      <w:lvlJc w:val="left"/>
    </w:lvl>
  </w:abstractNum>
  <w:abstractNum w:abstractNumId="38">
    <w:nsid w:val="EEF19CC5"/>
    <w:multiLevelType w:val="singleLevel"/>
    <w:tmpl w:val="EEF19CC5"/>
    <w:lvl w:ilvl="0" w:tentative="0">
      <w:start w:val="1"/>
      <w:numFmt w:val="decimal"/>
      <w:lvlText w:val="(%1)"/>
      <w:lvlJc w:val="left"/>
      <w:pPr>
        <w:ind w:left="425" w:hanging="425"/>
      </w:pPr>
      <w:rPr>
        <w:rFonts w:hint="default"/>
      </w:rPr>
    </w:lvl>
  </w:abstractNum>
  <w:abstractNum w:abstractNumId="39">
    <w:nsid w:val="EF7F600D"/>
    <w:multiLevelType w:val="singleLevel"/>
    <w:tmpl w:val="EF7F600D"/>
    <w:lvl w:ilvl="0" w:tentative="0">
      <w:start w:val="1"/>
      <w:numFmt w:val="decimal"/>
      <w:lvlText w:val="(%1)"/>
      <w:lvlJc w:val="left"/>
      <w:pPr>
        <w:ind w:left="425" w:hanging="425"/>
      </w:pPr>
      <w:rPr>
        <w:rFonts w:hint="default"/>
      </w:rPr>
    </w:lvl>
  </w:abstractNum>
  <w:abstractNum w:abstractNumId="40">
    <w:nsid w:val="EFFEEAA1"/>
    <w:multiLevelType w:val="singleLevel"/>
    <w:tmpl w:val="EFFEEAA1"/>
    <w:lvl w:ilvl="0" w:tentative="0">
      <w:start w:val="1"/>
      <w:numFmt w:val="decimal"/>
      <w:lvlText w:val="(%1)"/>
      <w:lvlJc w:val="left"/>
      <w:pPr>
        <w:ind w:left="425" w:hanging="425"/>
      </w:pPr>
      <w:rPr>
        <w:rFonts w:hint="default"/>
      </w:rPr>
    </w:lvl>
  </w:abstractNum>
  <w:abstractNum w:abstractNumId="41">
    <w:nsid w:val="F37FD681"/>
    <w:multiLevelType w:val="singleLevel"/>
    <w:tmpl w:val="F37FD681"/>
    <w:lvl w:ilvl="0" w:tentative="0">
      <w:start w:val="1"/>
      <w:numFmt w:val="decimal"/>
      <w:lvlText w:val="(%1)"/>
      <w:lvlJc w:val="left"/>
      <w:pPr>
        <w:ind w:left="425" w:hanging="425"/>
      </w:pPr>
      <w:rPr>
        <w:rFonts w:hint="default"/>
      </w:rPr>
    </w:lvl>
  </w:abstractNum>
  <w:abstractNum w:abstractNumId="42">
    <w:nsid w:val="F41DD04B"/>
    <w:multiLevelType w:val="singleLevel"/>
    <w:tmpl w:val="F41DD04B"/>
    <w:lvl w:ilvl="0" w:tentative="0">
      <w:start w:val="1"/>
      <w:numFmt w:val="decimal"/>
      <w:lvlText w:val="(%1)"/>
      <w:lvlJc w:val="left"/>
      <w:pPr>
        <w:ind w:left="425" w:hanging="425"/>
      </w:pPr>
      <w:rPr>
        <w:rFonts w:hint="default"/>
      </w:rPr>
    </w:lvl>
  </w:abstractNum>
  <w:abstractNum w:abstractNumId="43">
    <w:nsid w:val="F4FA7E5F"/>
    <w:multiLevelType w:val="singleLevel"/>
    <w:tmpl w:val="F4FA7E5F"/>
    <w:lvl w:ilvl="0" w:tentative="0">
      <w:start w:val="1"/>
      <w:numFmt w:val="decimal"/>
      <w:lvlText w:val="(%1)"/>
      <w:lvlJc w:val="left"/>
      <w:pPr>
        <w:ind w:left="425" w:hanging="425"/>
      </w:pPr>
      <w:rPr>
        <w:rFonts w:hint="default"/>
      </w:rPr>
    </w:lvl>
  </w:abstractNum>
  <w:abstractNum w:abstractNumId="44">
    <w:nsid w:val="F675E806"/>
    <w:multiLevelType w:val="singleLevel"/>
    <w:tmpl w:val="F675E806"/>
    <w:lvl w:ilvl="0" w:tentative="0">
      <w:start w:val="1"/>
      <w:numFmt w:val="decimal"/>
      <w:lvlText w:val="(%1)"/>
      <w:lvlJc w:val="left"/>
      <w:pPr>
        <w:ind w:left="425" w:hanging="425"/>
      </w:pPr>
      <w:rPr>
        <w:rFonts w:hint="default"/>
      </w:rPr>
    </w:lvl>
  </w:abstractNum>
  <w:abstractNum w:abstractNumId="45">
    <w:nsid w:val="F716D4A2"/>
    <w:multiLevelType w:val="singleLevel"/>
    <w:tmpl w:val="F716D4A2"/>
    <w:lvl w:ilvl="0" w:tentative="0">
      <w:start w:val="1"/>
      <w:numFmt w:val="decimal"/>
      <w:lvlText w:val="(%1)"/>
      <w:lvlJc w:val="left"/>
      <w:pPr>
        <w:ind w:left="425" w:hanging="425"/>
      </w:pPr>
      <w:rPr>
        <w:rFonts w:hint="default"/>
      </w:rPr>
    </w:lvl>
  </w:abstractNum>
  <w:abstractNum w:abstractNumId="46">
    <w:nsid w:val="F7ABCD4E"/>
    <w:multiLevelType w:val="singleLevel"/>
    <w:tmpl w:val="F7ABCD4E"/>
    <w:lvl w:ilvl="0" w:tentative="0">
      <w:start w:val="1"/>
      <w:numFmt w:val="decimal"/>
      <w:suff w:val="nothing"/>
      <w:lvlText w:val="%1）"/>
      <w:lvlJc w:val="left"/>
    </w:lvl>
  </w:abstractNum>
  <w:abstractNum w:abstractNumId="47">
    <w:nsid w:val="F9B8837A"/>
    <w:multiLevelType w:val="singleLevel"/>
    <w:tmpl w:val="F9B8837A"/>
    <w:lvl w:ilvl="0" w:tentative="0">
      <w:start w:val="1"/>
      <w:numFmt w:val="bullet"/>
      <w:lvlText w:val=""/>
      <w:lvlJc w:val="left"/>
      <w:pPr>
        <w:ind w:left="420" w:hanging="420"/>
      </w:pPr>
      <w:rPr>
        <w:rFonts w:hint="default" w:ascii="Wingdings" w:hAnsi="Wingdings"/>
      </w:rPr>
    </w:lvl>
  </w:abstractNum>
  <w:abstractNum w:abstractNumId="48">
    <w:nsid w:val="FA17F125"/>
    <w:multiLevelType w:val="singleLevel"/>
    <w:tmpl w:val="FA17F125"/>
    <w:lvl w:ilvl="0" w:tentative="0">
      <w:start w:val="1"/>
      <w:numFmt w:val="decimal"/>
      <w:lvlText w:val="(%1)"/>
      <w:lvlJc w:val="left"/>
      <w:pPr>
        <w:ind w:left="425" w:hanging="425"/>
      </w:pPr>
      <w:rPr>
        <w:rFonts w:hint="default"/>
      </w:rPr>
    </w:lvl>
  </w:abstractNum>
  <w:abstractNum w:abstractNumId="49">
    <w:nsid w:val="FBED1722"/>
    <w:multiLevelType w:val="singleLevel"/>
    <w:tmpl w:val="FBED1722"/>
    <w:lvl w:ilvl="0" w:tentative="0">
      <w:start w:val="1"/>
      <w:numFmt w:val="decimal"/>
      <w:lvlText w:val="(%1)"/>
      <w:lvlJc w:val="left"/>
      <w:pPr>
        <w:ind w:left="425" w:hanging="425"/>
      </w:pPr>
      <w:rPr>
        <w:rFonts w:hint="default"/>
      </w:rPr>
    </w:lvl>
  </w:abstractNum>
  <w:abstractNum w:abstractNumId="50">
    <w:nsid w:val="FCAA7140"/>
    <w:multiLevelType w:val="singleLevel"/>
    <w:tmpl w:val="FCAA7140"/>
    <w:lvl w:ilvl="0" w:tentative="0">
      <w:start w:val="1"/>
      <w:numFmt w:val="decimal"/>
      <w:lvlText w:val="(%1)"/>
      <w:lvlJc w:val="left"/>
      <w:pPr>
        <w:ind w:left="425" w:hanging="425"/>
      </w:pPr>
      <w:rPr>
        <w:rFonts w:hint="default"/>
      </w:rPr>
    </w:lvl>
  </w:abstractNum>
  <w:abstractNum w:abstractNumId="51">
    <w:nsid w:val="FDDEBE1E"/>
    <w:multiLevelType w:val="singleLevel"/>
    <w:tmpl w:val="FDDEBE1E"/>
    <w:lvl w:ilvl="0" w:tentative="0">
      <w:start w:val="1"/>
      <w:numFmt w:val="decimal"/>
      <w:lvlText w:val="(%1)"/>
      <w:lvlJc w:val="left"/>
      <w:pPr>
        <w:ind w:left="425" w:hanging="425"/>
      </w:pPr>
      <w:rPr>
        <w:rFonts w:hint="default"/>
      </w:rPr>
    </w:lvl>
  </w:abstractNum>
  <w:abstractNum w:abstractNumId="52">
    <w:nsid w:val="FFA06150"/>
    <w:multiLevelType w:val="singleLevel"/>
    <w:tmpl w:val="FFA06150"/>
    <w:lvl w:ilvl="0" w:tentative="0">
      <w:start w:val="1"/>
      <w:numFmt w:val="decimal"/>
      <w:lvlText w:val="(%1)"/>
      <w:lvlJc w:val="left"/>
      <w:pPr>
        <w:ind w:left="425" w:hanging="425"/>
      </w:pPr>
      <w:rPr>
        <w:rFonts w:hint="default"/>
      </w:rPr>
    </w:lvl>
  </w:abstractNum>
  <w:abstractNum w:abstractNumId="53">
    <w:nsid w:val="FFA7C413"/>
    <w:multiLevelType w:val="singleLevel"/>
    <w:tmpl w:val="FFA7C413"/>
    <w:lvl w:ilvl="0" w:tentative="0">
      <w:start w:val="1"/>
      <w:numFmt w:val="decimal"/>
      <w:lvlText w:val="(%1)"/>
      <w:lvlJc w:val="left"/>
      <w:pPr>
        <w:ind w:left="425" w:hanging="425"/>
      </w:pPr>
      <w:rPr>
        <w:rFonts w:hint="default"/>
      </w:rPr>
    </w:lvl>
  </w:abstractNum>
  <w:abstractNum w:abstractNumId="54">
    <w:nsid w:val="FFDF57A3"/>
    <w:multiLevelType w:val="singleLevel"/>
    <w:tmpl w:val="FFDF57A3"/>
    <w:lvl w:ilvl="0" w:tentative="0">
      <w:start w:val="1"/>
      <w:numFmt w:val="decimal"/>
      <w:lvlText w:val="(%1)"/>
      <w:lvlJc w:val="left"/>
      <w:pPr>
        <w:ind w:left="425" w:hanging="425"/>
      </w:pPr>
      <w:rPr>
        <w:rFonts w:hint="default"/>
      </w:rPr>
    </w:lvl>
  </w:abstractNum>
  <w:abstractNum w:abstractNumId="55">
    <w:nsid w:val="FFECE0E4"/>
    <w:multiLevelType w:val="singleLevel"/>
    <w:tmpl w:val="FFECE0E4"/>
    <w:lvl w:ilvl="0" w:tentative="0">
      <w:start w:val="1"/>
      <w:numFmt w:val="decimal"/>
      <w:lvlText w:val="(%1)"/>
      <w:lvlJc w:val="left"/>
      <w:pPr>
        <w:ind w:left="425" w:hanging="425"/>
      </w:pPr>
      <w:rPr>
        <w:rFonts w:hint="default"/>
      </w:rPr>
    </w:lvl>
  </w:abstractNum>
  <w:abstractNum w:abstractNumId="56">
    <w:nsid w:val="FFEF8C89"/>
    <w:multiLevelType w:val="singleLevel"/>
    <w:tmpl w:val="FFEF8C89"/>
    <w:lvl w:ilvl="0" w:tentative="0">
      <w:start w:val="1"/>
      <w:numFmt w:val="decimal"/>
      <w:lvlText w:val="(%1)"/>
      <w:lvlJc w:val="left"/>
      <w:pPr>
        <w:ind w:left="425" w:hanging="425"/>
      </w:pPr>
      <w:rPr>
        <w:rFonts w:hint="default"/>
      </w:rPr>
    </w:lvl>
  </w:abstractNum>
  <w:abstractNum w:abstractNumId="57">
    <w:nsid w:val="FFFFFF7C"/>
    <w:multiLevelType w:val="singleLevel"/>
    <w:tmpl w:val="FFFFFF7C"/>
    <w:lvl w:ilvl="0" w:tentative="0">
      <w:start w:val="1"/>
      <w:numFmt w:val="decimal"/>
      <w:pStyle w:val="167"/>
      <w:lvlText w:val="%1."/>
      <w:lvlJc w:val="left"/>
      <w:pPr>
        <w:tabs>
          <w:tab w:val="left" w:pos="2040"/>
        </w:tabs>
        <w:ind w:left="2040" w:hanging="360"/>
      </w:pPr>
    </w:lvl>
  </w:abstractNum>
  <w:abstractNum w:abstractNumId="58">
    <w:nsid w:val="00000034"/>
    <w:multiLevelType w:val="multilevel"/>
    <w:tmpl w:val="00000034"/>
    <w:lvl w:ilvl="0" w:tentative="0">
      <w:start w:val="1"/>
      <w:numFmt w:val="japaneseCounting"/>
      <w:pStyle w:val="270"/>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9">
    <w:nsid w:val="0053208E"/>
    <w:multiLevelType w:val="multilevel"/>
    <w:tmpl w:val="0053208E"/>
    <w:lvl w:ilvl="0" w:tentative="0">
      <w:start w:val="1"/>
      <w:numFmt w:val="decimal"/>
      <w:pStyle w:val="2"/>
      <w:lvlText w:val="%1"/>
      <w:lvlJc w:val="left"/>
      <w:pPr>
        <w:ind w:left="0" w:hanging="336"/>
      </w:pPr>
    </w:lvl>
    <w:lvl w:ilvl="1" w:tentative="0">
      <w:start w:val="1"/>
      <w:numFmt w:val="decimal"/>
      <w:pStyle w:val="3"/>
      <w:lvlText w:val="%1.%2"/>
      <w:lvlJc w:val="left"/>
      <w:pPr>
        <w:ind w:left="0" w:hanging="336"/>
      </w:pPr>
    </w:lvl>
    <w:lvl w:ilvl="2" w:tentative="0">
      <w:start w:val="1"/>
      <w:numFmt w:val="decimal"/>
      <w:pStyle w:val="4"/>
      <w:lvlText w:val="%1.%2.%3"/>
      <w:lvlJc w:val="left"/>
      <w:pPr>
        <w:ind w:left="0" w:hanging="336"/>
      </w:pPr>
    </w:lvl>
    <w:lvl w:ilvl="3" w:tentative="0">
      <w:start w:val="1"/>
      <w:numFmt w:val="decimal"/>
      <w:lvlText w:val="%1.%2.%3.%4"/>
      <w:lvlJc w:val="left"/>
      <w:pPr>
        <w:ind w:left="0" w:hanging="336"/>
      </w:pPr>
    </w:lvl>
    <w:lvl w:ilvl="4" w:tentative="0">
      <w:start w:val="1"/>
      <w:numFmt w:val="decimal"/>
      <w:lvlText w:val="%1.%2.%3.%4.%5"/>
      <w:lvlJc w:val="left"/>
      <w:pPr>
        <w:ind w:left="0" w:hanging="336"/>
      </w:pPr>
    </w:lvl>
    <w:lvl w:ilvl="5" w:tentative="0">
      <w:start w:val="1"/>
      <w:numFmt w:val="decimal"/>
      <w:lvlText w:val="%1.%2.%3.%4.%5.%6"/>
      <w:lvlJc w:val="left"/>
      <w:pPr>
        <w:ind w:left="0" w:hanging="336"/>
      </w:pPr>
    </w:lvl>
    <w:lvl w:ilvl="6" w:tentative="0">
      <w:start w:val="1"/>
      <w:numFmt w:val="decimal"/>
      <w:lvlText w:val="%1.%2.%3.%4.%5.%6.%7"/>
      <w:lvlJc w:val="left"/>
      <w:pPr>
        <w:ind w:left="0" w:hanging="336"/>
      </w:pPr>
    </w:lvl>
    <w:lvl w:ilvl="7" w:tentative="0">
      <w:start w:val="1"/>
      <w:numFmt w:val="decimal"/>
      <w:lvlText w:val="%1.%2.%3.%4.%5.%6.%7.%8"/>
      <w:lvlJc w:val="left"/>
      <w:pPr>
        <w:ind w:left="0" w:hanging="336"/>
      </w:pPr>
    </w:lvl>
    <w:lvl w:ilvl="8" w:tentative="0">
      <w:start w:val="1"/>
      <w:numFmt w:val="decimal"/>
      <w:lvlText w:val="%1.%2.%3.%4.%5.%6.%7.%8.%9"/>
      <w:lvlJc w:val="left"/>
      <w:pPr>
        <w:ind w:left="0" w:hanging="336"/>
      </w:pPr>
    </w:lvl>
  </w:abstractNum>
  <w:abstractNum w:abstractNumId="60">
    <w:nsid w:val="082B418D"/>
    <w:multiLevelType w:val="singleLevel"/>
    <w:tmpl w:val="082B418D"/>
    <w:lvl w:ilvl="0" w:tentative="0">
      <w:start w:val="1"/>
      <w:numFmt w:val="decimal"/>
      <w:lvlText w:val="(%1)"/>
      <w:lvlJc w:val="left"/>
      <w:pPr>
        <w:ind w:left="425" w:hanging="425"/>
      </w:pPr>
      <w:rPr>
        <w:rFonts w:hint="default"/>
      </w:rPr>
    </w:lvl>
  </w:abstractNum>
  <w:abstractNum w:abstractNumId="61">
    <w:nsid w:val="0B496BE8"/>
    <w:multiLevelType w:val="singleLevel"/>
    <w:tmpl w:val="0B496BE8"/>
    <w:lvl w:ilvl="0" w:tentative="0">
      <w:start w:val="1"/>
      <w:numFmt w:val="decimal"/>
      <w:lvlText w:val="(%1)"/>
      <w:lvlJc w:val="left"/>
      <w:pPr>
        <w:ind w:left="425" w:hanging="425"/>
      </w:pPr>
      <w:rPr>
        <w:rFonts w:hint="default"/>
      </w:rPr>
    </w:lvl>
  </w:abstractNum>
  <w:abstractNum w:abstractNumId="62">
    <w:nsid w:val="0BA80619"/>
    <w:multiLevelType w:val="singleLevel"/>
    <w:tmpl w:val="0BA80619"/>
    <w:lvl w:ilvl="0" w:tentative="0">
      <w:start w:val="1"/>
      <w:numFmt w:val="decimal"/>
      <w:lvlText w:val="(%1)"/>
      <w:lvlJc w:val="left"/>
      <w:pPr>
        <w:ind w:left="425" w:hanging="425"/>
      </w:pPr>
      <w:rPr>
        <w:rFonts w:hint="default"/>
      </w:rPr>
    </w:lvl>
  </w:abstractNum>
  <w:abstractNum w:abstractNumId="63">
    <w:nsid w:val="12503483"/>
    <w:multiLevelType w:val="multilevel"/>
    <w:tmpl w:val="12503483"/>
    <w:lvl w:ilvl="0" w:tentative="0">
      <w:start w:val="1"/>
      <w:numFmt w:val="bullet"/>
      <w:pStyle w:val="181"/>
      <w:lvlText w:val=""/>
      <w:lvlJc w:val="left"/>
      <w:pPr>
        <w:tabs>
          <w:tab w:val="left" w:pos="420"/>
        </w:tabs>
        <w:ind w:left="420" w:hanging="420"/>
      </w:pPr>
      <w:rPr>
        <w:rFonts w:hint="default" w:ascii="Wingdings" w:hAnsi="Wingdings"/>
      </w:rPr>
    </w:lvl>
    <w:lvl w:ilvl="1" w:tentative="0">
      <w:start w:val="1"/>
      <w:numFmt w:val="bullet"/>
      <w:pStyle w:val="124"/>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64">
    <w:nsid w:val="160D20D0"/>
    <w:multiLevelType w:val="multilevel"/>
    <w:tmpl w:val="160D20D0"/>
    <w:lvl w:ilvl="0" w:tentative="0">
      <w:start w:val="1"/>
      <w:numFmt w:val="bullet"/>
      <w:pStyle w:val="212"/>
      <w:lvlText w:val=""/>
      <w:lvlJc w:val="left"/>
      <w:pPr>
        <w:tabs>
          <w:tab w:val="left" w:pos="840"/>
        </w:tabs>
        <w:ind w:left="840" w:hanging="420"/>
      </w:pPr>
      <w:rPr>
        <w:rFonts w:hint="default" w:ascii="Wingdings" w:hAnsi="Wingdings"/>
      </w:rPr>
    </w:lvl>
    <w:lvl w:ilvl="1" w:tentative="0">
      <w:start w:val="1"/>
      <w:numFmt w:val="bullet"/>
      <w:pStyle w:val="177"/>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65">
    <w:nsid w:val="19BA1CBA"/>
    <w:multiLevelType w:val="singleLevel"/>
    <w:tmpl w:val="19BA1CBA"/>
    <w:lvl w:ilvl="0" w:tentative="0">
      <w:start w:val="1"/>
      <w:numFmt w:val="decimal"/>
      <w:lvlText w:val="(%1)"/>
      <w:lvlJc w:val="left"/>
      <w:pPr>
        <w:ind w:left="425" w:hanging="425"/>
      </w:pPr>
      <w:rPr>
        <w:rFonts w:hint="default"/>
      </w:rPr>
    </w:lvl>
  </w:abstractNum>
  <w:abstractNum w:abstractNumId="66">
    <w:nsid w:val="1A1E1D60"/>
    <w:multiLevelType w:val="multilevel"/>
    <w:tmpl w:val="1A1E1D60"/>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67">
    <w:nsid w:val="1BC19D46"/>
    <w:multiLevelType w:val="singleLevel"/>
    <w:tmpl w:val="1BC19D46"/>
    <w:lvl w:ilvl="0" w:tentative="0">
      <w:start w:val="2"/>
      <w:numFmt w:val="decimal"/>
      <w:suff w:val="nothing"/>
      <w:lvlText w:val="%1、"/>
      <w:lvlJc w:val="left"/>
    </w:lvl>
  </w:abstractNum>
  <w:abstractNum w:abstractNumId="68">
    <w:nsid w:val="1BDDD504"/>
    <w:multiLevelType w:val="singleLevel"/>
    <w:tmpl w:val="1BDDD504"/>
    <w:lvl w:ilvl="0" w:tentative="0">
      <w:start w:val="1"/>
      <w:numFmt w:val="decimal"/>
      <w:lvlText w:val="(%1)"/>
      <w:lvlJc w:val="left"/>
      <w:pPr>
        <w:ind w:left="425" w:hanging="425"/>
      </w:pPr>
      <w:rPr>
        <w:rFonts w:hint="default"/>
      </w:rPr>
    </w:lvl>
  </w:abstractNum>
  <w:abstractNum w:abstractNumId="69">
    <w:nsid w:val="1F6AC73C"/>
    <w:multiLevelType w:val="singleLevel"/>
    <w:tmpl w:val="1F6AC73C"/>
    <w:lvl w:ilvl="0" w:tentative="0">
      <w:start w:val="1"/>
      <w:numFmt w:val="decimal"/>
      <w:lvlText w:val="(%1)"/>
      <w:lvlJc w:val="left"/>
      <w:pPr>
        <w:ind w:left="425" w:hanging="425"/>
      </w:pPr>
      <w:rPr>
        <w:rFonts w:hint="default"/>
      </w:rPr>
    </w:lvl>
  </w:abstractNum>
  <w:abstractNum w:abstractNumId="70">
    <w:nsid w:val="2245305B"/>
    <w:multiLevelType w:val="singleLevel"/>
    <w:tmpl w:val="2245305B"/>
    <w:lvl w:ilvl="0" w:tentative="0">
      <w:start w:val="1"/>
      <w:numFmt w:val="decimal"/>
      <w:lvlText w:val="(%1)"/>
      <w:lvlJc w:val="left"/>
      <w:pPr>
        <w:ind w:left="425" w:hanging="425"/>
      </w:pPr>
      <w:rPr>
        <w:rFonts w:hint="default"/>
      </w:rPr>
    </w:lvl>
  </w:abstractNum>
  <w:abstractNum w:abstractNumId="71">
    <w:nsid w:val="25AC778E"/>
    <w:multiLevelType w:val="multilevel"/>
    <w:tmpl w:val="25AC778E"/>
    <w:lvl w:ilvl="0" w:tentative="0">
      <w:start w:val="1"/>
      <w:numFmt w:val="japaneseCounting"/>
      <w:lvlText w:val="%1、"/>
      <w:lvlJc w:val="left"/>
      <w:pPr>
        <w:tabs>
          <w:tab w:val="left" w:pos="420"/>
        </w:tabs>
        <w:ind w:left="420" w:hanging="420"/>
      </w:pPr>
      <w:rPr>
        <w:rFonts w:ascii="宋体" w:hAnsi="宋体" w:eastAsia="宋体" w:cs="Courier New"/>
      </w:rPr>
    </w:lvl>
    <w:lvl w:ilvl="1" w:tentative="0">
      <w:start w:val="1"/>
      <w:numFmt w:val="decimal"/>
      <w:lvlText w:val="%2、"/>
      <w:lvlJc w:val="left"/>
      <w:pPr>
        <w:tabs>
          <w:tab w:val="left" w:pos="780"/>
        </w:tabs>
        <w:ind w:left="780" w:hanging="360"/>
      </w:pPr>
      <w:rPr>
        <w:rFonts w:hint="default"/>
        <w:b w:val="0"/>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2">
    <w:nsid w:val="25B5B3C2"/>
    <w:multiLevelType w:val="singleLevel"/>
    <w:tmpl w:val="25B5B3C2"/>
    <w:lvl w:ilvl="0" w:tentative="0">
      <w:start w:val="1"/>
      <w:numFmt w:val="decimal"/>
      <w:lvlText w:val="(%1)"/>
      <w:lvlJc w:val="left"/>
      <w:pPr>
        <w:ind w:left="425" w:hanging="425"/>
      </w:pPr>
      <w:rPr>
        <w:rFonts w:hint="default"/>
      </w:rPr>
    </w:lvl>
  </w:abstractNum>
  <w:abstractNum w:abstractNumId="73">
    <w:nsid w:val="27F7B049"/>
    <w:multiLevelType w:val="singleLevel"/>
    <w:tmpl w:val="27F7B049"/>
    <w:lvl w:ilvl="0" w:tentative="0">
      <w:start w:val="1"/>
      <w:numFmt w:val="decimal"/>
      <w:lvlText w:val="(%1)"/>
      <w:lvlJc w:val="left"/>
      <w:pPr>
        <w:ind w:left="425" w:hanging="425"/>
      </w:pPr>
      <w:rPr>
        <w:rFonts w:hint="default"/>
      </w:rPr>
    </w:lvl>
  </w:abstractNum>
  <w:abstractNum w:abstractNumId="74">
    <w:nsid w:val="2A7B4951"/>
    <w:multiLevelType w:val="singleLevel"/>
    <w:tmpl w:val="2A7B4951"/>
    <w:lvl w:ilvl="0" w:tentative="0">
      <w:start w:val="1"/>
      <w:numFmt w:val="decimal"/>
      <w:lvlText w:val="(%1)"/>
      <w:lvlJc w:val="left"/>
      <w:pPr>
        <w:ind w:left="425" w:hanging="425"/>
      </w:pPr>
      <w:rPr>
        <w:rFonts w:hint="default"/>
      </w:rPr>
    </w:lvl>
  </w:abstractNum>
  <w:abstractNum w:abstractNumId="75">
    <w:nsid w:val="2D4EB309"/>
    <w:multiLevelType w:val="singleLevel"/>
    <w:tmpl w:val="2D4EB309"/>
    <w:lvl w:ilvl="0" w:tentative="0">
      <w:start w:val="1"/>
      <w:numFmt w:val="decimal"/>
      <w:suff w:val="nothing"/>
      <w:lvlText w:val="%1、"/>
      <w:lvlJc w:val="left"/>
    </w:lvl>
  </w:abstractNum>
  <w:abstractNum w:abstractNumId="76">
    <w:nsid w:val="2DEA1407"/>
    <w:multiLevelType w:val="singleLevel"/>
    <w:tmpl w:val="2DEA1407"/>
    <w:lvl w:ilvl="0" w:tentative="0">
      <w:start w:val="3"/>
      <w:numFmt w:val="decimal"/>
      <w:suff w:val="nothing"/>
      <w:lvlText w:val="%1、"/>
      <w:lvlJc w:val="left"/>
    </w:lvl>
  </w:abstractNum>
  <w:abstractNum w:abstractNumId="77">
    <w:nsid w:val="2F395B7B"/>
    <w:multiLevelType w:val="multilevel"/>
    <w:tmpl w:val="2F395B7B"/>
    <w:lvl w:ilvl="0" w:tentative="0">
      <w:start w:val="1"/>
      <w:numFmt w:val="bullet"/>
      <w:pStyle w:val="178"/>
      <w:lvlText w:val=""/>
      <w:lvlJc w:val="left"/>
      <w:pPr>
        <w:tabs>
          <w:tab w:val="left" w:pos="360"/>
        </w:tabs>
        <w:ind w:left="360" w:hanging="360"/>
      </w:pPr>
      <w:rPr>
        <w:rFonts w:hint="default" w:ascii="Symbol" w:hAnsi="Symbol"/>
      </w:rPr>
    </w:lvl>
    <w:lvl w:ilvl="1" w:tentative="0">
      <w:start w:val="1"/>
      <w:numFmt w:val="bullet"/>
      <w:lvlText w:val=""/>
      <w:lvlJc w:val="left"/>
      <w:pPr>
        <w:tabs>
          <w:tab w:val="left" w:pos="1140"/>
        </w:tabs>
        <w:ind w:left="1140" w:hanging="420"/>
      </w:pPr>
      <w:rPr>
        <w:rFonts w:hint="default" w:ascii="Wingdings" w:hAnsi="Wingdings"/>
      </w:rPr>
    </w:lvl>
    <w:lvl w:ilvl="2" w:tentative="0">
      <w:start w:val="1"/>
      <w:numFmt w:val="bullet"/>
      <w:lvlText w:val=""/>
      <w:lvlJc w:val="left"/>
      <w:pPr>
        <w:tabs>
          <w:tab w:val="left" w:pos="1800"/>
        </w:tabs>
        <w:ind w:left="1800" w:hanging="360"/>
      </w:pPr>
      <w:rPr>
        <w:rFonts w:hint="default" w:ascii="Wingdings" w:hAnsi="Wingdings"/>
      </w:rPr>
    </w:lvl>
    <w:lvl w:ilvl="3" w:tentative="0">
      <w:start w:val="1"/>
      <w:numFmt w:val="bullet"/>
      <w:lvlText w:val=""/>
      <w:lvlJc w:val="left"/>
      <w:pPr>
        <w:tabs>
          <w:tab w:val="left" w:pos="2520"/>
        </w:tabs>
        <w:ind w:left="2520" w:hanging="360"/>
      </w:pPr>
      <w:rPr>
        <w:rFonts w:hint="default" w:ascii="Symbol" w:hAnsi="Symbol"/>
      </w:rPr>
    </w:lvl>
    <w:lvl w:ilvl="4" w:tentative="0">
      <w:start w:val="1"/>
      <w:numFmt w:val="bullet"/>
      <w:lvlText w:val="o"/>
      <w:lvlJc w:val="left"/>
      <w:pPr>
        <w:tabs>
          <w:tab w:val="left" w:pos="3240"/>
        </w:tabs>
        <w:ind w:left="3240" w:hanging="360"/>
      </w:pPr>
      <w:rPr>
        <w:rFonts w:hint="default" w:ascii="Courier New" w:hAnsi="Courier New" w:cs="Courier New"/>
      </w:rPr>
    </w:lvl>
    <w:lvl w:ilvl="5" w:tentative="0">
      <w:start w:val="1"/>
      <w:numFmt w:val="bullet"/>
      <w:lvlText w:val=""/>
      <w:lvlJc w:val="left"/>
      <w:pPr>
        <w:tabs>
          <w:tab w:val="left" w:pos="3960"/>
        </w:tabs>
        <w:ind w:left="3960" w:hanging="360"/>
      </w:pPr>
      <w:rPr>
        <w:rFonts w:hint="default" w:ascii="Wingdings" w:hAnsi="Wingdings"/>
      </w:rPr>
    </w:lvl>
    <w:lvl w:ilvl="6" w:tentative="0">
      <w:start w:val="1"/>
      <w:numFmt w:val="bullet"/>
      <w:lvlText w:val=""/>
      <w:lvlJc w:val="left"/>
      <w:pPr>
        <w:tabs>
          <w:tab w:val="left" w:pos="4680"/>
        </w:tabs>
        <w:ind w:left="4680" w:hanging="360"/>
      </w:pPr>
      <w:rPr>
        <w:rFonts w:hint="default" w:ascii="Symbol" w:hAnsi="Symbol"/>
      </w:rPr>
    </w:lvl>
    <w:lvl w:ilvl="7" w:tentative="0">
      <w:start w:val="1"/>
      <w:numFmt w:val="bullet"/>
      <w:lvlText w:val="o"/>
      <w:lvlJc w:val="left"/>
      <w:pPr>
        <w:tabs>
          <w:tab w:val="left" w:pos="5400"/>
        </w:tabs>
        <w:ind w:left="5400" w:hanging="360"/>
      </w:pPr>
      <w:rPr>
        <w:rFonts w:hint="default" w:ascii="Courier New" w:hAnsi="Courier New" w:cs="Courier New"/>
      </w:rPr>
    </w:lvl>
    <w:lvl w:ilvl="8" w:tentative="0">
      <w:start w:val="1"/>
      <w:numFmt w:val="bullet"/>
      <w:lvlText w:val=""/>
      <w:lvlJc w:val="left"/>
      <w:pPr>
        <w:tabs>
          <w:tab w:val="left" w:pos="6120"/>
        </w:tabs>
        <w:ind w:left="6120" w:hanging="360"/>
      </w:pPr>
      <w:rPr>
        <w:rFonts w:hint="default" w:ascii="Wingdings" w:hAnsi="Wingdings"/>
      </w:rPr>
    </w:lvl>
  </w:abstractNum>
  <w:abstractNum w:abstractNumId="78">
    <w:nsid w:val="30F6C346"/>
    <w:multiLevelType w:val="singleLevel"/>
    <w:tmpl w:val="30F6C346"/>
    <w:lvl w:ilvl="0" w:tentative="0">
      <w:start w:val="1"/>
      <w:numFmt w:val="decimal"/>
      <w:lvlText w:val="(%1)"/>
      <w:lvlJc w:val="left"/>
      <w:pPr>
        <w:ind w:left="425" w:hanging="425"/>
      </w:pPr>
      <w:rPr>
        <w:rFonts w:hint="default"/>
      </w:rPr>
    </w:lvl>
  </w:abstractNum>
  <w:abstractNum w:abstractNumId="79">
    <w:nsid w:val="33E42DEB"/>
    <w:multiLevelType w:val="singleLevel"/>
    <w:tmpl w:val="33E42DEB"/>
    <w:lvl w:ilvl="0" w:tentative="0">
      <w:start w:val="1"/>
      <w:numFmt w:val="decimal"/>
      <w:lvlText w:val="(%1)"/>
      <w:lvlJc w:val="left"/>
      <w:pPr>
        <w:ind w:left="425" w:hanging="425"/>
      </w:pPr>
      <w:rPr>
        <w:rFonts w:hint="default"/>
      </w:rPr>
    </w:lvl>
  </w:abstractNum>
  <w:abstractNum w:abstractNumId="80">
    <w:nsid w:val="36D1B8A1"/>
    <w:multiLevelType w:val="singleLevel"/>
    <w:tmpl w:val="36D1B8A1"/>
    <w:lvl w:ilvl="0" w:tentative="0">
      <w:start w:val="1"/>
      <w:numFmt w:val="decimal"/>
      <w:lvlText w:val="(%1)"/>
      <w:lvlJc w:val="left"/>
      <w:pPr>
        <w:ind w:left="425" w:hanging="425"/>
      </w:pPr>
      <w:rPr>
        <w:rFonts w:hint="default"/>
      </w:rPr>
    </w:lvl>
  </w:abstractNum>
  <w:abstractNum w:abstractNumId="81">
    <w:nsid w:val="39F1117E"/>
    <w:multiLevelType w:val="multilevel"/>
    <w:tmpl w:val="39F1117E"/>
    <w:lvl w:ilvl="0" w:tentative="0">
      <w:start w:val="1"/>
      <w:numFmt w:val="chineseCountingThousand"/>
      <w:lvlText w:val="%1、"/>
      <w:lvlJc w:val="left"/>
      <w:pPr>
        <w:ind w:left="440" w:hanging="440"/>
      </w:pPr>
      <w:rPr>
        <w:rFonts w:hint="default"/>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82">
    <w:nsid w:val="3E593029"/>
    <w:multiLevelType w:val="multilevel"/>
    <w:tmpl w:val="3E593029"/>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480"/>
        </w:tabs>
        <w:ind w:left="480" w:hanging="420"/>
      </w:pPr>
    </w:lvl>
    <w:lvl w:ilvl="2" w:tentative="0">
      <w:start w:val="1"/>
      <w:numFmt w:val="lowerRoman"/>
      <w:pStyle w:val="125"/>
      <w:lvlText w:val="%3."/>
      <w:lvlJc w:val="right"/>
      <w:pPr>
        <w:tabs>
          <w:tab w:val="left" w:pos="900"/>
        </w:tabs>
        <w:ind w:left="900" w:hanging="420"/>
      </w:pPr>
    </w:lvl>
    <w:lvl w:ilvl="3" w:tentative="0">
      <w:start w:val="1"/>
      <w:numFmt w:val="decimal"/>
      <w:lvlText w:val="%4."/>
      <w:lvlJc w:val="left"/>
      <w:pPr>
        <w:tabs>
          <w:tab w:val="left" w:pos="1320"/>
        </w:tabs>
        <w:ind w:left="1320" w:hanging="420"/>
      </w:pPr>
    </w:lvl>
    <w:lvl w:ilvl="4" w:tentative="0">
      <w:start w:val="1"/>
      <w:numFmt w:val="lowerLetter"/>
      <w:lvlText w:val="%5)"/>
      <w:lvlJc w:val="left"/>
      <w:pPr>
        <w:tabs>
          <w:tab w:val="left" w:pos="1740"/>
        </w:tabs>
        <w:ind w:left="1740" w:hanging="420"/>
      </w:pPr>
    </w:lvl>
    <w:lvl w:ilvl="5" w:tentative="0">
      <w:start w:val="1"/>
      <w:numFmt w:val="lowerRoman"/>
      <w:lvlText w:val="%6."/>
      <w:lvlJc w:val="right"/>
      <w:pPr>
        <w:tabs>
          <w:tab w:val="left" w:pos="2160"/>
        </w:tabs>
        <w:ind w:left="2160" w:hanging="420"/>
      </w:pPr>
    </w:lvl>
    <w:lvl w:ilvl="6" w:tentative="0">
      <w:start w:val="1"/>
      <w:numFmt w:val="decimal"/>
      <w:lvlText w:val="%7."/>
      <w:lvlJc w:val="left"/>
      <w:pPr>
        <w:tabs>
          <w:tab w:val="left" w:pos="2580"/>
        </w:tabs>
        <w:ind w:left="2580" w:hanging="420"/>
      </w:pPr>
    </w:lvl>
    <w:lvl w:ilvl="7" w:tentative="0">
      <w:start w:val="1"/>
      <w:numFmt w:val="lowerLetter"/>
      <w:lvlText w:val="%8)"/>
      <w:lvlJc w:val="left"/>
      <w:pPr>
        <w:tabs>
          <w:tab w:val="left" w:pos="3000"/>
        </w:tabs>
        <w:ind w:left="3000" w:hanging="420"/>
      </w:pPr>
    </w:lvl>
    <w:lvl w:ilvl="8" w:tentative="0">
      <w:start w:val="1"/>
      <w:numFmt w:val="lowerRoman"/>
      <w:lvlText w:val="%9."/>
      <w:lvlJc w:val="right"/>
      <w:pPr>
        <w:tabs>
          <w:tab w:val="left" w:pos="3420"/>
        </w:tabs>
        <w:ind w:left="3420" w:hanging="420"/>
      </w:pPr>
    </w:lvl>
  </w:abstractNum>
  <w:abstractNum w:abstractNumId="83">
    <w:nsid w:val="3F0F632D"/>
    <w:multiLevelType w:val="multilevel"/>
    <w:tmpl w:val="3F0F632D"/>
    <w:lvl w:ilvl="0" w:tentative="0">
      <w:start w:val="1"/>
      <w:numFmt w:val="chineseCountingThousand"/>
      <w:lvlText w:val="%1、"/>
      <w:lvlJc w:val="left"/>
      <w:pPr>
        <w:ind w:left="440" w:hanging="440"/>
      </w:pPr>
      <w:rPr>
        <w:rFonts w:hint="default"/>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84">
    <w:nsid w:val="3F6A49A0"/>
    <w:multiLevelType w:val="singleLevel"/>
    <w:tmpl w:val="3F6A49A0"/>
    <w:lvl w:ilvl="0" w:tentative="0">
      <w:start w:val="1"/>
      <w:numFmt w:val="decimal"/>
      <w:lvlText w:val="(%1)"/>
      <w:lvlJc w:val="left"/>
      <w:pPr>
        <w:ind w:left="425" w:hanging="425"/>
      </w:pPr>
      <w:rPr>
        <w:rFonts w:hint="default"/>
      </w:rPr>
    </w:lvl>
  </w:abstractNum>
  <w:abstractNum w:abstractNumId="85">
    <w:nsid w:val="40B504D9"/>
    <w:multiLevelType w:val="singleLevel"/>
    <w:tmpl w:val="40B504D9"/>
    <w:lvl w:ilvl="0" w:tentative="0">
      <w:start w:val="4"/>
      <w:numFmt w:val="decimal"/>
      <w:suff w:val="nothing"/>
      <w:lvlText w:val="%1、"/>
      <w:lvlJc w:val="left"/>
    </w:lvl>
  </w:abstractNum>
  <w:abstractNum w:abstractNumId="86">
    <w:nsid w:val="41B76E15"/>
    <w:multiLevelType w:val="singleLevel"/>
    <w:tmpl w:val="41B76E15"/>
    <w:lvl w:ilvl="0" w:tentative="0">
      <w:start w:val="1"/>
      <w:numFmt w:val="bullet"/>
      <w:pStyle w:val="14"/>
      <w:lvlText w:val=""/>
      <w:lvlJc w:val="left"/>
      <w:pPr>
        <w:tabs>
          <w:tab w:val="left" w:pos="360"/>
        </w:tabs>
        <w:ind w:left="360" w:hanging="360"/>
      </w:pPr>
      <w:rPr>
        <w:rFonts w:hint="default" w:ascii="Wingdings" w:hAnsi="Wingdings"/>
      </w:rPr>
    </w:lvl>
  </w:abstractNum>
  <w:abstractNum w:abstractNumId="87">
    <w:nsid w:val="43BA6682"/>
    <w:multiLevelType w:val="multilevel"/>
    <w:tmpl w:val="43BA6682"/>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88">
    <w:nsid w:val="44153493"/>
    <w:multiLevelType w:val="singleLevel"/>
    <w:tmpl w:val="44153493"/>
    <w:lvl w:ilvl="0" w:tentative="0">
      <w:start w:val="1"/>
      <w:numFmt w:val="decimal"/>
      <w:lvlText w:val="(%1)"/>
      <w:lvlJc w:val="left"/>
      <w:pPr>
        <w:ind w:left="425" w:hanging="425"/>
      </w:pPr>
      <w:rPr>
        <w:rFonts w:hint="default"/>
      </w:rPr>
    </w:lvl>
  </w:abstractNum>
  <w:abstractNum w:abstractNumId="89">
    <w:nsid w:val="47862DAC"/>
    <w:multiLevelType w:val="multilevel"/>
    <w:tmpl w:val="47862DAC"/>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90">
    <w:nsid w:val="486B63C6"/>
    <w:multiLevelType w:val="singleLevel"/>
    <w:tmpl w:val="486B63C6"/>
    <w:lvl w:ilvl="0" w:tentative="0">
      <w:start w:val="1"/>
      <w:numFmt w:val="decimal"/>
      <w:lvlText w:val="(%1)"/>
      <w:lvlJc w:val="left"/>
      <w:pPr>
        <w:ind w:left="425" w:hanging="425"/>
      </w:pPr>
      <w:rPr>
        <w:rFonts w:hint="default"/>
      </w:rPr>
    </w:lvl>
  </w:abstractNum>
  <w:abstractNum w:abstractNumId="91">
    <w:nsid w:val="4CABFE73"/>
    <w:multiLevelType w:val="singleLevel"/>
    <w:tmpl w:val="4CABFE73"/>
    <w:lvl w:ilvl="0" w:tentative="0">
      <w:start w:val="1"/>
      <w:numFmt w:val="bullet"/>
      <w:lvlText w:val=""/>
      <w:lvlJc w:val="left"/>
      <w:pPr>
        <w:ind w:left="420" w:hanging="420"/>
      </w:pPr>
      <w:rPr>
        <w:rFonts w:hint="default" w:ascii="Wingdings" w:hAnsi="Wingdings"/>
      </w:rPr>
    </w:lvl>
  </w:abstractNum>
  <w:abstractNum w:abstractNumId="92">
    <w:nsid w:val="4E3044E0"/>
    <w:multiLevelType w:val="singleLevel"/>
    <w:tmpl w:val="4E3044E0"/>
    <w:lvl w:ilvl="0" w:tentative="0">
      <w:start w:val="1"/>
      <w:numFmt w:val="bullet"/>
      <w:lvlText w:val=""/>
      <w:lvlJc w:val="left"/>
      <w:pPr>
        <w:ind w:left="420" w:hanging="420"/>
      </w:pPr>
      <w:rPr>
        <w:rFonts w:hint="default" w:ascii="Wingdings" w:hAnsi="Wingdings"/>
      </w:rPr>
    </w:lvl>
  </w:abstractNum>
  <w:abstractNum w:abstractNumId="93">
    <w:nsid w:val="4EBFF904"/>
    <w:multiLevelType w:val="singleLevel"/>
    <w:tmpl w:val="4EBFF904"/>
    <w:lvl w:ilvl="0" w:tentative="0">
      <w:start w:val="1"/>
      <w:numFmt w:val="decimal"/>
      <w:lvlText w:val="(%1)"/>
      <w:lvlJc w:val="left"/>
      <w:pPr>
        <w:ind w:left="425" w:hanging="425"/>
      </w:pPr>
      <w:rPr>
        <w:rFonts w:hint="default"/>
      </w:rPr>
    </w:lvl>
  </w:abstractNum>
  <w:abstractNum w:abstractNumId="94">
    <w:nsid w:val="50365EA0"/>
    <w:multiLevelType w:val="multilevel"/>
    <w:tmpl w:val="50365EA0"/>
    <w:lvl w:ilvl="0" w:tentative="0">
      <w:start w:val="1"/>
      <w:numFmt w:val="decimal"/>
      <w:pStyle w:val="118"/>
      <w:lvlText w:val="%1."/>
      <w:lvlJc w:val="left"/>
      <w:pPr>
        <w:tabs>
          <w:tab w:val="left" w:pos="0"/>
        </w:tabs>
        <w:ind w:left="420" w:hanging="420"/>
      </w:pPr>
      <w:rPr>
        <w:rFonts w:hint="eastAsia"/>
      </w:rPr>
    </w:lvl>
    <w:lvl w:ilvl="1" w:tentative="0">
      <w:start w:val="1"/>
      <w:numFmt w:val="decimal"/>
      <w:lvlText w:val="%1.%2"/>
      <w:lvlJc w:val="left"/>
      <w:pPr>
        <w:tabs>
          <w:tab w:val="left" w:pos="700"/>
        </w:tabs>
        <w:ind w:left="700" w:hanging="700"/>
      </w:pPr>
      <w:rPr>
        <w:rFonts w:hint="eastAsia"/>
      </w:rPr>
    </w:lvl>
    <w:lvl w:ilvl="2" w:tentative="0">
      <w:start w:val="1"/>
      <w:numFmt w:val="decimal"/>
      <w:lvlText w:val="%1.%2.%3"/>
      <w:lvlJc w:val="left"/>
      <w:pPr>
        <w:tabs>
          <w:tab w:val="left" w:pos="0"/>
        </w:tabs>
        <w:ind w:left="1418" w:hanging="1418"/>
      </w:pPr>
      <w:rPr>
        <w:rFonts w:hint="eastAsia"/>
      </w:rPr>
    </w:lvl>
    <w:lvl w:ilvl="3" w:tentative="0">
      <w:start w:val="1"/>
      <w:numFmt w:val="decimal"/>
      <w:lvlText w:val="%1.%2.%3.%4"/>
      <w:lvlJc w:val="left"/>
      <w:pPr>
        <w:tabs>
          <w:tab w:val="left" w:pos="0"/>
        </w:tabs>
        <w:ind w:left="1984" w:hanging="1984"/>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95">
    <w:nsid w:val="523C16DE"/>
    <w:multiLevelType w:val="multilevel"/>
    <w:tmpl w:val="523C16DE"/>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96">
    <w:nsid w:val="580461E5"/>
    <w:multiLevelType w:val="singleLevel"/>
    <w:tmpl w:val="580461E5"/>
    <w:lvl w:ilvl="0" w:tentative="0">
      <w:start w:val="1"/>
      <w:numFmt w:val="decimal"/>
      <w:lvlText w:val="(%1)"/>
      <w:lvlJc w:val="left"/>
      <w:pPr>
        <w:ind w:left="425" w:hanging="425"/>
      </w:pPr>
      <w:rPr>
        <w:rFonts w:hint="default"/>
      </w:rPr>
    </w:lvl>
  </w:abstractNum>
  <w:abstractNum w:abstractNumId="97">
    <w:nsid w:val="58DDB038"/>
    <w:multiLevelType w:val="multilevel"/>
    <w:tmpl w:val="58DDB038"/>
    <w:lvl w:ilvl="0" w:tentative="0">
      <w:start w:val="1"/>
      <w:numFmt w:val="chineseCounting"/>
      <w:pStyle w:val="298"/>
      <w:lvlText w:val="第%1章"/>
      <w:lvlJc w:val="left"/>
      <w:pPr>
        <w:ind w:left="432" w:hanging="432"/>
      </w:pPr>
      <w:rPr>
        <w:rFonts w:hint="eastAsia" w:ascii="宋体" w:hAnsi="宋体" w:eastAsia="宋体" w:cs="宋体"/>
      </w:rPr>
    </w:lvl>
    <w:lvl w:ilvl="1" w:tentative="0">
      <w:start w:val="1"/>
      <w:numFmt w:val="decimal"/>
      <w:isLgl/>
      <w:lvlText w:val="%1.%2."/>
      <w:lvlJc w:val="left"/>
      <w:pPr>
        <w:ind w:left="575" w:hanging="575"/>
      </w:pPr>
      <w:rPr>
        <w:rFonts w:hint="eastAsia" w:ascii="宋体" w:hAnsi="宋体" w:eastAsia="宋体" w:cs="宋体"/>
      </w:rPr>
    </w:lvl>
    <w:lvl w:ilvl="2" w:tentative="0">
      <w:start w:val="1"/>
      <w:numFmt w:val="decimal"/>
      <w:isLgl/>
      <w:lvlText w:val="%1.%2.%3."/>
      <w:lvlJc w:val="left"/>
      <w:pPr>
        <w:ind w:left="720" w:hanging="720"/>
      </w:pPr>
      <w:rPr>
        <w:rFonts w:hint="eastAsia" w:ascii="宋体" w:hAnsi="宋体" w:eastAsia="宋体" w:cs="宋体"/>
      </w:rPr>
    </w:lvl>
    <w:lvl w:ilvl="3" w:tentative="0">
      <w:start w:val="1"/>
      <w:numFmt w:val="decimal"/>
      <w:lvlText w:val="%1.%2.%3.%4."/>
      <w:lvlJc w:val="left"/>
      <w:pPr>
        <w:ind w:left="864" w:hanging="864"/>
      </w:pPr>
      <w:rPr>
        <w:rFonts w:hint="eastAsia"/>
      </w:rPr>
    </w:lvl>
    <w:lvl w:ilvl="4" w:tentative="0">
      <w:start w:val="1"/>
      <w:numFmt w:val="decimal"/>
      <w:lvlText w:val="%1.%2.%3.%4.%5."/>
      <w:lvlJc w:val="left"/>
      <w:pPr>
        <w:ind w:left="1008" w:hanging="1008"/>
      </w:pPr>
      <w:rPr>
        <w:rFonts w:hint="eastAsia"/>
      </w:rPr>
    </w:lvl>
    <w:lvl w:ilvl="5" w:tentative="0">
      <w:start w:val="1"/>
      <w:numFmt w:val="decimal"/>
      <w:lvlText w:val="%1.%2.%3.%4.%5.%6."/>
      <w:lvlJc w:val="left"/>
      <w:pPr>
        <w:ind w:left="1151" w:hanging="1151"/>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3" w:hanging="1583"/>
      </w:pPr>
      <w:rPr>
        <w:rFonts w:hint="eastAsia"/>
      </w:rPr>
    </w:lvl>
  </w:abstractNum>
  <w:abstractNum w:abstractNumId="98">
    <w:nsid w:val="5BE8B99E"/>
    <w:multiLevelType w:val="singleLevel"/>
    <w:tmpl w:val="5BE8B99E"/>
    <w:lvl w:ilvl="0" w:tentative="0">
      <w:start w:val="1"/>
      <w:numFmt w:val="bullet"/>
      <w:lvlText w:val=""/>
      <w:lvlJc w:val="left"/>
      <w:pPr>
        <w:ind w:left="420" w:hanging="420"/>
      </w:pPr>
      <w:rPr>
        <w:rFonts w:hint="default" w:ascii="Wingdings" w:hAnsi="Wingdings"/>
      </w:rPr>
    </w:lvl>
  </w:abstractNum>
  <w:abstractNum w:abstractNumId="99">
    <w:nsid w:val="5F7DEF57"/>
    <w:multiLevelType w:val="singleLevel"/>
    <w:tmpl w:val="5F7DEF57"/>
    <w:lvl w:ilvl="0" w:tentative="0">
      <w:start w:val="1"/>
      <w:numFmt w:val="decimal"/>
      <w:lvlText w:val="(%1)"/>
      <w:lvlJc w:val="left"/>
      <w:pPr>
        <w:ind w:left="425" w:hanging="425"/>
      </w:pPr>
      <w:rPr>
        <w:rFonts w:hint="default"/>
      </w:rPr>
    </w:lvl>
  </w:abstractNum>
  <w:abstractNum w:abstractNumId="100">
    <w:nsid w:val="5FFFCBF1"/>
    <w:multiLevelType w:val="singleLevel"/>
    <w:tmpl w:val="5FFFCBF1"/>
    <w:lvl w:ilvl="0" w:tentative="0">
      <w:start w:val="1"/>
      <w:numFmt w:val="decimal"/>
      <w:lvlText w:val="(%1)"/>
      <w:lvlJc w:val="left"/>
      <w:pPr>
        <w:ind w:left="425" w:hanging="425"/>
      </w:pPr>
      <w:rPr>
        <w:rFonts w:hint="default"/>
      </w:rPr>
    </w:lvl>
  </w:abstractNum>
  <w:abstractNum w:abstractNumId="101">
    <w:nsid w:val="61C50B79"/>
    <w:multiLevelType w:val="multilevel"/>
    <w:tmpl w:val="61C50B79"/>
    <w:lvl w:ilvl="0" w:tentative="0">
      <w:start w:val="1"/>
      <w:numFmt w:val="chineseCountingThousand"/>
      <w:lvlText w:val="%1、"/>
      <w:lvlJc w:val="left"/>
      <w:pPr>
        <w:ind w:left="440" w:hanging="440"/>
      </w:pPr>
      <w:rPr>
        <w:rFonts w:hint="default"/>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02">
    <w:nsid w:val="63B69394"/>
    <w:multiLevelType w:val="singleLevel"/>
    <w:tmpl w:val="63B69394"/>
    <w:lvl w:ilvl="0" w:tentative="0">
      <w:start w:val="1"/>
      <w:numFmt w:val="bullet"/>
      <w:lvlText w:val=""/>
      <w:lvlJc w:val="left"/>
      <w:pPr>
        <w:ind w:left="420" w:hanging="420"/>
      </w:pPr>
      <w:rPr>
        <w:rFonts w:hint="default" w:ascii="Wingdings" w:hAnsi="Wingdings"/>
      </w:rPr>
    </w:lvl>
  </w:abstractNum>
  <w:abstractNum w:abstractNumId="103">
    <w:nsid w:val="6686F19D"/>
    <w:multiLevelType w:val="singleLevel"/>
    <w:tmpl w:val="6686F19D"/>
    <w:lvl w:ilvl="0" w:tentative="0">
      <w:start w:val="1"/>
      <w:numFmt w:val="bullet"/>
      <w:lvlText w:val=""/>
      <w:lvlJc w:val="left"/>
      <w:pPr>
        <w:ind w:left="420" w:hanging="420"/>
      </w:pPr>
      <w:rPr>
        <w:rFonts w:hint="default" w:ascii="Wingdings" w:hAnsi="Wingdings"/>
      </w:rPr>
    </w:lvl>
  </w:abstractNum>
  <w:abstractNum w:abstractNumId="104">
    <w:nsid w:val="68890D9D"/>
    <w:multiLevelType w:val="singleLevel"/>
    <w:tmpl w:val="68890D9D"/>
    <w:lvl w:ilvl="0" w:tentative="0">
      <w:start w:val="1"/>
      <w:numFmt w:val="bullet"/>
      <w:lvlText w:val=""/>
      <w:lvlJc w:val="left"/>
      <w:pPr>
        <w:ind w:left="420" w:hanging="420"/>
      </w:pPr>
      <w:rPr>
        <w:rFonts w:hint="default" w:ascii="Wingdings" w:hAnsi="Wingdings"/>
      </w:rPr>
    </w:lvl>
  </w:abstractNum>
  <w:abstractNum w:abstractNumId="105">
    <w:nsid w:val="6A2731C1"/>
    <w:multiLevelType w:val="multilevel"/>
    <w:tmpl w:val="6A2731C1"/>
    <w:lvl w:ilvl="0" w:tentative="0">
      <w:start w:val="1"/>
      <w:numFmt w:val="decimal"/>
      <w:lvlText w:val="%1"/>
      <w:lvlJc w:val="left"/>
      <w:pPr>
        <w:ind w:left="425" w:hanging="425"/>
      </w:pPr>
    </w:lvl>
    <w:lvl w:ilvl="1" w:tentative="0">
      <w:start w:val="1"/>
      <w:numFmt w:val="decimal"/>
      <w:lvlText w:val="%1.%2"/>
      <w:lvlJc w:val="left"/>
      <w:pPr>
        <w:ind w:left="992" w:hanging="567"/>
      </w:pPr>
      <w:rPr>
        <w:rFonts w:ascii="宋体" w:hAnsi="宋体" w:eastAsia="宋体"/>
      </w:r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106">
    <w:nsid w:val="6ABDE076"/>
    <w:multiLevelType w:val="singleLevel"/>
    <w:tmpl w:val="6ABDE076"/>
    <w:lvl w:ilvl="0" w:tentative="0">
      <w:start w:val="1"/>
      <w:numFmt w:val="decimal"/>
      <w:suff w:val="nothing"/>
      <w:lvlText w:val="%1．"/>
      <w:lvlJc w:val="left"/>
      <w:pPr>
        <w:ind w:left="0" w:firstLine="400"/>
      </w:pPr>
      <w:rPr>
        <w:rFonts w:hint="default"/>
      </w:rPr>
    </w:lvl>
  </w:abstractNum>
  <w:abstractNum w:abstractNumId="107">
    <w:nsid w:val="6C2D616A"/>
    <w:multiLevelType w:val="singleLevel"/>
    <w:tmpl w:val="6C2D616A"/>
    <w:lvl w:ilvl="0" w:tentative="0">
      <w:start w:val="1"/>
      <w:numFmt w:val="decimal"/>
      <w:lvlText w:val="(%1)"/>
      <w:lvlJc w:val="left"/>
      <w:pPr>
        <w:ind w:left="425" w:hanging="425"/>
      </w:pPr>
      <w:rPr>
        <w:rFonts w:hint="default"/>
      </w:rPr>
    </w:lvl>
  </w:abstractNum>
  <w:abstractNum w:abstractNumId="108">
    <w:nsid w:val="6DC05D6D"/>
    <w:multiLevelType w:val="singleLevel"/>
    <w:tmpl w:val="6DC05D6D"/>
    <w:lvl w:ilvl="0" w:tentative="0">
      <w:start w:val="1"/>
      <w:numFmt w:val="decimal"/>
      <w:lvlText w:val="(%1)"/>
      <w:lvlJc w:val="left"/>
      <w:pPr>
        <w:ind w:left="425" w:hanging="425"/>
      </w:pPr>
      <w:rPr>
        <w:rFonts w:hint="default"/>
      </w:rPr>
    </w:lvl>
  </w:abstractNum>
  <w:abstractNum w:abstractNumId="109">
    <w:nsid w:val="6FEDF28F"/>
    <w:multiLevelType w:val="singleLevel"/>
    <w:tmpl w:val="6FEDF28F"/>
    <w:lvl w:ilvl="0" w:tentative="0">
      <w:start w:val="1"/>
      <w:numFmt w:val="decimal"/>
      <w:lvlText w:val="(%1)"/>
      <w:lvlJc w:val="left"/>
      <w:pPr>
        <w:ind w:left="425" w:hanging="425"/>
      </w:pPr>
      <w:rPr>
        <w:rFonts w:hint="default"/>
      </w:rPr>
    </w:lvl>
  </w:abstractNum>
  <w:abstractNum w:abstractNumId="110">
    <w:nsid w:val="716F0BAF"/>
    <w:multiLevelType w:val="multilevel"/>
    <w:tmpl w:val="716F0BAF"/>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1">
    <w:nsid w:val="719F703F"/>
    <w:multiLevelType w:val="singleLevel"/>
    <w:tmpl w:val="719F703F"/>
    <w:lvl w:ilvl="0" w:tentative="0">
      <w:start w:val="1"/>
      <w:numFmt w:val="decimal"/>
      <w:lvlText w:val="(%1)"/>
      <w:lvlJc w:val="left"/>
      <w:pPr>
        <w:ind w:left="425" w:hanging="425"/>
      </w:pPr>
      <w:rPr>
        <w:rFonts w:hint="default"/>
      </w:rPr>
    </w:lvl>
  </w:abstractNum>
  <w:abstractNum w:abstractNumId="112">
    <w:nsid w:val="753E0195"/>
    <w:multiLevelType w:val="singleLevel"/>
    <w:tmpl w:val="753E0195"/>
    <w:lvl w:ilvl="0" w:tentative="0">
      <w:start w:val="1"/>
      <w:numFmt w:val="decimal"/>
      <w:lvlText w:val="(%1)"/>
      <w:lvlJc w:val="left"/>
      <w:pPr>
        <w:ind w:left="425" w:hanging="425"/>
      </w:pPr>
      <w:rPr>
        <w:rFonts w:hint="default"/>
      </w:rPr>
    </w:lvl>
  </w:abstractNum>
  <w:abstractNum w:abstractNumId="113">
    <w:nsid w:val="77275ACE"/>
    <w:multiLevelType w:val="multilevel"/>
    <w:tmpl w:val="77275ACE"/>
    <w:lvl w:ilvl="0" w:tentative="0">
      <w:start w:val="1"/>
      <w:numFmt w:val="chineseCountingThousand"/>
      <w:lvlText w:val="%1、"/>
      <w:lvlJc w:val="left"/>
      <w:pPr>
        <w:ind w:left="440" w:hanging="440"/>
      </w:pPr>
      <w:rPr>
        <w:rFonts w:hint="default"/>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14">
    <w:nsid w:val="77C0354D"/>
    <w:multiLevelType w:val="singleLevel"/>
    <w:tmpl w:val="77C0354D"/>
    <w:lvl w:ilvl="0" w:tentative="0">
      <w:start w:val="1"/>
      <w:numFmt w:val="decimal"/>
      <w:lvlText w:val="(%1)"/>
      <w:lvlJc w:val="left"/>
      <w:pPr>
        <w:ind w:left="425" w:hanging="425"/>
      </w:pPr>
      <w:rPr>
        <w:rFonts w:hint="default"/>
      </w:rPr>
    </w:lvl>
  </w:abstractNum>
  <w:abstractNum w:abstractNumId="115">
    <w:nsid w:val="77FE0805"/>
    <w:multiLevelType w:val="singleLevel"/>
    <w:tmpl w:val="77FE0805"/>
    <w:lvl w:ilvl="0" w:tentative="0">
      <w:start w:val="1"/>
      <w:numFmt w:val="decimal"/>
      <w:lvlText w:val="(%1)"/>
      <w:lvlJc w:val="left"/>
      <w:pPr>
        <w:ind w:left="425" w:hanging="425"/>
      </w:pPr>
      <w:rPr>
        <w:rFonts w:hint="default"/>
      </w:rPr>
    </w:lvl>
  </w:abstractNum>
  <w:abstractNum w:abstractNumId="116">
    <w:nsid w:val="78437DF8"/>
    <w:multiLevelType w:val="singleLevel"/>
    <w:tmpl w:val="78437DF8"/>
    <w:lvl w:ilvl="0" w:tentative="0">
      <w:start w:val="1"/>
      <w:numFmt w:val="decimal"/>
      <w:lvlText w:val="(%1)"/>
      <w:lvlJc w:val="left"/>
      <w:pPr>
        <w:ind w:left="425" w:hanging="425"/>
      </w:pPr>
      <w:rPr>
        <w:rFonts w:hint="default"/>
      </w:rPr>
    </w:lvl>
  </w:abstractNum>
  <w:abstractNum w:abstractNumId="117">
    <w:nsid w:val="7A97D38C"/>
    <w:multiLevelType w:val="singleLevel"/>
    <w:tmpl w:val="7A97D38C"/>
    <w:lvl w:ilvl="0" w:tentative="0">
      <w:start w:val="1"/>
      <w:numFmt w:val="decimal"/>
      <w:lvlText w:val="(%1)"/>
      <w:lvlJc w:val="left"/>
      <w:pPr>
        <w:ind w:left="425" w:hanging="425"/>
      </w:pPr>
      <w:rPr>
        <w:rFonts w:hint="default"/>
      </w:rPr>
    </w:lvl>
  </w:abstractNum>
  <w:abstractNum w:abstractNumId="118">
    <w:nsid w:val="7AEF7716"/>
    <w:multiLevelType w:val="multilevel"/>
    <w:tmpl w:val="7AEF7716"/>
    <w:lvl w:ilvl="0" w:tentative="0">
      <w:start w:val="1"/>
      <w:numFmt w:val="chineseCountingThousand"/>
      <w:pStyle w:val="239"/>
      <w:lvlText w:val="%1"/>
      <w:lvlJc w:val="left"/>
      <w:pPr>
        <w:tabs>
          <w:tab w:val="left" w:pos="1290"/>
        </w:tabs>
        <w:ind w:left="630" w:hanging="420"/>
      </w:pPr>
      <w:rPr>
        <w:rFonts w:hint="eastAsia"/>
        <w:sz w:val="32"/>
        <w:szCs w:val="32"/>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9">
    <w:nsid w:val="7B3E3A44"/>
    <w:multiLevelType w:val="multilevel"/>
    <w:tmpl w:val="7B3E3A44"/>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20">
    <w:nsid w:val="7B7FA648"/>
    <w:multiLevelType w:val="singleLevel"/>
    <w:tmpl w:val="7B7FA648"/>
    <w:lvl w:ilvl="0" w:tentative="0">
      <w:start w:val="1"/>
      <w:numFmt w:val="decimal"/>
      <w:lvlText w:val="(%1)"/>
      <w:lvlJc w:val="left"/>
      <w:pPr>
        <w:ind w:left="425" w:hanging="425"/>
      </w:pPr>
      <w:rPr>
        <w:rFonts w:hint="default"/>
      </w:rPr>
    </w:lvl>
  </w:abstractNum>
  <w:abstractNum w:abstractNumId="121">
    <w:nsid w:val="7B91D73E"/>
    <w:multiLevelType w:val="singleLevel"/>
    <w:tmpl w:val="7B91D73E"/>
    <w:lvl w:ilvl="0" w:tentative="0">
      <w:start w:val="1"/>
      <w:numFmt w:val="bullet"/>
      <w:lvlText w:val=""/>
      <w:lvlJc w:val="left"/>
      <w:pPr>
        <w:ind w:left="420" w:hanging="420"/>
      </w:pPr>
      <w:rPr>
        <w:rFonts w:hint="default" w:ascii="Wingdings" w:hAnsi="Wingdings"/>
      </w:rPr>
    </w:lvl>
  </w:abstractNum>
  <w:abstractNum w:abstractNumId="122">
    <w:nsid w:val="7CB2C34D"/>
    <w:multiLevelType w:val="singleLevel"/>
    <w:tmpl w:val="7CB2C34D"/>
    <w:lvl w:ilvl="0" w:tentative="0">
      <w:start w:val="1"/>
      <w:numFmt w:val="decimal"/>
      <w:lvlText w:val="(%1)"/>
      <w:lvlJc w:val="left"/>
      <w:pPr>
        <w:ind w:left="425" w:hanging="425"/>
      </w:pPr>
      <w:rPr>
        <w:rFonts w:hint="default"/>
      </w:rPr>
    </w:lvl>
  </w:abstractNum>
  <w:abstractNum w:abstractNumId="123">
    <w:nsid w:val="7D7B23A5"/>
    <w:multiLevelType w:val="singleLevel"/>
    <w:tmpl w:val="7D7B23A5"/>
    <w:lvl w:ilvl="0" w:tentative="0">
      <w:start w:val="1"/>
      <w:numFmt w:val="bullet"/>
      <w:lvlText w:val=""/>
      <w:lvlJc w:val="left"/>
      <w:pPr>
        <w:ind w:left="420" w:hanging="420"/>
      </w:pPr>
      <w:rPr>
        <w:rFonts w:hint="default" w:ascii="Wingdings" w:hAnsi="Wingdings"/>
      </w:rPr>
    </w:lvl>
  </w:abstractNum>
  <w:abstractNum w:abstractNumId="124">
    <w:nsid w:val="7E9E7332"/>
    <w:multiLevelType w:val="singleLevel"/>
    <w:tmpl w:val="7E9E7332"/>
    <w:lvl w:ilvl="0" w:tentative="0">
      <w:start w:val="1"/>
      <w:numFmt w:val="decimal"/>
      <w:lvlText w:val="(%1)"/>
      <w:lvlJc w:val="left"/>
      <w:pPr>
        <w:ind w:left="425" w:hanging="425"/>
      </w:pPr>
      <w:rPr>
        <w:rFonts w:hint="default"/>
      </w:rPr>
    </w:lvl>
  </w:abstractNum>
  <w:abstractNum w:abstractNumId="125">
    <w:nsid w:val="7EFEFA77"/>
    <w:multiLevelType w:val="singleLevel"/>
    <w:tmpl w:val="7EFEFA77"/>
    <w:lvl w:ilvl="0" w:tentative="0">
      <w:start w:val="1"/>
      <w:numFmt w:val="decimal"/>
      <w:lvlText w:val="(%1)"/>
      <w:lvlJc w:val="left"/>
      <w:pPr>
        <w:ind w:left="425" w:hanging="425"/>
      </w:pPr>
      <w:rPr>
        <w:rFonts w:hint="default"/>
      </w:rPr>
    </w:lvl>
  </w:abstractNum>
  <w:abstractNum w:abstractNumId="126">
    <w:nsid w:val="7F7A0DEF"/>
    <w:multiLevelType w:val="singleLevel"/>
    <w:tmpl w:val="7F7A0DEF"/>
    <w:lvl w:ilvl="0" w:tentative="0">
      <w:start w:val="1"/>
      <w:numFmt w:val="decimal"/>
      <w:lvlText w:val="(%1)"/>
      <w:lvlJc w:val="left"/>
      <w:pPr>
        <w:ind w:left="425" w:hanging="425"/>
      </w:pPr>
      <w:rPr>
        <w:rFonts w:hint="default"/>
      </w:rPr>
    </w:lvl>
  </w:abstractNum>
  <w:abstractNum w:abstractNumId="127">
    <w:nsid w:val="7FC88670"/>
    <w:multiLevelType w:val="singleLevel"/>
    <w:tmpl w:val="7FC88670"/>
    <w:lvl w:ilvl="0" w:tentative="0">
      <w:start w:val="1"/>
      <w:numFmt w:val="decimal"/>
      <w:lvlText w:val="(%1)"/>
      <w:lvlJc w:val="left"/>
      <w:pPr>
        <w:ind w:left="425" w:hanging="425"/>
      </w:pPr>
      <w:rPr>
        <w:rFonts w:hint="default"/>
      </w:rPr>
    </w:lvl>
  </w:abstractNum>
  <w:abstractNum w:abstractNumId="128">
    <w:nsid w:val="7FDFA125"/>
    <w:multiLevelType w:val="singleLevel"/>
    <w:tmpl w:val="7FDFA125"/>
    <w:lvl w:ilvl="0" w:tentative="0">
      <w:start w:val="1"/>
      <w:numFmt w:val="decimal"/>
      <w:lvlText w:val="(%1)"/>
      <w:lvlJc w:val="left"/>
      <w:pPr>
        <w:ind w:left="425" w:hanging="425"/>
      </w:pPr>
      <w:rPr>
        <w:rFonts w:hint="default"/>
      </w:rPr>
    </w:lvl>
  </w:abstractNum>
  <w:num w:numId="1">
    <w:abstractNumId w:val="59"/>
  </w:num>
  <w:num w:numId="2">
    <w:abstractNumId w:val="86"/>
  </w:num>
  <w:num w:numId="3">
    <w:abstractNumId w:val="94"/>
  </w:num>
  <w:num w:numId="4">
    <w:abstractNumId w:val="63"/>
  </w:num>
  <w:num w:numId="5">
    <w:abstractNumId w:val="82"/>
  </w:num>
  <w:num w:numId="6">
    <w:abstractNumId w:val="57"/>
  </w:num>
  <w:num w:numId="7">
    <w:abstractNumId w:val="64"/>
  </w:num>
  <w:num w:numId="8">
    <w:abstractNumId w:val="77"/>
  </w:num>
  <w:num w:numId="9">
    <w:abstractNumId w:val="118"/>
  </w:num>
  <w:num w:numId="10">
    <w:abstractNumId w:val="58"/>
  </w:num>
  <w:num w:numId="11">
    <w:abstractNumId w:val="97"/>
  </w:num>
  <w:num w:numId="12">
    <w:abstractNumId w:val="66"/>
  </w:num>
  <w:num w:numId="13">
    <w:abstractNumId w:val="123"/>
  </w:num>
  <w:num w:numId="14">
    <w:abstractNumId w:val="20"/>
  </w:num>
  <w:num w:numId="15">
    <w:abstractNumId w:val="105"/>
  </w:num>
  <w:num w:numId="16">
    <w:abstractNumId w:val="103"/>
  </w:num>
  <w:num w:numId="17">
    <w:abstractNumId w:val="11"/>
  </w:num>
  <w:num w:numId="18">
    <w:abstractNumId w:val="104"/>
  </w:num>
  <w:num w:numId="19">
    <w:abstractNumId w:val="102"/>
  </w:num>
  <w:num w:numId="20">
    <w:abstractNumId w:val="34"/>
  </w:num>
  <w:num w:numId="21">
    <w:abstractNumId w:val="91"/>
  </w:num>
  <w:num w:numId="22">
    <w:abstractNumId w:val="47"/>
  </w:num>
  <w:num w:numId="23">
    <w:abstractNumId w:val="23"/>
  </w:num>
  <w:num w:numId="24">
    <w:abstractNumId w:val="8"/>
  </w:num>
  <w:num w:numId="25">
    <w:abstractNumId w:val="4"/>
  </w:num>
  <w:num w:numId="26">
    <w:abstractNumId w:val="98"/>
  </w:num>
  <w:num w:numId="27">
    <w:abstractNumId w:val="121"/>
  </w:num>
  <w:num w:numId="28">
    <w:abstractNumId w:val="21"/>
  </w:num>
  <w:num w:numId="29">
    <w:abstractNumId w:val="78"/>
  </w:num>
  <w:num w:numId="30">
    <w:abstractNumId w:val="5"/>
  </w:num>
  <w:num w:numId="31">
    <w:abstractNumId w:val="79"/>
  </w:num>
  <w:num w:numId="32">
    <w:abstractNumId w:val="3"/>
  </w:num>
  <w:num w:numId="33">
    <w:abstractNumId w:val="88"/>
  </w:num>
  <w:num w:numId="34">
    <w:abstractNumId w:val="122"/>
  </w:num>
  <w:num w:numId="35">
    <w:abstractNumId w:val="111"/>
  </w:num>
  <w:num w:numId="36">
    <w:abstractNumId w:val="48"/>
  </w:num>
  <w:num w:numId="37">
    <w:abstractNumId w:val="108"/>
  </w:num>
  <w:num w:numId="38">
    <w:abstractNumId w:val="9"/>
  </w:num>
  <w:num w:numId="39">
    <w:abstractNumId w:val="42"/>
  </w:num>
  <w:num w:numId="40">
    <w:abstractNumId w:val="12"/>
  </w:num>
  <w:num w:numId="41">
    <w:abstractNumId w:val="52"/>
  </w:num>
  <w:num w:numId="42">
    <w:abstractNumId w:val="15"/>
  </w:num>
  <w:num w:numId="43">
    <w:abstractNumId w:val="99"/>
  </w:num>
  <w:num w:numId="44">
    <w:abstractNumId w:val="65"/>
  </w:num>
  <w:num w:numId="45">
    <w:abstractNumId w:val="107"/>
  </w:num>
  <w:num w:numId="46">
    <w:abstractNumId w:val="61"/>
  </w:num>
  <w:num w:numId="47">
    <w:abstractNumId w:val="26"/>
  </w:num>
  <w:num w:numId="48">
    <w:abstractNumId w:val="74"/>
  </w:num>
  <w:num w:numId="49">
    <w:abstractNumId w:val="13"/>
  </w:num>
  <w:num w:numId="50">
    <w:abstractNumId w:val="32"/>
  </w:num>
  <w:num w:numId="51">
    <w:abstractNumId w:val="116"/>
  </w:num>
  <w:num w:numId="52">
    <w:abstractNumId w:val="80"/>
  </w:num>
  <w:num w:numId="53">
    <w:abstractNumId w:val="72"/>
  </w:num>
  <w:num w:numId="54">
    <w:abstractNumId w:val="90"/>
  </w:num>
  <w:num w:numId="55">
    <w:abstractNumId w:val="18"/>
  </w:num>
  <w:num w:numId="56">
    <w:abstractNumId w:val="117"/>
  </w:num>
  <w:num w:numId="57">
    <w:abstractNumId w:val="16"/>
  </w:num>
  <w:num w:numId="58">
    <w:abstractNumId w:val="96"/>
  </w:num>
  <w:num w:numId="59">
    <w:abstractNumId w:val="114"/>
  </w:num>
  <w:num w:numId="60">
    <w:abstractNumId w:val="60"/>
  </w:num>
  <w:num w:numId="61">
    <w:abstractNumId w:val="70"/>
  </w:num>
  <w:num w:numId="62">
    <w:abstractNumId w:val="0"/>
  </w:num>
  <w:num w:numId="63">
    <w:abstractNumId w:val="10"/>
  </w:num>
  <w:num w:numId="64">
    <w:abstractNumId w:val="67"/>
  </w:num>
  <w:num w:numId="65">
    <w:abstractNumId w:val="76"/>
  </w:num>
  <w:num w:numId="66">
    <w:abstractNumId w:val="85"/>
  </w:num>
  <w:num w:numId="67">
    <w:abstractNumId w:val="6"/>
  </w:num>
  <w:num w:numId="68">
    <w:abstractNumId w:val="110"/>
  </w:num>
  <w:num w:numId="69">
    <w:abstractNumId w:val="89"/>
  </w:num>
  <w:num w:numId="70">
    <w:abstractNumId w:val="87"/>
  </w:num>
  <w:num w:numId="71">
    <w:abstractNumId w:val="95"/>
  </w:num>
  <w:num w:numId="72">
    <w:abstractNumId w:val="119"/>
  </w:num>
  <w:num w:numId="73">
    <w:abstractNumId w:val="71"/>
  </w:num>
  <w:num w:numId="74">
    <w:abstractNumId w:val="92"/>
  </w:num>
  <w:num w:numId="75">
    <w:abstractNumId w:val="46"/>
  </w:num>
  <w:num w:numId="76">
    <w:abstractNumId w:val="7"/>
  </w:num>
  <w:num w:numId="77">
    <w:abstractNumId w:val="24"/>
  </w:num>
  <w:num w:numId="78">
    <w:abstractNumId w:val="37"/>
  </w:num>
  <w:num w:numId="79">
    <w:abstractNumId w:val="49"/>
  </w:num>
  <w:num w:numId="80">
    <w:abstractNumId w:val="124"/>
  </w:num>
  <w:num w:numId="81">
    <w:abstractNumId w:val="17"/>
  </w:num>
  <w:num w:numId="82">
    <w:abstractNumId w:val="43"/>
  </w:num>
  <w:num w:numId="83">
    <w:abstractNumId w:val="69"/>
  </w:num>
  <w:num w:numId="84">
    <w:abstractNumId w:val="25"/>
  </w:num>
  <w:num w:numId="85">
    <w:abstractNumId w:val="109"/>
  </w:num>
  <w:num w:numId="86">
    <w:abstractNumId w:val="29"/>
  </w:num>
  <w:num w:numId="87">
    <w:abstractNumId w:val="40"/>
  </w:num>
  <w:num w:numId="88">
    <w:abstractNumId w:val="28"/>
  </w:num>
  <w:num w:numId="89">
    <w:abstractNumId w:val="51"/>
  </w:num>
  <w:num w:numId="90">
    <w:abstractNumId w:val="100"/>
  </w:num>
  <w:num w:numId="91">
    <w:abstractNumId w:val="35"/>
  </w:num>
  <w:num w:numId="92">
    <w:abstractNumId w:val="54"/>
  </w:num>
  <w:num w:numId="93">
    <w:abstractNumId w:val="53"/>
  </w:num>
  <w:num w:numId="94">
    <w:abstractNumId w:val="44"/>
  </w:num>
  <w:num w:numId="95">
    <w:abstractNumId w:val="84"/>
  </w:num>
  <w:num w:numId="96">
    <w:abstractNumId w:val="127"/>
  </w:num>
  <w:num w:numId="97">
    <w:abstractNumId w:val="33"/>
  </w:num>
  <w:num w:numId="98">
    <w:abstractNumId w:val="22"/>
  </w:num>
  <w:num w:numId="99">
    <w:abstractNumId w:val="41"/>
  </w:num>
  <w:num w:numId="100">
    <w:abstractNumId w:val="126"/>
  </w:num>
  <w:num w:numId="101">
    <w:abstractNumId w:val="39"/>
  </w:num>
  <w:num w:numId="102">
    <w:abstractNumId w:val="128"/>
  </w:num>
  <w:num w:numId="103">
    <w:abstractNumId w:val="120"/>
  </w:num>
  <w:num w:numId="104">
    <w:abstractNumId w:val="125"/>
  </w:num>
  <w:num w:numId="105">
    <w:abstractNumId w:val="115"/>
  </w:num>
  <w:num w:numId="106">
    <w:abstractNumId w:val="27"/>
  </w:num>
  <w:num w:numId="107">
    <w:abstractNumId w:val="55"/>
  </w:num>
  <w:num w:numId="108">
    <w:abstractNumId w:val="93"/>
  </w:num>
  <w:num w:numId="109">
    <w:abstractNumId w:val="56"/>
  </w:num>
  <w:num w:numId="110">
    <w:abstractNumId w:val="19"/>
  </w:num>
  <w:num w:numId="111">
    <w:abstractNumId w:val="73"/>
  </w:num>
  <w:num w:numId="112">
    <w:abstractNumId w:val="112"/>
  </w:num>
  <w:num w:numId="113">
    <w:abstractNumId w:val="45"/>
  </w:num>
  <w:num w:numId="114">
    <w:abstractNumId w:val="38"/>
  </w:num>
  <w:num w:numId="115">
    <w:abstractNumId w:val="36"/>
  </w:num>
  <w:num w:numId="116">
    <w:abstractNumId w:val="31"/>
  </w:num>
  <w:num w:numId="117">
    <w:abstractNumId w:val="68"/>
  </w:num>
  <w:num w:numId="118">
    <w:abstractNumId w:val="1"/>
  </w:num>
  <w:num w:numId="119">
    <w:abstractNumId w:val="106"/>
  </w:num>
  <w:num w:numId="120">
    <w:abstractNumId w:val="50"/>
  </w:num>
  <w:num w:numId="121">
    <w:abstractNumId w:val="62"/>
  </w:num>
  <w:num w:numId="122">
    <w:abstractNumId w:val="113"/>
  </w:num>
  <w:num w:numId="123">
    <w:abstractNumId w:val="81"/>
  </w:num>
  <w:num w:numId="124">
    <w:abstractNumId w:val="83"/>
  </w:num>
  <w:num w:numId="125">
    <w:abstractNumId w:val="101"/>
  </w:num>
  <w:num w:numId="126">
    <w:abstractNumId w:val="14"/>
  </w:num>
  <w:num w:numId="127">
    <w:abstractNumId w:val="30"/>
  </w:num>
  <w:num w:numId="128">
    <w:abstractNumId w:val="2"/>
  </w:num>
  <w:num w:numId="129">
    <w:abstractNumId w:val="7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67131"/>
    <w:rsid w:val="00071E00"/>
    <w:rsid w:val="000766AF"/>
    <w:rsid w:val="00077B8A"/>
    <w:rsid w:val="000933BA"/>
    <w:rsid w:val="00097346"/>
    <w:rsid w:val="000A75BB"/>
    <w:rsid w:val="000D1B0E"/>
    <w:rsid w:val="000D2296"/>
    <w:rsid w:val="000D3E59"/>
    <w:rsid w:val="000D526F"/>
    <w:rsid w:val="000D6A5A"/>
    <w:rsid w:val="000D7A09"/>
    <w:rsid w:val="000E4201"/>
    <w:rsid w:val="000F2C59"/>
    <w:rsid w:val="00137467"/>
    <w:rsid w:val="001542DB"/>
    <w:rsid w:val="001A68AD"/>
    <w:rsid w:val="001B7500"/>
    <w:rsid w:val="001C6C4B"/>
    <w:rsid w:val="002277B3"/>
    <w:rsid w:val="0026090C"/>
    <w:rsid w:val="00262FC9"/>
    <w:rsid w:val="00276E33"/>
    <w:rsid w:val="00297257"/>
    <w:rsid w:val="002C1A9C"/>
    <w:rsid w:val="002C6976"/>
    <w:rsid w:val="002D0071"/>
    <w:rsid w:val="002F471A"/>
    <w:rsid w:val="003411A8"/>
    <w:rsid w:val="003676D5"/>
    <w:rsid w:val="00373827"/>
    <w:rsid w:val="003C3BA7"/>
    <w:rsid w:val="003D21B2"/>
    <w:rsid w:val="003E4EBF"/>
    <w:rsid w:val="003F0A49"/>
    <w:rsid w:val="00411652"/>
    <w:rsid w:val="00411D94"/>
    <w:rsid w:val="00427A3F"/>
    <w:rsid w:val="00454327"/>
    <w:rsid w:val="00463036"/>
    <w:rsid w:val="00465840"/>
    <w:rsid w:val="0052390E"/>
    <w:rsid w:val="00540659"/>
    <w:rsid w:val="00543177"/>
    <w:rsid w:val="00560750"/>
    <w:rsid w:val="00563DE4"/>
    <w:rsid w:val="00593E45"/>
    <w:rsid w:val="005D4384"/>
    <w:rsid w:val="005D790F"/>
    <w:rsid w:val="005D7BAF"/>
    <w:rsid w:val="005E05B5"/>
    <w:rsid w:val="005F691D"/>
    <w:rsid w:val="005F769E"/>
    <w:rsid w:val="006043F8"/>
    <w:rsid w:val="00612332"/>
    <w:rsid w:val="00637EB6"/>
    <w:rsid w:val="006810FB"/>
    <w:rsid w:val="0068136E"/>
    <w:rsid w:val="00692299"/>
    <w:rsid w:val="006C5DCD"/>
    <w:rsid w:val="006E4939"/>
    <w:rsid w:val="00722010"/>
    <w:rsid w:val="00737297"/>
    <w:rsid w:val="00750AA0"/>
    <w:rsid w:val="00767855"/>
    <w:rsid w:val="0077343F"/>
    <w:rsid w:val="0079758B"/>
    <w:rsid w:val="007E4FDB"/>
    <w:rsid w:val="007E5C43"/>
    <w:rsid w:val="007E6744"/>
    <w:rsid w:val="007E738A"/>
    <w:rsid w:val="007F4753"/>
    <w:rsid w:val="007F47D8"/>
    <w:rsid w:val="008428FA"/>
    <w:rsid w:val="00862751"/>
    <w:rsid w:val="008F098A"/>
    <w:rsid w:val="00900115"/>
    <w:rsid w:val="00945E90"/>
    <w:rsid w:val="00946678"/>
    <w:rsid w:val="00960E4A"/>
    <w:rsid w:val="00962F7E"/>
    <w:rsid w:val="009872CF"/>
    <w:rsid w:val="0099698F"/>
    <w:rsid w:val="009A1EB7"/>
    <w:rsid w:val="009C0202"/>
    <w:rsid w:val="009C59BD"/>
    <w:rsid w:val="00A0149A"/>
    <w:rsid w:val="00A25CB4"/>
    <w:rsid w:val="00A51428"/>
    <w:rsid w:val="00A519A0"/>
    <w:rsid w:val="00A52F45"/>
    <w:rsid w:val="00A62E5E"/>
    <w:rsid w:val="00A6783F"/>
    <w:rsid w:val="00A84221"/>
    <w:rsid w:val="00A87410"/>
    <w:rsid w:val="00A90EF8"/>
    <w:rsid w:val="00A91BDC"/>
    <w:rsid w:val="00A972A2"/>
    <w:rsid w:val="00AA402E"/>
    <w:rsid w:val="00AB1985"/>
    <w:rsid w:val="00AB25A0"/>
    <w:rsid w:val="00AB7A64"/>
    <w:rsid w:val="00AD2B1A"/>
    <w:rsid w:val="00AE150C"/>
    <w:rsid w:val="00B14717"/>
    <w:rsid w:val="00B33FD6"/>
    <w:rsid w:val="00B6181B"/>
    <w:rsid w:val="00B70028"/>
    <w:rsid w:val="00B70C09"/>
    <w:rsid w:val="00BA49C7"/>
    <w:rsid w:val="00BB2709"/>
    <w:rsid w:val="00BB5237"/>
    <w:rsid w:val="00BC75F0"/>
    <w:rsid w:val="00BD5EB5"/>
    <w:rsid w:val="00BF081C"/>
    <w:rsid w:val="00BF4BA3"/>
    <w:rsid w:val="00C03CE7"/>
    <w:rsid w:val="00C078D7"/>
    <w:rsid w:val="00C16712"/>
    <w:rsid w:val="00C279B1"/>
    <w:rsid w:val="00C57E46"/>
    <w:rsid w:val="00C7107B"/>
    <w:rsid w:val="00C816D1"/>
    <w:rsid w:val="00C8387E"/>
    <w:rsid w:val="00C8509D"/>
    <w:rsid w:val="00C947BF"/>
    <w:rsid w:val="00CC1804"/>
    <w:rsid w:val="00CC4A7B"/>
    <w:rsid w:val="00CF3BDF"/>
    <w:rsid w:val="00D00D44"/>
    <w:rsid w:val="00D21875"/>
    <w:rsid w:val="00D31459"/>
    <w:rsid w:val="00D32A75"/>
    <w:rsid w:val="00D34E6F"/>
    <w:rsid w:val="00D467CD"/>
    <w:rsid w:val="00D504A0"/>
    <w:rsid w:val="00D82815"/>
    <w:rsid w:val="00D9119A"/>
    <w:rsid w:val="00DA5E16"/>
    <w:rsid w:val="00DB567E"/>
    <w:rsid w:val="00E108C8"/>
    <w:rsid w:val="00E11DA3"/>
    <w:rsid w:val="00E52556"/>
    <w:rsid w:val="00E57047"/>
    <w:rsid w:val="00E878C1"/>
    <w:rsid w:val="00E96AA6"/>
    <w:rsid w:val="00EB0999"/>
    <w:rsid w:val="00EB566A"/>
    <w:rsid w:val="00EC68A6"/>
    <w:rsid w:val="00ED78B0"/>
    <w:rsid w:val="00EF2E3A"/>
    <w:rsid w:val="00F067BC"/>
    <w:rsid w:val="00F11E83"/>
    <w:rsid w:val="00F224E0"/>
    <w:rsid w:val="00F2486F"/>
    <w:rsid w:val="00F30B63"/>
    <w:rsid w:val="00F456EA"/>
    <w:rsid w:val="00F51D2F"/>
    <w:rsid w:val="00F64AB9"/>
    <w:rsid w:val="00F701CE"/>
    <w:rsid w:val="00F732E7"/>
    <w:rsid w:val="00F852F2"/>
    <w:rsid w:val="00FB4DC5"/>
    <w:rsid w:val="00FD10A3"/>
    <w:rsid w:val="00FE33C0"/>
    <w:rsid w:val="00FE7581"/>
    <w:rsid w:val="010B00F3"/>
    <w:rsid w:val="01307B46"/>
    <w:rsid w:val="018745A0"/>
    <w:rsid w:val="0198566A"/>
    <w:rsid w:val="01C20BC1"/>
    <w:rsid w:val="01CE3A0A"/>
    <w:rsid w:val="01D342D8"/>
    <w:rsid w:val="020F0144"/>
    <w:rsid w:val="02526CC1"/>
    <w:rsid w:val="025E00B4"/>
    <w:rsid w:val="026C542D"/>
    <w:rsid w:val="027A149C"/>
    <w:rsid w:val="02801637"/>
    <w:rsid w:val="02857B6E"/>
    <w:rsid w:val="02B011DF"/>
    <w:rsid w:val="02CD5A6F"/>
    <w:rsid w:val="0330705D"/>
    <w:rsid w:val="033B0A83"/>
    <w:rsid w:val="0361265C"/>
    <w:rsid w:val="03771E7F"/>
    <w:rsid w:val="038926F5"/>
    <w:rsid w:val="03B32A93"/>
    <w:rsid w:val="03B9185C"/>
    <w:rsid w:val="03C32A8F"/>
    <w:rsid w:val="03D26FB6"/>
    <w:rsid w:val="03D80709"/>
    <w:rsid w:val="03E4195A"/>
    <w:rsid w:val="04043713"/>
    <w:rsid w:val="043438CC"/>
    <w:rsid w:val="04366C1E"/>
    <w:rsid w:val="046B5540"/>
    <w:rsid w:val="049C7DEF"/>
    <w:rsid w:val="04B213C1"/>
    <w:rsid w:val="04BD3218"/>
    <w:rsid w:val="04C32269"/>
    <w:rsid w:val="04ED23F9"/>
    <w:rsid w:val="05172669"/>
    <w:rsid w:val="052E6C63"/>
    <w:rsid w:val="053C6A73"/>
    <w:rsid w:val="0548149C"/>
    <w:rsid w:val="05501124"/>
    <w:rsid w:val="055406CA"/>
    <w:rsid w:val="05545FD4"/>
    <w:rsid w:val="05555E4D"/>
    <w:rsid w:val="056F1060"/>
    <w:rsid w:val="05704DD8"/>
    <w:rsid w:val="05A709FF"/>
    <w:rsid w:val="05D53735"/>
    <w:rsid w:val="05D80E9D"/>
    <w:rsid w:val="05FD02F6"/>
    <w:rsid w:val="06112117"/>
    <w:rsid w:val="0642466F"/>
    <w:rsid w:val="0654398E"/>
    <w:rsid w:val="066D1241"/>
    <w:rsid w:val="067A22AA"/>
    <w:rsid w:val="0680105A"/>
    <w:rsid w:val="06996772"/>
    <w:rsid w:val="06B56493"/>
    <w:rsid w:val="06BA1548"/>
    <w:rsid w:val="06C440A6"/>
    <w:rsid w:val="06D1738C"/>
    <w:rsid w:val="06FA0D14"/>
    <w:rsid w:val="0720445B"/>
    <w:rsid w:val="0738659A"/>
    <w:rsid w:val="075D72A3"/>
    <w:rsid w:val="078731DB"/>
    <w:rsid w:val="078D4BA5"/>
    <w:rsid w:val="07C5140B"/>
    <w:rsid w:val="07F01429"/>
    <w:rsid w:val="080B2B96"/>
    <w:rsid w:val="08197B5A"/>
    <w:rsid w:val="082537F9"/>
    <w:rsid w:val="0830123B"/>
    <w:rsid w:val="083F203C"/>
    <w:rsid w:val="084E640E"/>
    <w:rsid w:val="088E7A4F"/>
    <w:rsid w:val="089612BB"/>
    <w:rsid w:val="08A22F05"/>
    <w:rsid w:val="08AA7D02"/>
    <w:rsid w:val="08AC4379"/>
    <w:rsid w:val="08B5322E"/>
    <w:rsid w:val="08DC4C5E"/>
    <w:rsid w:val="08E51639"/>
    <w:rsid w:val="093C7937"/>
    <w:rsid w:val="095742E5"/>
    <w:rsid w:val="095E1B17"/>
    <w:rsid w:val="09A84666"/>
    <w:rsid w:val="09AA6B0A"/>
    <w:rsid w:val="09B56BA3"/>
    <w:rsid w:val="09BE29CD"/>
    <w:rsid w:val="09DF11AB"/>
    <w:rsid w:val="09FE0C04"/>
    <w:rsid w:val="0A061A8E"/>
    <w:rsid w:val="0A38348D"/>
    <w:rsid w:val="0A544CC8"/>
    <w:rsid w:val="0A696084"/>
    <w:rsid w:val="0A8F4A22"/>
    <w:rsid w:val="0B112BB9"/>
    <w:rsid w:val="0B204BAA"/>
    <w:rsid w:val="0B3A10F1"/>
    <w:rsid w:val="0B8B07FF"/>
    <w:rsid w:val="0BBC40D1"/>
    <w:rsid w:val="0BC1638D"/>
    <w:rsid w:val="0BDB744F"/>
    <w:rsid w:val="0BDF6F0E"/>
    <w:rsid w:val="0BE72997"/>
    <w:rsid w:val="0BF027CF"/>
    <w:rsid w:val="0C2661F0"/>
    <w:rsid w:val="0C411435"/>
    <w:rsid w:val="0C572203"/>
    <w:rsid w:val="0C5A3BE3"/>
    <w:rsid w:val="0C7D6595"/>
    <w:rsid w:val="0C9A66A5"/>
    <w:rsid w:val="0C9D7CF2"/>
    <w:rsid w:val="0CF63E15"/>
    <w:rsid w:val="0D007D72"/>
    <w:rsid w:val="0D2C3CDA"/>
    <w:rsid w:val="0D321A2B"/>
    <w:rsid w:val="0D484FE1"/>
    <w:rsid w:val="0D513CA5"/>
    <w:rsid w:val="0D5C45C0"/>
    <w:rsid w:val="0D881D7B"/>
    <w:rsid w:val="0D9E08C6"/>
    <w:rsid w:val="0DD455CB"/>
    <w:rsid w:val="0DF44F95"/>
    <w:rsid w:val="0E1327A4"/>
    <w:rsid w:val="0E240CA6"/>
    <w:rsid w:val="0E263395"/>
    <w:rsid w:val="0E2A646C"/>
    <w:rsid w:val="0E4123EA"/>
    <w:rsid w:val="0E7E40C2"/>
    <w:rsid w:val="0EB42E67"/>
    <w:rsid w:val="0EB54001"/>
    <w:rsid w:val="0EB83A78"/>
    <w:rsid w:val="0EE20AF5"/>
    <w:rsid w:val="0EEC3CD3"/>
    <w:rsid w:val="0F420D40"/>
    <w:rsid w:val="0F670FFA"/>
    <w:rsid w:val="0F7B6853"/>
    <w:rsid w:val="0F9471C6"/>
    <w:rsid w:val="0FFF786F"/>
    <w:rsid w:val="103B395A"/>
    <w:rsid w:val="106663EC"/>
    <w:rsid w:val="10680233"/>
    <w:rsid w:val="106A0DA2"/>
    <w:rsid w:val="10702D55"/>
    <w:rsid w:val="108202BA"/>
    <w:rsid w:val="108D454D"/>
    <w:rsid w:val="10A87B1C"/>
    <w:rsid w:val="10AA3894"/>
    <w:rsid w:val="10BF18DE"/>
    <w:rsid w:val="10D8227B"/>
    <w:rsid w:val="10E24DDC"/>
    <w:rsid w:val="10E34150"/>
    <w:rsid w:val="10F62635"/>
    <w:rsid w:val="111712A8"/>
    <w:rsid w:val="11291F54"/>
    <w:rsid w:val="1133533B"/>
    <w:rsid w:val="114F0E98"/>
    <w:rsid w:val="11557EE8"/>
    <w:rsid w:val="11610ADF"/>
    <w:rsid w:val="116972AB"/>
    <w:rsid w:val="11C047FF"/>
    <w:rsid w:val="11F51D94"/>
    <w:rsid w:val="11F909E8"/>
    <w:rsid w:val="12201524"/>
    <w:rsid w:val="128D0D77"/>
    <w:rsid w:val="13366848"/>
    <w:rsid w:val="134C5BBB"/>
    <w:rsid w:val="134E6285"/>
    <w:rsid w:val="135A1732"/>
    <w:rsid w:val="1397209E"/>
    <w:rsid w:val="13C92D07"/>
    <w:rsid w:val="13CD3E08"/>
    <w:rsid w:val="13F310AE"/>
    <w:rsid w:val="14167F76"/>
    <w:rsid w:val="14191CF2"/>
    <w:rsid w:val="147321EF"/>
    <w:rsid w:val="148B58A0"/>
    <w:rsid w:val="14900FF3"/>
    <w:rsid w:val="14977E3D"/>
    <w:rsid w:val="14B0449D"/>
    <w:rsid w:val="14B533C4"/>
    <w:rsid w:val="14B86B4C"/>
    <w:rsid w:val="14C101F2"/>
    <w:rsid w:val="14FD2A2E"/>
    <w:rsid w:val="15180D96"/>
    <w:rsid w:val="15323E58"/>
    <w:rsid w:val="15A840C0"/>
    <w:rsid w:val="15B51EBB"/>
    <w:rsid w:val="15E65197"/>
    <w:rsid w:val="15F30981"/>
    <w:rsid w:val="16026FC5"/>
    <w:rsid w:val="160E4365"/>
    <w:rsid w:val="16170A96"/>
    <w:rsid w:val="162064D4"/>
    <w:rsid w:val="162345C8"/>
    <w:rsid w:val="162C3E84"/>
    <w:rsid w:val="16346CDA"/>
    <w:rsid w:val="163721F6"/>
    <w:rsid w:val="16571DC8"/>
    <w:rsid w:val="16C32FBA"/>
    <w:rsid w:val="16F7649D"/>
    <w:rsid w:val="173A45C7"/>
    <w:rsid w:val="174B0F64"/>
    <w:rsid w:val="17585119"/>
    <w:rsid w:val="17804C49"/>
    <w:rsid w:val="179320EF"/>
    <w:rsid w:val="17AD232F"/>
    <w:rsid w:val="17AE7F28"/>
    <w:rsid w:val="17DD4584"/>
    <w:rsid w:val="17E67BA5"/>
    <w:rsid w:val="17F303AB"/>
    <w:rsid w:val="18083DFB"/>
    <w:rsid w:val="18090EA0"/>
    <w:rsid w:val="181264F6"/>
    <w:rsid w:val="182757CA"/>
    <w:rsid w:val="185C1918"/>
    <w:rsid w:val="18972950"/>
    <w:rsid w:val="18A35B99"/>
    <w:rsid w:val="18AC2696"/>
    <w:rsid w:val="18BE5269"/>
    <w:rsid w:val="18C957B4"/>
    <w:rsid w:val="18F84635"/>
    <w:rsid w:val="192D5062"/>
    <w:rsid w:val="194859F8"/>
    <w:rsid w:val="19A1335A"/>
    <w:rsid w:val="19B762FA"/>
    <w:rsid w:val="19D004E0"/>
    <w:rsid w:val="19F53DD2"/>
    <w:rsid w:val="1A033074"/>
    <w:rsid w:val="1A0B483B"/>
    <w:rsid w:val="1A1D2521"/>
    <w:rsid w:val="1A1E0BAE"/>
    <w:rsid w:val="1A240213"/>
    <w:rsid w:val="1A295871"/>
    <w:rsid w:val="1A5D647B"/>
    <w:rsid w:val="1A673CEA"/>
    <w:rsid w:val="1A916129"/>
    <w:rsid w:val="1AAE3F81"/>
    <w:rsid w:val="1AF20311"/>
    <w:rsid w:val="1AFA10B4"/>
    <w:rsid w:val="1B4346C9"/>
    <w:rsid w:val="1B5102A2"/>
    <w:rsid w:val="1B7039AB"/>
    <w:rsid w:val="1B7927E1"/>
    <w:rsid w:val="1BA207EA"/>
    <w:rsid w:val="1BA7556B"/>
    <w:rsid w:val="1BC021BE"/>
    <w:rsid w:val="1C2B73EB"/>
    <w:rsid w:val="1C35459A"/>
    <w:rsid w:val="1C8A77B6"/>
    <w:rsid w:val="1CA91E93"/>
    <w:rsid w:val="1CB137B1"/>
    <w:rsid w:val="1CEE3631"/>
    <w:rsid w:val="1D1B4B41"/>
    <w:rsid w:val="1D36326B"/>
    <w:rsid w:val="1D3A04B5"/>
    <w:rsid w:val="1D50534A"/>
    <w:rsid w:val="1D6D1ED1"/>
    <w:rsid w:val="1D9531D6"/>
    <w:rsid w:val="1DAF419C"/>
    <w:rsid w:val="1DC00253"/>
    <w:rsid w:val="1DE9723B"/>
    <w:rsid w:val="1DF57095"/>
    <w:rsid w:val="1E2A7DC2"/>
    <w:rsid w:val="1E4852D2"/>
    <w:rsid w:val="1E5B61CE"/>
    <w:rsid w:val="1E7C1811"/>
    <w:rsid w:val="1EA171DE"/>
    <w:rsid w:val="1EA9518B"/>
    <w:rsid w:val="1EC549F8"/>
    <w:rsid w:val="1EDC730E"/>
    <w:rsid w:val="1F0B0AA4"/>
    <w:rsid w:val="1F220A04"/>
    <w:rsid w:val="1F3F789D"/>
    <w:rsid w:val="1F4E5D32"/>
    <w:rsid w:val="1F5A6485"/>
    <w:rsid w:val="1F613491"/>
    <w:rsid w:val="1F7E64CF"/>
    <w:rsid w:val="1F7F7912"/>
    <w:rsid w:val="1FB23296"/>
    <w:rsid w:val="1FDB586D"/>
    <w:rsid w:val="1FDC39E5"/>
    <w:rsid w:val="1FE263D9"/>
    <w:rsid w:val="200E54A2"/>
    <w:rsid w:val="201C198C"/>
    <w:rsid w:val="202F7912"/>
    <w:rsid w:val="20315BB3"/>
    <w:rsid w:val="203E408E"/>
    <w:rsid w:val="204D6D3F"/>
    <w:rsid w:val="2067016E"/>
    <w:rsid w:val="20697CA4"/>
    <w:rsid w:val="207277FE"/>
    <w:rsid w:val="2099122F"/>
    <w:rsid w:val="20995D3F"/>
    <w:rsid w:val="209F62C8"/>
    <w:rsid w:val="20E27B73"/>
    <w:rsid w:val="210E639D"/>
    <w:rsid w:val="210E7527"/>
    <w:rsid w:val="21507B40"/>
    <w:rsid w:val="2158176A"/>
    <w:rsid w:val="215C62C5"/>
    <w:rsid w:val="21617F9F"/>
    <w:rsid w:val="217D46AD"/>
    <w:rsid w:val="21A37F5E"/>
    <w:rsid w:val="21CD316E"/>
    <w:rsid w:val="21F4671D"/>
    <w:rsid w:val="21F63065"/>
    <w:rsid w:val="21FF5CA1"/>
    <w:rsid w:val="22006C6F"/>
    <w:rsid w:val="22270D7B"/>
    <w:rsid w:val="222F1E4B"/>
    <w:rsid w:val="22341ABF"/>
    <w:rsid w:val="22414C51"/>
    <w:rsid w:val="22525B39"/>
    <w:rsid w:val="226E3C76"/>
    <w:rsid w:val="22A034AB"/>
    <w:rsid w:val="22B1591D"/>
    <w:rsid w:val="22BA05C4"/>
    <w:rsid w:val="22BA74DA"/>
    <w:rsid w:val="22C96B9F"/>
    <w:rsid w:val="22E93279"/>
    <w:rsid w:val="23233E0B"/>
    <w:rsid w:val="23666E14"/>
    <w:rsid w:val="237877B4"/>
    <w:rsid w:val="238166D6"/>
    <w:rsid w:val="238F6D12"/>
    <w:rsid w:val="239D4799"/>
    <w:rsid w:val="23A96E44"/>
    <w:rsid w:val="23AB563B"/>
    <w:rsid w:val="24194B61"/>
    <w:rsid w:val="2439031E"/>
    <w:rsid w:val="24516B18"/>
    <w:rsid w:val="248162A0"/>
    <w:rsid w:val="2488449B"/>
    <w:rsid w:val="24C37889"/>
    <w:rsid w:val="24DB5972"/>
    <w:rsid w:val="24E0742D"/>
    <w:rsid w:val="250F40CF"/>
    <w:rsid w:val="251B2213"/>
    <w:rsid w:val="25220580"/>
    <w:rsid w:val="252C2926"/>
    <w:rsid w:val="25BC0CF9"/>
    <w:rsid w:val="25BD1063"/>
    <w:rsid w:val="25C603D0"/>
    <w:rsid w:val="25E1295A"/>
    <w:rsid w:val="26084D52"/>
    <w:rsid w:val="260D4BE2"/>
    <w:rsid w:val="26765306"/>
    <w:rsid w:val="26C80178"/>
    <w:rsid w:val="26E97244"/>
    <w:rsid w:val="26F64328"/>
    <w:rsid w:val="270C2497"/>
    <w:rsid w:val="272B0962"/>
    <w:rsid w:val="276A62F9"/>
    <w:rsid w:val="278F0C96"/>
    <w:rsid w:val="27A75FE0"/>
    <w:rsid w:val="27BD3A55"/>
    <w:rsid w:val="27C20290"/>
    <w:rsid w:val="27FC0A54"/>
    <w:rsid w:val="27FC3114"/>
    <w:rsid w:val="282C66F4"/>
    <w:rsid w:val="285443B9"/>
    <w:rsid w:val="286E3A95"/>
    <w:rsid w:val="286F4B27"/>
    <w:rsid w:val="28822818"/>
    <w:rsid w:val="289A78F2"/>
    <w:rsid w:val="28A15090"/>
    <w:rsid w:val="28A96393"/>
    <w:rsid w:val="28BC1F5F"/>
    <w:rsid w:val="28D472A8"/>
    <w:rsid w:val="28E219C5"/>
    <w:rsid w:val="28E97AAB"/>
    <w:rsid w:val="28F64692"/>
    <w:rsid w:val="29194CBB"/>
    <w:rsid w:val="291978BF"/>
    <w:rsid w:val="293A7B5C"/>
    <w:rsid w:val="295954BE"/>
    <w:rsid w:val="296A19BB"/>
    <w:rsid w:val="296F44AE"/>
    <w:rsid w:val="29945C87"/>
    <w:rsid w:val="29B42C36"/>
    <w:rsid w:val="29B84864"/>
    <w:rsid w:val="29DF5F05"/>
    <w:rsid w:val="29E613D2"/>
    <w:rsid w:val="29F64FB2"/>
    <w:rsid w:val="29FB2DF4"/>
    <w:rsid w:val="2A071B7B"/>
    <w:rsid w:val="2A841058"/>
    <w:rsid w:val="2A8E293F"/>
    <w:rsid w:val="2A992557"/>
    <w:rsid w:val="2AD417E1"/>
    <w:rsid w:val="2B1714AE"/>
    <w:rsid w:val="2B193698"/>
    <w:rsid w:val="2B255B99"/>
    <w:rsid w:val="2B3716F4"/>
    <w:rsid w:val="2B436649"/>
    <w:rsid w:val="2B5779B0"/>
    <w:rsid w:val="2B5B15BB"/>
    <w:rsid w:val="2B683CD8"/>
    <w:rsid w:val="2B770D10"/>
    <w:rsid w:val="2BA27ADE"/>
    <w:rsid w:val="2BB94533"/>
    <w:rsid w:val="2BBA37CC"/>
    <w:rsid w:val="2BC43604"/>
    <w:rsid w:val="2C027766"/>
    <w:rsid w:val="2C0C3BCF"/>
    <w:rsid w:val="2C414D95"/>
    <w:rsid w:val="2C8D7BF5"/>
    <w:rsid w:val="2CA05A2F"/>
    <w:rsid w:val="2CEB5A30"/>
    <w:rsid w:val="2CEC38AD"/>
    <w:rsid w:val="2CEF46B1"/>
    <w:rsid w:val="2CF04A01"/>
    <w:rsid w:val="2D033360"/>
    <w:rsid w:val="2D1733F4"/>
    <w:rsid w:val="2D7B7CF2"/>
    <w:rsid w:val="2D7D5D22"/>
    <w:rsid w:val="2D8255EA"/>
    <w:rsid w:val="2D9042F7"/>
    <w:rsid w:val="2DA3549B"/>
    <w:rsid w:val="2DA94C44"/>
    <w:rsid w:val="2DB01A8B"/>
    <w:rsid w:val="2DE2190A"/>
    <w:rsid w:val="2DE25A5C"/>
    <w:rsid w:val="2DE81100"/>
    <w:rsid w:val="2E0010B6"/>
    <w:rsid w:val="2E006B8C"/>
    <w:rsid w:val="2E0E2570"/>
    <w:rsid w:val="2E0F0315"/>
    <w:rsid w:val="2E357766"/>
    <w:rsid w:val="2E734E6D"/>
    <w:rsid w:val="2E831921"/>
    <w:rsid w:val="2EBD433B"/>
    <w:rsid w:val="2EC90CB2"/>
    <w:rsid w:val="2ED0406E"/>
    <w:rsid w:val="2EDC0C65"/>
    <w:rsid w:val="2EEA060A"/>
    <w:rsid w:val="2EF04710"/>
    <w:rsid w:val="2F007C77"/>
    <w:rsid w:val="2F8D01B1"/>
    <w:rsid w:val="2F923E59"/>
    <w:rsid w:val="2F945CA6"/>
    <w:rsid w:val="2F9F3BDD"/>
    <w:rsid w:val="2FC21809"/>
    <w:rsid w:val="2FC4125A"/>
    <w:rsid w:val="2FC53EE8"/>
    <w:rsid w:val="2FFC5F2B"/>
    <w:rsid w:val="30265759"/>
    <w:rsid w:val="303A5E14"/>
    <w:rsid w:val="30C714A1"/>
    <w:rsid w:val="311F752F"/>
    <w:rsid w:val="313E370F"/>
    <w:rsid w:val="314A4662"/>
    <w:rsid w:val="31741356"/>
    <w:rsid w:val="318C0368"/>
    <w:rsid w:val="31911787"/>
    <w:rsid w:val="319D78B0"/>
    <w:rsid w:val="31BC0ADA"/>
    <w:rsid w:val="31C60238"/>
    <w:rsid w:val="31D01271"/>
    <w:rsid w:val="31D653A3"/>
    <w:rsid w:val="31EF5F18"/>
    <w:rsid w:val="31FA4AC8"/>
    <w:rsid w:val="32333EA9"/>
    <w:rsid w:val="32546CA0"/>
    <w:rsid w:val="326C5718"/>
    <w:rsid w:val="329A1673"/>
    <w:rsid w:val="32A51DC8"/>
    <w:rsid w:val="32B67A1F"/>
    <w:rsid w:val="32DF4AE5"/>
    <w:rsid w:val="32EB3CD2"/>
    <w:rsid w:val="330C2BF8"/>
    <w:rsid w:val="33723946"/>
    <w:rsid w:val="33A61841"/>
    <w:rsid w:val="33AF0F01"/>
    <w:rsid w:val="33BC7A94"/>
    <w:rsid w:val="33C8695B"/>
    <w:rsid w:val="33DB54A3"/>
    <w:rsid w:val="3411315F"/>
    <w:rsid w:val="344568A1"/>
    <w:rsid w:val="34874D6D"/>
    <w:rsid w:val="34F860CC"/>
    <w:rsid w:val="35127C40"/>
    <w:rsid w:val="356561A3"/>
    <w:rsid w:val="357065AB"/>
    <w:rsid w:val="3596C43B"/>
    <w:rsid w:val="35B65F90"/>
    <w:rsid w:val="35D12C2E"/>
    <w:rsid w:val="35E87A5C"/>
    <w:rsid w:val="35F050E6"/>
    <w:rsid w:val="35F9034E"/>
    <w:rsid w:val="35FA15C4"/>
    <w:rsid w:val="361B172B"/>
    <w:rsid w:val="3623361D"/>
    <w:rsid w:val="362C24D2"/>
    <w:rsid w:val="363173CA"/>
    <w:rsid w:val="36365678"/>
    <w:rsid w:val="367D6516"/>
    <w:rsid w:val="367F40C0"/>
    <w:rsid w:val="36BD75CE"/>
    <w:rsid w:val="36F323F5"/>
    <w:rsid w:val="36F87798"/>
    <w:rsid w:val="36FC2166"/>
    <w:rsid w:val="37144761"/>
    <w:rsid w:val="37395214"/>
    <w:rsid w:val="373E51E5"/>
    <w:rsid w:val="374C7630"/>
    <w:rsid w:val="37601CE4"/>
    <w:rsid w:val="3767355B"/>
    <w:rsid w:val="376C3659"/>
    <w:rsid w:val="377341F2"/>
    <w:rsid w:val="37A42021"/>
    <w:rsid w:val="37AE6800"/>
    <w:rsid w:val="37E37BC3"/>
    <w:rsid w:val="37EA397F"/>
    <w:rsid w:val="38006273"/>
    <w:rsid w:val="381A6C57"/>
    <w:rsid w:val="38376F0C"/>
    <w:rsid w:val="383C110A"/>
    <w:rsid w:val="384314FF"/>
    <w:rsid w:val="384C6BE9"/>
    <w:rsid w:val="385763E2"/>
    <w:rsid w:val="386A72E1"/>
    <w:rsid w:val="38700830"/>
    <w:rsid w:val="38DA4721"/>
    <w:rsid w:val="38E41138"/>
    <w:rsid w:val="3924159A"/>
    <w:rsid w:val="395D0BF4"/>
    <w:rsid w:val="39722617"/>
    <w:rsid w:val="39901513"/>
    <w:rsid w:val="39B649A9"/>
    <w:rsid w:val="39B71E8B"/>
    <w:rsid w:val="39CD3FCC"/>
    <w:rsid w:val="3A00686D"/>
    <w:rsid w:val="3A064DE8"/>
    <w:rsid w:val="3AA675AB"/>
    <w:rsid w:val="3AB1520D"/>
    <w:rsid w:val="3AC51CA4"/>
    <w:rsid w:val="3ADF67F8"/>
    <w:rsid w:val="3AF13CEA"/>
    <w:rsid w:val="3B031DF5"/>
    <w:rsid w:val="3B1C7BAB"/>
    <w:rsid w:val="3B201ED9"/>
    <w:rsid w:val="3B606680"/>
    <w:rsid w:val="3B6E0E96"/>
    <w:rsid w:val="3B8E32E7"/>
    <w:rsid w:val="3BD74C8E"/>
    <w:rsid w:val="3C0B1B58"/>
    <w:rsid w:val="3C123F18"/>
    <w:rsid w:val="3C3A6FCB"/>
    <w:rsid w:val="3C4702F9"/>
    <w:rsid w:val="3C4F58FF"/>
    <w:rsid w:val="3C641422"/>
    <w:rsid w:val="3CA313BA"/>
    <w:rsid w:val="3CB43221"/>
    <w:rsid w:val="3CD72A6B"/>
    <w:rsid w:val="3D0B1DAF"/>
    <w:rsid w:val="3D204412"/>
    <w:rsid w:val="3D7D3613"/>
    <w:rsid w:val="3D9B51C8"/>
    <w:rsid w:val="3DB34E02"/>
    <w:rsid w:val="3DD551FD"/>
    <w:rsid w:val="3DFC6C2D"/>
    <w:rsid w:val="3E0E4BB3"/>
    <w:rsid w:val="3E173ED3"/>
    <w:rsid w:val="3E252951"/>
    <w:rsid w:val="3E315E25"/>
    <w:rsid w:val="3E341EE4"/>
    <w:rsid w:val="3E64108F"/>
    <w:rsid w:val="3E9C5D1B"/>
    <w:rsid w:val="3EA71899"/>
    <w:rsid w:val="3ED24894"/>
    <w:rsid w:val="3EF965BF"/>
    <w:rsid w:val="3F8A0269"/>
    <w:rsid w:val="3F9343B1"/>
    <w:rsid w:val="3FAF1C5C"/>
    <w:rsid w:val="3FC263A3"/>
    <w:rsid w:val="3FD47D3C"/>
    <w:rsid w:val="3FFB246D"/>
    <w:rsid w:val="3FFFC1FA"/>
    <w:rsid w:val="4028224B"/>
    <w:rsid w:val="403E177F"/>
    <w:rsid w:val="40512B35"/>
    <w:rsid w:val="406C48E9"/>
    <w:rsid w:val="40827FFF"/>
    <w:rsid w:val="408D45F4"/>
    <w:rsid w:val="40B76F9B"/>
    <w:rsid w:val="41270465"/>
    <w:rsid w:val="41322966"/>
    <w:rsid w:val="419158DF"/>
    <w:rsid w:val="41BE6D4A"/>
    <w:rsid w:val="41CE5DC8"/>
    <w:rsid w:val="41D659E7"/>
    <w:rsid w:val="41F30347"/>
    <w:rsid w:val="421C26BA"/>
    <w:rsid w:val="4230334A"/>
    <w:rsid w:val="42621375"/>
    <w:rsid w:val="42812ADD"/>
    <w:rsid w:val="42A44E20"/>
    <w:rsid w:val="42B76D04"/>
    <w:rsid w:val="42BB3A72"/>
    <w:rsid w:val="42F67EB6"/>
    <w:rsid w:val="43385F51"/>
    <w:rsid w:val="4342195A"/>
    <w:rsid w:val="434D2A73"/>
    <w:rsid w:val="43574BB7"/>
    <w:rsid w:val="435D560C"/>
    <w:rsid w:val="43755877"/>
    <w:rsid w:val="437B4446"/>
    <w:rsid w:val="43A264CC"/>
    <w:rsid w:val="43C55D14"/>
    <w:rsid w:val="43CD72CD"/>
    <w:rsid w:val="444A066B"/>
    <w:rsid w:val="447B05C2"/>
    <w:rsid w:val="44885BCC"/>
    <w:rsid w:val="44BA12C5"/>
    <w:rsid w:val="44EF308A"/>
    <w:rsid w:val="450B4B90"/>
    <w:rsid w:val="451C7BB5"/>
    <w:rsid w:val="452033C9"/>
    <w:rsid w:val="453E182A"/>
    <w:rsid w:val="453E2FB2"/>
    <w:rsid w:val="454F73C5"/>
    <w:rsid w:val="45561319"/>
    <w:rsid w:val="4557764A"/>
    <w:rsid w:val="45581C96"/>
    <w:rsid w:val="455972A2"/>
    <w:rsid w:val="458C797C"/>
    <w:rsid w:val="45967968"/>
    <w:rsid w:val="459A2745"/>
    <w:rsid w:val="459C0CF6"/>
    <w:rsid w:val="459E039E"/>
    <w:rsid w:val="45AF4585"/>
    <w:rsid w:val="45B7168C"/>
    <w:rsid w:val="45C76CFE"/>
    <w:rsid w:val="45DF66FA"/>
    <w:rsid w:val="45EC3A2B"/>
    <w:rsid w:val="45EE2A97"/>
    <w:rsid w:val="4687180A"/>
    <w:rsid w:val="46B74672"/>
    <w:rsid w:val="46CF66C7"/>
    <w:rsid w:val="46D43586"/>
    <w:rsid w:val="46F54B62"/>
    <w:rsid w:val="46FC2D1A"/>
    <w:rsid w:val="47402BAF"/>
    <w:rsid w:val="478657BA"/>
    <w:rsid w:val="47986858"/>
    <w:rsid w:val="479E0756"/>
    <w:rsid w:val="47C26A30"/>
    <w:rsid w:val="47C702AC"/>
    <w:rsid w:val="47C7594E"/>
    <w:rsid w:val="47D73069"/>
    <w:rsid w:val="47F720A4"/>
    <w:rsid w:val="48465ECA"/>
    <w:rsid w:val="48710218"/>
    <w:rsid w:val="487D29FD"/>
    <w:rsid w:val="488C32A4"/>
    <w:rsid w:val="48A2393D"/>
    <w:rsid w:val="48A5352E"/>
    <w:rsid w:val="48A900C1"/>
    <w:rsid w:val="48C7608A"/>
    <w:rsid w:val="48F505C4"/>
    <w:rsid w:val="48FD5465"/>
    <w:rsid w:val="490C7F41"/>
    <w:rsid w:val="490F647D"/>
    <w:rsid w:val="49273A2C"/>
    <w:rsid w:val="493F4F31"/>
    <w:rsid w:val="497F37F3"/>
    <w:rsid w:val="498C6C0D"/>
    <w:rsid w:val="498D2E30"/>
    <w:rsid w:val="49942410"/>
    <w:rsid w:val="49A46125"/>
    <w:rsid w:val="49D272EA"/>
    <w:rsid w:val="4A0A4480"/>
    <w:rsid w:val="4A49144C"/>
    <w:rsid w:val="4A767D68"/>
    <w:rsid w:val="4A9F11D0"/>
    <w:rsid w:val="4AC7617F"/>
    <w:rsid w:val="4ACA7DDC"/>
    <w:rsid w:val="4AE172D6"/>
    <w:rsid w:val="4B071912"/>
    <w:rsid w:val="4B2A3AB6"/>
    <w:rsid w:val="4B362756"/>
    <w:rsid w:val="4B687C92"/>
    <w:rsid w:val="4B756271"/>
    <w:rsid w:val="4B961C5B"/>
    <w:rsid w:val="4BAF6637"/>
    <w:rsid w:val="4BB962D8"/>
    <w:rsid w:val="4BBC5C4E"/>
    <w:rsid w:val="4BC05CB0"/>
    <w:rsid w:val="4BD33066"/>
    <w:rsid w:val="4BF2747E"/>
    <w:rsid w:val="4BF313AD"/>
    <w:rsid w:val="4C0513A3"/>
    <w:rsid w:val="4C2630C7"/>
    <w:rsid w:val="4C464FC8"/>
    <w:rsid w:val="4C6C6083"/>
    <w:rsid w:val="4CAE37E9"/>
    <w:rsid w:val="4CBB0059"/>
    <w:rsid w:val="4CE74F4D"/>
    <w:rsid w:val="4CF136D5"/>
    <w:rsid w:val="4D243AAB"/>
    <w:rsid w:val="4D587E56"/>
    <w:rsid w:val="4D706CF0"/>
    <w:rsid w:val="4DBB5EBB"/>
    <w:rsid w:val="4DE218F6"/>
    <w:rsid w:val="4DE90850"/>
    <w:rsid w:val="4E006CE5"/>
    <w:rsid w:val="4E220134"/>
    <w:rsid w:val="4E252EB1"/>
    <w:rsid w:val="4E2F572B"/>
    <w:rsid w:val="4E4B2BCE"/>
    <w:rsid w:val="4E5B1088"/>
    <w:rsid w:val="4E6E26C1"/>
    <w:rsid w:val="4E7A455F"/>
    <w:rsid w:val="4E7E6965"/>
    <w:rsid w:val="4E813A0E"/>
    <w:rsid w:val="4E832398"/>
    <w:rsid w:val="4E93713A"/>
    <w:rsid w:val="4E962786"/>
    <w:rsid w:val="4EB8278F"/>
    <w:rsid w:val="4ED60DD5"/>
    <w:rsid w:val="4EE01C53"/>
    <w:rsid w:val="4EE14027"/>
    <w:rsid w:val="4EE74D90"/>
    <w:rsid w:val="4F24332B"/>
    <w:rsid w:val="4F7A2B6A"/>
    <w:rsid w:val="4F8627FB"/>
    <w:rsid w:val="4FBF3F5F"/>
    <w:rsid w:val="4FF84D7B"/>
    <w:rsid w:val="4FFF4220"/>
    <w:rsid w:val="50262A39"/>
    <w:rsid w:val="502F2E92"/>
    <w:rsid w:val="50665F3A"/>
    <w:rsid w:val="5124051D"/>
    <w:rsid w:val="512C5262"/>
    <w:rsid w:val="515B2DD4"/>
    <w:rsid w:val="51775277"/>
    <w:rsid w:val="518C7D56"/>
    <w:rsid w:val="51A97837"/>
    <w:rsid w:val="51B7313F"/>
    <w:rsid w:val="51ED19A7"/>
    <w:rsid w:val="52083D60"/>
    <w:rsid w:val="52112442"/>
    <w:rsid w:val="523D1870"/>
    <w:rsid w:val="523E0316"/>
    <w:rsid w:val="52432C25"/>
    <w:rsid w:val="526D7CA2"/>
    <w:rsid w:val="52831274"/>
    <w:rsid w:val="52B953EE"/>
    <w:rsid w:val="52E0712E"/>
    <w:rsid w:val="52F91536"/>
    <w:rsid w:val="5332556B"/>
    <w:rsid w:val="533F2CD7"/>
    <w:rsid w:val="53762B86"/>
    <w:rsid w:val="538705D8"/>
    <w:rsid w:val="539B2D7F"/>
    <w:rsid w:val="53BA722F"/>
    <w:rsid w:val="53D12B98"/>
    <w:rsid w:val="53EDDAE1"/>
    <w:rsid w:val="5476724B"/>
    <w:rsid w:val="548B2CDE"/>
    <w:rsid w:val="54B0031A"/>
    <w:rsid w:val="54C20AE3"/>
    <w:rsid w:val="54E16E71"/>
    <w:rsid w:val="54E83610"/>
    <w:rsid w:val="54FC70BB"/>
    <w:rsid w:val="54FFFF0B"/>
    <w:rsid w:val="551B15D4"/>
    <w:rsid w:val="55295C24"/>
    <w:rsid w:val="553C5AD3"/>
    <w:rsid w:val="55495C19"/>
    <w:rsid w:val="556F3D31"/>
    <w:rsid w:val="558B4C74"/>
    <w:rsid w:val="560735CB"/>
    <w:rsid w:val="5613389B"/>
    <w:rsid w:val="561476F1"/>
    <w:rsid w:val="56156687"/>
    <w:rsid w:val="56203972"/>
    <w:rsid w:val="56233B72"/>
    <w:rsid w:val="563C1E65"/>
    <w:rsid w:val="564210F2"/>
    <w:rsid w:val="56640F01"/>
    <w:rsid w:val="56660C90"/>
    <w:rsid w:val="566A0472"/>
    <w:rsid w:val="56961FB0"/>
    <w:rsid w:val="56C34335"/>
    <w:rsid w:val="56C41E5B"/>
    <w:rsid w:val="570B3812"/>
    <w:rsid w:val="5721408F"/>
    <w:rsid w:val="57281726"/>
    <w:rsid w:val="57315742"/>
    <w:rsid w:val="57462435"/>
    <w:rsid w:val="576241E7"/>
    <w:rsid w:val="578C4726"/>
    <w:rsid w:val="57AF0129"/>
    <w:rsid w:val="57C2639A"/>
    <w:rsid w:val="57EC78BB"/>
    <w:rsid w:val="57EE53E1"/>
    <w:rsid w:val="57F87BFC"/>
    <w:rsid w:val="580F786D"/>
    <w:rsid w:val="58190916"/>
    <w:rsid w:val="582853EE"/>
    <w:rsid w:val="58315A07"/>
    <w:rsid w:val="585D4315"/>
    <w:rsid w:val="58602694"/>
    <w:rsid w:val="58CA2B7E"/>
    <w:rsid w:val="58E915E1"/>
    <w:rsid w:val="58FC58DC"/>
    <w:rsid w:val="591B0458"/>
    <w:rsid w:val="591E70ED"/>
    <w:rsid w:val="593A085A"/>
    <w:rsid w:val="59401C6C"/>
    <w:rsid w:val="594B2722"/>
    <w:rsid w:val="59652875"/>
    <w:rsid w:val="597E2795"/>
    <w:rsid w:val="59856ABB"/>
    <w:rsid w:val="599F0FC0"/>
    <w:rsid w:val="59B44408"/>
    <w:rsid w:val="59C252E3"/>
    <w:rsid w:val="59DA34D3"/>
    <w:rsid w:val="59F5119F"/>
    <w:rsid w:val="59F86D18"/>
    <w:rsid w:val="5A46704F"/>
    <w:rsid w:val="5A570B12"/>
    <w:rsid w:val="5A6B71C0"/>
    <w:rsid w:val="5A9B7AF8"/>
    <w:rsid w:val="5AC510D8"/>
    <w:rsid w:val="5B1334BD"/>
    <w:rsid w:val="5B340D27"/>
    <w:rsid w:val="5B4E6B6A"/>
    <w:rsid w:val="5B514F34"/>
    <w:rsid w:val="5B5E39D4"/>
    <w:rsid w:val="5B645576"/>
    <w:rsid w:val="5B765E19"/>
    <w:rsid w:val="5B7E5570"/>
    <w:rsid w:val="5B96626C"/>
    <w:rsid w:val="5BC50F1E"/>
    <w:rsid w:val="5BFB6078"/>
    <w:rsid w:val="5BFC2075"/>
    <w:rsid w:val="5C262B42"/>
    <w:rsid w:val="5C2B271B"/>
    <w:rsid w:val="5C541A56"/>
    <w:rsid w:val="5C5E02AA"/>
    <w:rsid w:val="5C7B2F69"/>
    <w:rsid w:val="5C864CB9"/>
    <w:rsid w:val="5CAE3391"/>
    <w:rsid w:val="5CB40002"/>
    <w:rsid w:val="5CCD0040"/>
    <w:rsid w:val="5CD32DF8"/>
    <w:rsid w:val="5CED1498"/>
    <w:rsid w:val="5CED6664"/>
    <w:rsid w:val="5CFB5454"/>
    <w:rsid w:val="5D211DB5"/>
    <w:rsid w:val="5D2A52D5"/>
    <w:rsid w:val="5D387514"/>
    <w:rsid w:val="5D5850AB"/>
    <w:rsid w:val="5D6F4EE6"/>
    <w:rsid w:val="5DA20BF8"/>
    <w:rsid w:val="5DB93D9B"/>
    <w:rsid w:val="5DD46E27"/>
    <w:rsid w:val="5DD76E52"/>
    <w:rsid w:val="5DE97722"/>
    <w:rsid w:val="5DED0247"/>
    <w:rsid w:val="5E0413D2"/>
    <w:rsid w:val="5E224037"/>
    <w:rsid w:val="5E3102B7"/>
    <w:rsid w:val="5E7EE6CF"/>
    <w:rsid w:val="5E850121"/>
    <w:rsid w:val="5E895E64"/>
    <w:rsid w:val="5E9C37FC"/>
    <w:rsid w:val="5EC7073A"/>
    <w:rsid w:val="5ECE0C99"/>
    <w:rsid w:val="5ED82F1E"/>
    <w:rsid w:val="5EFC6CE8"/>
    <w:rsid w:val="5F227E41"/>
    <w:rsid w:val="5F3F29C6"/>
    <w:rsid w:val="5F46B588"/>
    <w:rsid w:val="5F4B4125"/>
    <w:rsid w:val="5F54747A"/>
    <w:rsid w:val="5F7C7776"/>
    <w:rsid w:val="5F7FFD4F"/>
    <w:rsid w:val="5F8B79B9"/>
    <w:rsid w:val="5F926C73"/>
    <w:rsid w:val="5F9C25EB"/>
    <w:rsid w:val="5FBA4847"/>
    <w:rsid w:val="5FE573FE"/>
    <w:rsid w:val="5FFFD1F5"/>
    <w:rsid w:val="60010B5C"/>
    <w:rsid w:val="60107EBF"/>
    <w:rsid w:val="60821E6A"/>
    <w:rsid w:val="60844B35"/>
    <w:rsid w:val="60AA1E23"/>
    <w:rsid w:val="60BA67A8"/>
    <w:rsid w:val="60ED133B"/>
    <w:rsid w:val="614248F6"/>
    <w:rsid w:val="618142E9"/>
    <w:rsid w:val="61E75F0E"/>
    <w:rsid w:val="62214605"/>
    <w:rsid w:val="62314848"/>
    <w:rsid w:val="623E3FDC"/>
    <w:rsid w:val="6247481B"/>
    <w:rsid w:val="624A3B5C"/>
    <w:rsid w:val="62533A5E"/>
    <w:rsid w:val="6266691D"/>
    <w:rsid w:val="626E627E"/>
    <w:rsid w:val="6274183A"/>
    <w:rsid w:val="6291178B"/>
    <w:rsid w:val="62BF0318"/>
    <w:rsid w:val="62D376AD"/>
    <w:rsid w:val="62EF7724"/>
    <w:rsid w:val="62FD0BCE"/>
    <w:rsid w:val="63135EB6"/>
    <w:rsid w:val="63176BC1"/>
    <w:rsid w:val="63516A1D"/>
    <w:rsid w:val="636841E4"/>
    <w:rsid w:val="63870ACB"/>
    <w:rsid w:val="63A465FE"/>
    <w:rsid w:val="63BA6121"/>
    <w:rsid w:val="63D55497"/>
    <w:rsid w:val="640874FB"/>
    <w:rsid w:val="641F078E"/>
    <w:rsid w:val="64517626"/>
    <w:rsid w:val="645D1881"/>
    <w:rsid w:val="64B65F8C"/>
    <w:rsid w:val="64D321EA"/>
    <w:rsid w:val="64F8789F"/>
    <w:rsid w:val="65247FC2"/>
    <w:rsid w:val="654D56C2"/>
    <w:rsid w:val="655E0273"/>
    <w:rsid w:val="656E20ED"/>
    <w:rsid w:val="65855276"/>
    <w:rsid w:val="65A11CE5"/>
    <w:rsid w:val="65A92FE7"/>
    <w:rsid w:val="65B81595"/>
    <w:rsid w:val="65D13C66"/>
    <w:rsid w:val="65EC66FB"/>
    <w:rsid w:val="6607190C"/>
    <w:rsid w:val="661321D0"/>
    <w:rsid w:val="66133725"/>
    <w:rsid w:val="6619158C"/>
    <w:rsid w:val="66342B59"/>
    <w:rsid w:val="66351800"/>
    <w:rsid w:val="663D4A55"/>
    <w:rsid w:val="66482160"/>
    <w:rsid w:val="6655487D"/>
    <w:rsid w:val="666C41D5"/>
    <w:rsid w:val="668E08CF"/>
    <w:rsid w:val="66A422E0"/>
    <w:rsid w:val="66EE541F"/>
    <w:rsid w:val="66F93BC2"/>
    <w:rsid w:val="66F978FF"/>
    <w:rsid w:val="66FD8044"/>
    <w:rsid w:val="67051F66"/>
    <w:rsid w:val="670A38BA"/>
    <w:rsid w:val="67173F2B"/>
    <w:rsid w:val="674C4047"/>
    <w:rsid w:val="67765B18"/>
    <w:rsid w:val="67784A62"/>
    <w:rsid w:val="679FDE76"/>
    <w:rsid w:val="67BA43F9"/>
    <w:rsid w:val="67CF1FD9"/>
    <w:rsid w:val="680B4F55"/>
    <w:rsid w:val="68383FB2"/>
    <w:rsid w:val="68550B65"/>
    <w:rsid w:val="686749DF"/>
    <w:rsid w:val="687D5B3A"/>
    <w:rsid w:val="68831B76"/>
    <w:rsid w:val="689E27D8"/>
    <w:rsid w:val="68AD6BF3"/>
    <w:rsid w:val="68BE7D5D"/>
    <w:rsid w:val="68F56AC0"/>
    <w:rsid w:val="694158BA"/>
    <w:rsid w:val="69580E19"/>
    <w:rsid w:val="69752A46"/>
    <w:rsid w:val="69B226F6"/>
    <w:rsid w:val="6A100D9D"/>
    <w:rsid w:val="6A3525FE"/>
    <w:rsid w:val="6A507835"/>
    <w:rsid w:val="6A6D03E7"/>
    <w:rsid w:val="6A745C1A"/>
    <w:rsid w:val="6A7614C5"/>
    <w:rsid w:val="6A824FD8"/>
    <w:rsid w:val="6AA2764F"/>
    <w:rsid w:val="6AA9764E"/>
    <w:rsid w:val="6AD00C70"/>
    <w:rsid w:val="6AD0590A"/>
    <w:rsid w:val="6AD643AB"/>
    <w:rsid w:val="6B0A61AB"/>
    <w:rsid w:val="6B1E16E2"/>
    <w:rsid w:val="6B321631"/>
    <w:rsid w:val="6B3C1D2C"/>
    <w:rsid w:val="6B4F3F91"/>
    <w:rsid w:val="6B5130A5"/>
    <w:rsid w:val="6B621521"/>
    <w:rsid w:val="6BBF1117"/>
    <w:rsid w:val="6BDB5825"/>
    <w:rsid w:val="6C2216A6"/>
    <w:rsid w:val="6C3867D3"/>
    <w:rsid w:val="6C6C1C59"/>
    <w:rsid w:val="6C7F08A6"/>
    <w:rsid w:val="6C8C6B1F"/>
    <w:rsid w:val="6C8D5079"/>
    <w:rsid w:val="6CC462B9"/>
    <w:rsid w:val="6CF43042"/>
    <w:rsid w:val="6CF66663"/>
    <w:rsid w:val="6D2D3779"/>
    <w:rsid w:val="6D633D24"/>
    <w:rsid w:val="6D912FC0"/>
    <w:rsid w:val="6DE0700D"/>
    <w:rsid w:val="6DFE1560"/>
    <w:rsid w:val="6DFF3A4C"/>
    <w:rsid w:val="6E113C3D"/>
    <w:rsid w:val="6E1169EB"/>
    <w:rsid w:val="6E44358E"/>
    <w:rsid w:val="6E5A6DD8"/>
    <w:rsid w:val="6E60350F"/>
    <w:rsid w:val="6E902451"/>
    <w:rsid w:val="6EA33813"/>
    <w:rsid w:val="6EC16F54"/>
    <w:rsid w:val="6ED51789"/>
    <w:rsid w:val="6EDD3662"/>
    <w:rsid w:val="6EEE38AE"/>
    <w:rsid w:val="6EF71A38"/>
    <w:rsid w:val="6F4C0C88"/>
    <w:rsid w:val="6F55769C"/>
    <w:rsid w:val="6F9401C4"/>
    <w:rsid w:val="6FB96A17"/>
    <w:rsid w:val="6FD35191"/>
    <w:rsid w:val="6FDD6EC8"/>
    <w:rsid w:val="6FE17A74"/>
    <w:rsid w:val="6FE525AD"/>
    <w:rsid w:val="6FEAF127"/>
    <w:rsid w:val="6FEF4BC1"/>
    <w:rsid w:val="6FF869A5"/>
    <w:rsid w:val="70147557"/>
    <w:rsid w:val="703B0F88"/>
    <w:rsid w:val="70657242"/>
    <w:rsid w:val="709F5ABC"/>
    <w:rsid w:val="70BA0BB0"/>
    <w:rsid w:val="70E13CE2"/>
    <w:rsid w:val="714A6E09"/>
    <w:rsid w:val="71662034"/>
    <w:rsid w:val="717464FF"/>
    <w:rsid w:val="717DEA0A"/>
    <w:rsid w:val="718166DC"/>
    <w:rsid w:val="71A82C6B"/>
    <w:rsid w:val="71DF511D"/>
    <w:rsid w:val="72402885"/>
    <w:rsid w:val="724871B1"/>
    <w:rsid w:val="72606E27"/>
    <w:rsid w:val="726B5B54"/>
    <w:rsid w:val="72987C72"/>
    <w:rsid w:val="72CF7CED"/>
    <w:rsid w:val="7303155D"/>
    <w:rsid w:val="73335F46"/>
    <w:rsid w:val="73532145"/>
    <w:rsid w:val="73560B68"/>
    <w:rsid w:val="735F4F8D"/>
    <w:rsid w:val="737138B7"/>
    <w:rsid w:val="738A5F2E"/>
    <w:rsid w:val="73B81FCF"/>
    <w:rsid w:val="73D45817"/>
    <w:rsid w:val="73EF6740"/>
    <w:rsid w:val="73F05BE5"/>
    <w:rsid w:val="73F13E37"/>
    <w:rsid w:val="74352E35"/>
    <w:rsid w:val="74510D7A"/>
    <w:rsid w:val="7457436A"/>
    <w:rsid w:val="7463285B"/>
    <w:rsid w:val="746565D3"/>
    <w:rsid w:val="74D53759"/>
    <w:rsid w:val="74D921A7"/>
    <w:rsid w:val="74EF6244"/>
    <w:rsid w:val="74FC0CE6"/>
    <w:rsid w:val="752E71B0"/>
    <w:rsid w:val="7530098F"/>
    <w:rsid w:val="75375EDA"/>
    <w:rsid w:val="754224A6"/>
    <w:rsid w:val="7554685F"/>
    <w:rsid w:val="756F3D20"/>
    <w:rsid w:val="757E5B9F"/>
    <w:rsid w:val="757F440F"/>
    <w:rsid w:val="75894508"/>
    <w:rsid w:val="759314D1"/>
    <w:rsid w:val="7597249A"/>
    <w:rsid w:val="759A04FF"/>
    <w:rsid w:val="759F5B15"/>
    <w:rsid w:val="75A32B34"/>
    <w:rsid w:val="75B82733"/>
    <w:rsid w:val="75B94E29"/>
    <w:rsid w:val="75BA7285"/>
    <w:rsid w:val="75D7A5D4"/>
    <w:rsid w:val="75FE0A8D"/>
    <w:rsid w:val="75FF8BC0"/>
    <w:rsid w:val="76197675"/>
    <w:rsid w:val="764C4529"/>
    <w:rsid w:val="768C75A0"/>
    <w:rsid w:val="76D139CE"/>
    <w:rsid w:val="76FC2343"/>
    <w:rsid w:val="76FC66BF"/>
    <w:rsid w:val="76FD6684"/>
    <w:rsid w:val="77233296"/>
    <w:rsid w:val="77763C02"/>
    <w:rsid w:val="7782407A"/>
    <w:rsid w:val="77826FD4"/>
    <w:rsid w:val="778C014C"/>
    <w:rsid w:val="7793278E"/>
    <w:rsid w:val="779622E5"/>
    <w:rsid w:val="779F31D4"/>
    <w:rsid w:val="77B85B9D"/>
    <w:rsid w:val="77CA5CCA"/>
    <w:rsid w:val="77EE0376"/>
    <w:rsid w:val="78054355"/>
    <w:rsid w:val="780F1580"/>
    <w:rsid w:val="78372035"/>
    <w:rsid w:val="784876FB"/>
    <w:rsid w:val="785E3A65"/>
    <w:rsid w:val="786646C8"/>
    <w:rsid w:val="789B25C4"/>
    <w:rsid w:val="78B322B9"/>
    <w:rsid w:val="78DD305D"/>
    <w:rsid w:val="78FB3062"/>
    <w:rsid w:val="790C1713"/>
    <w:rsid w:val="791D7538"/>
    <w:rsid w:val="79294073"/>
    <w:rsid w:val="79355B9E"/>
    <w:rsid w:val="79764DDF"/>
    <w:rsid w:val="7988058F"/>
    <w:rsid w:val="79892B16"/>
    <w:rsid w:val="79AE38A9"/>
    <w:rsid w:val="79F44681"/>
    <w:rsid w:val="79F86622"/>
    <w:rsid w:val="79F97252"/>
    <w:rsid w:val="7A122D59"/>
    <w:rsid w:val="7A1E0DFC"/>
    <w:rsid w:val="7A326F58"/>
    <w:rsid w:val="7A5E1AFB"/>
    <w:rsid w:val="7AAE01C5"/>
    <w:rsid w:val="7ADA0AED"/>
    <w:rsid w:val="7AF47913"/>
    <w:rsid w:val="7AFD7566"/>
    <w:rsid w:val="7B000E04"/>
    <w:rsid w:val="7B187EFC"/>
    <w:rsid w:val="7B6018A2"/>
    <w:rsid w:val="7B824406"/>
    <w:rsid w:val="7B831270"/>
    <w:rsid w:val="7B904B67"/>
    <w:rsid w:val="7B9D6653"/>
    <w:rsid w:val="7BA43E85"/>
    <w:rsid w:val="7BBA5457"/>
    <w:rsid w:val="7BD81D93"/>
    <w:rsid w:val="7BDE2AAE"/>
    <w:rsid w:val="7BF5648F"/>
    <w:rsid w:val="7C222C7E"/>
    <w:rsid w:val="7C413482"/>
    <w:rsid w:val="7C6A3CBD"/>
    <w:rsid w:val="7C9D0AA1"/>
    <w:rsid w:val="7C9D1B31"/>
    <w:rsid w:val="7CA73C2D"/>
    <w:rsid w:val="7CCE5A5E"/>
    <w:rsid w:val="7CFC5ED8"/>
    <w:rsid w:val="7D080DE3"/>
    <w:rsid w:val="7D5F378A"/>
    <w:rsid w:val="7D6A8CBF"/>
    <w:rsid w:val="7D7A3108"/>
    <w:rsid w:val="7D847ACA"/>
    <w:rsid w:val="7DA84286"/>
    <w:rsid w:val="7DD7809B"/>
    <w:rsid w:val="7DEA7305"/>
    <w:rsid w:val="7DF033B2"/>
    <w:rsid w:val="7DF48C7C"/>
    <w:rsid w:val="7DFBEC67"/>
    <w:rsid w:val="7DFFC4BF"/>
    <w:rsid w:val="7E146E33"/>
    <w:rsid w:val="7E6370C3"/>
    <w:rsid w:val="7E6C11D5"/>
    <w:rsid w:val="7E6E42D6"/>
    <w:rsid w:val="7EB05B34"/>
    <w:rsid w:val="7EC05AB1"/>
    <w:rsid w:val="7EC2405D"/>
    <w:rsid w:val="7ED00AED"/>
    <w:rsid w:val="7ED76F64"/>
    <w:rsid w:val="7EDB5FCC"/>
    <w:rsid w:val="7EE217DC"/>
    <w:rsid w:val="7EF85ECB"/>
    <w:rsid w:val="7EF91B68"/>
    <w:rsid w:val="7EFE4240"/>
    <w:rsid w:val="7F076C05"/>
    <w:rsid w:val="7F35D6E3"/>
    <w:rsid w:val="7F403EC5"/>
    <w:rsid w:val="7F5E0871"/>
    <w:rsid w:val="7F6F309C"/>
    <w:rsid w:val="7F867B89"/>
    <w:rsid w:val="7F8F7768"/>
    <w:rsid w:val="7FB01CE9"/>
    <w:rsid w:val="7FB84998"/>
    <w:rsid w:val="7FBDB648"/>
    <w:rsid w:val="7FCF6FF7"/>
    <w:rsid w:val="7FE01204"/>
    <w:rsid w:val="7FEE13F2"/>
    <w:rsid w:val="7FF8654D"/>
    <w:rsid w:val="7FFBAF01"/>
    <w:rsid w:val="7FFFDB37"/>
    <w:rsid w:val="7FFFED76"/>
    <w:rsid w:val="8CFF437C"/>
    <w:rsid w:val="9E7FA676"/>
    <w:rsid w:val="9EF05B33"/>
    <w:rsid w:val="9FD702C4"/>
    <w:rsid w:val="ADD78C28"/>
    <w:rsid w:val="B9AFF702"/>
    <w:rsid w:val="BBFF5716"/>
    <w:rsid w:val="C9FD6A28"/>
    <w:rsid w:val="DE3047CC"/>
    <w:rsid w:val="E6ECA0EC"/>
    <w:rsid w:val="EBF4CB53"/>
    <w:rsid w:val="EDD90159"/>
    <w:rsid w:val="EEAE8A48"/>
    <w:rsid w:val="EF7DFF89"/>
    <w:rsid w:val="EFEBCB4B"/>
    <w:rsid w:val="EFFC6E79"/>
    <w:rsid w:val="F5FB44DE"/>
    <w:rsid w:val="F6FB26DB"/>
    <w:rsid w:val="F6FB8438"/>
    <w:rsid w:val="F7770113"/>
    <w:rsid w:val="F7DD2DF3"/>
    <w:rsid w:val="F7FA95A8"/>
    <w:rsid w:val="FBEFFEF6"/>
    <w:rsid w:val="FBFB8468"/>
    <w:rsid w:val="FC7FAD17"/>
    <w:rsid w:val="FCB5EB31"/>
    <w:rsid w:val="FD3EF34A"/>
    <w:rsid w:val="FDF36D09"/>
    <w:rsid w:val="FDF47857"/>
    <w:rsid w:val="FE6212F5"/>
    <w:rsid w:val="FF6D14CA"/>
    <w:rsid w:val="FF7DE423"/>
    <w:rsid w:val="FF9B14CD"/>
    <w:rsid w:val="FF9B9FC0"/>
    <w:rsid w:val="FFAE5C51"/>
    <w:rsid w:val="FFB26B65"/>
    <w:rsid w:val="FFB9E46D"/>
    <w:rsid w:val="FFBE29F9"/>
    <w:rsid w:val="FFD71751"/>
    <w:rsid w:val="FFED70DF"/>
    <w:rsid w:val="FFFC02DC"/>
    <w:rsid w:val="FFFC40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iPriority="99" w:name="footnote text"/>
    <w:lsdException w:qFormat="1" w:unhideWhenUsed="0" w:uiPriority="99" w:name="annotation text"/>
    <w:lsdException w:qFormat="1" w:uiPriority="99" w:semiHidden="0" w:name="header"/>
    <w:lsdException w:qFormat="1"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iPriority="99" w:name="toa heading"/>
    <w:lsdException w:qFormat="1" w:uiPriority="99" w:name="List"/>
    <w:lsdException w:qFormat="1" w:unhideWhenUsed="0" w:uiPriority="0"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qFormat="1"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iPriority="99" w:name="Quote"/>
    <w:lsdException w:qFormat="1" w:uiPriority="99"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302"/>
    <w:qFormat/>
    <w:uiPriority w:val="0"/>
    <w:pPr>
      <w:keepNext/>
      <w:keepLines/>
      <w:numPr>
        <w:ilvl w:val="0"/>
        <w:numId w:val="1"/>
      </w:numPr>
      <w:spacing w:before="480" w:beforeLines="0" w:after="80" w:afterLines="0"/>
      <w:ind w:left="425" w:hanging="425"/>
      <w:outlineLvl w:val="0"/>
    </w:pPr>
    <w:rPr>
      <w:rFonts w:ascii="宋体" w:hAnsi="宋体"/>
      <w:b/>
      <w:bCs/>
      <w:color w:val="auto"/>
      <w:sz w:val="30"/>
      <w:szCs w:val="30"/>
      <w:highlight w:val="none"/>
    </w:rPr>
  </w:style>
  <w:style w:type="paragraph" w:styleId="3">
    <w:name w:val="heading 2"/>
    <w:basedOn w:val="1"/>
    <w:next w:val="1"/>
    <w:link w:val="303"/>
    <w:qFormat/>
    <w:uiPriority w:val="0"/>
    <w:pPr>
      <w:keepNext/>
      <w:keepLines/>
      <w:numPr>
        <w:ilvl w:val="1"/>
        <w:numId w:val="1"/>
      </w:numPr>
      <w:adjustRightInd w:val="0"/>
      <w:spacing w:before="480" w:after="80"/>
      <w:ind w:left="992" w:hanging="567"/>
      <w:textAlignment w:val="baseline"/>
      <w:outlineLvl w:val="1"/>
    </w:pPr>
    <w:rPr>
      <w:rFonts w:ascii="宋体" w:hAnsi="宋体"/>
      <w:b/>
      <w:bCs/>
      <w:color w:val="auto"/>
      <w:sz w:val="30"/>
      <w:szCs w:val="30"/>
      <w:highlight w:val="none"/>
    </w:rPr>
  </w:style>
  <w:style w:type="paragraph" w:styleId="4">
    <w:name w:val="heading 3"/>
    <w:basedOn w:val="5"/>
    <w:next w:val="1"/>
    <w:link w:val="284"/>
    <w:qFormat/>
    <w:uiPriority w:val="0"/>
    <w:pPr>
      <w:numPr>
        <w:ilvl w:val="2"/>
        <w:numId w:val="1"/>
      </w:numPr>
      <w:spacing w:before="0" w:after="0" w:line="360" w:lineRule="auto"/>
      <w:ind w:left="567" w:hanging="567"/>
      <w:outlineLvl w:val="2"/>
    </w:pPr>
    <w:rPr>
      <w:rFonts w:ascii="宋体" w:hAnsi="宋体" w:eastAsia="宋体"/>
      <w:color w:val="auto"/>
      <w:sz w:val="24"/>
      <w:szCs w:val="24"/>
      <w:highlight w:val="none"/>
    </w:rPr>
  </w:style>
  <w:style w:type="paragraph" w:styleId="5">
    <w:name w:val="heading 4"/>
    <w:basedOn w:val="1"/>
    <w:next w:val="1"/>
    <w:link w:val="304"/>
    <w:qFormat/>
    <w:uiPriority w:val="0"/>
    <w:pPr>
      <w:keepNext/>
      <w:keepLines/>
      <w:spacing w:before="280" w:after="290" w:line="376" w:lineRule="auto"/>
      <w:outlineLvl w:val="3"/>
    </w:pPr>
    <w:rPr>
      <w:rFonts w:ascii="Arial" w:hAnsi="Arial" w:eastAsia="黑体" w:cs="Times New Roman"/>
      <w:b/>
      <w:bCs/>
      <w:sz w:val="28"/>
      <w:szCs w:val="28"/>
    </w:rPr>
  </w:style>
  <w:style w:type="paragraph" w:styleId="6">
    <w:name w:val="heading 5"/>
    <w:basedOn w:val="1"/>
    <w:next w:val="7"/>
    <w:link w:val="305"/>
    <w:qFormat/>
    <w:uiPriority w:val="0"/>
    <w:pPr>
      <w:keepNext/>
      <w:keepLines/>
      <w:spacing w:before="280" w:after="290" w:line="376" w:lineRule="auto"/>
      <w:outlineLvl w:val="4"/>
    </w:pPr>
    <w:rPr>
      <w:rFonts w:eastAsia="宋体" w:cs="Times New Roman"/>
      <w:b/>
      <w:sz w:val="28"/>
      <w:szCs w:val="20"/>
    </w:rPr>
  </w:style>
  <w:style w:type="paragraph" w:styleId="8">
    <w:name w:val="heading 6"/>
    <w:basedOn w:val="1"/>
    <w:next w:val="7"/>
    <w:link w:val="307"/>
    <w:qFormat/>
    <w:uiPriority w:val="0"/>
    <w:pPr>
      <w:keepNext/>
      <w:keepLines/>
      <w:spacing w:before="240" w:after="64" w:line="320" w:lineRule="auto"/>
      <w:outlineLvl w:val="5"/>
    </w:pPr>
    <w:rPr>
      <w:rFonts w:ascii="Arial" w:hAnsi="Arial" w:eastAsia="黑体" w:cs="Times New Roman"/>
      <w:b/>
      <w:sz w:val="24"/>
      <w:szCs w:val="20"/>
    </w:rPr>
  </w:style>
  <w:style w:type="paragraph" w:styleId="9">
    <w:name w:val="heading 7"/>
    <w:basedOn w:val="1"/>
    <w:next w:val="7"/>
    <w:link w:val="308"/>
    <w:qFormat/>
    <w:uiPriority w:val="0"/>
    <w:pPr>
      <w:keepNext/>
      <w:keepLines/>
      <w:spacing w:before="240" w:after="64" w:line="320" w:lineRule="auto"/>
      <w:outlineLvl w:val="6"/>
    </w:pPr>
    <w:rPr>
      <w:rFonts w:eastAsia="宋体" w:cs="Times New Roman"/>
      <w:b/>
      <w:sz w:val="24"/>
      <w:szCs w:val="20"/>
    </w:rPr>
  </w:style>
  <w:style w:type="paragraph" w:styleId="10">
    <w:name w:val="heading 8"/>
    <w:basedOn w:val="1"/>
    <w:next w:val="7"/>
    <w:link w:val="309"/>
    <w:qFormat/>
    <w:uiPriority w:val="0"/>
    <w:pPr>
      <w:keepNext/>
      <w:keepLines/>
      <w:spacing w:before="240" w:after="64" w:line="320" w:lineRule="auto"/>
      <w:outlineLvl w:val="7"/>
    </w:pPr>
    <w:rPr>
      <w:rFonts w:ascii="Arial" w:hAnsi="Arial" w:eastAsia="黑体" w:cs="Times New Roman"/>
      <w:sz w:val="24"/>
      <w:szCs w:val="20"/>
    </w:rPr>
  </w:style>
  <w:style w:type="paragraph" w:styleId="11">
    <w:name w:val="heading 9"/>
    <w:basedOn w:val="1"/>
    <w:next w:val="7"/>
    <w:link w:val="310"/>
    <w:qFormat/>
    <w:uiPriority w:val="0"/>
    <w:pPr>
      <w:keepNext/>
      <w:keepLines/>
      <w:spacing w:before="240" w:after="64" w:line="320" w:lineRule="auto"/>
      <w:outlineLvl w:val="8"/>
    </w:pPr>
    <w:rPr>
      <w:rFonts w:ascii="Arial" w:hAnsi="Arial" w:eastAsia="黑体" w:cs="Times New Roman"/>
      <w:szCs w:val="20"/>
    </w:rPr>
  </w:style>
  <w:style w:type="character" w:default="1" w:styleId="48">
    <w:name w:val="Default Paragraph Font"/>
    <w:semiHidden/>
    <w:unhideWhenUsed/>
    <w:qFormat/>
    <w:uiPriority w:val="1"/>
  </w:style>
  <w:style w:type="table" w:default="1" w:styleId="46">
    <w:name w:val="Normal Table"/>
    <w:semiHidden/>
    <w:unhideWhenUsed/>
    <w:qFormat/>
    <w:uiPriority w:val="99"/>
    <w:tblPr>
      <w:tblCellMar>
        <w:top w:w="0" w:type="dxa"/>
        <w:left w:w="108" w:type="dxa"/>
        <w:bottom w:w="0" w:type="dxa"/>
        <w:right w:w="108" w:type="dxa"/>
      </w:tblCellMar>
    </w:tblPr>
  </w:style>
  <w:style w:type="paragraph" w:styleId="7">
    <w:name w:val="Normal Indent"/>
    <w:basedOn w:val="1"/>
    <w:next w:val="1"/>
    <w:link w:val="306"/>
    <w:qFormat/>
    <w:uiPriority w:val="0"/>
    <w:pPr>
      <w:ind w:firstLine="420"/>
    </w:pPr>
    <w:rPr>
      <w:rFonts w:eastAsia="宋体" w:cs="Times New Roman"/>
      <w:kern w:val="0"/>
      <w:sz w:val="20"/>
      <w:szCs w:val="20"/>
    </w:rPr>
  </w:style>
  <w:style w:type="paragraph" w:styleId="12">
    <w:name w:val="toc 7"/>
    <w:basedOn w:val="1"/>
    <w:next w:val="1"/>
    <w:semiHidden/>
    <w:qFormat/>
    <w:uiPriority w:val="0"/>
    <w:pPr>
      <w:ind w:left="1260"/>
      <w:jc w:val="left"/>
    </w:pPr>
    <w:rPr>
      <w:rFonts w:eastAsia="宋体" w:cs="Times New Roman"/>
      <w:szCs w:val="21"/>
    </w:rPr>
  </w:style>
  <w:style w:type="paragraph" w:styleId="13">
    <w:name w:val="caption"/>
    <w:basedOn w:val="1"/>
    <w:next w:val="1"/>
    <w:qFormat/>
    <w:uiPriority w:val="0"/>
    <w:pPr>
      <w:widowControl/>
      <w:spacing w:line="360" w:lineRule="auto"/>
      <w:ind w:firstLine="1940" w:firstLineChars="920"/>
      <w:jc w:val="left"/>
    </w:pPr>
    <w:rPr>
      <w:rFonts w:ascii="宋体" w:hAnsi="宋体" w:eastAsia="宋体" w:cs="Times New Roman"/>
      <w:b/>
      <w:bCs/>
      <w:kern w:val="0"/>
      <w:sz w:val="20"/>
      <w:szCs w:val="20"/>
    </w:rPr>
  </w:style>
  <w:style w:type="paragraph" w:styleId="14">
    <w:name w:val="List Bullet"/>
    <w:basedOn w:val="1"/>
    <w:qFormat/>
    <w:uiPriority w:val="0"/>
    <w:pPr>
      <w:numPr>
        <w:ilvl w:val="0"/>
        <w:numId w:val="2"/>
      </w:numPr>
    </w:pPr>
  </w:style>
  <w:style w:type="paragraph" w:styleId="15">
    <w:name w:val="Document Map"/>
    <w:basedOn w:val="1"/>
    <w:link w:val="311"/>
    <w:semiHidden/>
    <w:qFormat/>
    <w:uiPriority w:val="0"/>
    <w:pPr>
      <w:shd w:val="clear" w:color="auto" w:fill="000080"/>
    </w:pPr>
    <w:rPr>
      <w:rFonts w:eastAsia="宋体" w:cs="Times New Roman"/>
    </w:rPr>
  </w:style>
  <w:style w:type="paragraph" w:styleId="16">
    <w:name w:val="toa heading"/>
    <w:basedOn w:val="1"/>
    <w:next w:val="1"/>
    <w:semiHidden/>
    <w:unhideWhenUsed/>
    <w:qFormat/>
    <w:uiPriority w:val="99"/>
    <w:rPr>
      <w:rFonts w:ascii="Arial" w:hAnsi="Arial" w:eastAsia="宋体" w:cs="Times New Roman"/>
      <w:szCs w:val="20"/>
    </w:rPr>
  </w:style>
  <w:style w:type="paragraph" w:styleId="17">
    <w:name w:val="annotation text"/>
    <w:basedOn w:val="1"/>
    <w:link w:val="312"/>
    <w:semiHidden/>
    <w:qFormat/>
    <w:uiPriority w:val="99"/>
    <w:pPr>
      <w:autoSpaceDE w:val="0"/>
      <w:autoSpaceDN w:val="0"/>
      <w:adjustRightInd w:val="0"/>
      <w:jc w:val="left"/>
      <w:textAlignment w:val="baseline"/>
    </w:pPr>
    <w:rPr>
      <w:rFonts w:ascii="宋体"/>
      <w:kern w:val="0"/>
      <w:sz w:val="34"/>
      <w:szCs w:val="20"/>
    </w:rPr>
  </w:style>
  <w:style w:type="paragraph" w:styleId="18">
    <w:name w:val="Body Text 3"/>
    <w:basedOn w:val="1"/>
    <w:link w:val="313"/>
    <w:qFormat/>
    <w:uiPriority w:val="0"/>
    <w:pPr>
      <w:spacing w:after="120"/>
    </w:pPr>
    <w:rPr>
      <w:rFonts w:eastAsia="宋体" w:cs="Times New Roman"/>
      <w:sz w:val="16"/>
      <w:szCs w:val="16"/>
    </w:rPr>
  </w:style>
  <w:style w:type="paragraph" w:styleId="19">
    <w:name w:val="Body Text"/>
    <w:basedOn w:val="1"/>
    <w:link w:val="314"/>
    <w:qFormat/>
    <w:uiPriority w:val="0"/>
    <w:pPr>
      <w:spacing w:line="360" w:lineRule="auto"/>
    </w:pPr>
    <w:rPr>
      <w:rFonts w:eastAsia="宋体" w:cs="Times New Roman"/>
      <w:b/>
      <w:bCs/>
      <w:sz w:val="24"/>
    </w:rPr>
  </w:style>
  <w:style w:type="paragraph" w:styleId="20">
    <w:name w:val="Body Text Indent"/>
    <w:basedOn w:val="1"/>
    <w:link w:val="315"/>
    <w:qFormat/>
    <w:uiPriority w:val="0"/>
    <w:pPr>
      <w:spacing w:line="360" w:lineRule="auto"/>
      <w:ind w:firstLine="420" w:firstLineChars="200"/>
    </w:pPr>
    <w:rPr>
      <w:rFonts w:eastAsia="宋体" w:cs="Times New Roman"/>
    </w:rPr>
  </w:style>
  <w:style w:type="paragraph" w:styleId="21">
    <w:name w:val="toc 5"/>
    <w:basedOn w:val="1"/>
    <w:next w:val="1"/>
    <w:semiHidden/>
    <w:qFormat/>
    <w:uiPriority w:val="0"/>
    <w:pPr>
      <w:ind w:left="840"/>
      <w:jc w:val="left"/>
    </w:pPr>
    <w:rPr>
      <w:rFonts w:eastAsia="宋体" w:cs="Times New Roman"/>
      <w:szCs w:val="21"/>
    </w:rPr>
  </w:style>
  <w:style w:type="paragraph" w:styleId="22">
    <w:name w:val="toc 3"/>
    <w:basedOn w:val="1"/>
    <w:next w:val="1"/>
    <w:semiHidden/>
    <w:qFormat/>
    <w:uiPriority w:val="0"/>
    <w:pPr>
      <w:ind w:left="420"/>
      <w:jc w:val="left"/>
    </w:pPr>
    <w:rPr>
      <w:rFonts w:eastAsia="宋体" w:cs="Times New Roman"/>
      <w:i/>
      <w:iCs/>
    </w:rPr>
  </w:style>
  <w:style w:type="paragraph" w:styleId="23">
    <w:name w:val="Plain Text"/>
    <w:basedOn w:val="1"/>
    <w:link w:val="316"/>
    <w:qFormat/>
    <w:uiPriority w:val="0"/>
    <w:rPr>
      <w:rFonts w:ascii="宋体" w:hAnsi="Courier New" w:eastAsia="宋体" w:cs="Times New Roman"/>
      <w:szCs w:val="20"/>
    </w:rPr>
  </w:style>
  <w:style w:type="paragraph" w:styleId="24">
    <w:name w:val="toc 8"/>
    <w:basedOn w:val="1"/>
    <w:next w:val="1"/>
    <w:semiHidden/>
    <w:qFormat/>
    <w:uiPriority w:val="0"/>
    <w:pPr>
      <w:ind w:left="1470"/>
      <w:jc w:val="left"/>
    </w:pPr>
    <w:rPr>
      <w:rFonts w:eastAsia="宋体" w:cs="Times New Roman"/>
      <w:szCs w:val="21"/>
    </w:rPr>
  </w:style>
  <w:style w:type="paragraph" w:styleId="25">
    <w:name w:val="Date"/>
    <w:basedOn w:val="1"/>
    <w:next w:val="1"/>
    <w:link w:val="317"/>
    <w:qFormat/>
    <w:uiPriority w:val="0"/>
    <w:rPr>
      <w:rFonts w:ascii="宋体" w:hAnsi="Courier New" w:eastAsia="宋体" w:cs="Times New Roman"/>
      <w:sz w:val="32"/>
      <w:szCs w:val="20"/>
    </w:rPr>
  </w:style>
  <w:style w:type="paragraph" w:styleId="26">
    <w:name w:val="Body Text Indent 2"/>
    <w:basedOn w:val="1"/>
    <w:link w:val="318"/>
    <w:qFormat/>
    <w:uiPriority w:val="0"/>
    <w:pPr>
      <w:spacing w:beforeLines="50" w:afterLines="50" w:line="120" w:lineRule="auto"/>
      <w:ind w:firstLine="840" w:firstLineChars="400"/>
      <w:jc w:val="left"/>
    </w:pPr>
    <w:rPr>
      <w:rFonts w:ascii="宋体" w:hAnsi="宋体" w:eastAsia="宋体" w:cs="Times New Roman"/>
    </w:rPr>
  </w:style>
  <w:style w:type="paragraph" w:styleId="27">
    <w:name w:val="Balloon Text"/>
    <w:basedOn w:val="1"/>
    <w:link w:val="319"/>
    <w:semiHidden/>
    <w:qFormat/>
    <w:uiPriority w:val="0"/>
    <w:rPr>
      <w:rFonts w:eastAsia="宋体" w:cs="Times New Roman"/>
      <w:sz w:val="18"/>
      <w:szCs w:val="18"/>
    </w:rPr>
  </w:style>
  <w:style w:type="paragraph" w:styleId="28">
    <w:name w:val="footer"/>
    <w:basedOn w:val="1"/>
    <w:link w:val="320"/>
    <w:unhideWhenUsed/>
    <w:qFormat/>
    <w:uiPriority w:val="0"/>
    <w:pPr>
      <w:tabs>
        <w:tab w:val="center" w:pos="4153"/>
        <w:tab w:val="right" w:pos="8306"/>
      </w:tabs>
      <w:snapToGrid w:val="0"/>
      <w:jc w:val="left"/>
    </w:pPr>
    <w:rPr>
      <w:rFonts w:eastAsia="宋体" w:cs="Times New Roman"/>
      <w:sz w:val="18"/>
      <w:szCs w:val="18"/>
    </w:rPr>
  </w:style>
  <w:style w:type="paragraph" w:styleId="29">
    <w:name w:val="header"/>
    <w:basedOn w:val="1"/>
    <w:link w:val="321"/>
    <w:unhideWhenUsed/>
    <w:qFormat/>
    <w:uiPriority w:val="99"/>
    <w:pPr>
      <w:pBdr>
        <w:bottom w:val="single" w:color="auto" w:sz="6" w:space="1"/>
      </w:pBdr>
      <w:tabs>
        <w:tab w:val="center" w:pos="4153"/>
        <w:tab w:val="right" w:pos="8306"/>
      </w:tabs>
      <w:snapToGrid w:val="0"/>
      <w:jc w:val="center"/>
    </w:pPr>
    <w:rPr>
      <w:rFonts w:eastAsia="宋体" w:cs="Times New Roman"/>
      <w:sz w:val="18"/>
      <w:szCs w:val="18"/>
    </w:rPr>
  </w:style>
  <w:style w:type="paragraph" w:styleId="30">
    <w:name w:val="toc 1"/>
    <w:basedOn w:val="1"/>
    <w:next w:val="1"/>
    <w:semiHidden/>
    <w:qFormat/>
    <w:uiPriority w:val="0"/>
    <w:pPr>
      <w:spacing w:before="120" w:after="120"/>
      <w:jc w:val="left"/>
    </w:pPr>
    <w:rPr>
      <w:rFonts w:eastAsia="宋体" w:cs="Times New Roman"/>
      <w:b/>
      <w:bCs/>
      <w:caps/>
    </w:rPr>
  </w:style>
  <w:style w:type="paragraph" w:styleId="31">
    <w:name w:val="toc 4"/>
    <w:basedOn w:val="1"/>
    <w:next w:val="1"/>
    <w:semiHidden/>
    <w:qFormat/>
    <w:uiPriority w:val="0"/>
    <w:pPr>
      <w:ind w:left="630"/>
      <w:jc w:val="left"/>
    </w:pPr>
    <w:rPr>
      <w:rFonts w:eastAsia="宋体" w:cs="Times New Roman"/>
      <w:szCs w:val="21"/>
    </w:rPr>
  </w:style>
  <w:style w:type="paragraph" w:styleId="32">
    <w:name w:val="Subtitle"/>
    <w:basedOn w:val="1"/>
    <w:next w:val="1"/>
    <w:link w:val="329"/>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3">
    <w:name w:val="List"/>
    <w:basedOn w:val="1"/>
    <w:semiHidden/>
    <w:unhideWhenUsed/>
    <w:qFormat/>
    <w:uiPriority w:val="99"/>
    <w:pPr>
      <w:widowControl/>
      <w:spacing w:after="200" w:line="276" w:lineRule="auto"/>
      <w:ind w:left="720"/>
      <w:contextualSpacing/>
      <w:jc w:val="left"/>
    </w:pPr>
    <w:rPr>
      <w:rFonts w:ascii="Calibri" w:hAnsi="Calibri" w:eastAsia="宋体" w:cs="Times New Roman"/>
      <w:kern w:val="0"/>
      <w:sz w:val="22"/>
      <w:szCs w:val="22"/>
      <w:lang w:eastAsia="en-US"/>
    </w:rPr>
  </w:style>
  <w:style w:type="paragraph" w:styleId="34">
    <w:name w:val="toc 6"/>
    <w:basedOn w:val="1"/>
    <w:next w:val="1"/>
    <w:semiHidden/>
    <w:qFormat/>
    <w:uiPriority w:val="0"/>
    <w:pPr>
      <w:ind w:left="1050"/>
      <w:jc w:val="left"/>
    </w:pPr>
    <w:rPr>
      <w:rFonts w:eastAsia="宋体" w:cs="Times New Roman"/>
      <w:szCs w:val="21"/>
    </w:rPr>
  </w:style>
  <w:style w:type="paragraph" w:styleId="35">
    <w:name w:val="Body Text Indent 3"/>
    <w:basedOn w:val="1"/>
    <w:link w:val="322"/>
    <w:qFormat/>
    <w:uiPriority w:val="0"/>
    <w:pPr>
      <w:spacing w:line="360" w:lineRule="auto"/>
      <w:ind w:firstLine="482" w:firstLineChars="200"/>
    </w:pPr>
    <w:rPr>
      <w:rFonts w:ascii="宋体" w:eastAsia="宋体" w:cs="Times New Roman"/>
      <w:b/>
      <w:bCs/>
      <w:sz w:val="24"/>
    </w:rPr>
  </w:style>
  <w:style w:type="paragraph" w:styleId="36">
    <w:name w:val="toc 2"/>
    <w:basedOn w:val="1"/>
    <w:next w:val="1"/>
    <w:semiHidden/>
    <w:qFormat/>
    <w:uiPriority w:val="0"/>
    <w:pPr>
      <w:tabs>
        <w:tab w:val="right" w:leader="dot" w:pos="8296"/>
      </w:tabs>
      <w:ind w:left="210"/>
      <w:jc w:val="left"/>
    </w:pPr>
    <w:rPr>
      <w:rFonts w:eastAsia="宋体" w:cs="Times New Roman"/>
      <w:smallCaps/>
    </w:rPr>
  </w:style>
  <w:style w:type="paragraph" w:styleId="37">
    <w:name w:val="toc 9"/>
    <w:basedOn w:val="1"/>
    <w:next w:val="1"/>
    <w:semiHidden/>
    <w:qFormat/>
    <w:uiPriority w:val="0"/>
    <w:pPr>
      <w:ind w:left="1680"/>
      <w:jc w:val="left"/>
    </w:pPr>
    <w:rPr>
      <w:rFonts w:eastAsia="宋体" w:cs="Times New Roman"/>
      <w:szCs w:val="21"/>
    </w:rPr>
  </w:style>
  <w:style w:type="paragraph" w:styleId="38">
    <w:name w:val="Body Text 2"/>
    <w:basedOn w:val="1"/>
    <w:link w:val="323"/>
    <w:qFormat/>
    <w:uiPriority w:val="0"/>
    <w:pPr>
      <w:spacing w:line="360" w:lineRule="auto"/>
    </w:pPr>
    <w:rPr>
      <w:rFonts w:eastAsia="宋体" w:cs="Times New Roman"/>
      <w:sz w:val="24"/>
    </w:rPr>
  </w:style>
  <w:style w:type="paragraph" w:styleId="39">
    <w:name w:val="HTML Preformatted"/>
    <w:basedOn w:val="1"/>
    <w:link w:val="324"/>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eastAsia="Arial Unicode MS" w:cs="Times New Roman"/>
      <w:color w:val="000000"/>
      <w:kern w:val="0"/>
      <w:sz w:val="20"/>
      <w:szCs w:val="20"/>
    </w:rPr>
  </w:style>
  <w:style w:type="paragraph" w:styleId="40">
    <w:name w:val="Normal (Web)"/>
    <w:basedOn w:val="1"/>
    <w:qFormat/>
    <w:uiPriority w:val="0"/>
    <w:pPr>
      <w:spacing w:beforeAutospacing="1" w:afterAutospacing="1"/>
      <w:jc w:val="left"/>
    </w:pPr>
    <w:rPr>
      <w:rFonts w:eastAsia="宋体" w:cs="Times New Roman"/>
      <w:kern w:val="0"/>
      <w:sz w:val="24"/>
    </w:rPr>
  </w:style>
  <w:style w:type="paragraph" w:styleId="41">
    <w:name w:val="index 1"/>
    <w:basedOn w:val="1"/>
    <w:next w:val="1"/>
    <w:semiHidden/>
    <w:qFormat/>
    <w:uiPriority w:val="0"/>
    <w:pPr>
      <w:tabs>
        <w:tab w:val="left" w:pos="3360"/>
      </w:tabs>
      <w:spacing w:line="520" w:lineRule="exact"/>
      <w:ind w:left="419" w:leftChars="50" w:hanging="314" w:hangingChars="131"/>
      <w:jc w:val="center"/>
      <w:outlineLvl w:val="3"/>
    </w:pPr>
    <w:rPr>
      <w:rFonts w:ascii="宋体" w:hAnsi="宋体" w:eastAsia="宋体" w:cs="Times New Roman"/>
      <w:sz w:val="24"/>
    </w:rPr>
  </w:style>
  <w:style w:type="paragraph" w:styleId="42">
    <w:name w:val="Title"/>
    <w:basedOn w:val="1"/>
    <w:link w:val="325"/>
    <w:qFormat/>
    <w:uiPriority w:val="0"/>
    <w:pPr>
      <w:spacing w:before="240" w:after="60"/>
      <w:jc w:val="center"/>
      <w:outlineLvl w:val="0"/>
    </w:pPr>
    <w:rPr>
      <w:rFonts w:ascii="Arial" w:hAnsi="Arial" w:eastAsia="隶书" w:cs="Times New Roman"/>
      <w:b/>
      <w:bCs/>
      <w:kern w:val="0"/>
      <w:sz w:val="32"/>
      <w:szCs w:val="32"/>
    </w:rPr>
  </w:style>
  <w:style w:type="paragraph" w:styleId="43">
    <w:name w:val="annotation subject"/>
    <w:basedOn w:val="17"/>
    <w:next w:val="17"/>
    <w:link w:val="326"/>
    <w:qFormat/>
    <w:uiPriority w:val="0"/>
    <w:pPr>
      <w:autoSpaceDE/>
      <w:autoSpaceDN/>
      <w:adjustRightInd/>
      <w:textAlignment w:val="auto"/>
    </w:pPr>
    <w:rPr>
      <w:rFonts w:ascii="宋体" w:eastAsia="宋体" w:cs="Times New Roman"/>
    </w:rPr>
  </w:style>
  <w:style w:type="paragraph" w:styleId="44">
    <w:name w:val="Body Text First Indent"/>
    <w:basedOn w:val="19"/>
    <w:link w:val="327"/>
    <w:qFormat/>
    <w:uiPriority w:val="0"/>
    <w:pPr>
      <w:spacing w:after="120" w:line="240" w:lineRule="auto"/>
      <w:ind w:firstLine="420" w:firstLineChars="100"/>
    </w:pPr>
    <w:rPr>
      <w:sz w:val="21"/>
    </w:rPr>
  </w:style>
  <w:style w:type="paragraph" w:styleId="45">
    <w:name w:val="Body Text First Indent 2"/>
    <w:basedOn w:val="20"/>
    <w:link w:val="328"/>
    <w:qFormat/>
    <w:uiPriority w:val="0"/>
    <w:pPr>
      <w:spacing w:line="240" w:lineRule="auto"/>
      <w:ind w:left="420" w:leftChars="200"/>
    </w:pPr>
    <w:rPr>
      <w:rFonts w:ascii="Times New Roman"/>
    </w:rPr>
  </w:style>
  <w:style w:type="table" w:styleId="47">
    <w:name w:val="Table Grid"/>
    <w:basedOn w:val="4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9">
    <w:name w:val="Strong"/>
    <w:basedOn w:val="48"/>
    <w:qFormat/>
    <w:uiPriority w:val="0"/>
    <w:rPr>
      <w:rFonts w:ascii="Times New Roman" w:hAnsi="Times New Roman" w:eastAsia="宋体" w:cs="Times New Roman"/>
      <w:b/>
      <w:bCs/>
    </w:rPr>
  </w:style>
  <w:style w:type="character" w:styleId="50">
    <w:name w:val="page number"/>
    <w:basedOn w:val="48"/>
    <w:qFormat/>
    <w:uiPriority w:val="0"/>
    <w:rPr>
      <w:rFonts w:ascii="Times New Roman" w:hAnsi="Times New Roman" w:eastAsia="宋体" w:cs="Times New Roman"/>
    </w:rPr>
  </w:style>
  <w:style w:type="character" w:styleId="51">
    <w:name w:val="FollowedHyperlink"/>
    <w:basedOn w:val="48"/>
    <w:qFormat/>
    <w:uiPriority w:val="0"/>
    <w:rPr>
      <w:rFonts w:hint="eastAsia" w:ascii="宋体" w:hAnsi="宋体" w:eastAsia="宋体" w:cs="宋体"/>
      <w:color w:val="0031C1"/>
      <w:sz w:val="18"/>
      <w:szCs w:val="18"/>
      <w:u w:val="none"/>
    </w:rPr>
  </w:style>
  <w:style w:type="character" w:styleId="52">
    <w:name w:val="Emphasis"/>
    <w:basedOn w:val="48"/>
    <w:qFormat/>
    <w:uiPriority w:val="0"/>
    <w:rPr>
      <w:rFonts w:ascii="Times New Roman" w:hAnsi="Times New Roman" w:eastAsia="宋体" w:cs="Times New Roman"/>
    </w:rPr>
  </w:style>
  <w:style w:type="character" w:styleId="53">
    <w:name w:val="Hyperlink"/>
    <w:basedOn w:val="48"/>
    <w:qFormat/>
    <w:uiPriority w:val="0"/>
    <w:rPr>
      <w:rFonts w:hint="eastAsia" w:ascii="宋体" w:hAnsi="宋体" w:eastAsia="宋体" w:cs="宋体"/>
      <w:color w:val="0031C1"/>
      <w:sz w:val="18"/>
      <w:szCs w:val="18"/>
      <w:u w:val="none"/>
    </w:rPr>
  </w:style>
  <w:style w:type="character" w:styleId="54">
    <w:name w:val="HTML Code"/>
    <w:basedOn w:val="48"/>
    <w:semiHidden/>
    <w:unhideWhenUsed/>
    <w:qFormat/>
    <w:uiPriority w:val="99"/>
    <w:rPr>
      <w:rFonts w:ascii="Courier New" w:hAnsi="Courier New" w:eastAsia="宋体" w:cs="Times New Roman"/>
      <w:sz w:val="20"/>
    </w:rPr>
  </w:style>
  <w:style w:type="character" w:styleId="55">
    <w:name w:val="annotation reference"/>
    <w:basedOn w:val="48"/>
    <w:qFormat/>
    <w:uiPriority w:val="99"/>
    <w:rPr>
      <w:rFonts w:ascii="Times New Roman" w:hAnsi="Times New Roman" w:eastAsia="宋体" w:cs="Times New Roman"/>
      <w:sz w:val="21"/>
      <w:szCs w:val="21"/>
    </w:rPr>
  </w:style>
  <w:style w:type="paragraph" w:customStyle="1" w:styleId="56">
    <w:name w:val="表格文字"/>
    <w:basedOn w:val="57"/>
    <w:link w:val="189"/>
    <w:qFormat/>
    <w:uiPriority w:val="0"/>
    <w:pPr>
      <w:spacing w:before="25" w:after="25"/>
      <w:jc w:val="left"/>
    </w:pPr>
    <w:rPr>
      <w:bCs/>
      <w:spacing w:val="10"/>
      <w:kern w:val="0"/>
      <w:sz w:val="24"/>
    </w:rPr>
  </w:style>
  <w:style w:type="paragraph" w:customStyle="1" w:styleId="57">
    <w:name w:val="表格文字（两侧对齐）"/>
    <w:basedOn w:val="1"/>
    <w:qFormat/>
    <w:uiPriority w:val="0"/>
    <w:rPr>
      <w:rFonts w:ascii="Calibri" w:hAnsi="Calibri" w:cs="Times New Roman"/>
      <w:kern w:val="0"/>
      <w:sz w:val="20"/>
    </w:rPr>
  </w:style>
  <w:style w:type="paragraph" w:customStyle="1" w:styleId="58">
    <w:name w:val="文档正文"/>
    <w:basedOn w:val="1"/>
    <w:qFormat/>
    <w:uiPriority w:val="0"/>
    <w:pPr>
      <w:adjustRightInd w:val="0"/>
      <w:spacing w:line="480" w:lineRule="atLeast"/>
      <w:ind w:firstLine="567" w:firstLineChars="200"/>
      <w:textAlignment w:val="baseline"/>
    </w:pPr>
    <w:rPr>
      <w:rFonts w:ascii="长城仿宋" w:eastAsia="宋体" w:cs="Times New Roman"/>
      <w:kern w:val="0"/>
      <w:szCs w:val="20"/>
    </w:rPr>
  </w:style>
  <w:style w:type="character" w:customStyle="1" w:styleId="59">
    <w:name w:val="标题 1 Char"/>
    <w:link w:val="2"/>
    <w:qFormat/>
    <w:uiPriority w:val="0"/>
    <w:rPr>
      <w:rFonts w:ascii="Calibri" w:hAnsi="Calibri" w:eastAsia="宋体" w:cs="Times New Roman"/>
      <w:b/>
      <w:bCs/>
      <w:kern w:val="44"/>
      <w:sz w:val="44"/>
      <w:szCs w:val="44"/>
    </w:rPr>
  </w:style>
  <w:style w:type="character" w:customStyle="1" w:styleId="60">
    <w:name w:val="标题 3 Char"/>
    <w:basedOn w:val="48"/>
    <w:link w:val="4"/>
    <w:qFormat/>
    <w:uiPriority w:val="0"/>
    <w:rPr>
      <w:rFonts w:ascii="Calibri" w:hAnsi="Calibri" w:eastAsia="宋体" w:cs="Times New Roman"/>
      <w:b/>
      <w:bCs/>
      <w:sz w:val="32"/>
      <w:szCs w:val="32"/>
    </w:rPr>
  </w:style>
  <w:style w:type="paragraph" w:customStyle="1" w:styleId="61">
    <w:name w:val="--规划正文 Char"/>
    <w:basedOn w:val="1"/>
    <w:qFormat/>
    <w:uiPriority w:val="0"/>
    <w:pPr>
      <w:spacing w:line="360" w:lineRule="auto"/>
      <w:ind w:firstLine="200" w:firstLineChars="200"/>
    </w:pPr>
    <w:rPr>
      <w:rFonts w:eastAsia="宋体" w:cs="Times New Roman"/>
      <w:sz w:val="24"/>
    </w:rPr>
  </w:style>
  <w:style w:type="paragraph" w:customStyle="1" w:styleId="62">
    <w:name w:val="--规划-表格-居左"/>
    <w:basedOn w:val="63"/>
    <w:qFormat/>
    <w:uiPriority w:val="0"/>
    <w:pPr>
      <w:spacing w:line="240" w:lineRule="auto"/>
      <w:ind w:firstLine="0" w:firstLineChars="0"/>
    </w:pPr>
    <w:rPr>
      <w:sz w:val="20"/>
    </w:rPr>
  </w:style>
  <w:style w:type="paragraph" w:customStyle="1" w:styleId="63">
    <w:name w:val="--规划正文"/>
    <w:basedOn w:val="1"/>
    <w:qFormat/>
    <w:uiPriority w:val="0"/>
    <w:pPr>
      <w:spacing w:line="360" w:lineRule="auto"/>
      <w:ind w:firstLine="200" w:firstLineChars="200"/>
    </w:pPr>
    <w:rPr>
      <w:rFonts w:eastAsia="宋体" w:cs="Times New Roman"/>
      <w:szCs w:val="20"/>
    </w:rPr>
  </w:style>
  <w:style w:type="character" w:customStyle="1" w:styleId="64">
    <w:name w:val="正文文字首行缩进 Char"/>
    <w:qFormat/>
    <w:uiPriority w:val="0"/>
    <w:rPr>
      <w:rFonts w:ascii="Times New Roman" w:hAnsi="Times New Roman" w:eastAsia="宋体" w:cs="Times New Roman"/>
      <w:kern w:val="2"/>
      <w:sz w:val="21"/>
      <w:szCs w:val="24"/>
    </w:rPr>
  </w:style>
  <w:style w:type="paragraph" w:customStyle="1" w:styleId="65">
    <w:name w:val="z-窗体顶端1"/>
    <w:basedOn w:val="1"/>
    <w:next w:val="1"/>
    <w:qFormat/>
    <w:uiPriority w:val="0"/>
    <w:pPr>
      <w:widowControl/>
      <w:pBdr>
        <w:bottom w:val="single" w:color="auto" w:sz="6" w:space="1"/>
      </w:pBdr>
      <w:jc w:val="center"/>
    </w:pPr>
    <w:rPr>
      <w:rFonts w:ascii="Arial" w:hAnsi="Arial" w:eastAsia="宋体" w:cs="Arial"/>
      <w:vanish/>
      <w:kern w:val="0"/>
      <w:sz w:val="16"/>
      <w:szCs w:val="16"/>
    </w:rPr>
  </w:style>
  <w:style w:type="paragraph" w:customStyle="1" w:styleId="66">
    <w:name w:val="cont"/>
    <w:basedOn w:val="1"/>
    <w:qFormat/>
    <w:uiPriority w:val="0"/>
    <w:pPr>
      <w:adjustRightInd w:val="0"/>
      <w:spacing w:before="100" w:after="100" w:line="360" w:lineRule="auto"/>
      <w:ind w:firstLine="200" w:firstLineChars="200"/>
      <w:jc w:val="left"/>
      <w:textAlignment w:val="baseline"/>
    </w:pPr>
    <w:rPr>
      <w:rFonts w:ascii="Arial" w:hAnsi="Arial" w:eastAsia="宋体" w:cs="Times New Roman"/>
      <w:kern w:val="0"/>
      <w:sz w:val="24"/>
      <w:szCs w:val="20"/>
    </w:rPr>
  </w:style>
  <w:style w:type="paragraph" w:customStyle="1" w:styleId="67">
    <w:name w:val="Char Char Char 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character" w:customStyle="1" w:styleId="68">
    <w:name w:val="标题 Char"/>
    <w:link w:val="42"/>
    <w:qFormat/>
    <w:uiPriority w:val="0"/>
    <w:rPr>
      <w:rFonts w:ascii="Cambria" w:hAnsi="Cambria" w:eastAsia="宋体" w:cs="Times New Roman"/>
      <w:b/>
      <w:bCs/>
      <w:sz w:val="32"/>
      <w:szCs w:val="32"/>
    </w:rPr>
  </w:style>
  <w:style w:type="paragraph" w:customStyle="1" w:styleId="69">
    <w:name w:val="word"/>
    <w:basedOn w:val="1"/>
    <w:qFormat/>
    <w:uiPriority w:val="0"/>
    <w:pPr>
      <w:widowControl/>
      <w:spacing w:before="100" w:beforeAutospacing="1" w:after="100" w:afterAutospacing="1" w:line="301" w:lineRule="atLeast"/>
      <w:jc w:val="left"/>
    </w:pPr>
    <w:rPr>
      <w:rFonts w:ascii="ˎ̥" w:hAnsi="ˎ̥" w:eastAsia="宋体" w:cs="Times New Roman"/>
      <w:color w:val="000000"/>
      <w:kern w:val="0"/>
      <w:sz w:val="20"/>
      <w:szCs w:val="20"/>
    </w:rPr>
  </w:style>
  <w:style w:type="character" w:customStyle="1" w:styleId="70">
    <w:name w:val="content1"/>
    <w:qFormat/>
    <w:uiPriority w:val="0"/>
    <w:rPr>
      <w:rFonts w:hint="default" w:ascii="??" w:hAnsi="??" w:eastAsia="宋体" w:cs="Times New Roman"/>
      <w:sz w:val="16"/>
      <w:szCs w:val="16"/>
      <w:u w:val="none"/>
    </w:rPr>
  </w:style>
  <w:style w:type="character" w:customStyle="1" w:styleId="71">
    <w:name w:val="--规划正文 Char1"/>
    <w:qFormat/>
    <w:uiPriority w:val="0"/>
    <w:rPr>
      <w:rFonts w:ascii="Times New Roman" w:hAnsi="Times New Roman" w:eastAsia="宋体" w:cs="Times New Roman"/>
      <w:kern w:val="2"/>
      <w:sz w:val="21"/>
      <w:lang w:val="en-US" w:eastAsia="zh-CN" w:bidi="ar-SA"/>
    </w:rPr>
  </w:style>
  <w:style w:type="character" w:customStyle="1" w:styleId="72">
    <w:name w:val="layui-this"/>
    <w:qFormat/>
    <w:uiPriority w:val="0"/>
    <w:rPr>
      <w:rFonts w:ascii="Times New Roman" w:hAnsi="Times New Roman" w:eastAsia="宋体" w:cs="Times New Roman"/>
      <w:bdr w:val="single" w:color="EEEEEE" w:sz="6" w:space="0"/>
      <w:shd w:val="clear" w:color="auto" w:fill="FFFFFF"/>
    </w:rPr>
  </w:style>
  <w:style w:type="paragraph" w:customStyle="1" w:styleId="73">
    <w:name w:val="_Style 1"/>
    <w:qFormat/>
    <w:uiPriority w:val="99"/>
    <w:pPr>
      <w:adjustRightInd w:val="0"/>
      <w:snapToGrid w:val="0"/>
    </w:pPr>
    <w:rPr>
      <w:rFonts w:ascii="Tahoma" w:hAnsi="Tahoma" w:eastAsia="宋体" w:cs="Times New Roman"/>
      <w:sz w:val="22"/>
      <w:szCs w:val="22"/>
      <w:lang w:val="en-US" w:eastAsia="zh-CN" w:bidi="ar-SA"/>
    </w:rPr>
  </w:style>
  <w:style w:type="character" w:customStyle="1" w:styleId="74">
    <w:name w:val="font11"/>
    <w:basedOn w:val="48"/>
    <w:qFormat/>
    <w:uiPriority w:val="0"/>
    <w:rPr>
      <w:rFonts w:hint="default" w:ascii="ˎ̥" w:hAnsi="ˎ̥" w:eastAsia="宋体" w:cs="Times New Roman"/>
    </w:rPr>
  </w:style>
  <w:style w:type="paragraph" w:customStyle="1" w:styleId="75">
    <w:name w:val="2册标题4"/>
    <w:basedOn w:val="1"/>
    <w:next w:val="1"/>
    <w:qFormat/>
    <w:uiPriority w:val="0"/>
    <w:pPr>
      <w:spacing w:beforeLines="50" w:afterLines="50" w:line="300" w:lineRule="auto"/>
      <w:ind w:left="420" w:leftChars="200"/>
      <w:outlineLvl w:val="3"/>
    </w:pPr>
    <w:rPr>
      <w:rFonts w:ascii="Arial" w:hAnsi="Arial" w:eastAsia="幼圆" w:cs="Arial"/>
      <w:b/>
      <w:sz w:val="24"/>
    </w:rPr>
  </w:style>
  <w:style w:type="character" w:customStyle="1" w:styleId="76">
    <w:name w:val="纯文本 字符"/>
    <w:basedOn w:val="48"/>
    <w:link w:val="23"/>
    <w:qFormat/>
    <w:uiPriority w:val="0"/>
    <w:rPr>
      <w:rFonts w:ascii="宋体" w:hAnsi="Courier New" w:eastAsia="宋体" w:cs="Times New Roman"/>
      <w:szCs w:val="20"/>
    </w:rPr>
  </w:style>
  <w:style w:type="character" w:customStyle="1" w:styleId="77">
    <w:name w:val="标题 9 字符"/>
    <w:basedOn w:val="48"/>
    <w:link w:val="11"/>
    <w:qFormat/>
    <w:uiPriority w:val="0"/>
    <w:rPr>
      <w:rFonts w:ascii="Arial" w:hAnsi="Arial" w:eastAsia="黑体" w:cs="Times New Roman"/>
      <w:szCs w:val="20"/>
    </w:rPr>
  </w:style>
  <w:style w:type="character" w:customStyle="1" w:styleId="78">
    <w:name w:val="正文文本缩进 2 字符"/>
    <w:link w:val="26"/>
    <w:qFormat/>
    <w:uiPriority w:val="0"/>
    <w:rPr>
      <w:rFonts w:ascii="宋体" w:hAnsi="宋体" w:eastAsia="宋体" w:cs="Times New Roman"/>
    </w:rPr>
  </w:style>
  <w:style w:type="character" w:customStyle="1" w:styleId="79">
    <w:name w:val="正文文本首行缩进 字符"/>
    <w:basedOn w:val="80"/>
    <w:link w:val="44"/>
    <w:qFormat/>
    <w:uiPriority w:val="0"/>
    <w:rPr>
      <w:rFonts w:ascii="Times New Roman" w:hAnsi="Times New Roman" w:eastAsia="宋体" w:cs="Times New Roman"/>
      <w:sz w:val="21"/>
    </w:rPr>
  </w:style>
  <w:style w:type="character" w:customStyle="1" w:styleId="80">
    <w:name w:val="正文文本 字符"/>
    <w:link w:val="19"/>
    <w:qFormat/>
    <w:uiPriority w:val="0"/>
    <w:rPr>
      <w:rFonts w:ascii="Times New Roman" w:hAnsi="Times New Roman" w:eastAsia="宋体" w:cs="Times New Roman"/>
      <w:b/>
      <w:bCs/>
      <w:sz w:val="24"/>
    </w:rPr>
  </w:style>
  <w:style w:type="character" w:customStyle="1" w:styleId="81">
    <w:name w:val="active6"/>
    <w:qFormat/>
    <w:uiPriority w:val="0"/>
    <w:rPr>
      <w:rFonts w:ascii="Times New Roman" w:hAnsi="Times New Roman" w:eastAsia="宋体" w:cs="Times New Roman"/>
      <w:color w:val="FFFFFF"/>
    </w:rPr>
  </w:style>
  <w:style w:type="character" w:customStyle="1" w:styleId="82">
    <w:name w:val="font41"/>
    <w:basedOn w:val="48"/>
    <w:qFormat/>
    <w:uiPriority w:val="0"/>
    <w:rPr>
      <w:rFonts w:ascii="Times New Roman" w:hAnsi="Times New Roman" w:eastAsia="宋体" w:cs="Times New Roman"/>
      <w:color w:val="000000"/>
      <w:spacing w:val="260"/>
      <w:sz w:val="18"/>
      <w:szCs w:val="18"/>
      <w:u w:val="none"/>
    </w:rPr>
  </w:style>
  <w:style w:type="paragraph" w:customStyle="1" w:styleId="83">
    <w:name w:val="8"/>
    <w:basedOn w:val="1"/>
    <w:next w:val="20"/>
    <w:qFormat/>
    <w:uiPriority w:val="0"/>
    <w:pPr>
      <w:spacing w:after="120"/>
      <w:ind w:left="420" w:leftChars="200"/>
    </w:pPr>
    <w:rPr>
      <w:rFonts w:eastAsia="宋体" w:cs="Times New Roman"/>
    </w:rPr>
  </w:style>
  <w:style w:type="paragraph" w:customStyle="1" w:styleId="84">
    <w:name w:val="_Style 126"/>
    <w:basedOn w:val="1"/>
    <w:next w:val="85"/>
    <w:qFormat/>
    <w:uiPriority w:val="34"/>
    <w:pPr>
      <w:ind w:firstLine="420" w:firstLineChars="200"/>
    </w:pPr>
    <w:rPr>
      <w:rFonts w:eastAsia="宋体" w:cs="Times New Roman"/>
      <w:szCs w:val="22"/>
    </w:rPr>
  </w:style>
  <w:style w:type="paragraph" w:styleId="85">
    <w:name w:val="List Paragraph"/>
    <w:basedOn w:val="1"/>
    <w:link w:val="257"/>
    <w:qFormat/>
    <w:uiPriority w:val="0"/>
    <w:pPr>
      <w:ind w:firstLine="420" w:firstLineChars="200"/>
    </w:pPr>
    <w:rPr>
      <w:rFonts w:eastAsia="宋体" w:cs="Times New Roman"/>
      <w:szCs w:val="22"/>
    </w:rPr>
  </w:style>
  <w:style w:type="paragraph" w:customStyle="1" w:styleId="86">
    <w:name w:val="样式4"/>
    <w:basedOn w:val="1"/>
    <w:qFormat/>
    <w:uiPriority w:val="0"/>
    <w:pPr>
      <w:tabs>
        <w:tab w:val="left" w:pos="842"/>
      </w:tabs>
      <w:spacing w:line="360" w:lineRule="auto"/>
      <w:ind w:left="842" w:hanging="420"/>
    </w:pPr>
    <w:rPr>
      <w:rFonts w:eastAsia="宋体" w:cs="Times New Roman"/>
      <w:sz w:val="24"/>
    </w:rPr>
  </w:style>
  <w:style w:type="paragraph" w:customStyle="1" w:styleId="87">
    <w:name w:val=".."/>
    <w:basedOn w:val="1"/>
    <w:next w:val="1"/>
    <w:qFormat/>
    <w:uiPriority w:val="0"/>
    <w:pPr>
      <w:autoSpaceDE w:val="0"/>
      <w:autoSpaceDN w:val="0"/>
      <w:adjustRightInd w:val="0"/>
      <w:jc w:val="left"/>
    </w:pPr>
    <w:rPr>
      <w:rFonts w:ascii="Arial Unicode MS" w:hAnsi="Times New Roman" w:eastAsia="Arial Unicode MS" w:cs="Times New Roman"/>
      <w:kern w:val="0"/>
      <w:sz w:val="24"/>
    </w:rPr>
  </w:style>
  <w:style w:type="character" w:customStyle="1" w:styleId="88">
    <w:name w:val="layui-layer-tabnow"/>
    <w:qFormat/>
    <w:uiPriority w:val="0"/>
    <w:rPr>
      <w:rFonts w:ascii="Times New Roman" w:hAnsi="Times New Roman" w:eastAsia="宋体" w:cs="Times New Roman"/>
      <w:bdr w:val="single" w:color="CCCCCC" w:sz="6" w:space="0"/>
      <w:shd w:val="clear" w:color="auto" w:fill="FFFFFF"/>
    </w:rPr>
  </w:style>
  <w:style w:type="character" w:customStyle="1" w:styleId="89">
    <w:name w:val="fielderror"/>
    <w:qFormat/>
    <w:uiPriority w:val="0"/>
    <w:rPr>
      <w:rFonts w:ascii="Times New Roman" w:hAnsi="Times New Roman" w:eastAsia="宋体" w:cs="Times New Roman"/>
      <w:color w:val="800000"/>
    </w:rPr>
  </w:style>
  <w:style w:type="paragraph" w:customStyle="1" w:styleId="90">
    <w:name w:val="Char Char Char Char Char Char1 Char"/>
    <w:basedOn w:val="1"/>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91">
    <w:name w:val="--编号内缩进"/>
    <w:basedOn w:val="1"/>
    <w:qFormat/>
    <w:uiPriority w:val="0"/>
    <w:pPr>
      <w:spacing w:line="360" w:lineRule="auto"/>
      <w:ind w:left="420" w:firstLine="200" w:firstLineChars="200"/>
    </w:pPr>
    <w:rPr>
      <w:rFonts w:eastAsia="宋体" w:cs="Times New Roman"/>
      <w:szCs w:val="21"/>
    </w:rPr>
  </w:style>
  <w:style w:type="character" w:customStyle="1" w:styleId="92">
    <w:name w:val="标题 6 字符"/>
    <w:basedOn w:val="48"/>
    <w:link w:val="8"/>
    <w:qFormat/>
    <w:uiPriority w:val="0"/>
    <w:rPr>
      <w:rFonts w:ascii="Arial" w:hAnsi="Arial" w:eastAsia="黑体" w:cs="Times New Roman"/>
      <w:b/>
      <w:sz w:val="24"/>
      <w:szCs w:val="20"/>
    </w:rPr>
  </w:style>
  <w:style w:type="paragraph" w:customStyle="1" w:styleId="93">
    <w:name w:val="CM2"/>
    <w:basedOn w:val="94"/>
    <w:next w:val="94"/>
    <w:qFormat/>
    <w:uiPriority w:val="0"/>
    <w:pPr>
      <w:spacing w:line="200" w:lineRule="atLeast"/>
    </w:pPr>
    <w:rPr>
      <w:rFonts w:ascii="Arial" w:hAnsi="Arial" w:eastAsia="宋体"/>
      <w:color w:val="auto"/>
    </w:rPr>
  </w:style>
  <w:style w:type="paragraph" w:customStyle="1" w:styleId="94">
    <w:name w:val="Default"/>
    <w:link w:val="95"/>
    <w:qFormat/>
    <w:uiPriority w:val="0"/>
    <w:pPr>
      <w:widowControl w:val="0"/>
      <w:autoSpaceDE w:val="0"/>
      <w:autoSpaceDN w:val="0"/>
      <w:adjustRightInd w:val="0"/>
    </w:pPr>
    <w:rPr>
      <w:rFonts w:ascii="H Yb 2gj" w:hAnsi="Calibri" w:eastAsia="H Yb 2gj" w:cs="Times New Roman"/>
      <w:color w:val="000000"/>
      <w:sz w:val="24"/>
      <w:szCs w:val="24"/>
      <w:lang w:val="en-US" w:eastAsia="zh-CN" w:bidi="ar-SA"/>
    </w:rPr>
  </w:style>
  <w:style w:type="character" w:customStyle="1" w:styleId="95">
    <w:name w:val="Default Char"/>
    <w:link w:val="94"/>
    <w:qFormat/>
    <w:uiPriority w:val="0"/>
    <w:rPr>
      <w:rFonts w:ascii="H Yb 2gj" w:hAnsi="Calibri" w:eastAsia="H Yb 2gj" w:cs="Times New Roman"/>
      <w:color w:val="000000"/>
      <w:sz w:val="24"/>
      <w:szCs w:val="24"/>
      <w:lang w:val="en-US" w:eastAsia="zh-CN" w:bidi="ar-SA"/>
    </w:rPr>
  </w:style>
  <w:style w:type="paragraph" w:customStyle="1" w:styleId="96">
    <w:name w:val="二"/>
    <w:basedOn w:val="1"/>
    <w:link w:val="185"/>
    <w:qFormat/>
    <w:uiPriority w:val="0"/>
    <w:pPr>
      <w:widowControl/>
      <w:tabs>
        <w:tab w:val="left" w:pos="360"/>
      </w:tabs>
      <w:spacing w:line="360" w:lineRule="auto"/>
      <w:ind w:left="360" w:hanging="360"/>
      <w:jc w:val="left"/>
      <w:outlineLvl w:val="0"/>
    </w:pPr>
    <w:rPr>
      <w:rFonts w:ascii="宋体" w:hAnsi="宋体" w:eastAsia="宋体" w:cs="Times New Roman"/>
      <w:b/>
      <w:color w:val="000000"/>
      <w:kern w:val="0"/>
      <w:sz w:val="24"/>
    </w:rPr>
  </w:style>
  <w:style w:type="paragraph" w:customStyle="1" w:styleId="97">
    <w:name w:val="缩进正文"/>
    <w:basedOn w:val="1"/>
    <w:link w:val="223"/>
    <w:qFormat/>
    <w:uiPriority w:val="0"/>
    <w:pPr>
      <w:ind w:firstLine="560" w:firstLineChars="200"/>
    </w:pPr>
    <w:rPr>
      <w:rFonts w:eastAsia="仿宋_GB2312" w:cs="Times New Roman"/>
      <w:kern w:val="0"/>
      <w:sz w:val="28"/>
      <w:szCs w:val="20"/>
    </w:rPr>
  </w:style>
  <w:style w:type="character" w:customStyle="1" w:styleId="98">
    <w:name w:val="text"/>
    <w:basedOn w:val="48"/>
    <w:qFormat/>
    <w:uiPriority w:val="0"/>
    <w:rPr>
      <w:rFonts w:ascii="Times New Roman" w:hAnsi="Times New Roman" w:eastAsia="宋体" w:cs="Times New Roman"/>
    </w:rPr>
  </w:style>
  <w:style w:type="character" w:customStyle="1" w:styleId="99">
    <w:name w:val="style9"/>
    <w:basedOn w:val="48"/>
    <w:qFormat/>
    <w:uiPriority w:val="0"/>
    <w:rPr>
      <w:rFonts w:ascii="Times New Roman" w:hAnsi="Times New Roman" w:eastAsia="宋体" w:cs="Times New Roman"/>
    </w:rPr>
  </w:style>
  <w:style w:type="character" w:customStyle="1" w:styleId="100">
    <w:name w:val="blue"/>
    <w:basedOn w:val="48"/>
    <w:qFormat/>
    <w:uiPriority w:val="0"/>
    <w:rPr>
      <w:rFonts w:ascii="Times New Roman" w:hAnsi="Times New Roman" w:eastAsia="宋体" w:cs="Times New Roman"/>
    </w:rPr>
  </w:style>
  <w:style w:type="character" w:customStyle="1" w:styleId="101">
    <w:name w:val="HTML 预设格式 字符"/>
    <w:link w:val="39"/>
    <w:qFormat/>
    <w:uiPriority w:val="0"/>
    <w:rPr>
      <w:rFonts w:ascii="Arial Unicode MS" w:hAnsi="Arial Unicode MS" w:eastAsia="Arial Unicode MS" w:cs="Times New Roman"/>
      <w:color w:val="000000"/>
      <w:kern w:val="0"/>
      <w:sz w:val="20"/>
      <w:szCs w:val="20"/>
    </w:rPr>
  </w:style>
  <w:style w:type="character" w:customStyle="1" w:styleId="102">
    <w:name w:val="unnamed4"/>
    <w:basedOn w:val="48"/>
    <w:qFormat/>
    <w:uiPriority w:val="0"/>
    <w:rPr>
      <w:rFonts w:ascii="Times New Roman" w:hAnsi="Times New Roman" w:eastAsia="宋体" w:cs="Times New Roman"/>
    </w:rPr>
  </w:style>
  <w:style w:type="paragraph" w:customStyle="1" w:styleId="103">
    <w:name w:val="正文1"/>
    <w:basedOn w:val="1"/>
    <w:qFormat/>
    <w:uiPriority w:val="0"/>
    <w:pPr>
      <w:spacing w:line="318" w:lineRule="atLeast"/>
      <w:ind w:left="369" w:firstLine="369"/>
    </w:pPr>
    <w:rPr>
      <w:rFonts w:ascii="宋体" w:eastAsia="宋体" w:cs="Times New Roman"/>
    </w:rPr>
  </w:style>
  <w:style w:type="paragraph" w:customStyle="1" w:styleId="104">
    <w:name w:val="font5"/>
    <w:basedOn w:val="1"/>
    <w:qFormat/>
    <w:uiPriority w:val="0"/>
    <w:pPr>
      <w:widowControl/>
      <w:spacing w:before="100" w:beforeAutospacing="1" w:after="100" w:afterAutospacing="1"/>
      <w:jc w:val="left"/>
    </w:pPr>
    <w:rPr>
      <w:rFonts w:hint="eastAsia" w:ascii="宋体" w:hAnsi="宋体" w:eastAsia="宋体" w:cs="Times New Roman"/>
      <w:kern w:val="0"/>
      <w:sz w:val="18"/>
      <w:szCs w:val="18"/>
    </w:rPr>
  </w:style>
  <w:style w:type="paragraph" w:customStyle="1" w:styleId="105">
    <w:name w:val=".正文"/>
    <w:basedOn w:val="1"/>
    <w:qFormat/>
    <w:uiPriority w:val="0"/>
    <w:pPr>
      <w:spacing w:beforeLines="50"/>
      <w:ind w:firstLine="200" w:firstLineChars="200"/>
    </w:pPr>
    <w:rPr>
      <w:rFonts w:eastAsia="华文仿宋" w:cs="Times New Roman"/>
      <w:szCs w:val="22"/>
    </w:rPr>
  </w:style>
  <w:style w:type="paragraph" w:customStyle="1" w:styleId="106">
    <w:name w:val="Normal Paragraph"/>
    <w:basedOn w:val="1"/>
    <w:qFormat/>
    <w:uiPriority w:val="0"/>
    <w:pPr>
      <w:widowControl/>
      <w:spacing w:before="120" w:line="360" w:lineRule="auto"/>
      <w:ind w:firstLine="425"/>
    </w:pPr>
    <w:rPr>
      <w:rFonts w:eastAsia="宋体" w:cs="Times New Roman"/>
      <w:kern w:val="0"/>
      <w:sz w:val="24"/>
    </w:rPr>
  </w:style>
  <w:style w:type="paragraph" w:customStyle="1" w:styleId="107">
    <w:name w:val="评价"/>
    <w:basedOn w:val="1"/>
    <w:qFormat/>
    <w:uiPriority w:val="0"/>
    <w:pPr>
      <w:spacing w:afterLines="20"/>
      <w:ind w:firstLine="1446" w:firstLineChars="200"/>
    </w:pPr>
    <w:rPr>
      <w:rFonts w:eastAsia="宋体" w:cs="Times New Roman"/>
      <w:sz w:val="24"/>
    </w:rPr>
  </w:style>
  <w:style w:type="paragraph" w:customStyle="1" w:styleId="108">
    <w:name w:val="汉仪细等线简9BOLD"/>
    <w:basedOn w:val="1"/>
    <w:qFormat/>
    <w:uiPriority w:val="0"/>
    <w:pPr>
      <w:autoSpaceDE w:val="0"/>
      <w:autoSpaceDN w:val="0"/>
      <w:adjustRightInd w:val="0"/>
      <w:spacing w:line="240" w:lineRule="atLeast"/>
    </w:pPr>
    <w:rPr>
      <w:rFonts w:ascii="汉仪细等线简" w:eastAsia="汉仪细等线简" w:cs="Times New Roman"/>
      <w:b/>
      <w:bCs/>
      <w:kern w:val="0"/>
      <w:sz w:val="18"/>
      <w:szCs w:val="18"/>
    </w:rPr>
  </w:style>
  <w:style w:type="character" w:customStyle="1" w:styleId="109">
    <w:name w:val="H4 Char2"/>
    <w:qFormat/>
    <w:uiPriority w:val="0"/>
    <w:rPr>
      <w:rFonts w:ascii="Arial" w:hAnsi="Arial" w:eastAsia="黑体" w:cs="Times New Roman"/>
      <w:b/>
      <w:bCs/>
      <w:kern w:val="2"/>
      <w:sz w:val="28"/>
      <w:szCs w:val="28"/>
      <w:lang w:val="en-US" w:eastAsia="zh-CN" w:bidi="ar-SA"/>
    </w:rPr>
  </w:style>
  <w:style w:type="paragraph" w:customStyle="1" w:styleId="110">
    <w:name w:val="Table Contents"/>
    <w:basedOn w:val="1"/>
    <w:qFormat/>
    <w:uiPriority w:val="0"/>
    <w:pPr>
      <w:suppressAutoHyphens/>
      <w:autoSpaceDE w:val="0"/>
      <w:spacing w:after="120"/>
      <w:jc w:val="left"/>
    </w:pPr>
    <w:rPr>
      <w:rFonts w:ascii="Helvetica" w:hAnsi="Helvetica" w:eastAsia="宋体" w:cs="Times New Roman"/>
      <w:kern w:val="1"/>
      <w:sz w:val="20"/>
      <w:szCs w:val="20"/>
    </w:rPr>
  </w:style>
  <w:style w:type="paragraph" w:customStyle="1" w:styleId="111">
    <w:name w:val="正文规范"/>
    <w:basedOn w:val="1"/>
    <w:qFormat/>
    <w:uiPriority w:val="0"/>
    <w:pPr>
      <w:spacing w:line="420" w:lineRule="auto"/>
      <w:ind w:firstLine="200" w:firstLineChars="200"/>
    </w:pPr>
    <w:rPr>
      <w:rFonts w:eastAsia="宋体" w:cs="Calibri"/>
      <w:kern w:val="0"/>
      <w:sz w:val="24"/>
      <w:szCs w:val="21"/>
    </w:rPr>
  </w:style>
  <w:style w:type="paragraph" w:customStyle="1" w:styleId="112">
    <w:name w:val="Char Char"/>
    <w:basedOn w:val="1"/>
    <w:qFormat/>
    <w:uiPriority w:val="0"/>
    <w:rPr>
      <w:rFonts w:ascii="Tahoma" w:hAnsi="Tahoma" w:eastAsia="宋体" w:cs="Times New Roman"/>
      <w:sz w:val="24"/>
      <w:szCs w:val="20"/>
    </w:rPr>
  </w:style>
  <w:style w:type="character" w:customStyle="1" w:styleId="113">
    <w:name w:val="批注主题 字符"/>
    <w:basedOn w:val="114"/>
    <w:link w:val="43"/>
    <w:qFormat/>
    <w:uiPriority w:val="0"/>
    <w:rPr>
      <w:rFonts w:ascii="Times New Roman" w:hAnsi="Times New Roman" w:eastAsia="宋体" w:cs="Times New Roman"/>
    </w:rPr>
  </w:style>
  <w:style w:type="character" w:customStyle="1" w:styleId="114">
    <w:name w:val="批注文字 字符"/>
    <w:basedOn w:val="48"/>
    <w:link w:val="17"/>
    <w:semiHidden/>
    <w:qFormat/>
    <w:uiPriority w:val="99"/>
    <w:rPr>
      <w:rFonts w:ascii="宋体" w:hAnsi="Times New Roman" w:eastAsia="宋体" w:cs="Times New Roman"/>
      <w:kern w:val="0"/>
      <w:sz w:val="34"/>
      <w:szCs w:val="20"/>
    </w:rPr>
  </w:style>
  <w:style w:type="paragraph" w:customStyle="1" w:styleId="115">
    <w:name w:val="修订1"/>
    <w:semiHidden/>
    <w:qFormat/>
    <w:uiPriority w:val="99"/>
    <w:rPr>
      <w:rFonts w:ascii="Calibri" w:hAnsi="Calibri" w:eastAsia="宋体" w:cs="Times New Roman"/>
      <w:kern w:val="2"/>
      <w:sz w:val="21"/>
      <w:szCs w:val="24"/>
      <w:lang w:val="en-US" w:eastAsia="zh-CN" w:bidi="ar-SA"/>
    </w:rPr>
  </w:style>
  <w:style w:type="paragraph" w:customStyle="1" w:styleId="116">
    <w:name w:val="Char Char Char Char1"/>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117">
    <w:name w:val="列表项目"/>
    <w:basedOn w:val="1"/>
    <w:qFormat/>
    <w:uiPriority w:val="0"/>
    <w:pPr>
      <w:tabs>
        <w:tab w:val="left" w:pos="420"/>
        <w:tab w:val="left" w:pos="1080"/>
      </w:tabs>
      <w:spacing w:line="288" w:lineRule="auto"/>
      <w:ind w:left="1080" w:hanging="360"/>
    </w:pPr>
    <w:rPr>
      <w:rFonts w:eastAsia="宋体" w:cs="Times New Roman"/>
      <w:sz w:val="24"/>
      <w:szCs w:val="20"/>
    </w:rPr>
  </w:style>
  <w:style w:type="paragraph" w:customStyle="1" w:styleId="118">
    <w:name w:val="1111111111111"/>
    <w:basedOn w:val="1"/>
    <w:qFormat/>
    <w:uiPriority w:val="0"/>
    <w:pPr>
      <w:numPr>
        <w:ilvl w:val="0"/>
        <w:numId w:val="3"/>
      </w:numPr>
    </w:pPr>
    <w:rPr>
      <w:rFonts w:eastAsia="宋体" w:cs="Times New Roman"/>
    </w:rPr>
  </w:style>
  <w:style w:type="paragraph" w:customStyle="1" w:styleId="119">
    <w:name w:val="xl63"/>
    <w:basedOn w:val="1"/>
    <w:qFormat/>
    <w:uiPriority w:val="0"/>
    <w:pPr>
      <w:widowControl/>
      <w:pBdr>
        <w:bottom w:val="single" w:color="000000" w:sz="8" w:space="0"/>
        <w:right w:val="single" w:color="000000" w:sz="8" w:space="0"/>
      </w:pBdr>
      <w:spacing w:before="100" w:beforeAutospacing="1" w:after="100" w:afterAutospacing="1"/>
      <w:jc w:val="left"/>
    </w:pPr>
    <w:rPr>
      <w:rFonts w:ascii="等线" w:hAnsi="等线" w:eastAsia="等线" w:cs="宋体"/>
      <w:color w:val="000000"/>
      <w:kern w:val="0"/>
      <w:sz w:val="20"/>
      <w:szCs w:val="20"/>
    </w:rPr>
  </w:style>
  <w:style w:type="character" w:customStyle="1" w:styleId="120">
    <w:name w:val="表格 字符"/>
    <w:link w:val="121"/>
    <w:qFormat/>
    <w:uiPriority w:val="0"/>
    <w:rPr>
      <w:rFonts w:ascii="宋体" w:hAnsi="宋体" w:eastAsia="宋体" w:cs="Times New Roman"/>
      <w:color w:val="000000"/>
      <w:kern w:val="0"/>
      <w:sz w:val="24"/>
    </w:rPr>
  </w:style>
  <w:style w:type="paragraph" w:customStyle="1" w:styleId="121">
    <w:name w:val="表格"/>
    <w:basedOn w:val="1"/>
    <w:link w:val="120"/>
    <w:qFormat/>
    <w:uiPriority w:val="0"/>
    <w:pPr>
      <w:widowControl/>
      <w:spacing w:line="360" w:lineRule="auto"/>
      <w:textAlignment w:val="center"/>
    </w:pPr>
    <w:rPr>
      <w:rFonts w:ascii="宋体" w:hAnsi="宋体" w:eastAsia="宋体" w:cs="Times New Roman"/>
      <w:color w:val="000000"/>
      <w:kern w:val="0"/>
      <w:sz w:val="24"/>
    </w:rPr>
  </w:style>
  <w:style w:type="paragraph" w:customStyle="1" w:styleId="122">
    <w:name w:val="正文_0"/>
    <w:qFormat/>
    <w:uiPriority w:val="0"/>
    <w:rPr>
      <w:rFonts w:ascii="Times New Roman" w:hAnsi="Times New Roman" w:eastAsia="宋体" w:cs="Times New Roman"/>
      <w:sz w:val="21"/>
      <w:lang w:val="en-US" w:eastAsia="zh-CN" w:bidi="ar-SA"/>
    </w:rPr>
  </w:style>
  <w:style w:type="character" w:customStyle="1" w:styleId="123">
    <w:name w:val="正文文本 2 字符"/>
    <w:link w:val="38"/>
    <w:qFormat/>
    <w:uiPriority w:val="0"/>
    <w:rPr>
      <w:rFonts w:ascii="Times New Roman" w:hAnsi="Times New Roman" w:eastAsia="宋体" w:cs="Times New Roman"/>
      <w:sz w:val="24"/>
    </w:rPr>
  </w:style>
  <w:style w:type="paragraph" w:customStyle="1" w:styleId="124">
    <w:name w:val="设计依据"/>
    <w:basedOn w:val="19"/>
    <w:qFormat/>
    <w:uiPriority w:val="0"/>
    <w:pPr>
      <w:numPr>
        <w:ilvl w:val="1"/>
        <w:numId w:val="4"/>
      </w:numPr>
      <w:tabs>
        <w:tab w:val="left" w:pos="1440"/>
        <w:tab w:val="clear" w:pos="840"/>
      </w:tabs>
      <w:adjustRightInd w:val="0"/>
      <w:ind w:left="1440"/>
      <w:textAlignment w:val="baseline"/>
    </w:pPr>
    <w:rPr>
      <w:rFonts w:ascii="宋体" w:hAnsi="宋体"/>
      <w:b w:val="0"/>
      <w:kern w:val="0"/>
      <w:sz w:val="28"/>
      <w:szCs w:val="18"/>
    </w:rPr>
  </w:style>
  <w:style w:type="paragraph" w:customStyle="1" w:styleId="125">
    <w:name w:val="三级目录"/>
    <w:basedOn w:val="4"/>
    <w:qFormat/>
    <w:uiPriority w:val="0"/>
    <w:pPr>
      <w:numPr>
        <w:ilvl w:val="2"/>
        <w:numId w:val="5"/>
      </w:numPr>
      <w:tabs>
        <w:tab w:val="left" w:pos="851"/>
      </w:tabs>
      <w:spacing w:line="360" w:lineRule="auto"/>
    </w:pPr>
    <w:rPr>
      <w:rFonts w:ascii="Times New Roman" w:hAnsi="Times New Roman" w:eastAsia="宋体"/>
      <w:sz w:val="32"/>
    </w:rPr>
  </w:style>
  <w:style w:type="paragraph" w:customStyle="1" w:styleId="126">
    <w:name w:val="6"/>
    <w:basedOn w:val="127"/>
    <w:qFormat/>
    <w:uiPriority w:val="0"/>
    <w:pPr>
      <w:spacing w:line="270" w:lineRule="atLeast"/>
      <w:jc w:val="both"/>
    </w:pPr>
    <w:rPr>
      <w:b w:val="0"/>
      <w:bCs w:val="0"/>
    </w:rPr>
  </w:style>
  <w:style w:type="paragraph" w:customStyle="1" w:styleId="127">
    <w:name w:val="5"/>
    <w:basedOn w:val="1"/>
    <w:qFormat/>
    <w:uiPriority w:val="0"/>
    <w:pPr>
      <w:autoSpaceDE w:val="0"/>
      <w:autoSpaceDN w:val="0"/>
      <w:adjustRightInd w:val="0"/>
      <w:jc w:val="left"/>
    </w:pPr>
    <w:rPr>
      <w:rFonts w:ascii="宋体" w:eastAsia="宋体" w:cs="Times New Roman"/>
      <w:b/>
      <w:bCs/>
      <w:kern w:val="0"/>
      <w:sz w:val="18"/>
      <w:szCs w:val="18"/>
    </w:rPr>
  </w:style>
  <w:style w:type="character" w:customStyle="1" w:styleId="128">
    <w:name w:val="第*章 Char"/>
    <w:qFormat/>
    <w:uiPriority w:val="0"/>
    <w:rPr>
      <w:rFonts w:ascii="Arial" w:hAnsi="Arial" w:eastAsia="黑体" w:cs="Times New Roman"/>
      <w:b/>
      <w:bCs/>
      <w:kern w:val="2"/>
      <w:sz w:val="32"/>
      <w:szCs w:val="32"/>
    </w:rPr>
  </w:style>
  <w:style w:type="paragraph" w:customStyle="1" w:styleId="129">
    <w:name w:val="汉议细等线简8"/>
    <w:qFormat/>
    <w:uiPriority w:val="0"/>
    <w:pPr>
      <w:widowControl w:val="0"/>
      <w:autoSpaceDE w:val="0"/>
      <w:autoSpaceDN w:val="0"/>
      <w:adjustRightInd w:val="0"/>
      <w:spacing w:line="260" w:lineRule="atLeast"/>
      <w:jc w:val="both"/>
    </w:pPr>
    <w:rPr>
      <w:rFonts w:ascii="汉仪细等线简" w:hAnsi="Calibri" w:eastAsia="汉仪细等线简" w:cs="Times New Roman"/>
      <w:color w:val="000000"/>
      <w:sz w:val="16"/>
      <w:szCs w:val="16"/>
      <w:lang w:val="en-US" w:eastAsia="zh-CN" w:bidi="ar-SA"/>
    </w:rPr>
  </w:style>
  <w:style w:type="paragraph" w:customStyle="1" w:styleId="130">
    <w:name w:val="z-窗体底端1"/>
    <w:basedOn w:val="1"/>
    <w:next w:val="1"/>
    <w:qFormat/>
    <w:uiPriority w:val="0"/>
    <w:pPr>
      <w:widowControl/>
      <w:pBdr>
        <w:top w:val="single" w:color="auto" w:sz="6" w:space="1"/>
      </w:pBdr>
      <w:jc w:val="center"/>
    </w:pPr>
    <w:rPr>
      <w:rFonts w:ascii="Arial" w:hAnsi="Arial" w:eastAsia="宋体" w:cs="Arial"/>
      <w:vanish/>
      <w:kern w:val="0"/>
      <w:sz w:val="16"/>
      <w:szCs w:val="16"/>
    </w:rPr>
  </w:style>
  <w:style w:type="paragraph" w:customStyle="1" w:styleId="131">
    <w:name w:val="--规划-小标题"/>
    <w:basedOn w:val="1"/>
    <w:next w:val="63"/>
    <w:qFormat/>
    <w:uiPriority w:val="0"/>
    <w:pPr>
      <w:keepNext/>
      <w:keepLines/>
      <w:spacing w:line="360" w:lineRule="auto"/>
      <w:outlineLvl w:val="4"/>
    </w:pPr>
    <w:rPr>
      <w:rFonts w:eastAsia="黑体" w:cs="Times New Roman"/>
    </w:rPr>
  </w:style>
  <w:style w:type="paragraph" w:customStyle="1" w:styleId="132">
    <w:name w:val="正文样式"/>
    <w:basedOn w:val="1"/>
    <w:qFormat/>
    <w:uiPriority w:val="0"/>
    <w:pPr>
      <w:adjustRightInd w:val="0"/>
      <w:spacing w:line="400" w:lineRule="atLeast"/>
      <w:ind w:firstLine="570" w:firstLineChars="203"/>
      <w:textAlignment w:val="baseline"/>
    </w:pPr>
    <w:rPr>
      <w:rFonts w:eastAsia="仿宋_GB2312" w:cs="Times New Roman"/>
      <w:kern w:val="0"/>
      <w:sz w:val="28"/>
      <w:szCs w:val="20"/>
    </w:rPr>
  </w:style>
  <w:style w:type="character" w:customStyle="1" w:styleId="133">
    <w:name w:val="标题 1 Char1"/>
    <w:qFormat/>
    <w:uiPriority w:val="0"/>
    <w:rPr>
      <w:rFonts w:ascii="Times New Roman" w:hAnsi="Times New Roman" w:eastAsia="宋体" w:cs="Times New Roman"/>
      <w:b/>
      <w:bCs/>
      <w:kern w:val="44"/>
      <w:sz w:val="44"/>
      <w:szCs w:val="44"/>
      <w:lang w:val="en-US" w:eastAsia="zh-CN" w:bidi="ar-SA"/>
    </w:rPr>
  </w:style>
  <w:style w:type="character" w:customStyle="1" w:styleId="134">
    <w:name w:val="标题 8 字符"/>
    <w:basedOn w:val="48"/>
    <w:link w:val="10"/>
    <w:qFormat/>
    <w:uiPriority w:val="0"/>
    <w:rPr>
      <w:rFonts w:ascii="Arial" w:hAnsi="Arial" w:eastAsia="黑体" w:cs="Times New Roman"/>
      <w:sz w:val="24"/>
      <w:szCs w:val="20"/>
    </w:rPr>
  </w:style>
  <w:style w:type="paragraph" w:customStyle="1" w:styleId="135">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Times New Roman"/>
      <w:kern w:val="0"/>
      <w:sz w:val="24"/>
    </w:rPr>
  </w:style>
  <w:style w:type="paragraph" w:customStyle="1" w:styleId="136">
    <w:name w:val="样式 标题 2 + 段前: 13 磅 段后: 13 磅 行距: 单倍行距"/>
    <w:basedOn w:val="3"/>
    <w:qFormat/>
    <w:uiPriority w:val="0"/>
    <w:pPr>
      <w:adjustRightInd/>
      <w:jc w:val="both"/>
      <w:textAlignment w:val="auto"/>
    </w:pPr>
    <w:rPr>
      <w:rFonts w:ascii="Cambria" w:hAnsi="Cambria" w:cs="宋体"/>
      <w:kern w:val="2"/>
      <w:sz w:val="32"/>
    </w:rPr>
  </w:style>
  <w:style w:type="paragraph" w:customStyle="1" w:styleId="137">
    <w:name w:val="a14"/>
    <w:basedOn w:val="1"/>
    <w:qFormat/>
    <w:uiPriority w:val="0"/>
    <w:pPr>
      <w:widowControl/>
      <w:spacing w:before="100" w:beforeAutospacing="1" w:after="100" w:afterAutospacing="1" w:line="300" w:lineRule="atLeast"/>
      <w:ind w:firstLine="375"/>
      <w:jc w:val="left"/>
    </w:pPr>
    <w:rPr>
      <w:rFonts w:ascii="宋体" w:hAnsi="宋体" w:eastAsia="宋体" w:cs="宋体"/>
      <w:kern w:val="0"/>
      <w:szCs w:val="21"/>
    </w:rPr>
  </w:style>
  <w:style w:type="paragraph" w:customStyle="1" w:styleId="138">
    <w:name w:val="表内容不缩进"/>
    <w:basedOn w:val="1"/>
    <w:qFormat/>
    <w:uiPriority w:val="0"/>
    <w:pPr>
      <w:spacing w:afterLines="25" w:line="560" w:lineRule="exact"/>
    </w:pPr>
    <w:rPr>
      <w:rFonts w:ascii="仿宋_GB2312" w:hAnsi="等线" w:eastAsia="仿宋_GB2312" w:cs="Times New Roman"/>
      <w:sz w:val="24"/>
      <w:szCs w:val="22"/>
    </w:rPr>
  </w:style>
  <w:style w:type="paragraph" w:customStyle="1" w:styleId="139">
    <w:name w:val="9"/>
    <w:basedOn w:val="1"/>
    <w:next w:val="7"/>
    <w:qFormat/>
    <w:uiPriority w:val="0"/>
    <w:pPr>
      <w:autoSpaceDE w:val="0"/>
      <w:autoSpaceDN w:val="0"/>
      <w:adjustRightInd w:val="0"/>
      <w:ind w:firstLine="420"/>
      <w:jc w:val="left"/>
      <w:textAlignment w:val="baseline"/>
    </w:pPr>
    <w:rPr>
      <w:rFonts w:ascii="宋体" w:eastAsia="宋体" w:cs="Times New Roman"/>
      <w:kern w:val="0"/>
      <w:sz w:val="34"/>
      <w:szCs w:val="20"/>
    </w:rPr>
  </w:style>
  <w:style w:type="paragraph" w:customStyle="1" w:styleId="140">
    <w:name w:val="--规划-表格-居中"/>
    <w:basedOn w:val="63"/>
    <w:qFormat/>
    <w:uiPriority w:val="0"/>
    <w:pPr>
      <w:spacing w:line="240" w:lineRule="auto"/>
      <w:ind w:firstLine="0" w:firstLineChars="0"/>
      <w:jc w:val="center"/>
    </w:pPr>
    <w:rPr>
      <w:sz w:val="20"/>
    </w:rPr>
  </w:style>
  <w:style w:type="character" w:customStyle="1" w:styleId="141">
    <w:name w:val="正文缩进 字符"/>
    <w:link w:val="7"/>
    <w:qFormat/>
    <w:uiPriority w:val="0"/>
    <w:rPr>
      <w:rFonts w:ascii="Times New Roman" w:hAnsi="Times New Roman" w:eastAsia="宋体" w:cs="Times New Roman"/>
      <w:kern w:val="0"/>
      <w:sz w:val="20"/>
      <w:szCs w:val="20"/>
    </w:rPr>
  </w:style>
  <w:style w:type="character" w:customStyle="1" w:styleId="142">
    <w:name w:val="proddescription"/>
    <w:basedOn w:val="48"/>
    <w:qFormat/>
    <w:uiPriority w:val="0"/>
    <w:rPr>
      <w:rFonts w:ascii="Times New Roman" w:hAnsi="Times New Roman" w:eastAsia="宋体" w:cs="Times New Roman"/>
    </w:rPr>
  </w:style>
  <w:style w:type="paragraph" w:customStyle="1" w:styleId="143">
    <w:name w:val="text1"/>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144">
    <w:name w:val="blue1"/>
    <w:basedOn w:val="1"/>
    <w:qFormat/>
    <w:uiPriority w:val="0"/>
    <w:pPr>
      <w:widowControl/>
      <w:spacing w:before="100" w:beforeAutospacing="1" w:after="100" w:afterAutospacing="1"/>
      <w:jc w:val="left"/>
    </w:pPr>
    <w:rPr>
      <w:rFonts w:ascii="宋体" w:hAnsi="宋体" w:eastAsia="宋体" w:cs="宋体"/>
      <w:kern w:val="0"/>
      <w:sz w:val="24"/>
    </w:rPr>
  </w:style>
  <w:style w:type="character" w:customStyle="1" w:styleId="145">
    <w:name w:val="正文文本 3 字符"/>
    <w:link w:val="18"/>
    <w:qFormat/>
    <w:uiPriority w:val="0"/>
    <w:rPr>
      <w:rFonts w:ascii="Times New Roman" w:hAnsi="Times New Roman" w:eastAsia="宋体" w:cs="Times New Roman"/>
      <w:sz w:val="16"/>
      <w:szCs w:val="16"/>
    </w:rPr>
  </w:style>
  <w:style w:type="character" w:customStyle="1" w:styleId="146">
    <w:name w:val="inline-help"/>
    <w:basedOn w:val="48"/>
    <w:qFormat/>
    <w:uiPriority w:val="0"/>
    <w:rPr>
      <w:rFonts w:ascii="Times New Roman" w:hAnsi="Times New Roman" w:eastAsia="宋体" w:cs="Times New Roman"/>
    </w:rPr>
  </w:style>
  <w:style w:type="character" w:customStyle="1" w:styleId="147">
    <w:name w:val="标题 5 字符"/>
    <w:basedOn w:val="48"/>
    <w:link w:val="6"/>
    <w:qFormat/>
    <w:uiPriority w:val="0"/>
    <w:rPr>
      <w:rFonts w:ascii="Times New Roman" w:hAnsi="Times New Roman" w:eastAsia="宋体" w:cs="Times New Roman"/>
      <w:b/>
      <w:sz w:val="28"/>
      <w:szCs w:val="20"/>
    </w:rPr>
  </w:style>
  <w:style w:type="paragraph" w:customStyle="1" w:styleId="148">
    <w:name w:val="qw"/>
    <w:qFormat/>
    <w:uiPriority w:val="0"/>
    <w:pPr>
      <w:widowControl w:val="0"/>
      <w:adjustRightInd w:val="0"/>
      <w:spacing w:line="312" w:lineRule="atLeast"/>
      <w:jc w:val="both"/>
      <w:textAlignment w:val="baseline"/>
    </w:pPr>
    <w:rPr>
      <w:rFonts w:ascii="宋体" w:hAnsi="Calibri" w:eastAsia="宋体" w:cs="Times New Roman"/>
      <w:sz w:val="24"/>
      <w:lang w:val="en-US" w:eastAsia="zh-CN" w:bidi="ar-SA"/>
    </w:rPr>
  </w:style>
  <w:style w:type="character" w:customStyle="1" w:styleId="149">
    <w:name w:val="标题 2 字符"/>
    <w:basedOn w:val="48"/>
    <w:link w:val="3"/>
    <w:qFormat/>
    <w:uiPriority w:val="0"/>
    <w:rPr>
      <w:rFonts w:ascii="Times New Roman" w:hAnsi="Times New Roman" w:eastAsia="宋体" w:cs="Times New Roman"/>
      <w:kern w:val="0"/>
      <w:sz w:val="24"/>
      <w:szCs w:val="20"/>
    </w:rPr>
  </w:style>
  <w:style w:type="character" w:customStyle="1" w:styleId="150">
    <w:name w:val="样式 小三 加粗"/>
    <w:qFormat/>
    <w:uiPriority w:val="0"/>
    <w:rPr>
      <w:rFonts w:ascii="Times New Roman" w:hAnsi="Times New Roman" w:eastAsia="宋体" w:cs="Times New Roman"/>
      <w:b/>
      <w:bCs/>
      <w:sz w:val="32"/>
    </w:rPr>
  </w:style>
  <w:style w:type="character" w:customStyle="1" w:styleId="151">
    <w:name w:val="标题 3 字符1"/>
    <w:link w:val="4"/>
    <w:qFormat/>
    <w:uiPriority w:val="0"/>
    <w:rPr>
      <w:rFonts w:ascii="Calibri" w:hAnsi="Calibri" w:eastAsia="宋体" w:cs="Times New Roman"/>
      <w:b/>
      <w:bCs/>
      <w:sz w:val="32"/>
      <w:szCs w:val="32"/>
    </w:rPr>
  </w:style>
  <w:style w:type="paragraph" w:customStyle="1" w:styleId="152">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0"/>
      <w:szCs w:val="20"/>
    </w:rPr>
  </w:style>
  <w:style w:type="character" w:customStyle="1" w:styleId="153">
    <w:name w:val="active2"/>
    <w:qFormat/>
    <w:uiPriority w:val="0"/>
    <w:rPr>
      <w:rFonts w:ascii="Times New Roman" w:hAnsi="Times New Roman" w:eastAsia="宋体" w:cs="Times New Roman"/>
      <w:color w:val="FFFFFF"/>
    </w:rPr>
  </w:style>
  <w:style w:type="paragraph" w:customStyle="1" w:styleId="154">
    <w:name w:val="Char2"/>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character" w:customStyle="1" w:styleId="155">
    <w:name w:val="NormalCharacter"/>
    <w:qFormat/>
    <w:uiPriority w:val="0"/>
    <w:rPr>
      <w:rFonts w:ascii="Calibri" w:hAnsi="Calibri" w:eastAsia="宋体" w:cs="Times New Roman"/>
      <w:kern w:val="2"/>
      <w:sz w:val="21"/>
      <w:szCs w:val="24"/>
      <w:lang w:val="en-US" w:eastAsia="zh-CN" w:bidi="ar-SA"/>
    </w:rPr>
  </w:style>
  <w:style w:type="paragraph" w:customStyle="1" w:styleId="156">
    <w:name w:val="小标题 1"/>
    <w:basedOn w:val="1"/>
    <w:qFormat/>
    <w:uiPriority w:val="0"/>
    <w:pPr>
      <w:autoSpaceDE w:val="0"/>
      <w:autoSpaceDN w:val="0"/>
      <w:adjustRightInd w:val="0"/>
      <w:spacing w:line="360" w:lineRule="atLeast"/>
    </w:pPr>
    <w:rPr>
      <w:rFonts w:ascii="文鼎粗黑" w:eastAsia="文鼎粗黑" w:cs="Times New Roman"/>
      <w:kern w:val="0"/>
      <w:sz w:val="22"/>
      <w:szCs w:val="20"/>
    </w:rPr>
  </w:style>
  <w:style w:type="character" w:customStyle="1" w:styleId="157">
    <w:name w:val="标题 3 Char Char"/>
    <w:qFormat/>
    <w:uiPriority w:val="0"/>
    <w:rPr>
      <w:rFonts w:ascii="Times New Roman" w:hAnsi="Times New Roman" w:eastAsia="宋体" w:cs="Times New Roman"/>
      <w:b/>
      <w:bCs/>
      <w:kern w:val="2"/>
      <w:sz w:val="32"/>
      <w:szCs w:val="32"/>
      <w:lang w:val="en-US" w:eastAsia="zh-CN" w:bidi="ar-SA"/>
    </w:rPr>
  </w:style>
  <w:style w:type="paragraph" w:customStyle="1" w:styleId="158">
    <w:name w:val="样式1"/>
    <w:basedOn w:val="42"/>
    <w:link w:val="293"/>
    <w:qFormat/>
    <w:uiPriority w:val="0"/>
    <w:pPr>
      <w:spacing w:before="120" w:after="120"/>
    </w:pPr>
    <w:rPr>
      <w:rFonts w:eastAsia="黑体"/>
      <w:b w:val="0"/>
      <w:sz w:val="30"/>
      <w:szCs w:val="21"/>
    </w:rPr>
  </w:style>
  <w:style w:type="paragraph" w:customStyle="1" w:styleId="159">
    <w:name w:val="保留正文"/>
    <w:basedOn w:val="19"/>
    <w:qFormat/>
    <w:uiPriority w:val="0"/>
    <w:pPr>
      <w:keepNext/>
      <w:tabs>
        <w:tab w:val="left" w:pos="562"/>
        <w:tab w:val="left" w:pos="3372"/>
        <w:tab w:val="left" w:pos="3653"/>
      </w:tabs>
      <w:spacing w:after="160"/>
    </w:pPr>
    <w:rPr>
      <w:sz w:val="21"/>
    </w:rPr>
  </w:style>
  <w:style w:type="paragraph" w:customStyle="1" w:styleId="160">
    <w:name w:val="首行缩进:  0.85 厘米"/>
    <w:basedOn w:val="1"/>
    <w:qFormat/>
    <w:uiPriority w:val="0"/>
    <w:pPr>
      <w:widowControl/>
      <w:spacing w:after="100" w:line="360" w:lineRule="auto"/>
      <w:ind w:firstLine="482"/>
      <w:jc w:val="left"/>
    </w:pPr>
    <w:rPr>
      <w:rFonts w:eastAsia="宋体" w:cs="宋体"/>
      <w:kern w:val="0"/>
      <w:sz w:val="24"/>
      <w:szCs w:val="20"/>
      <w:lang w:eastAsia="en-US" w:bidi="en-US"/>
    </w:rPr>
  </w:style>
  <w:style w:type="paragraph" w:customStyle="1" w:styleId="161">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Times New Roman"/>
      <w:kern w:val="0"/>
      <w:sz w:val="24"/>
    </w:rPr>
  </w:style>
  <w:style w:type="paragraph" w:customStyle="1" w:styleId="162">
    <w:name w:val="列出段落1"/>
    <w:basedOn w:val="163"/>
    <w:qFormat/>
    <w:uiPriority w:val="0"/>
    <w:pPr>
      <w:ind w:firstLine="420" w:firstLineChars="200"/>
    </w:pPr>
    <w:rPr>
      <w:rFonts w:eastAsia="宋体" w:cs="Calibri"/>
      <w:szCs w:val="21"/>
    </w:rPr>
  </w:style>
  <w:style w:type="paragraph" w:customStyle="1" w:styleId="163">
    <w:name w:val="正文_10_42"/>
    <w:autoRedefine/>
    <w:qFormat/>
    <w:uiPriority w:val="0"/>
    <w:pPr>
      <w:widowControl w:val="0"/>
      <w:jc w:val="both"/>
    </w:pPr>
    <w:rPr>
      <w:rFonts w:ascii="Calibri" w:hAnsi="Calibri" w:eastAsia="宋体" w:cs="Times New Roman"/>
      <w:kern w:val="2"/>
      <w:sz w:val="24"/>
      <w:szCs w:val="22"/>
      <w:lang w:val="en-US" w:eastAsia="zh-CN" w:bidi="ar-SA"/>
    </w:rPr>
  </w:style>
  <w:style w:type="paragraph" w:customStyle="1" w:styleId="164">
    <w:name w:val="标题 7_0"/>
    <w:basedOn w:val="165"/>
    <w:next w:val="165"/>
    <w:autoRedefine/>
    <w:unhideWhenUsed/>
    <w:qFormat/>
    <w:uiPriority w:val="9"/>
    <w:pPr>
      <w:keepNext/>
      <w:keepLines/>
      <w:adjustRightInd w:val="0"/>
      <w:spacing w:before="240" w:after="64" w:line="320" w:lineRule="atLeast"/>
      <w:jc w:val="left"/>
      <w:textAlignment w:val="baseline"/>
      <w:outlineLvl w:val="6"/>
    </w:pPr>
    <w:rPr>
      <w:b/>
      <w:bCs/>
      <w:kern w:val="0"/>
      <w:sz w:val="24"/>
    </w:rPr>
  </w:style>
  <w:style w:type="paragraph" w:customStyle="1" w:styleId="165">
    <w:name w:val="正文_37"/>
    <w:next w:val="166"/>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66">
    <w:name w:val="标题 2_37"/>
    <w:basedOn w:val="165"/>
    <w:next w:val="165"/>
    <w:autoRedefine/>
    <w:unhideWhenUsed/>
    <w:qFormat/>
    <w:uiPriority w:val="9"/>
    <w:pPr>
      <w:keepNext/>
      <w:keepLines/>
      <w:spacing w:line="360" w:lineRule="auto"/>
      <w:outlineLvl w:val="1"/>
    </w:pPr>
    <w:rPr>
      <w:rFonts w:ascii="Arial" w:hAnsi="Arial"/>
      <w:b/>
      <w:bCs/>
      <w:sz w:val="24"/>
      <w:szCs w:val="32"/>
    </w:rPr>
  </w:style>
  <w:style w:type="paragraph" w:customStyle="1" w:styleId="167">
    <w:name w:val="样式41"/>
    <w:basedOn w:val="1"/>
    <w:qFormat/>
    <w:uiPriority w:val="0"/>
    <w:pPr>
      <w:numPr>
        <w:ilvl w:val="0"/>
        <w:numId w:val="6"/>
      </w:numPr>
      <w:tabs>
        <w:tab w:val="left" w:pos="945"/>
      </w:tabs>
      <w:spacing w:line="360" w:lineRule="auto"/>
    </w:pPr>
    <w:rPr>
      <w:rFonts w:eastAsia="宋体" w:cs="Times New Roman"/>
      <w:b/>
      <w:color w:val="000000"/>
      <w:sz w:val="24"/>
      <w:szCs w:val="20"/>
    </w:rPr>
  </w:style>
  <w:style w:type="paragraph" w:customStyle="1" w:styleId="168">
    <w:name w:val="文字"/>
    <w:basedOn w:val="1"/>
    <w:qFormat/>
    <w:uiPriority w:val="0"/>
    <w:pPr>
      <w:tabs>
        <w:tab w:val="left" w:pos="8520"/>
      </w:tabs>
      <w:spacing w:line="312" w:lineRule="auto"/>
      <w:ind w:right="-210" w:firstLine="556"/>
    </w:pPr>
    <w:rPr>
      <w:rFonts w:ascii="宋体" w:eastAsia="宋体" w:cs="Times New Roman"/>
      <w:sz w:val="28"/>
      <w:szCs w:val="20"/>
    </w:rPr>
  </w:style>
  <w:style w:type="character" w:customStyle="1" w:styleId="169">
    <w:name w:val="mode"/>
    <w:basedOn w:val="48"/>
    <w:qFormat/>
    <w:uiPriority w:val="0"/>
    <w:rPr>
      <w:rFonts w:ascii="Times New Roman" w:hAnsi="Times New Roman" w:eastAsia="宋体" w:cs="Times New Roman"/>
    </w:rPr>
  </w:style>
  <w:style w:type="paragraph" w:customStyle="1" w:styleId="170">
    <w:name w:val="Char Char Char Char Char Char1 Char Char Char Char Char Char Char Char Char Char Char Char Char"/>
    <w:basedOn w:val="1"/>
    <w:qFormat/>
    <w:uiPriority w:val="0"/>
    <w:pPr>
      <w:widowControl/>
      <w:spacing w:after="160" w:line="240" w:lineRule="exact"/>
      <w:jc w:val="left"/>
    </w:pPr>
    <w:rPr>
      <w:rFonts w:ascii="Arial" w:hAnsi="Arial" w:eastAsia="Times New Roman" w:cs="Verdana"/>
      <w:b/>
      <w:kern w:val="0"/>
      <w:sz w:val="24"/>
      <w:lang w:eastAsia="en-US"/>
    </w:rPr>
  </w:style>
  <w:style w:type="character" w:customStyle="1" w:styleId="171">
    <w:name w:val="列表段落 字符"/>
    <w:link w:val="85"/>
    <w:qFormat/>
    <w:uiPriority w:val="34"/>
    <w:rPr>
      <w:rFonts w:ascii="Times New Roman" w:hAnsi="Times New Roman" w:eastAsia="宋体" w:cs="Times New Roman"/>
      <w:szCs w:val="22"/>
    </w:rPr>
  </w:style>
  <w:style w:type="character" w:customStyle="1" w:styleId="172">
    <w:name w:val="标题 7 字符"/>
    <w:basedOn w:val="48"/>
    <w:link w:val="9"/>
    <w:qFormat/>
    <w:uiPriority w:val="0"/>
    <w:rPr>
      <w:rFonts w:ascii="Times New Roman" w:hAnsi="Times New Roman" w:eastAsia="宋体" w:cs="Times New Roman"/>
      <w:b/>
      <w:sz w:val="24"/>
      <w:szCs w:val="20"/>
    </w:rPr>
  </w:style>
  <w:style w:type="paragraph" w:customStyle="1" w:styleId="173">
    <w:name w:val="图"/>
    <w:basedOn w:val="1"/>
    <w:qFormat/>
    <w:uiPriority w:val="0"/>
    <w:pPr>
      <w:keepNext/>
      <w:adjustRightInd w:val="0"/>
      <w:snapToGrid w:val="0"/>
      <w:spacing w:before="60" w:after="60" w:line="300" w:lineRule="auto"/>
      <w:jc w:val="center"/>
    </w:pPr>
    <w:rPr>
      <w:rFonts w:eastAsia="宋体" w:cs="Times New Roman"/>
      <w:spacing w:val="20"/>
      <w:kern w:val="0"/>
      <w:sz w:val="24"/>
      <w:szCs w:val="20"/>
    </w:rPr>
  </w:style>
  <w:style w:type="paragraph" w:customStyle="1" w:styleId="174">
    <w:name w:val="Table Paragraph"/>
    <w:basedOn w:val="1"/>
    <w:qFormat/>
    <w:uiPriority w:val="99"/>
    <w:pPr>
      <w:autoSpaceDE w:val="0"/>
      <w:autoSpaceDN w:val="0"/>
      <w:adjustRightInd w:val="0"/>
      <w:jc w:val="left"/>
    </w:pPr>
    <w:rPr>
      <w:rFonts w:ascii="宋体" w:hAnsi="宋体" w:eastAsia="宋体" w:cs="宋体"/>
      <w:kern w:val="0"/>
      <w:sz w:val="24"/>
    </w:rPr>
  </w:style>
  <w:style w:type="character" w:customStyle="1" w:styleId="175">
    <w:name w:val="标题 1 字符"/>
    <w:basedOn w:val="48"/>
    <w:link w:val="2"/>
    <w:qFormat/>
    <w:uiPriority w:val="0"/>
    <w:rPr>
      <w:rFonts w:ascii="宋体" w:hAnsi="宋体" w:eastAsia="黑体" w:cs="Times New Roman"/>
      <w:b/>
      <w:bCs/>
      <w:kern w:val="44"/>
      <w:sz w:val="28"/>
      <w:szCs w:val="44"/>
      <w:lang w:val="en-US" w:eastAsia="zh-CN" w:bidi="ar-SA"/>
    </w:rPr>
  </w:style>
  <w:style w:type="character" w:customStyle="1" w:styleId="176">
    <w:name w:val="font2"/>
    <w:basedOn w:val="48"/>
    <w:qFormat/>
    <w:uiPriority w:val="0"/>
    <w:rPr>
      <w:rFonts w:ascii="Times New Roman" w:hAnsi="Times New Roman" w:eastAsia="宋体" w:cs="Times New Roman"/>
    </w:rPr>
  </w:style>
  <w:style w:type="paragraph" w:customStyle="1" w:styleId="177">
    <w:name w:val="正文文字缩进项目"/>
    <w:basedOn w:val="20"/>
    <w:qFormat/>
    <w:uiPriority w:val="0"/>
    <w:pPr>
      <w:numPr>
        <w:ilvl w:val="1"/>
        <w:numId w:val="7"/>
      </w:numPr>
      <w:tabs>
        <w:tab w:val="left" w:pos="840"/>
        <w:tab w:val="clear" w:pos="1260"/>
      </w:tabs>
      <w:spacing w:after="120" w:line="240" w:lineRule="auto"/>
      <w:ind w:left="840" w:firstLine="0" w:firstLineChars="0"/>
    </w:pPr>
    <w:rPr>
      <w:rFonts w:ascii="Tahoma" w:hAnsi="Tahoma"/>
      <w:sz w:val="22"/>
      <w:szCs w:val="20"/>
    </w:rPr>
  </w:style>
  <w:style w:type="paragraph" w:customStyle="1" w:styleId="178">
    <w:name w:val="编号1"/>
    <w:basedOn w:val="1"/>
    <w:qFormat/>
    <w:uiPriority w:val="0"/>
    <w:pPr>
      <w:numPr>
        <w:ilvl w:val="0"/>
        <w:numId w:val="8"/>
      </w:numPr>
      <w:adjustRightInd w:val="0"/>
      <w:spacing w:line="300" w:lineRule="auto"/>
      <w:ind w:right="210"/>
      <w:textAlignment w:val="center"/>
    </w:pPr>
    <w:rPr>
      <w:rFonts w:ascii="宋体" w:hAnsi="宋体" w:eastAsia="宋体" w:cs="Times New Roman"/>
      <w:snapToGrid w:val="0"/>
      <w:spacing w:val="10"/>
      <w:kern w:val="24"/>
    </w:rPr>
  </w:style>
  <w:style w:type="paragraph" w:customStyle="1" w:styleId="179">
    <w:name w:val="Char Char Char Char Char Char Char Char Char Char Char Char Char Char Char Char Char Char Char Char Char Char"/>
    <w:basedOn w:val="1"/>
    <w:qFormat/>
    <w:uiPriority w:val="0"/>
    <w:pPr>
      <w:widowControl/>
      <w:spacing w:line="400" w:lineRule="exact"/>
      <w:jc w:val="center"/>
    </w:pPr>
    <w:rPr>
      <w:rFonts w:ascii="Verdana" w:hAnsi="Verdana" w:eastAsia="宋体" w:cs="Times New Roman"/>
      <w:kern w:val="0"/>
      <w:szCs w:val="20"/>
      <w:lang w:eastAsia="en-US"/>
    </w:rPr>
  </w:style>
  <w:style w:type="paragraph" w:customStyle="1" w:styleId="180">
    <w:name w:val="7"/>
    <w:basedOn w:val="1"/>
    <w:qFormat/>
    <w:uiPriority w:val="0"/>
    <w:pPr>
      <w:autoSpaceDE w:val="0"/>
      <w:autoSpaceDN w:val="0"/>
      <w:adjustRightInd w:val="0"/>
      <w:spacing w:line="270" w:lineRule="atLeast"/>
      <w:jc w:val="left"/>
    </w:pPr>
    <w:rPr>
      <w:rFonts w:ascii="宋体" w:eastAsia="宋体" w:cs="Times New Roman"/>
      <w:kern w:val="0"/>
      <w:sz w:val="18"/>
      <w:szCs w:val="18"/>
    </w:rPr>
  </w:style>
  <w:style w:type="paragraph" w:customStyle="1" w:styleId="181">
    <w:name w:val="方案要点"/>
    <w:basedOn w:val="1"/>
    <w:qFormat/>
    <w:uiPriority w:val="0"/>
    <w:pPr>
      <w:numPr>
        <w:ilvl w:val="0"/>
        <w:numId w:val="4"/>
      </w:numPr>
      <w:spacing w:line="360" w:lineRule="auto"/>
    </w:pPr>
    <w:rPr>
      <w:rFonts w:ascii="仿宋_GB2312" w:hAnsi="宋体" w:eastAsia="仿宋_GB2312" w:cs="Times New Roman"/>
      <w:color w:val="000000"/>
      <w:sz w:val="28"/>
      <w:szCs w:val="28"/>
    </w:rPr>
  </w:style>
  <w:style w:type="character" w:customStyle="1" w:styleId="182">
    <w:name w:val="标题 1 字符2"/>
    <w:link w:val="2"/>
    <w:qFormat/>
    <w:uiPriority w:val="0"/>
    <w:rPr>
      <w:rFonts w:ascii="Calibri" w:hAnsi="Calibri" w:eastAsia="宋体" w:cs="Times New Roman"/>
      <w:b/>
      <w:bCs/>
      <w:kern w:val="44"/>
      <w:sz w:val="44"/>
      <w:szCs w:val="44"/>
    </w:rPr>
  </w:style>
  <w:style w:type="character" w:customStyle="1" w:styleId="183">
    <w:name w:val="hilite6"/>
    <w:qFormat/>
    <w:uiPriority w:val="0"/>
    <w:rPr>
      <w:rFonts w:ascii="Times New Roman" w:hAnsi="Times New Roman" w:eastAsia="宋体" w:cs="Times New Roman"/>
      <w:color w:val="000000"/>
    </w:rPr>
  </w:style>
  <w:style w:type="character" w:customStyle="1" w:styleId="184">
    <w:name w:val="章标题1 Char"/>
    <w:qFormat/>
    <w:uiPriority w:val="0"/>
    <w:rPr>
      <w:rFonts w:ascii="Times New Roman" w:hAnsi="Times New Roman" w:eastAsia="宋体" w:cs="Times New Roman"/>
      <w:b/>
      <w:bCs/>
      <w:kern w:val="2"/>
      <w:sz w:val="32"/>
      <w:szCs w:val="32"/>
      <w:lang w:val="en-US" w:eastAsia="zh-CN" w:bidi="ar-SA"/>
    </w:rPr>
  </w:style>
  <w:style w:type="character" w:customStyle="1" w:styleId="185">
    <w:name w:val="二 Char"/>
    <w:link w:val="96"/>
    <w:qFormat/>
    <w:uiPriority w:val="0"/>
    <w:rPr>
      <w:rFonts w:ascii="宋体" w:hAnsi="宋体" w:eastAsia="宋体" w:cs="Times New Roman"/>
      <w:b/>
      <w:color w:val="000000"/>
      <w:kern w:val="0"/>
      <w:sz w:val="24"/>
    </w:rPr>
  </w:style>
  <w:style w:type="paragraph" w:customStyle="1" w:styleId="186">
    <w:name w:val="Char Char Char"/>
    <w:basedOn w:val="1"/>
    <w:qFormat/>
    <w:uiPriority w:val="0"/>
    <w:rPr>
      <w:rFonts w:ascii="Tahoma" w:hAnsi="Tahoma" w:eastAsia="宋体" w:cs="Times New Roman"/>
      <w:sz w:val="24"/>
      <w:szCs w:val="20"/>
    </w:rPr>
  </w:style>
  <w:style w:type="paragraph" w:customStyle="1" w:styleId="187">
    <w:name w:val="È±Ê¡ÎÄ±¾"/>
    <w:basedOn w:val="1"/>
    <w:qFormat/>
    <w:uiPriority w:val="0"/>
    <w:pPr>
      <w:widowControl/>
      <w:overflowPunct w:val="0"/>
      <w:autoSpaceDE w:val="0"/>
      <w:autoSpaceDN w:val="0"/>
      <w:adjustRightInd w:val="0"/>
      <w:jc w:val="left"/>
      <w:textAlignment w:val="baseline"/>
    </w:pPr>
    <w:rPr>
      <w:rFonts w:eastAsia="宋体" w:cs="Times New Roman"/>
      <w:kern w:val="0"/>
      <w:sz w:val="24"/>
      <w:szCs w:val="20"/>
    </w:rPr>
  </w:style>
  <w:style w:type="character" w:customStyle="1" w:styleId="188">
    <w:name w:val="正文文本首行缩进 2 字符"/>
    <w:link w:val="45"/>
    <w:qFormat/>
    <w:uiPriority w:val="0"/>
    <w:rPr>
      <w:rFonts w:ascii="Times New Roman" w:hAnsi="Times New Roman" w:eastAsia="宋体" w:cs="Times New Roman"/>
    </w:rPr>
  </w:style>
  <w:style w:type="character" w:customStyle="1" w:styleId="189">
    <w:name w:val="表格文字 Char"/>
    <w:link w:val="56"/>
    <w:qFormat/>
    <w:uiPriority w:val="0"/>
    <w:rPr>
      <w:rFonts w:ascii="Times New Roman" w:hAnsi="Times New Roman" w:eastAsia="宋体" w:cs="Times New Roman"/>
      <w:bCs/>
      <w:spacing w:val="10"/>
      <w:kern w:val="0"/>
      <w:sz w:val="24"/>
    </w:rPr>
  </w:style>
  <w:style w:type="paragraph" w:customStyle="1" w:styleId="190">
    <w:name w:val="封面文档标题"/>
    <w:basedOn w:val="1"/>
    <w:qFormat/>
    <w:uiPriority w:val="0"/>
    <w:pPr>
      <w:autoSpaceDE w:val="0"/>
      <w:autoSpaceDN w:val="0"/>
      <w:adjustRightInd w:val="0"/>
      <w:spacing w:line="360" w:lineRule="auto"/>
      <w:jc w:val="center"/>
    </w:pPr>
    <w:rPr>
      <w:rFonts w:ascii="Arial" w:hAnsi="Arial" w:eastAsia="宋体" w:cs="Times New Roman"/>
      <w:b/>
      <w:kern w:val="0"/>
      <w:sz w:val="56"/>
    </w:rPr>
  </w:style>
  <w:style w:type="paragraph" w:customStyle="1" w:styleId="191">
    <w:name w:val="--规划-题注"/>
    <w:basedOn w:val="1"/>
    <w:next w:val="63"/>
    <w:qFormat/>
    <w:uiPriority w:val="0"/>
    <w:pPr>
      <w:spacing w:line="360" w:lineRule="auto"/>
      <w:jc w:val="center"/>
    </w:pPr>
    <w:rPr>
      <w:rFonts w:eastAsia="黑体" w:cs="Times New Roman"/>
    </w:rPr>
  </w:style>
  <w:style w:type="paragraph" w:customStyle="1" w:styleId="192">
    <w:name w:val="font0"/>
    <w:basedOn w:val="1"/>
    <w:qFormat/>
    <w:uiPriority w:val="0"/>
    <w:pPr>
      <w:widowControl/>
      <w:spacing w:before="100" w:beforeAutospacing="1" w:after="100" w:afterAutospacing="1"/>
      <w:jc w:val="left"/>
    </w:pPr>
    <w:rPr>
      <w:rFonts w:hint="eastAsia" w:ascii="宋体" w:hAnsi="宋体" w:eastAsia="宋体" w:cs="Times New Roman"/>
      <w:kern w:val="0"/>
      <w:sz w:val="24"/>
    </w:rPr>
  </w:style>
  <w:style w:type="paragraph" w:customStyle="1" w:styleId="193">
    <w:name w:val="样式2"/>
    <w:basedOn w:val="42"/>
    <w:next w:val="158"/>
    <w:qFormat/>
    <w:uiPriority w:val="0"/>
    <w:pPr>
      <w:spacing w:before="120" w:after="120"/>
    </w:pPr>
    <w:rPr>
      <w:rFonts w:eastAsia="黑体"/>
      <w:b w:val="0"/>
      <w:sz w:val="30"/>
      <w:szCs w:val="30"/>
    </w:rPr>
  </w:style>
  <w:style w:type="paragraph" w:customStyle="1" w:styleId="194">
    <w:name w:val="00"/>
    <w:basedOn w:val="1"/>
    <w:qFormat/>
    <w:uiPriority w:val="0"/>
    <w:pPr>
      <w:autoSpaceDE w:val="0"/>
      <w:autoSpaceDN w:val="0"/>
      <w:adjustRightInd w:val="0"/>
      <w:jc w:val="left"/>
    </w:pPr>
    <w:rPr>
      <w:rFonts w:ascii="黑体" w:eastAsia="黑体" w:cs="Times New Roman"/>
      <w:b/>
      <w:bCs/>
      <w:kern w:val="0"/>
      <w:sz w:val="20"/>
      <w:szCs w:val="20"/>
    </w:rPr>
  </w:style>
  <w:style w:type="paragraph" w:customStyle="1" w:styleId="195">
    <w:name w:val="!正文"/>
    <w:basedOn w:val="1"/>
    <w:link w:val="204"/>
    <w:qFormat/>
    <w:uiPriority w:val="0"/>
    <w:pPr>
      <w:spacing w:line="360" w:lineRule="auto"/>
      <w:ind w:firstLine="480" w:firstLineChars="200"/>
    </w:pPr>
    <w:rPr>
      <w:rFonts w:eastAsia="宋体" w:cs="Times New Roman"/>
      <w:sz w:val="24"/>
      <w:szCs w:val="21"/>
    </w:rPr>
  </w:style>
  <w:style w:type="paragraph" w:customStyle="1" w:styleId="196">
    <w:name w:val="姜文清定义的正文"/>
    <w:basedOn w:val="1"/>
    <w:qFormat/>
    <w:uiPriority w:val="0"/>
    <w:pPr>
      <w:spacing w:line="240" w:lineRule="atLeast"/>
      <w:ind w:firstLine="567"/>
    </w:pPr>
    <w:rPr>
      <w:rFonts w:eastAsia="宋体" w:cs="Times New Roman"/>
      <w:szCs w:val="20"/>
    </w:rPr>
  </w:style>
  <w:style w:type="paragraph" w:customStyle="1" w:styleId="197">
    <w:name w:val="xl34"/>
    <w:basedOn w:val="1"/>
    <w:qFormat/>
    <w:uiPriority w:val="0"/>
    <w:pPr>
      <w:widowControl/>
      <w:pBdr>
        <w:left w:val="single" w:color="auto" w:sz="4" w:space="0"/>
      </w:pBdr>
      <w:spacing w:before="100" w:beforeAutospacing="1" w:after="100" w:afterAutospacing="1"/>
      <w:jc w:val="center"/>
      <w:textAlignment w:val="center"/>
    </w:pPr>
    <w:rPr>
      <w:rFonts w:ascii="宋体" w:hAnsi="宋体" w:eastAsia="宋体" w:cs="Times New Roman"/>
      <w:kern w:val="0"/>
      <w:sz w:val="24"/>
    </w:rPr>
  </w:style>
  <w:style w:type="character" w:customStyle="1" w:styleId="198">
    <w:name w:val="info4"/>
    <w:basedOn w:val="48"/>
    <w:qFormat/>
    <w:uiPriority w:val="0"/>
    <w:rPr>
      <w:rFonts w:ascii="Times New Roman" w:hAnsi="Times New Roman" w:eastAsia="宋体" w:cs="Times New Roman"/>
    </w:rPr>
  </w:style>
  <w:style w:type="character" w:customStyle="1" w:styleId="199">
    <w:name w:val="标题 3 字符"/>
    <w:basedOn w:val="48"/>
    <w:link w:val="4"/>
    <w:qFormat/>
    <w:uiPriority w:val="0"/>
    <w:rPr>
      <w:rFonts w:ascii="宋体" w:hAnsi="宋体" w:eastAsia="宋体" w:cs="Times New Roman"/>
      <w:kern w:val="0"/>
      <w:szCs w:val="32"/>
    </w:rPr>
  </w:style>
  <w:style w:type="paragraph" w:customStyle="1" w:styleId="200">
    <w:name w:val="Char1"/>
    <w:basedOn w:val="1"/>
    <w:qFormat/>
    <w:uiPriority w:val="0"/>
    <w:pPr>
      <w:jc w:val="left"/>
    </w:pPr>
    <w:rPr>
      <w:rFonts w:ascii="Tahoma" w:hAnsi="Tahoma" w:eastAsia="宋体" w:cs="Times New Roman"/>
      <w:sz w:val="24"/>
      <w:szCs w:val="20"/>
    </w:rPr>
  </w:style>
  <w:style w:type="character" w:customStyle="1" w:styleId="201">
    <w:name w:val="hilite"/>
    <w:qFormat/>
    <w:uiPriority w:val="0"/>
    <w:rPr>
      <w:rFonts w:ascii="Times New Roman" w:hAnsi="Times New Roman" w:eastAsia="宋体" w:cs="Times New Roman"/>
      <w:color w:val="000000"/>
    </w:rPr>
  </w:style>
  <w:style w:type="paragraph" w:customStyle="1" w:styleId="202">
    <w:name w:val="--规划-图和表"/>
    <w:next w:val="63"/>
    <w:qFormat/>
    <w:uiPriority w:val="0"/>
    <w:pPr>
      <w:jc w:val="center"/>
    </w:pPr>
    <w:rPr>
      <w:rFonts w:ascii="Calibri" w:hAnsi="Calibri" w:eastAsia="宋体" w:cs="Times New Roman"/>
      <w:kern w:val="2"/>
      <w:sz w:val="21"/>
      <w:lang w:val="en-US" w:eastAsia="zh-CN" w:bidi="ar-SA"/>
    </w:rPr>
  </w:style>
  <w:style w:type="character" w:customStyle="1" w:styleId="203">
    <w:name w:val="标题 字符"/>
    <w:basedOn w:val="48"/>
    <w:link w:val="42"/>
    <w:qFormat/>
    <w:uiPriority w:val="0"/>
    <w:rPr>
      <w:rFonts w:ascii="Arial" w:hAnsi="Arial" w:eastAsia="隶书" w:cs="Times New Roman"/>
      <w:b/>
      <w:bCs/>
      <w:kern w:val="0"/>
      <w:sz w:val="32"/>
      <w:szCs w:val="32"/>
    </w:rPr>
  </w:style>
  <w:style w:type="character" w:customStyle="1" w:styleId="204">
    <w:name w:val="!正文 Char"/>
    <w:link w:val="195"/>
    <w:qFormat/>
    <w:uiPriority w:val="0"/>
    <w:rPr>
      <w:rFonts w:ascii="Times New Roman" w:hAnsi="Times New Roman" w:eastAsia="宋体" w:cs="Times New Roman"/>
      <w:sz w:val="24"/>
      <w:szCs w:val="21"/>
    </w:rPr>
  </w:style>
  <w:style w:type="character" w:customStyle="1" w:styleId="205">
    <w:name w:val="--规划正文 Char Char"/>
    <w:qFormat/>
    <w:uiPriority w:val="0"/>
    <w:rPr>
      <w:rFonts w:ascii="Times New Roman" w:hAnsi="Times New Roman" w:eastAsia="宋体" w:cs="Times New Roman"/>
      <w:kern w:val="2"/>
      <w:sz w:val="24"/>
      <w:szCs w:val="24"/>
      <w:lang w:val="en-US" w:eastAsia="zh-CN" w:bidi="ar-SA"/>
    </w:rPr>
  </w:style>
  <w:style w:type="paragraph" w:customStyle="1" w:styleId="206">
    <w:name w:val="style2"/>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207">
    <w:name w:val="Char Char Char Char Char"/>
    <w:basedOn w:val="1"/>
    <w:qFormat/>
    <w:uiPriority w:val="0"/>
    <w:rPr>
      <w:rFonts w:ascii="Tahoma" w:hAnsi="Tahoma" w:eastAsia="宋体" w:cs="Times New Roman"/>
      <w:sz w:val="24"/>
      <w:szCs w:val="20"/>
    </w:rPr>
  </w:style>
  <w:style w:type="paragraph" w:customStyle="1" w:styleId="208">
    <w:name w:val="段落正文"/>
    <w:basedOn w:val="23"/>
    <w:qFormat/>
    <w:uiPriority w:val="0"/>
    <w:pPr>
      <w:ind w:firstLine="560" w:firstLineChars="200"/>
    </w:pPr>
    <w:rPr>
      <w:sz w:val="28"/>
    </w:rPr>
  </w:style>
  <w:style w:type="character" w:customStyle="1" w:styleId="209">
    <w:name w:val="prodheadlines"/>
    <w:basedOn w:val="48"/>
    <w:qFormat/>
    <w:uiPriority w:val="0"/>
    <w:rPr>
      <w:rFonts w:ascii="Times New Roman" w:hAnsi="Times New Roman" w:eastAsia="宋体" w:cs="Times New Roman"/>
    </w:rPr>
  </w:style>
  <w:style w:type="paragraph" w:customStyle="1" w:styleId="210">
    <w:name w:val="msonormal"/>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211">
    <w:name w:val="无间隔1"/>
    <w:qFormat/>
    <w:uiPriority w:val="0"/>
    <w:rPr>
      <w:rFonts w:ascii="Calibri" w:hAnsi="Calibri" w:eastAsia="宋体" w:cs="Times New Roman"/>
      <w:sz w:val="24"/>
      <w:szCs w:val="24"/>
      <w:lang w:val="en-US" w:eastAsia="zh-CN" w:bidi="ar-SA"/>
    </w:rPr>
  </w:style>
  <w:style w:type="paragraph" w:customStyle="1" w:styleId="212">
    <w:name w:val="RFI text from 3rd Level"/>
    <w:basedOn w:val="1"/>
    <w:qFormat/>
    <w:uiPriority w:val="0"/>
    <w:pPr>
      <w:widowControl/>
      <w:numPr>
        <w:ilvl w:val="0"/>
        <w:numId w:val="7"/>
      </w:numPr>
      <w:tabs>
        <w:tab w:val="left" w:pos="1080"/>
        <w:tab w:val="clear" w:pos="840"/>
      </w:tabs>
      <w:spacing w:beforeLines="50" w:line="360" w:lineRule="auto"/>
      <w:ind w:left="0" w:firstLine="0"/>
    </w:pPr>
    <w:rPr>
      <w:rFonts w:ascii="Arial (W1)" w:hAnsi="Arial (W1)" w:eastAsia="宋体" w:cs="Times New Roman"/>
      <w:bCs/>
      <w:kern w:val="0"/>
      <w:sz w:val="24"/>
      <w:lang w:val="en-GB"/>
    </w:rPr>
  </w:style>
  <w:style w:type="character" w:customStyle="1" w:styleId="213">
    <w:name w:val="font21"/>
    <w:basedOn w:val="48"/>
    <w:qFormat/>
    <w:uiPriority w:val="0"/>
    <w:rPr>
      <w:rFonts w:hint="eastAsia" w:ascii="宋体" w:hAnsi="宋体" w:eastAsia="宋体" w:cs="宋体"/>
      <w:color w:val="000000"/>
      <w:sz w:val="24"/>
      <w:szCs w:val="24"/>
      <w:u w:val="none"/>
    </w:rPr>
  </w:style>
  <w:style w:type="character" w:customStyle="1" w:styleId="214">
    <w:name w:val="grame"/>
    <w:basedOn w:val="48"/>
    <w:qFormat/>
    <w:uiPriority w:val="0"/>
    <w:rPr>
      <w:rFonts w:ascii="Times New Roman" w:hAnsi="Times New Roman" w:eastAsia="宋体" w:cs="Times New Roman"/>
    </w:rPr>
  </w:style>
  <w:style w:type="paragraph" w:customStyle="1" w:styleId="215">
    <w:name w:val="Char11"/>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16">
    <w:name w:val="USE 1"/>
    <w:basedOn w:val="1"/>
    <w:qFormat/>
    <w:uiPriority w:val="0"/>
    <w:pPr>
      <w:spacing w:line="200" w:lineRule="atLeast"/>
      <w:jc w:val="left"/>
    </w:pPr>
    <w:rPr>
      <w:rFonts w:ascii="宋体" w:hAnsi="宋体" w:eastAsia="宋体" w:cs="Times New Roman"/>
      <w:b/>
      <w:sz w:val="24"/>
      <w:szCs w:val="28"/>
    </w:rPr>
  </w:style>
  <w:style w:type="character" w:customStyle="1" w:styleId="217">
    <w:name w:val="正文文本缩进 3 字符"/>
    <w:link w:val="35"/>
    <w:qFormat/>
    <w:uiPriority w:val="0"/>
    <w:rPr>
      <w:rFonts w:ascii="宋体" w:hAnsi="Times New Roman" w:eastAsia="宋体" w:cs="Times New Roman"/>
      <w:b/>
      <w:bCs/>
      <w:sz w:val="24"/>
    </w:rPr>
  </w:style>
  <w:style w:type="character" w:customStyle="1" w:styleId="218">
    <w:name w:val="active"/>
    <w:qFormat/>
    <w:uiPriority w:val="0"/>
    <w:rPr>
      <w:rFonts w:ascii="Times New Roman" w:hAnsi="Times New Roman" w:eastAsia="宋体" w:cs="Times New Roman"/>
      <w:color w:val="FFFFFF"/>
    </w:rPr>
  </w:style>
  <w:style w:type="character" w:customStyle="1" w:styleId="219">
    <w:name w:val="unnamed3"/>
    <w:basedOn w:val="48"/>
    <w:qFormat/>
    <w:uiPriority w:val="0"/>
    <w:rPr>
      <w:rFonts w:ascii="Times New Roman" w:hAnsi="Times New Roman" w:eastAsia="宋体" w:cs="Times New Roman"/>
    </w:rPr>
  </w:style>
  <w:style w:type="paragraph" w:customStyle="1" w:styleId="220">
    <w:name w:val="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21">
    <w:name w:val="自定义正文"/>
    <w:basedOn w:val="1"/>
    <w:qFormat/>
    <w:uiPriority w:val="0"/>
    <w:pPr>
      <w:spacing w:afterLines="50"/>
      <w:ind w:left="600" w:leftChars="600"/>
    </w:pPr>
    <w:rPr>
      <w:rFonts w:eastAsia="宋体" w:cs="Times New Roman"/>
    </w:rPr>
  </w:style>
  <w:style w:type="character" w:customStyle="1" w:styleId="222">
    <w:name w:val="批注框文本 字符"/>
    <w:basedOn w:val="48"/>
    <w:link w:val="27"/>
    <w:semiHidden/>
    <w:qFormat/>
    <w:uiPriority w:val="0"/>
    <w:rPr>
      <w:rFonts w:ascii="Times New Roman" w:hAnsi="Times New Roman" w:eastAsia="宋体" w:cs="Times New Roman"/>
      <w:sz w:val="18"/>
      <w:szCs w:val="18"/>
    </w:rPr>
  </w:style>
  <w:style w:type="character" w:customStyle="1" w:styleId="223">
    <w:name w:val="缩进正文 Char"/>
    <w:link w:val="97"/>
    <w:qFormat/>
    <w:uiPriority w:val="0"/>
    <w:rPr>
      <w:rFonts w:ascii="Times New Roman" w:hAnsi="Times New Roman" w:eastAsia="仿宋_GB2312" w:cs="Times New Roman"/>
      <w:kern w:val="0"/>
      <w:sz w:val="28"/>
      <w:szCs w:val="20"/>
    </w:rPr>
  </w:style>
  <w:style w:type="paragraph" w:customStyle="1" w:styleId="224">
    <w:name w:val="正文(首行缩进)"/>
    <w:qFormat/>
    <w:uiPriority w:val="0"/>
    <w:pPr>
      <w:spacing w:line="360" w:lineRule="auto"/>
      <w:ind w:firstLine="488" w:firstLineChars="200"/>
      <w:jc w:val="both"/>
    </w:pPr>
    <w:rPr>
      <w:rFonts w:ascii="Calibri" w:hAnsi="Calibri" w:eastAsia="仿宋_GB2312" w:cs="Times New Roman"/>
      <w:spacing w:val="2"/>
      <w:sz w:val="24"/>
      <w:szCs w:val="24"/>
      <w:lang w:val="en-US" w:eastAsia="zh-CN" w:bidi="ar-SA"/>
    </w:rPr>
  </w:style>
  <w:style w:type="paragraph" w:customStyle="1" w:styleId="225">
    <w:name w:val="font6"/>
    <w:basedOn w:val="1"/>
    <w:qFormat/>
    <w:uiPriority w:val="0"/>
    <w:pPr>
      <w:widowControl/>
      <w:spacing w:before="100" w:beforeAutospacing="1" w:after="100" w:afterAutospacing="1"/>
      <w:jc w:val="left"/>
    </w:pPr>
    <w:rPr>
      <w:rFonts w:eastAsia="宋体" w:cs="Times New Roman"/>
      <w:kern w:val="0"/>
      <w:sz w:val="24"/>
    </w:rPr>
  </w:style>
  <w:style w:type="character" w:customStyle="1" w:styleId="226">
    <w:name w:val="first-child"/>
    <w:basedOn w:val="48"/>
    <w:qFormat/>
    <w:uiPriority w:val="0"/>
    <w:rPr>
      <w:rFonts w:ascii="Times New Roman" w:hAnsi="Times New Roman" w:eastAsia="宋体" w:cs="Times New Roman"/>
    </w:rPr>
  </w:style>
  <w:style w:type="paragraph" w:customStyle="1" w:styleId="227">
    <w:name w:val="xl72"/>
    <w:basedOn w:val="1"/>
    <w:qFormat/>
    <w:uiPriority w:val="0"/>
    <w:pPr>
      <w:widowControl/>
      <w:spacing w:before="100" w:beforeAutospacing="1" w:after="100" w:afterAutospacing="1"/>
      <w:jc w:val="left"/>
    </w:pPr>
    <w:rPr>
      <w:rFonts w:ascii="宋体" w:hAnsi="宋体" w:eastAsia="宋体" w:cs="Times New Roman"/>
      <w:b/>
      <w:bCs/>
      <w:kern w:val="0"/>
      <w:sz w:val="28"/>
      <w:szCs w:val="28"/>
    </w:rPr>
  </w:style>
  <w:style w:type="character" w:customStyle="1" w:styleId="228">
    <w:name w:val="font"/>
    <w:basedOn w:val="48"/>
    <w:qFormat/>
    <w:uiPriority w:val="0"/>
    <w:rPr>
      <w:rFonts w:ascii="Times New Roman" w:hAnsi="Times New Roman" w:eastAsia="宋体" w:cs="Times New Roman"/>
    </w:rPr>
  </w:style>
  <w:style w:type="character" w:customStyle="1" w:styleId="229">
    <w:name w:val="页脚 字符"/>
    <w:basedOn w:val="48"/>
    <w:link w:val="28"/>
    <w:qFormat/>
    <w:uiPriority w:val="0"/>
    <w:rPr>
      <w:rFonts w:ascii="Times New Roman" w:hAnsi="Times New Roman" w:eastAsia="宋体" w:cs="Times New Roman"/>
      <w:sz w:val="18"/>
      <w:szCs w:val="18"/>
    </w:rPr>
  </w:style>
  <w:style w:type="character" w:customStyle="1" w:styleId="230">
    <w:name w:val="页眉 字符"/>
    <w:basedOn w:val="48"/>
    <w:link w:val="29"/>
    <w:qFormat/>
    <w:uiPriority w:val="99"/>
    <w:rPr>
      <w:rFonts w:ascii="Times New Roman" w:hAnsi="Times New Roman" w:eastAsia="宋体" w:cs="Times New Roman"/>
      <w:sz w:val="18"/>
      <w:szCs w:val="18"/>
    </w:rPr>
  </w:style>
  <w:style w:type="paragraph" w:customStyle="1" w:styleId="231">
    <w:name w:val="表格字"/>
    <w:basedOn w:val="1"/>
    <w:qFormat/>
    <w:uiPriority w:val="0"/>
    <w:pPr>
      <w:adjustRightInd w:val="0"/>
      <w:jc w:val="center"/>
    </w:pPr>
    <w:rPr>
      <w:rFonts w:ascii="宋体" w:eastAsia="宋体" w:cs="Times New Roman"/>
      <w:sz w:val="24"/>
      <w:szCs w:val="20"/>
    </w:rPr>
  </w:style>
  <w:style w:type="character" w:customStyle="1" w:styleId="232">
    <w:name w:val="文档结构图 字符"/>
    <w:link w:val="15"/>
    <w:semiHidden/>
    <w:qFormat/>
    <w:uiPriority w:val="0"/>
    <w:rPr>
      <w:rFonts w:ascii="Times New Roman" w:hAnsi="Times New Roman" w:eastAsia="宋体" w:cs="Times New Roman"/>
    </w:rPr>
  </w:style>
  <w:style w:type="character" w:customStyle="1" w:styleId="233">
    <w:name w:val="标题 1 字符1"/>
    <w:link w:val="2"/>
    <w:qFormat/>
    <w:uiPriority w:val="0"/>
    <w:rPr>
      <w:rFonts w:ascii="Times New Roman" w:hAnsi="Times New Roman" w:eastAsia="宋体" w:cs="Times New Roman"/>
      <w:b/>
      <w:kern w:val="44"/>
      <w:sz w:val="44"/>
    </w:rPr>
  </w:style>
  <w:style w:type="paragraph" w:customStyle="1" w:styleId="234">
    <w:name w:val="正文(首行缩进) Char"/>
    <w:qFormat/>
    <w:uiPriority w:val="0"/>
    <w:pPr>
      <w:spacing w:before="120" w:after="60" w:line="360" w:lineRule="auto"/>
      <w:ind w:firstLine="200" w:firstLineChars="200"/>
    </w:pPr>
    <w:rPr>
      <w:rFonts w:ascii="Calibri" w:hAnsi="Calibri" w:eastAsia="仿宋_GB2312" w:cs="Times New Roman"/>
      <w:spacing w:val="2"/>
      <w:kern w:val="24"/>
      <w:sz w:val="24"/>
      <w:szCs w:val="24"/>
      <w:lang w:val="en-US" w:eastAsia="zh-CN" w:bidi="ar-SA"/>
    </w:rPr>
  </w:style>
  <w:style w:type="character" w:customStyle="1" w:styleId="235">
    <w:name w:val="alt-edited1"/>
    <w:qFormat/>
    <w:uiPriority w:val="0"/>
    <w:rPr>
      <w:rFonts w:ascii="Times New Roman" w:hAnsi="Times New Roman" w:eastAsia="宋体" w:cs="Times New Roman"/>
      <w:color w:val="4D90F0"/>
    </w:rPr>
  </w:style>
  <w:style w:type="paragraph" w:customStyle="1" w:styleId="236">
    <w:name w:val="产品描述"/>
    <w:qFormat/>
    <w:uiPriority w:val="0"/>
    <w:pPr>
      <w:widowControl w:val="0"/>
      <w:autoSpaceDE w:val="0"/>
      <w:autoSpaceDN w:val="0"/>
      <w:adjustRightInd w:val="0"/>
      <w:spacing w:line="270" w:lineRule="atLeast"/>
      <w:ind w:firstLine="397"/>
      <w:jc w:val="both"/>
    </w:pPr>
    <w:rPr>
      <w:rFonts w:ascii="宋体" w:hAnsi="Calibri" w:eastAsia="宋体" w:cs="Times New Roman"/>
      <w:sz w:val="18"/>
      <w:szCs w:val="18"/>
      <w:lang w:val="en-US" w:eastAsia="zh-CN" w:bidi="ar-SA"/>
    </w:rPr>
  </w:style>
  <w:style w:type="character" w:customStyle="1" w:styleId="237">
    <w:name w:val="日期 字符"/>
    <w:link w:val="25"/>
    <w:qFormat/>
    <w:uiPriority w:val="0"/>
    <w:rPr>
      <w:rFonts w:ascii="宋体" w:hAnsi="Courier New" w:eastAsia="宋体" w:cs="Times New Roman"/>
      <w:sz w:val="32"/>
      <w:szCs w:val="20"/>
    </w:rPr>
  </w:style>
  <w:style w:type="character" w:customStyle="1" w:styleId="238">
    <w:name w:val="_Style 192"/>
    <w:unhideWhenUsed/>
    <w:qFormat/>
    <w:uiPriority w:val="99"/>
    <w:rPr>
      <w:rFonts w:ascii="Times New Roman" w:hAnsi="Times New Roman" w:eastAsia="宋体" w:cs="Times New Roman"/>
      <w:color w:val="605E5C"/>
      <w:shd w:val="clear" w:color="auto" w:fill="E1DFDD"/>
    </w:rPr>
  </w:style>
  <w:style w:type="paragraph" w:customStyle="1" w:styleId="239">
    <w:name w:val="样式3"/>
    <w:basedOn w:val="2"/>
    <w:qFormat/>
    <w:uiPriority w:val="0"/>
    <w:pPr>
      <w:keepNext w:val="0"/>
      <w:keepLines w:val="0"/>
      <w:numPr>
        <w:ilvl w:val="0"/>
        <w:numId w:val="9"/>
      </w:numPr>
      <w:spacing w:before="240" w:beforeLines="-2147483648" w:beforeAutospacing="0" w:after="240" w:afterLines="-2147483648" w:afterAutospacing="0" w:line="480" w:lineRule="auto"/>
      <w:ind w:right="210" w:rightChars="100"/>
      <w:jc w:val="left"/>
    </w:pPr>
    <w:rPr>
      <w:rFonts w:eastAsia="黑体" w:cs="Times New Roman"/>
      <w:b w:val="0"/>
      <w:sz w:val="32"/>
      <w:szCs w:val="44"/>
    </w:rPr>
  </w:style>
  <w:style w:type="paragraph" w:customStyle="1" w:styleId="240">
    <w:name w:val="*正文"/>
    <w:basedOn w:val="1"/>
    <w:qFormat/>
    <w:uiPriority w:val="0"/>
    <w:pPr>
      <w:spacing w:line="360" w:lineRule="auto"/>
      <w:ind w:firstLine="200" w:firstLineChars="200"/>
    </w:pPr>
    <w:rPr>
      <w:rFonts w:ascii="宋体" w:hAnsi="宋体" w:eastAsia="宋体" w:cs="Times New Roman"/>
      <w:kern w:val="0"/>
      <w:sz w:val="24"/>
    </w:rPr>
  </w:style>
  <w:style w:type="character" w:customStyle="1" w:styleId="241">
    <w:name w:val="gray6"/>
    <w:basedOn w:val="48"/>
    <w:qFormat/>
    <w:uiPriority w:val="0"/>
    <w:rPr>
      <w:rFonts w:ascii="Times New Roman" w:hAnsi="Times New Roman" w:eastAsia="宋体" w:cs="Times New Roman"/>
    </w:rPr>
  </w:style>
  <w:style w:type="paragraph" w:customStyle="1" w:styleId="242">
    <w:name w:val="缺省文本"/>
    <w:basedOn w:val="1"/>
    <w:qFormat/>
    <w:uiPriority w:val="0"/>
    <w:pPr>
      <w:autoSpaceDE w:val="0"/>
      <w:autoSpaceDN w:val="0"/>
      <w:adjustRightInd w:val="0"/>
      <w:jc w:val="left"/>
    </w:pPr>
    <w:rPr>
      <w:rFonts w:eastAsia="宋体" w:cs="Times New Roman"/>
      <w:kern w:val="0"/>
    </w:rPr>
  </w:style>
  <w:style w:type="character" w:customStyle="1" w:styleId="243">
    <w:name w:val="正文文本缩进 字符"/>
    <w:link w:val="20"/>
    <w:qFormat/>
    <w:uiPriority w:val="0"/>
    <w:rPr>
      <w:rFonts w:ascii="Times New Roman" w:hAnsi="Times New Roman" w:eastAsia="宋体" w:cs="Times New Roman"/>
    </w:rPr>
  </w:style>
  <w:style w:type="character" w:customStyle="1" w:styleId="244">
    <w:name w:val="标题 4 字符"/>
    <w:basedOn w:val="48"/>
    <w:link w:val="5"/>
    <w:qFormat/>
    <w:uiPriority w:val="0"/>
    <w:rPr>
      <w:rFonts w:ascii="Arial" w:hAnsi="Arial" w:eastAsia="黑体" w:cs="Times New Roman"/>
      <w:b/>
      <w:bCs/>
      <w:sz w:val="28"/>
      <w:szCs w:val="28"/>
    </w:rPr>
  </w:style>
  <w:style w:type="paragraph" w:customStyle="1" w:styleId="245">
    <w:name w:val="Revision"/>
    <w:hidden/>
    <w:unhideWhenUsed/>
    <w:qFormat/>
    <w:uiPriority w:val="99"/>
    <w:rPr>
      <w:rFonts w:ascii="Calibri" w:hAnsi="Calibri" w:eastAsia="宋体" w:cs="Times New Roman"/>
      <w:kern w:val="2"/>
      <w:sz w:val="21"/>
      <w:szCs w:val="24"/>
      <w:lang w:val="en-US" w:eastAsia="zh-CN" w:bidi="ar-SA"/>
    </w:rPr>
  </w:style>
  <w:style w:type="paragraph" w:customStyle="1" w:styleId="246">
    <w:name w:val="列表段落1"/>
    <w:basedOn w:val="1"/>
    <w:qFormat/>
    <w:uiPriority w:val="34"/>
    <w:pPr>
      <w:ind w:firstLine="420" w:firstLineChars="200"/>
    </w:pPr>
    <w:rPr>
      <w:rFonts w:eastAsia="宋体" w:cs="Times New Roman"/>
    </w:rPr>
  </w:style>
  <w:style w:type="paragraph" w:customStyle="1" w:styleId="247">
    <w:name w:val="tableheader"/>
    <w:basedOn w:val="1"/>
    <w:qFormat/>
    <w:uiPriority w:val="0"/>
    <w:pPr>
      <w:widowControl/>
      <w:shd w:val="clear" w:color="auto" w:fill="ABCDEF"/>
      <w:spacing w:before="100" w:beforeAutospacing="1" w:after="100" w:afterAutospacing="1"/>
      <w:jc w:val="left"/>
    </w:pPr>
    <w:rPr>
      <w:rFonts w:ascii="宋体" w:hAnsi="宋体" w:eastAsia="宋体" w:cs="宋体"/>
      <w:kern w:val="0"/>
      <w:sz w:val="24"/>
      <w:szCs w:val="24"/>
    </w:rPr>
  </w:style>
  <w:style w:type="character" w:customStyle="1" w:styleId="248">
    <w:name w:val="页眉 Char"/>
    <w:basedOn w:val="48"/>
    <w:link w:val="29"/>
    <w:qFormat/>
    <w:uiPriority w:val="0"/>
    <w:rPr>
      <w:rFonts w:ascii="Times New Roman" w:hAnsi="Times New Roman" w:eastAsia="宋体" w:cs="Times New Roman"/>
      <w:sz w:val="18"/>
      <w:szCs w:val="18"/>
    </w:rPr>
  </w:style>
  <w:style w:type="character" w:customStyle="1" w:styleId="249">
    <w:name w:val="页脚 Char"/>
    <w:basedOn w:val="48"/>
    <w:link w:val="28"/>
    <w:qFormat/>
    <w:uiPriority w:val="99"/>
    <w:rPr>
      <w:rFonts w:asciiTheme="minorHAnsi" w:hAnsiTheme="minorHAnsi" w:eastAsiaTheme="minorEastAsia" w:cstheme="minorBidi"/>
      <w:sz w:val="18"/>
      <w:szCs w:val="18"/>
    </w:rPr>
  </w:style>
  <w:style w:type="paragraph" w:customStyle="1" w:styleId="250">
    <w:name w:val="_Style 14"/>
    <w:basedOn w:val="20"/>
    <w:next w:val="45"/>
    <w:qFormat/>
    <w:uiPriority w:val="0"/>
    <w:pPr>
      <w:spacing w:after="0" w:line="360" w:lineRule="auto"/>
      <w:ind w:left="0" w:leftChars="0" w:firstLine="420" w:firstLineChars="200"/>
    </w:pPr>
    <w:rPr>
      <w:rFonts w:ascii="宋体" w:hAnsi="宋体" w:eastAsia="宋体" w:cs="Times New Roman"/>
      <w:szCs w:val="20"/>
    </w:rPr>
  </w:style>
  <w:style w:type="character" w:customStyle="1" w:styleId="251">
    <w:name w:val="正文文本缩进 Char"/>
    <w:basedOn w:val="48"/>
    <w:link w:val="20"/>
    <w:semiHidden/>
    <w:qFormat/>
    <w:uiPriority w:val="99"/>
    <w:rPr>
      <w:rFonts w:asciiTheme="minorHAnsi" w:hAnsiTheme="minorHAnsi" w:eastAsiaTheme="minorEastAsia" w:cstheme="minorBidi"/>
    </w:rPr>
  </w:style>
  <w:style w:type="character" w:customStyle="1" w:styleId="252">
    <w:name w:val="正文首行缩进 2 Char"/>
    <w:basedOn w:val="251"/>
    <w:link w:val="45"/>
    <w:qFormat/>
    <w:uiPriority w:val="99"/>
  </w:style>
  <w:style w:type="character" w:customStyle="1" w:styleId="253">
    <w:name w:val="未处理的提及1"/>
    <w:basedOn w:val="48"/>
    <w:semiHidden/>
    <w:unhideWhenUsed/>
    <w:qFormat/>
    <w:uiPriority w:val="99"/>
    <w:rPr>
      <w:rFonts w:asciiTheme="minorHAnsi" w:hAnsiTheme="minorHAnsi" w:eastAsiaTheme="minorEastAsia" w:cstheme="minorBidi"/>
      <w:color w:val="605E5C"/>
      <w:shd w:val="clear" w:color="auto" w:fill="E1DFDD"/>
    </w:rPr>
  </w:style>
  <w:style w:type="character" w:customStyle="1" w:styleId="254">
    <w:name w:val="标题 2 Char"/>
    <w:basedOn w:val="48"/>
    <w:link w:val="3"/>
    <w:qFormat/>
    <w:uiPriority w:val="0"/>
    <w:rPr>
      <w:rFonts w:asciiTheme="majorHAnsi" w:hAnsiTheme="majorHAnsi" w:eastAsiaTheme="majorEastAsia" w:cstheme="majorBidi"/>
      <w:b/>
      <w:bCs/>
      <w:sz w:val="32"/>
      <w:szCs w:val="32"/>
    </w:rPr>
  </w:style>
  <w:style w:type="character" w:customStyle="1" w:styleId="255">
    <w:name w:val="批注框文本 Char"/>
    <w:basedOn w:val="48"/>
    <w:link w:val="27"/>
    <w:semiHidden/>
    <w:qFormat/>
    <w:uiPriority w:val="99"/>
    <w:rPr>
      <w:rFonts w:asciiTheme="minorHAnsi" w:hAnsiTheme="minorHAnsi" w:eastAsiaTheme="minorEastAsia" w:cstheme="minorBidi"/>
      <w:sz w:val="18"/>
      <w:szCs w:val="18"/>
    </w:rPr>
  </w:style>
  <w:style w:type="character" w:customStyle="1" w:styleId="256">
    <w:name w:val="批注文字 Char"/>
    <w:link w:val="17"/>
    <w:qFormat/>
    <w:uiPriority w:val="0"/>
    <w:rPr>
      <w:rFonts w:asciiTheme="minorHAnsi" w:hAnsiTheme="minorHAnsi" w:eastAsiaTheme="minorEastAsia" w:cstheme="minorBidi"/>
      <w:szCs w:val="24"/>
    </w:rPr>
  </w:style>
  <w:style w:type="character" w:customStyle="1" w:styleId="257">
    <w:name w:val="列出段落 Char1"/>
    <w:link w:val="85"/>
    <w:qFormat/>
    <w:uiPriority w:val="34"/>
    <w:rPr>
      <w:rFonts w:asciiTheme="minorHAnsi" w:hAnsiTheme="minorHAnsi" w:eastAsiaTheme="minorEastAsia" w:cstheme="minorBidi"/>
    </w:rPr>
  </w:style>
  <w:style w:type="paragraph" w:customStyle="1" w:styleId="258">
    <w:name w:val="_Style 31"/>
    <w:basedOn w:val="1"/>
    <w:next w:val="85"/>
    <w:qFormat/>
    <w:uiPriority w:val="34"/>
    <w:pPr>
      <w:ind w:firstLine="420" w:firstLineChars="200"/>
    </w:pPr>
    <w:rPr>
      <w:rFonts w:ascii="Times New Roman" w:hAnsi="Times New Roman" w:eastAsia="黑体" w:cs="Times New Roman"/>
      <w:bCs/>
      <w:sz w:val="30"/>
      <w:szCs w:val="30"/>
    </w:rPr>
  </w:style>
  <w:style w:type="character" w:customStyle="1" w:styleId="259">
    <w:name w:val="font31"/>
    <w:basedOn w:val="48"/>
    <w:qFormat/>
    <w:uiPriority w:val="0"/>
    <w:rPr>
      <w:rFonts w:hint="eastAsia" w:ascii="宋体" w:hAnsi="宋体" w:eastAsia="宋体" w:cs="Times New Roman"/>
      <w:color w:val="000000"/>
      <w:sz w:val="20"/>
      <w:szCs w:val="20"/>
      <w:u w:val="none"/>
    </w:rPr>
  </w:style>
  <w:style w:type="character" w:customStyle="1" w:styleId="260">
    <w:name w:val="纯文本 Char"/>
    <w:basedOn w:val="48"/>
    <w:link w:val="23"/>
    <w:qFormat/>
    <w:uiPriority w:val="0"/>
    <w:rPr>
      <w:rFonts w:ascii="宋体" w:hAnsi="Courier New" w:eastAsia="宋体" w:cs="Courier New"/>
      <w:kern w:val="0"/>
      <w:sz w:val="22"/>
      <w:szCs w:val="21"/>
      <w:lang w:eastAsia="en-US"/>
    </w:rPr>
  </w:style>
  <w:style w:type="character" w:customStyle="1" w:styleId="261">
    <w:name w:val="列出段落 Char"/>
    <w:link w:val="262"/>
    <w:qFormat/>
    <w:uiPriority w:val="34"/>
    <w:rPr>
      <w:rFonts w:eastAsia="黑体" w:asciiTheme="minorHAnsi" w:hAnsiTheme="minorHAnsi" w:cstheme="minorBidi"/>
      <w:bCs/>
      <w:sz w:val="30"/>
      <w:szCs w:val="30"/>
    </w:rPr>
  </w:style>
  <w:style w:type="paragraph" w:customStyle="1" w:styleId="262">
    <w:name w:val="_Style 36"/>
    <w:basedOn w:val="1"/>
    <w:next w:val="85"/>
    <w:link w:val="261"/>
    <w:qFormat/>
    <w:uiPriority w:val="34"/>
    <w:pPr>
      <w:ind w:firstLine="420" w:firstLineChars="200"/>
    </w:pPr>
    <w:rPr>
      <w:rFonts w:eastAsia="黑体" w:asciiTheme="minorHAnsi" w:hAnsiTheme="minorHAnsi" w:cstheme="minorBidi"/>
      <w:bCs/>
      <w:sz w:val="30"/>
      <w:szCs w:val="30"/>
    </w:rPr>
  </w:style>
  <w:style w:type="character" w:customStyle="1" w:styleId="263">
    <w:name w:val="_正文段落 Char"/>
    <w:link w:val="264"/>
    <w:qFormat/>
    <w:uiPriority w:val="0"/>
    <w:rPr>
      <w:rFonts w:ascii="Times New Roman" w:hAnsi="Times New Roman" w:eastAsiaTheme="minorEastAsia" w:cstheme="minorBidi"/>
      <w:sz w:val="24"/>
      <w:szCs w:val="24"/>
    </w:rPr>
  </w:style>
  <w:style w:type="paragraph" w:customStyle="1" w:styleId="264">
    <w:name w:val="_正文段落"/>
    <w:basedOn w:val="1"/>
    <w:link w:val="263"/>
    <w:qFormat/>
    <w:uiPriority w:val="0"/>
    <w:pPr>
      <w:spacing w:beforeLines="50" w:afterLines="50" w:line="360" w:lineRule="auto"/>
      <w:ind w:firstLine="200" w:firstLineChars="200"/>
    </w:pPr>
    <w:rPr>
      <w:rFonts w:ascii="Times New Roman" w:hAnsi="Times New Roman" w:eastAsiaTheme="minorEastAsia" w:cstheme="minorBidi"/>
      <w:sz w:val="24"/>
      <w:szCs w:val="24"/>
    </w:rPr>
  </w:style>
  <w:style w:type="character" w:customStyle="1" w:styleId="265">
    <w:name w:val="文档结构图 Char"/>
    <w:basedOn w:val="48"/>
    <w:link w:val="15"/>
    <w:semiHidden/>
    <w:qFormat/>
    <w:uiPriority w:val="99"/>
    <w:rPr>
      <w:rFonts w:ascii="宋体" w:eastAsia="宋体" w:hAnsiTheme="minorHAnsi" w:cstheme="minorBidi"/>
      <w:sz w:val="18"/>
      <w:szCs w:val="18"/>
    </w:rPr>
  </w:style>
  <w:style w:type="character" w:customStyle="1" w:styleId="266">
    <w:name w:val="批注主题 Char"/>
    <w:basedOn w:val="256"/>
    <w:link w:val="43"/>
    <w:semiHidden/>
    <w:qFormat/>
    <w:uiPriority w:val="99"/>
    <w:rPr>
      <w:b/>
      <w:bCs/>
      <w:szCs w:val="24"/>
    </w:rPr>
  </w:style>
  <w:style w:type="paragraph" w:customStyle="1" w:styleId="267">
    <w:name w:val="正文_0_0"/>
    <w:qFormat/>
    <w:uiPriority w:val="0"/>
    <w:pPr>
      <w:widowControl w:val="0"/>
      <w:snapToGrid w:val="0"/>
      <w:spacing w:line="360" w:lineRule="auto"/>
      <w:jc w:val="both"/>
    </w:pPr>
    <w:rPr>
      <w:rFonts w:ascii="Times New Roman" w:hAnsi="Times New Roman" w:eastAsia="宋体" w:cs="Times New Roman"/>
      <w:bCs/>
      <w:kern w:val="2"/>
      <w:sz w:val="21"/>
      <w:szCs w:val="21"/>
      <w:lang w:val="en-US" w:eastAsia="zh-CN" w:bidi="ar-SA"/>
    </w:rPr>
  </w:style>
  <w:style w:type="paragraph" w:customStyle="1" w:styleId="268">
    <w:name w:val="正文正"/>
    <w:basedOn w:val="1"/>
    <w:qFormat/>
    <w:uiPriority w:val="0"/>
    <w:pPr>
      <w:widowControl/>
      <w:spacing w:line="560" w:lineRule="exact"/>
      <w:ind w:firstLine="561" w:firstLineChars="202"/>
    </w:pPr>
    <w:rPr>
      <w:rFonts w:ascii="等线" w:hAnsi="等线" w:eastAsia="宋体" w:cs="Times New Roman"/>
      <w:sz w:val="28"/>
    </w:rPr>
  </w:style>
  <w:style w:type="paragraph" w:customStyle="1" w:styleId="269">
    <w:name w:val="标题55"/>
    <w:basedOn w:val="270"/>
    <w:next w:val="122"/>
    <w:qFormat/>
    <w:uiPriority w:val="0"/>
    <w:rPr>
      <w:rFonts w:ascii="Times New Roman" w:hAnsi="Times New Roman"/>
    </w:rPr>
  </w:style>
  <w:style w:type="paragraph" w:customStyle="1" w:styleId="270">
    <w:name w:val="标题 5_0"/>
    <w:basedOn w:val="122"/>
    <w:next w:val="1"/>
    <w:qFormat/>
    <w:uiPriority w:val="0"/>
    <w:pPr>
      <w:keepNext/>
      <w:keepLines/>
      <w:widowControl w:val="0"/>
      <w:numPr>
        <w:ilvl w:val="0"/>
        <w:numId w:val="10"/>
      </w:numPr>
      <w:spacing w:before="240" w:after="120" w:line="360" w:lineRule="auto"/>
      <w:outlineLvl w:val="4"/>
    </w:pPr>
    <w:rPr>
      <w:rFonts w:ascii="Calibri" w:hAnsi="Calibri" w:eastAsia="宋体" w:cs="Times New Roman"/>
      <w:b/>
      <w:kern w:val="2"/>
    </w:rPr>
  </w:style>
  <w:style w:type="paragraph" w:customStyle="1" w:styleId="271">
    <w:name w:val="标书标题2级"/>
    <w:next w:val="1"/>
    <w:qFormat/>
    <w:uiPriority w:val="0"/>
    <w:pPr>
      <w:tabs>
        <w:tab w:val="left" w:pos="0"/>
      </w:tabs>
      <w:spacing w:beforeLines="10" w:afterLines="10" w:line="360" w:lineRule="auto"/>
      <w:outlineLvl w:val="1"/>
    </w:pPr>
    <w:rPr>
      <w:rFonts w:ascii="宋体" w:hAnsi="宋体" w:eastAsia="宋体" w:cs="Times New Roman"/>
      <w:b/>
      <w:kern w:val="2"/>
      <w:sz w:val="28"/>
      <w:szCs w:val="21"/>
      <w:lang w:val="en-US" w:eastAsia="zh-CN" w:bidi="ar-SA"/>
    </w:rPr>
  </w:style>
  <w:style w:type="paragraph" w:customStyle="1" w:styleId="272">
    <w:name w:val="179"/>
    <w:basedOn w:val="1"/>
    <w:qFormat/>
    <w:uiPriority w:val="0"/>
    <w:pPr>
      <w:ind w:firstLine="420" w:firstLineChars="200"/>
      <w:textAlignment w:val="baseline"/>
    </w:pPr>
    <w:rPr>
      <w:rFonts w:ascii="Times New Roman" w:hAnsi="Times New Roman" w:eastAsia="宋体" w:cs="Times New Roman"/>
      <w:szCs w:val="20"/>
    </w:rPr>
  </w:style>
  <w:style w:type="character" w:customStyle="1" w:styleId="273">
    <w:name w:val="font71"/>
    <w:qFormat/>
    <w:uiPriority w:val="0"/>
    <w:rPr>
      <w:rFonts w:hint="eastAsia" w:ascii="宋体" w:hAnsi="宋体" w:eastAsia="宋体" w:cs="宋体"/>
      <w:color w:val="1F1F1F"/>
      <w:sz w:val="22"/>
      <w:szCs w:val="22"/>
      <w:u w:val="none"/>
    </w:rPr>
  </w:style>
  <w:style w:type="character" w:customStyle="1" w:styleId="274">
    <w:name w:val="font61"/>
    <w:basedOn w:val="48"/>
    <w:qFormat/>
    <w:uiPriority w:val="0"/>
    <w:rPr>
      <w:rFonts w:ascii="Arial" w:hAnsi="Arial" w:eastAsia="宋体" w:cs="Arial"/>
      <w:color w:val="1F1F1F"/>
      <w:sz w:val="22"/>
      <w:szCs w:val="22"/>
      <w:u w:val="none"/>
    </w:rPr>
  </w:style>
  <w:style w:type="paragraph" w:customStyle="1" w:styleId="275">
    <w:name w:val="_Style 268"/>
    <w:unhideWhenUsed/>
    <w:qFormat/>
    <w:uiPriority w:val="99"/>
    <w:rPr>
      <w:rFonts w:ascii="Times New Roman" w:hAnsi="Times New Roman" w:eastAsia="宋体" w:cs="Times New Roman"/>
      <w:kern w:val="2"/>
      <w:sz w:val="21"/>
      <w:szCs w:val="24"/>
      <w:lang w:val="en-US" w:eastAsia="zh-CN" w:bidi="ar-SA"/>
    </w:rPr>
  </w:style>
  <w:style w:type="table" w:customStyle="1" w:styleId="276">
    <w:name w:val="标准表格"/>
    <w:basedOn w:val="46"/>
    <w:qFormat/>
    <w:uiPriority w:val="99"/>
    <w:pPr>
      <w:jc w:val="center"/>
    </w:pPr>
    <w:rPr>
      <w:rFonts w:ascii="宋体" w:hAnsi="宋体" w:cs="宋体"/>
      <w:sz w:val="24"/>
      <w:szCs w:val="24"/>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7" w:type="dxa"/>
        <w:right w:w="17" w:type="dxa"/>
      </w:tblCellMar>
    </w:tblPr>
    <w:trPr>
      <w:jc w:val="center"/>
    </w:trPr>
    <w:tcPr>
      <w:vAlign w:val="center"/>
    </w:tcPr>
  </w:style>
  <w:style w:type="character" w:customStyle="1" w:styleId="277">
    <w:name w:val="font81"/>
    <w:basedOn w:val="48"/>
    <w:qFormat/>
    <w:uiPriority w:val="0"/>
    <w:rPr>
      <w:rFonts w:ascii="Calibri" w:hAnsi="Calibri" w:eastAsia="宋体" w:cs="Calibri"/>
      <w:color w:val="000000"/>
      <w:sz w:val="21"/>
      <w:szCs w:val="21"/>
      <w:u w:val="none"/>
    </w:rPr>
  </w:style>
  <w:style w:type="character" w:customStyle="1" w:styleId="278">
    <w:name w:val="font91"/>
    <w:basedOn w:val="48"/>
    <w:qFormat/>
    <w:uiPriority w:val="0"/>
    <w:rPr>
      <w:rFonts w:hint="default" w:ascii="Calibri" w:hAnsi="Calibri" w:eastAsia="宋体" w:cs="Calibri"/>
      <w:color w:val="FF0000"/>
      <w:sz w:val="21"/>
      <w:szCs w:val="21"/>
      <w:u w:val="none"/>
    </w:rPr>
  </w:style>
  <w:style w:type="character" w:customStyle="1" w:styleId="279">
    <w:name w:val="font112"/>
    <w:basedOn w:val="48"/>
    <w:qFormat/>
    <w:uiPriority w:val="0"/>
    <w:rPr>
      <w:rFonts w:hint="eastAsia" w:ascii="宋体" w:hAnsi="宋体" w:eastAsia="宋体" w:cs="宋体"/>
      <w:color w:val="000000"/>
      <w:sz w:val="20"/>
      <w:szCs w:val="20"/>
      <w:u w:val="none"/>
    </w:rPr>
  </w:style>
  <w:style w:type="character" w:customStyle="1" w:styleId="280">
    <w:name w:val="font121"/>
    <w:basedOn w:val="48"/>
    <w:qFormat/>
    <w:uiPriority w:val="0"/>
    <w:rPr>
      <w:rFonts w:hint="eastAsia" w:ascii="宋体" w:hAnsi="宋体" w:eastAsia="宋体" w:cs="宋体"/>
      <w:color w:val="FF0000"/>
      <w:sz w:val="20"/>
      <w:szCs w:val="20"/>
      <w:u w:val="none"/>
    </w:rPr>
  </w:style>
  <w:style w:type="paragraph" w:customStyle="1" w:styleId="281">
    <w:name w:val="正文（绿盟科技）"/>
    <w:qFormat/>
    <w:uiPriority w:val="0"/>
    <w:pPr>
      <w:spacing w:line="300" w:lineRule="auto"/>
    </w:pPr>
    <w:rPr>
      <w:rFonts w:ascii="Arial" w:hAnsi="Arial" w:eastAsia="宋体" w:cs="黑体"/>
      <w:sz w:val="21"/>
      <w:szCs w:val="21"/>
      <w:lang w:val="en-US" w:eastAsia="zh-CN" w:bidi="ar-SA"/>
    </w:rPr>
  </w:style>
  <w:style w:type="paragraph" w:customStyle="1" w:styleId="282">
    <w:name w:val="_Style 13"/>
    <w:qFormat/>
    <w:uiPriority w:val="0"/>
    <w:pPr>
      <w:spacing w:before="120" w:after="120" w:line="288" w:lineRule="auto"/>
      <w:ind w:left="0"/>
      <w:jc w:val="left"/>
    </w:pPr>
    <w:rPr>
      <w:rFonts w:ascii="Arial" w:hAnsi="Arial" w:eastAsia="等线" w:cs="Arial"/>
      <w:sz w:val="22"/>
      <w:szCs w:val="22"/>
    </w:rPr>
  </w:style>
  <w:style w:type="paragraph" w:customStyle="1" w:styleId="283">
    <w:name w:val="列出段落11"/>
    <w:basedOn w:val="1"/>
    <w:qFormat/>
    <w:uiPriority w:val="34"/>
    <w:pPr>
      <w:ind w:firstLine="420" w:firstLineChars="200"/>
    </w:pPr>
    <w:rPr>
      <w:rFonts w:ascii="Times New Roman" w:hAnsi="Times New Roman" w:eastAsia="宋体" w:cs="Times New Roman"/>
    </w:rPr>
  </w:style>
  <w:style w:type="character" w:customStyle="1" w:styleId="284">
    <w:name w:val="Heading 3 Char"/>
    <w:link w:val="4"/>
    <w:qFormat/>
    <w:uiPriority w:val="99"/>
    <w:rPr>
      <w:rFonts w:ascii="宋体" w:hAnsi="宋体" w:eastAsia="宋体" w:cs="Times New Roman"/>
      <w:b/>
      <w:bCs/>
      <w:color w:val="auto"/>
      <w:kern w:val="2"/>
      <w:sz w:val="24"/>
      <w:szCs w:val="24"/>
      <w:highlight w:val="none"/>
      <w:lang w:val="en-US" w:eastAsia="zh-CN" w:bidi="ar-SA"/>
    </w:rPr>
  </w:style>
  <w:style w:type="character" w:customStyle="1" w:styleId="285">
    <w:name w:val="标题 4 Char"/>
    <w:link w:val="5"/>
    <w:semiHidden/>
    <w:qFormat/>
    <w:uiPriority w:val="9"/>
    <w:rPr>
      <w:rFonts w:ascii="Cambria" w:hAnsi="Cambria" w:eastAsia="宋体" w:cs="Times New Roman"/>
      <w:b/>
      <w:bCs/>
      <w:sz w:val="28"/>
      <w:szCs w:val="28"/>
    </w:rPr>
  </w:style>
  <w:style w:type="character" w:customStyle="1" w:styleId="286">
    <w:name w:val="正文缩进 Char"/>
    <w:link w:val="7"/>
    <w:qFormat/>
    <w:locked/>
    <w:uiPriority w:val="0"/>
    <w:rPr>
      <w:rFonts w:ascii="Times New Roman" w:hAnsi="Times New Roman" w:eastAsia="宋体" w:cs="Times New Roman"/>
      <w:kern w:val="2"/>
      <w:sz w:val="24"/>
      <w:lang w:val="en-US" w:eastAsia="zh-CN"/>
    </w:rPr>
  </w:style>
  <w:style w:type="character" w:customStyle="1" w:styleId="287">
    <w:name w:val="正文文本 Char"/>
    <w:link w:val="19"/>
    <w:semiHidden/>
    <w:qFormat/>
    <w:uiPriority w:val="99"/>
    <w:rPr>
      <w:rFonts w:ascii="Times New Roman" w:hAnsi="Times New Roman" w:eastAsia="宋体" w:cs="Times New Roman"/>
      <w:szCs w:val="24"/>
    </w:rPr>
  </w:style>
  <w:style w:type="character" w:customStyle="1" w:styleId="288">
    <w:name w:val="正文文本缩进 2 Char"/>
    <w:basedOn w:val="48"/>
    <w:link w:val="26"/>
    <w:qFormat/>
    <w:uiPriority w:val="0"/>
    <w:rPr>
      <w:rFonts w:ascii="Times New Roman" w:hAnsi="Times New Roman" w:eastAsia="宋体" w:cs="Times New Roman"/>
      <w:kern w:val="2"/>
      <w:sz w:val="21"/>
      <w:szCs w:val="24"/>
    </w:rPr>
  </w:style>
  <w:style w:type="character" w:customStyle="1" w:styleId="289">
    <w:name w:val="HTML 预设格式 Char"/>
    <w:link w:val="39"/>
    <w:semiHidden/>
    <w:qFormat/>
    <w:uiPriority w:val="99"/>
    <w:rPr>
      <w:rFonts w:ascii="Courier New" w:hAnsi="Courier New" w:eastAsia="宋体" w:cs="Courier New"/>
      <w:sz w:val="20"/>
      <w:szCs w:val="20"/>
    </w:rPr>
  </w:style>
  <w:style w:type="character" w:customStyle="1" w:styleId="290">
    <w:name w:val="正文缩进 Char1"/>
    <w:qFormat/>
    <w:uiPriority w:val="0"/>
    <w:rPr>
      <w:rFonts w:ascii="Times New Roman" w:hAnsi="Times New Roman" w:eastAsia="宋体" w:cs="Times New Roman"/>
      <w:kern w:val="2"/>
      <w:sz w:val="24"/>
      <w:lang w:val="en-US" w:eastAsia="zh-CN"/>
    </w:rPr>
  </w:style>
  <w:style w:type="character" w:customStyle="1" w:styleId="291">
    <w:name w:val="样式1 Char Char Char"/>
    <w:link w:val="292"/>
    <w:qFormat/>
    <w:locked/>
    <w:uiPriority w:val="99"/>
    <w:rPr>
      <w:rFonts w:ascii="Times New Roman" w:hAnsi="Times New Roman" w:eastAsia="宋体" w:cs="Times New Roman"/>
      <w:sz w:val="24"/>
      <w:szCs w:val="20"/>
    </w:rPr>
  </w:style>
  <w:style w:type="paragraph" w:customStyle="1" w:styleId="292">
    <w:name w:val="样式1 Char Char"/>
    <w:basedOn w:val="1"/>
    <w:next w:val="1"/>
    <w:link w:val="291"/>
    <w:qFormat/>
    <w:uiPriority w:val="99"/>
    <w:pPr>
      <w:spacing w:line="360" w:lineRule="auto"/>
      <w:ind w:firstLine="516" w:firstLineChars="215"/>
    </w:pPr>
    <w:rPr>
      <w:rFonts w:ascii="Times New Roman" w:hAnsi="Times New Roman" w:cs="Times New Roman"/>
      <w:sz w:val="24"/>
      <w:szCs w:val="20"/>
    </w:rPr>
  </w:style>
  <w:style w:type="character" w:customStyle="1" w:styleId="293">
    <w:name w:val="样式1 Char"/>
    <w:link w:val="158"/>
    <w:qFormat/>
    <w:locked/>
    <w:uiPriority w:val="99"/>
    <w:rPr>
      <w:rFonts w:ascii="Times New Roman" w:hAnsi="Times New Roman" w:eastAsia="黑体" w:cs="Times New Roman"/>
      <w:sz w:val="30"/>
      <w:szCs w:val="21"/>
    </w:rPr>
  </w:style>
  <w:style w:type="paragraph" w:customStyle="1" w:styleId="294">
    <w:name w:val="inf"/>
    <w:basedOn w:val="1"/>
    <w:qFormat/>
    <w:uiPriority w:val="99"/>
    <w:pPr>
      <w:widowControl/>
      <w:spacing w:before="100" w:beforeAutospacing="1" w:after="100" w:afterAutospacing="1" w:line="320" w:lineRule="atLeast"/>
      <w:jc w:val="left"/>
    </w:pPr>
    <w:rPr>
      <w:rFonts w:ascii="宋体" w:hAnsi="宋体" w:cs="宋体"/>
      <w:color w:val="000000"/>
      <w:kern w:val="0"/>
      <w:sz w:val="20"/>
      <w:szCs w:val="20"/>
    </w:rPr>
  </w:style>
  <w:style w:type="paragraph" w:customStyle="1" w:styleId="295">
    <w:name w:val="p0"/>
    <w:basedOn w:val="1"/>
    <w:qFormat/>
    <w:uiPriority w:val="0"/>
    <w:pPr>
      <w:widowControl/>
    </w:pPr>
    <w:rPr>
      <w:rFonts w:ascii="Times New Roman" w:hAnsi="Times New Roman" w:cs="Times New Roman"/>
      <w:kern w:val="0"/>
      <w:szCs w:val="21"/>
    </w:rPr>
  </w:style>
  <w:style w:type="paragraph" w:customStyle="1" w:styleId="296">
    <w:name w:val="修订2"/>
    <w:hidden/>
    <w:semiHidden/>
    <w:qFormat/>
    <w:uiPriority w:val="99"/>
    <w:rPr>
      <w:rFonts w:ascii="Times New Roman" w:hAnsi="Times New Roman" w:eastAsia="宋体" w:cs="Times New Roman"/>
      <w:kern w:val="2"/>
      <w:sz w:val="21"/>
      <w:szCs w:val="24"/>
      <w:lang w:val="en-US" w:eastAsia="zh-CN" w:bidi="ar-SA"/>
    </w:rPr>
  </w:style>
  <w:style w:type="paragraph" w:customStyle="1" w:styleId="297">
    <w:name w:val="列出段落2"/>
    <w:basedOn w:val="1"/>
    <w:qFormat/>
    <w:uiPriority w:val="34"/>
    <w:pPr>
      <w:ind w:firstLine="420" w:firstLineChars="200"/>
    </w:pPr>
    <w:rPr>
      <w:rFonts w:ascii="Times New Roman" w:hAnsi="Times New Roman" w:cs="Times New Roman"/>
    </w:rPr>
  </w:style>
  <w:style w:type="paragraph" w:customStyle="1" w:styleId="298">
    <w:name w:val="TOC 标题1"/>
    <w:basedOn w:val="2"/>
    <w:next w:val="1"/>
    <w:unhideWhenUsed/>
    <w:qFormat/>
    <w:uiPriority w:val="39"/>
    <w:pPr>
      <w:widowControl/>
      <w:numPr>
        <w:ilvl w:val="0"/>
        <w:numId w:val="11"/>
      </w:numPr>
      <w:adjustRightInd w:val="0"/>
      <w:snapToGrid w:val="0"/>
      <w:spacing w:before="240" w:beforeLines="-2147483648" w:beforeAutospacing="0" w:after="0" w:afterLines="-2147483648" w:afterAutospacing="0" w:line="259" w:lineRule="auto"/>
      <w:jc w:val="left"/>
      <w:outlineLvl w:val="9"/>
    </w:pPr>
    <w:rPr>
      <w:rFonts w:asciiTheme="majorHAnsi" w:hAnsiTheme="majorHAnsi" w:eastAsiaTheme="majorEastAsia" w:cstheme="majorBidi"/>
      <w:b w:val="0"/>
      <w:color w:val="2E54A1" w:themeColor="accent1" w:themeShade="BF"/>
      <w:kern w:val="0"/>
      <w:sz w:val="32"/>
      <w:szCs w:val="32"/>
    </w:rPr>
  </w:style>
  <w:style w:type="character" w:customStyle="1" w:styleId="299">
    <w:name w:val="日期 Char"/>
    <w:basedOn w:val="48"/>
    <w:link w:val="25"/>
    <w:semiHidden/>
    <w:qFormat/>
    <w:uiPriority w:val="99"/>
    <w:rPr>
      <w:rFonts w:ascii="Times New Roman" w:hAnsi="Times New Roman" w:eastAsia="宋体" w:cs="Times New Roman"/>
      <w:kern w:val="2"/>
      <w:sz w:val="21"/>
      <w:szCs w:val="24"/>
    </w:rPr>
  </w:style>
  <w:style w:type="paragraph" w:customStyle="1" w:styleId="300">
    <w:name w:val="TOC Heading"/>
    <w:basedOn w:val="2"/>
    <w:next w:val="1"/>
    <w:semiHidden/>
    <w:unhideWhenUsed/>
    <w:qFormat/>
    <w:uiPriority w:val="39"/>
    <w:pPr>
      <w:widowControl/>
      <w:numPr>
        <w:ilvl w:val="0"/>
        <w:numId w:val="0"/>
      </w:numPr>
      <w:adjustRightInd/>
      <w:snapToGrid/>
      <w:spacing w:before="480" w:beforeLines="-2147483648" w:beforeAutospacing="0" w:after="0" w:afterLines="-2147483648" w:afterAutospacing="0" w:line="276" w:lineRule="auto"/>
      <w:jc w:val="left"/>
      <w:outlineLvl w:val="9"/>
    </w:pPr>
    <w:rPr>
      <w:rFonts w:asciiTheme="majorHAnsi" w:hAnsiTheme="majorHAnsi" w:eastAsiaTheme="majorEastAsia" w:cstheme="majorBidi"/>
      <w:color w:val="2E54A1" w:themeColor="accent1" w:themeShade="BF"/>
      <w:kern w:val="0"/>
      <w:sz w:val="28"/>
      <w:szCs w:val="28"/>
    </w:rPr>
  </w:style>
  <w:style w:type="table" w:customStyle="1" w:styleId="301">
    <w:name w:val="TableGrid"/>
    <w:qFormat/>
    <w:uiPriority w:val="0"/>
    <w:tblPr>
      <w:tblCellMar>
        <w:top w:w="0" w:type="dxa"/>
        <w:left w:w="0" w:type="dxa"/>
        <w:bottom w:w="0" w:type="dxa"/>
        <w:right w:w="0" w:type="dxa"/>
      </w:tblCellMar>
    </w:tblPr>
  </w:style>
  <w:style w:type="character" w:customStyle="1" w:styleId="302">
    <w:name w:val="Heading 1 Char"/>
    <w:link w:val="2"/>
    <w:qFormat/>
    <w:uiPriority w:val="0"/>
    <w:rPr>
      <w:rFonts w:ascii="宋体" w:hAnsi="宋体" w:eastAsia="宋体" w:cs="Times New Roman"/>
      <w:b/>
      <w:bCs/>
      <w:color w:val="auto"/>
      <w:kern w:val="2"/>
      <w:sz w:val="30"/>
      <w:szCs w:val="30"/>
      <w:highlight w:val="none"/>
      <w:lang w:val="en-US" w:eastAsia="zh-CN" w:bidi="ar-SA"/>
    </w:rPr>
  </w:style>
  <w:style w:type="character" w:customStyle="1" w:styleId="303">
    <w:name w:val="Heading 2 Char"/>
    <w:link w:val="3"/>
    <w:qFormat/>
    <w:uiPriority w:val="0"/>
    <w:rPr>
      <w:rFonts w:ascii="宋体" w:hAnsi="宋体" w:eastAsia="宋体" w:cs="Times New Roman"/>
      <w:b/>
      <w:bCs/>
      <w:color w:val="auto"/>
      <w:kern w:val="2"/>
      <w:sz w:val="30"/>
      <w:szCs w:val="30"/>
      <w:highlight w:val="none"/>
      <w:lang w:val="en-US" w:eastAsia="zh-CN" w:bidi="ar-SA"/>
    </w:rPr>
  </w:style>
  <w:style w:type="character" w:customStyle="1" w:styleId="304">
    <w:name w:val="Heading 4 Char"/>
    <w:link w:val="5"/>
    <w:qFormat/>
    <w:uiPriority w:val="0"/>
    <w:rPr>
      <w:rFonts w:ascii="Arial" w:hAnsi="Arial" w:eastAsia="黑体" w:cs="Times New Roman"/>
      <w:b/>
      <w:bCs/>
      <w:sz w:val="28"/>
      <w:szCs w:val="28"/>
    </w:rPr>
  </w:style>
  <w:style w:type="character" w:customStyle="1" w:styleId="305">
    <w:name w:val="Heading 5 Char"/>
    <w:link w:val="6"/>
    <w:qFormat/>
    <w:uiPriority w:val="0"/>
    <w:rPr>
      <w:rFonts w:ascii="Calibri" w:hAnsi="Calibri" w:eastAsia="宋体" w:cs="Times New Roman"/>
      <w:b/>
      <w:sz w:val="28"/>
      <w:szCs w:val="20"/>
    </w:rPr>
  </w:style>
  <w:style w:type="character" w:customStyle="1" w:styleId="306">
    <w:name w:val="Normal Indent Char"/>
    <w:link w:val="7"/>
    <w:qFormat/>
    <w:uiPriority w:val="0"/>
    <w:rPr>
      <w:rFonts w:ascii="Calibri" w:hAnsi="Calibri" w:eastAsia="宋体" w:cs="Times New Roman"/>
      <w:szCs w:val="20"/>
    </w:rPr>
  </w:style>
  <w:style w:type="character" w:customStyle="1" w:styleId="307">
    <w:name w:val="Heading 6 Char"/>
    <w:link w:val="8"/>
    <w:qFormat/>
    <w:uiPriority w:val="0"/>
    <w:rPr>
      <w:rFonts w:ascii="Arial" w:hAnsi="Arial" w:eastAsia="黑体" w:cs="Times New Roman"/>
      <w:b/>
      <w:sz w:val="24"/>
      <w:szCs w:val="20"/>
    </w:rPr>
  </w:style>
  <w:style w:type="character" w:customStyle="1" w:styleId="308">
    <w:name w:val="Heading 7 Char"/>
    <w:link w:val="9"/>
    <w:qFormat/>
    <w:uiPriority w:val="0"/>
    <w:rPr>
      <w:rFonts w:ascii="Calibri" w:hAnsi="Calibri" w:eastAsia="宋体" w:cs="Times New Roman"/>
      <w:b/>
      <w:sz w:val="24"/>
      <w:szCs w:val="20"/>
    </w:rPr>
  </w:style>
  <w:style w:type="character" w:customStyle="1" w:styleId="309">
    <w:name w:val="Heading 8 Char"/>
    <w:link w:val="10"/>
    <w:qFormat/>
    <w:uiPriority w:val="0"/>
    <w:rPr>
      <w:rFonts w:ascii="Arial" w:hAnsi="Arial" w:eastAsia="黑体" w:cs="Times New Roman"/>
      <w:sz w:val="24"/>
      <w:szCs w:val="20"/>
    </w:rPr>
  </w:style>
  <w:style w:type="character" w:customStyle="1" w:styleId="310">
    <w:name w:val="Heading 9 Char"/>
    <w:link w:val="11"/>
    <w:qFormat/>
    <w:uiPriority w:val="0"/>
    <w:rPr>
      <w:rFonts w:ascii="Arial" w:hAnsi="Arial" w:eastAsia="黑体" w:cs="Times New Roman"/>
      <w:szCs w:val="20"/>
    </w:rPr>
  </w:style>
  <w:style w:type="character" w:customStyle="1" w:styleId="311">
    <w:name w:val="Document Map Char"/>
    <w:link w:val="15"/>
    <w:semiHidden/>
    <w:qFormat/>
    <w:uiPriority w:val="0"/>
    <w:rPr>
      <w:rFonts w:ascii="Calibri" w:hAnsi="Calibri" w:eastAsia="宋体" w:cs="Times New Roman"/>
      <w:szCs w:val="24"/>
      <w:shd w:val="clear" w:color="auto" w:fill="000080"/>
    </w:rPr>
  </w:style>
  <w:style w:type="character" w:customStyle="1" w:styleId="312">
    <w:name w:val="Comment Text Char"/>
    <w:link w:val="17"/>
    <w:semiHidden/>
    <w:qFormat/>
    <w:uiPriority w:val="99"/>
    <w:rPr>
      <w:rFonts w:ascii="宋体" w:hAnsi="Calibri" w:eastAsia="宋体" w:cs="Times New Roman"/>
      <w:kern w:val="0"/>
      <w:sz w:val="34"/>
      <w:szCs w:val="20"/>
    </w:rPr>
  </w:style>
  <w:style w:type="character" w:customStyle="1" w:styleId="313">
    <w:name w:val="Body Text 3 Char"/>
    <w:link w:val="18"/>
    <w:qFormat/>
    <w:uiPriority w:val="0"/>
    <w:rPr>
      <w:rFonts w:ascii="Calibri" w:hAnsi="Calibri" w:eastAsia="宋体" w:cs="Times New Roman"/>
      <w:sz w:val="16"/>
      <w:szCs w:val="16"/>
    </w:rPr>
  </w:style>
  <w:style w:type="character" w:customStyle="1" w:styleId="314">
    <w:name w:val="Body Text Char"/>
    <w:link w:val="19"/>
    <w:qFormat/>
    <w:uiPriority w:val="0"/>
    <w:rPr>
      <w:rFonts w:ascii="Calibri" w:hAnsi="Calibri" w:eastAsia="宋体" w:cs="Times New Roman"/>
      <w:b/>
      <w:bCs/>
      <w:sz w:val="24"/>
      <w:szCs w:val="24"/>
    </w:rPr>
  </w:style>
  <w:style w:type="character" w:customStyle="1" w:styleId="315">
    <w:name w:val="Body Text Indent Char"/>
    <w:link w:val="20"/>
    <w:qFormat/>
    <w:uiPriority w:val="0"/>
    <w:rPr>
      <w:rFonts w:ascii="Calibri" w:hAnsi="Calibri" w:eastAsia="宋体" w:cs="Times New Roman"/>
      <w:szCs w:val="24"/>
    </w:rPr>
  </w:style>
  <w:style w:type="character" w:customStyle="1" w:styleId="316">
    <w:name w:val="Plain Text Char"/>
    <w:link w:val="23"/>
    <w:qFormat/>
    <w:uiPriority w:val="0"/>
    <w:rPr>
      <w:rFonts w:ascii="宋体" w:hAnsi="Courier New" w:eastAsia="宋体" w:cs="Times New Roman"/>
      <w:szCs w:val="20"/>
    </w:rPr>
  </w:style>
  <w:style w:type="character" w:customStyle="1" w:styleId="317">
    <w:name w:val="Date Char"/>
    <w:link w:val="25"/>
    <w:qFormat/>
    <w:uiPriority w:val="0"/>
    <w:rPr>
      <w:rFonts w:ascii="宋体" w:hAnsi="Courier New" w:eastAsia="宋体" w:cs="Times New Roman"/>
      <w:sz w:val="32"/>
      <w:szCs w:val="20"/>
    </w:rPr>
  </w:style>
  <w:style w:type="character" w:customStyle="1" w:styleId="318">
    <w:name w:val="Body Text Indent 2 Char"/>
    <w:link w:val="26"/>
    <w:qFormat/>
    <w:uiPriority w:val="0"/>
    <w:rPr>
      <w:rFonts w:ascii="宋体" w:hAnsi="宋体" w:eastAsia="宋体" w:cs="Times New Roman"/>
      <w:szCs w:val="24"/>
    </w:rPr>
  </w:style>
  <w:style w:type="character" w:customStyle="1" w:styleId="319">
    <w:name w:val="Balloon Text Char"/>
    <w:link w:val="27"/>
    <w:semiHidden/>
    <w:qFormat/>
    <w:uiPriority w:val="0"/>
    <w:rPr>
      <w:rFonts w:ascii="Calibri" w:hAnsi="Calibri" w:eastAsia="宋体" w:cs="Times New Roman"/>
      <w:sz w:val="18"/>
      <w:szCs w:val="18"/>
    </w:rPr>
  </w:style>
  <w:style w:type="character" w:customStyle="1" w:styleId="320">
    <w:name w:val="Footer Char"/>
    <w:link w:val="28"/>
    <w:qFormat/>
    <w:uiPriority w:val="0"/>
    <w:rPr>
      <w:rFonts w:ascii="Times New Roman" w:hAnsi="Times New Roman" w:eastAsia="宋体" w:cs="Times New Roman"/>
      <w:sz w:val="18"/>
      <w:szCs w:val="18"/>
    </w:rPr>
  </w:style>
  <w:style w:type="character" w:customStyle="1" w:styleId="321">
    <w:name w:val="Header Char"/>
    <w:link w:val="29"/>
    <w:qFormat/>
    <w:uiPriority w:val="99"/>
    <w:rPr>
      <w:rFonts w:ascii="Times New Roman" w:hAnsi="Times New Roman" w:eastAsia="宋体" w:cs="Times New Roman"/>
      <w:sz w:val="18"/>
      <w:szCs w:val="18"/>
    </w:rPr>
  </w:style>
  <w:style w:type="character" w:customStyle="1" w:styleId="322">
    <w:name w:val="Body Text Indent 3 Char"/>
    <w:link w:val="35"/>
    <w:qFormat/>
    <w:uiPriority w:val="0"/>
    <w:rPr>
      <w:rFonts w:ascii="宋体" w:hAnsi="Calibri" w:eastAsia="宋体" w:cs="Times New Roman"/>
      <w:b/>
      <w:bCs/>
      <w:sz w:val="24"/>
      <w:szCs w:val="24"/>
    </w:rPr>
  </w:style>
  <w:style w:type="character" w:customStyle="1" w:styleId="323">
    <w:name w:val="Body Text 2 Char"/>
    <w:link w:val="38"/>
    <w:qFormat/>
    <w:uiPriority w:val="0"/>
    <w:rPr>
      <w:rFonts w:ascii="Calibri" w:hAnsi="Calibri" w:eastAsia="宋体" w:cs="Times New Roman"/>
      <w:sz w:val="24"/>
      <w:szCs w:val="24"/>
    </w:rPr>
  </w:style>
  <w:style w:type="character" w:customStyle="1" w:styleId="324">
    <w:name w:val="HTML Preformatted Char"/>
    <w:link w:val="39"/>
    <w:qFormat/>
    <w:uiPriority w:val="0"/>
    <w:rPr>
      <w:rFonts w:ascii="Arial Unicode MS" w:hAnsi="Arial Unicode MS" w:eastAsia="Arial Unicode MS" w:cs="Times New Roman"/>
      <w:color w:val="000000"/>
      <w:kern w:val="0"/>
      <w:sz w:val="20"/>
      <w:szCs w:val="20"/>
    </w:rPr>
  </w:style>
  <w:style w:type="character" w:customStyle="1" w:styleId="325">
    <w:name w:val="Title Char"/>
    <w:link w:val="42"/>
    <w:qFormat/>
    <w:uiPriority w:val="0"/>
    <w:rPr>
      <w:rFonts w:ascii="Arial" w:hAnsi="Arial" w:eastAsia="隶书" w:cs="Arial"/>
      <w:b/>
      <w:bCs/>
      <w:sz w:val="32"/>
      <w:szCs w:val="32"/>
    </w:rPr>
  </w:style>
  <w:style w:type="character" w:customStyle="1" w:styleId="326">
    <w:name w:val="Comment Subject Char"/>
    <w:link w:val="43"/>
    <w:qFormat/>
    <w:uiPriority w:val="0"/>
    <w:rPr>
      <w:rFonts w:ascii="Times New Roman" w:hAnsi="Times New Roman" w:eastAsia="宋体" w:cs="Times New Roman"/>
    </w:rPr>
  </w:style>
  <w:style w:type="character" w:customStyle="1" w:styleId="327">
    <w:name w:val="Body Text First Indent Char"/>
    <w:link w:val="44"/>
    <w:qFormat/>
    <w:uiPriority w:val="0"/>
    <w:rPr>
      <w:rFonts w:ascii="Times New Roman" w:hAnsi="Times New Roman" w:eastAsia="宋体" w:cs="Times New Roman"/>
    </w:rPr>
  </w:style>
  <w:style w:type="character" w:customStyle="1" w:styleId="328">
    <w:name w:val="Body Text First Indent 2 Char"/>
    <w:link w:val="45"/>
    <w:qFormat/>
    <w:uiPriority w:val="0"/>
    <w:rPr>
      <w:rFonts w:ascii="Times New Roman" w:hAnsi="Calibri" w:eastAsia="宋体" w:cs="Times New Roman"/>
      <w:szCs w:val="24"/>
    </w:rPr>
  </w:style>
  <w:style w:type="character" w:customStyle="1" w:styleId="329">
    <w:name w:val="副标题 字符"/>
    <w:basedOn w:val="48"/>
    <w:link w:val="32"/>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30">
    <w:name w:val="Quote"/>
    <w:basedOn w:val="1"/>
    <w:next w:val="1"/>
    <w:link w:val="331"/>
    <w:semiHidden/>
    <w:unhideWhenUsed/>
    <w:qFormat/>
    <w:uiPriority w:val="99"/>
    <w:pPr>
      <w:spacing w:before="160" w:after="160"/>
      <w:jc w:val="center"/>
    </w:pPr>
    <w:rPr>
      <w:rFonts w:asciiTheme="minorHAnsi" w:hAnsiTheme="minorHAnsi" w:eastAsiaTheme="minorEastAsia" w:cstheme="minorBidi"/>
      <w:i/>
      <w:iCs/>
      <w:color w:val="404040" w:themeColor="text1" w:themeTint="BF"/>
      <w:szCs w:val="22"/>
      <w14:textFill>
        <w14:solidFill>
          <w14:schemeClr w14:val="tx1">
            <w14:lumMod w14:val="75000"/>
            <w14:lumOff w14:val="25000"/>
          </w14:schemeClr>
        </w14:solidFill>
      </w14:textFill>
    </w:rPr>
  </w:style>
  <w:style w:type="character" w:customStyle="1" w:styleId="331">
    <w:name w:val="引用 字符"/>
    <w:basedOn w:val="48"/>
    <w:link w:val="330"/>
    <w:qFormat/>
    <w:uiPriority w:val="29"/>
    <w:rPr>
      <w:rFonts w:asciiTheme="minorHAnsi" w:hAnsiTheme="minorHAnsi" w:eastAsiaTheme="minorEastAsia" w:cstheme="minorBidi"/>
      <w:i/>
      <w:iCs/>
      <w:color w:val="404040" w:themeColor="text1" w:themeTint="BF"/>
      <w:szCs w:val="22"/>
      <w14:textFill>
        <w14:solidFill>
          <w14:schemeClr w14:val="tx1">
            <w14:lumMod w14:val="75000"/>
            <w14:lumOff w14:val="25000"/>
          </w14:schemeClr>
        </w14:solidFill>
      </w14:textFill>
    </w:rPr>
  </w:style>
  <w:style w:type="character" w:customStyle="1" w:styleId="332">
    <w:name w:val="Intense Emphasis"/>
    <w:basedOn w:val="48"/>
    <w:qFormat/>
    <w:uiPriority w:val="21"/>
    <w:rPr>
      <w:rFonts w:asciiTheme="minorHAnsi" w:hAnsiTheme="minorHAnsi" w:eastAsiaTheme="minorEastAsia" w:cstheme="minorBidi"/>
      <w:i/>
      <w:iCs/>
      <w:color w:val="2E54A1" w:themeColor="accent1" w:themeShade="BF"/>
    </w:rPr>
  </w:style>
  <w:style w:type="paragraph" w:styleId="333">
    <w:name w:val="Intense Quote"/>
    <w:basedOn w:val="1"/>
    <w:next w:val="1"/>
    <w:link w:val="334"/>
    <w:semiHidden/>
    <w:unhideWhenUsed/>
    <w:qFormat/>
    <w:uiPriority w:val="99"/>
    <w:pPr>
      <w:pBdr>
        <w:top w:val="single" w:color="2D54A0" w:themeColor="accent1" w:themeShade="BF" w:sz="4" w:space="10"/>
        <w:bottom w:val="single" w:color="2D54A0" w:themeColor="accent1" w:themeShade="BF" w:sz="4" w:space="10"/>
      </w:pBdr>
      <w:spacing w:before="360" w:after="360"/>
      <w:ind w:left="864" w:right="864"/>
      <w:jc w:val="center"/>
    </w:pPr>
    <w:rPr>
      <w:rFonts w:asciiTheme="minorHAnsi" w:hAnsiTheme="minorHAnsi" w:eastAsiaTheme="minorEastAsia" w:cstheme="minorBidi"/>
      <w:i/>
      <w:iCs/>
      <w:color w:val="2E54A1" w:themeColor="accent1" w:themeShade="BF"/>
      <w:szCs w:val="22"/>
    </w:rPr>
  </w:style>
  <w:style w:type="character" w:customStyle="1" w:styleId="334">
    <w:name w:val="明显引用 字符"/>
    <w:basedOn w:val="48"/>
    <w:link w:val="333"/>
    <w:qFormat/>
    <w:uiPriority w:val="30"/>
    <w:rPr>
      <w:rFonts w:asciiTheme="minorHAnsi" w:hAnsiTheme="minorHAnsi" w:eastAsiaTheme="minorEastAsia" w:cstheme="minorBidi"/>
      <w:i/>
      <w:iCs/>
      <w:color w:val="2E54A1" w:themeColor="accent1" w:themeShade="BF"/>
      <w:szCs w:val="22"/>
    </w:rPr>
  </w:style>
  <w:style w:type="character" w:customStyle="1" w:styleId="335">
    <w:name w:val="Intense Reference"/>
    <w:basedOn w:val="48"/>
    <w:qFormat/>
    <w:uiPriority w:val="32"/>
    <w:rPr>
      <w:rFonts w:asciiTheme="minorHAnsi" w:hAnsiTheme="minorHAnsi" w:eastAsiaTheme="minorEastAsia" w:cstheme="minorBidi"/>
      <w:b/>
      <w:bCs/>
      <w:smallCaps/>
      <w:color w:val="2E54A1" w:themeColor="accent1" w:themeShade="BF"/>
      <w:spacing w:val="5"/>
    </w:rPr>
  </w:style>
  <w:style w:type="character" w:customStyle="1" w:styleId="336">
    <w:name w:val="melo-codeblock-Base-theme-char"/>
    <w:qFormat/>
    <w:uiPriority w:val="99"/>
    <w:rPr>
      <w:rFonts w:ascii="Monaco" w:hAnsi="Monaco" w:eastAsia="Monaco" w:cs="Monaco"/>
      <w:color w:val="000000"/>
      <w:sz w:val="21"/>
    </w:rPr>
  </w:style>
  <w:style w:type="paragraph" w:customStyle="1" w:styleId="337">
    <w:name w:val="melo-codeblock-Base-theme-para"/>
    <w:qFormat/>
    <w:uiPriority w:val="99"/>
    <w:pPr>
      <w:snapToGrid w:val="0"/>
      <w:spacing w:line="360" w:lineRule="auto"/>
    </w:pPr>
    <w:rPr>
      <w:rFonts w:ascii="Monaco" w:hAnsi="Monaco" w:eastAsia="Monaco" w:cs="Monaco"/>
      <w:color w:val="000000"/>
      <w:sz w:val="21"/>
      <w:lang w:val="en-US" w:eastAsia="zh-CN" w:bidi="ar-SA"/>
    </w:rPr>
  </w:style>
  <w:style w:type="character" w:customStyle="1" w:styleId="338">
    <w:name w:val="font51"/>
    <w:basedOn w:val="48"/>
    <w:qFormat/>
    <w:uiPriority w:val="0"/>
    <w:rPr>
      <w:rFonts w:ascii="黑体" w:hAnsi="宋体" w:eastAsia="黑体" w:cs="黑体"/>
      <w:b/>
      <w:bCs/>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335</Pages>
  <Words>534</Words>
  <Characters>780</Characters>
  <Lines>0</Lines>
  <Paragraphs>0</Paragraphs>
  <TotalTime>12</TotalTime>
  <ScaleCrop>false</ScaleCrop>
  <LinksUpToDate>false</LinksUpToDate>
  <CharactersWithSpaces>884</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2026-02-09T08:37:00Z</dcterms:created>
  <dc:creator>宋微</dc:creator>
  <cp:lastModifiedBy>宋微</cp:lastModifiedBy>
  <dcterms:modified xsi:type="dcterms:W3CDTF">2026-06-03T08:19:18Z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03A95A0D330E4C87A66447E06F96EB3D_13</vt:lpwstr>
  </property>
  <property fmtid="{D5CDD505-2E9C-101B-9397-08002B2CF9AE}" pid="4" name="KSOTemplateDocerSaveRecord">
    <vt:lpwstr>eyJoZGlkIjoiZmEzYTNiOTFiZjA2NTcxMzk4MGVkMzdlNGQwOTAwZmEiLCJ1c2VySWQiOiIxNjgyNTc0MTIzIn0=</vt:lpwstr>
  </property>
</Properties>
</file>