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71D51">
      <w:pPr>
        <w:pStyle w:val="3"/>
        <w:bidi w:val="0"/>
        <w:rPr>
          <w:rFonts w:hint="eastAsia" w:ascii="宋体" w:hAnsi="宋体" w:cs="宋体" w:eastAsiaTheme="minorEastAsia"/>
          <w:b/>
          <w:color w:val="FF0000"/>
          <w:szCs w:val="21"/>
          <w:lang w:val="en-US" w:eastAsia="zh-CN"/>
        </w:rPr>
      </w:pPr>
      <w:r>
        <w:rPr>
          <w:rFonts w:hint="eastAsia"/>
          <w:lang w:val="en-US" w:eastAsia="zh-CN"/>
        </w:rPr>
        <w:t>一、</w:t>
      </w:r>
      <w:bookmarkStart w:id="0" w:name="_Hlk72092499"/>
      <w:r>
        <w:rPr>
          <w:rFonts w:hint="eastAsia"/>
          <w:lang w:val="en-US" w:eastAsia="zh-CN"/>
        </w:rPr>
        <w:t>法定代表人（负责人）证明书</w:t>
      </w:r>
      <w:bookmarkEnd w:id="0"/>
      <w:r>
        <w:rPr>
          <w:rFonts w:hint="eastAsia"/>
          <w:color w:val="FF0000"/>
          <w:lang w:eastAsia="zh-CN"/>
        </w:rPr>
        <w:t>（</w:t>
      </w:r>
      <w:r>
        <w:rPr>
          <w:rFonts w:hint="eastAsia"/>
          <w:color w:val="FF0000"/>
          <w:lang w:val="en-US" w:eastAsia="zh-CN"/>
        </w:rPr>
        <w:t>加盖公章</w:t>
      </w:r>
      <w:r>
        <w:rPr>
          <w:rFonts w:hint="eastAsia"/>
          <w:color w:val="FF0000"/>
          <w:lang w:eastAsia="zh-CN"/>
        </w:rPr>
        <w:t>）</w:t>
      </w:r>
    </w:p>
    <w:p w14:paraId="159C1D25">
      <w:pPr>
        <w:bidi w:val="0"/>
        <w:rPr>
          <w:rFonts w:hint="eastAsia"/>
          <w:lang w:val="en-US" w:eastAsia="zh-CN"/>
        </w:rPr>
      </w:pP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23065E69">
      <w:pPr>
        <w:rPr>
          <w:rFonts w:hint="eastAsia"/>
          <w:lang w:val="en-US" w:eastAsia="zh-CN"/>
        </w:rPr>
      </w:pPr>
      <w:r>
        <w:rPr>
          <w:rFonts w:hint="eastAsia"/>
          <w:lang w:val="en-US" w:eastAsia="zh-CN"/>
        </w:rPr>
        <w:br w:type="page"/>
      </w:r>
    </w:p>
    <w:p w14:paraId="5314B937">
      <w:pPr>
        <w:pStyle w:val="3"/>
        <w:bidi w:val="0"/>
        <w:rPr>
          <w:rFonts w:hint="eastAsia"/>
          <w:color w:val="FF0000"/>
          <w:lang w:val="en-US" w:eastAsia="zh-CN"/>
        </w:rPr>
      </w:pPr>
      <w:r>
        <w:rPr>
          <w:rFonts w:hint="eastAsia"/>
          <w:lang w:val="en-US" w:eastAsia="zh-CN"/>
        </w:rPr>
        <w:t>二、投标文件签署授权委托书</w:t>
      </w:r>
      <w:r>
        <w:rPr>
          <w:rFonts w:hint="eastAsia"/>
          <w:color w:val="FF0000"/>
          <w:lang w:eastAsia="zh-CN"/>
        </w:rPr>
        <w:t>（</w:t>
      </w:r>
      <w:r>
        <w:rPr>
          <w:rFonts w:hint="eastAsia"/>
          <w:color w:val="FF0000"/>
          <w:lang w:val="en-US" w:eastAsia="zh-CN"/>
        </w:rPr>
        <w:t>加盖公章</w:t>
      </w:r>
      <w:r>
        <w:rPr>
          <w:rFonts w:hint="eastAsia"/>
          <w:color w:val="FF0000"/>
          <w:lang w:eastAsia="zh-CN"/>
        </w:rPr>
        <w:t>）</w:t>
      </w:r>
    </w:p>
    <w:p w14:paraId="4DB738CE">
      <w:pPr>
        <w:bidi w:val="0"/>
        <w:rPr>
          <w:rFonts w:hint="eastAsia"/>
          <w:lang w:val="en-US" w:eastAsia="zh-CN"/>
        </w:rPr>
      </w:pP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附：</w:t>
      </w:r>
      <w:r>
        <w:rPr>
          <w:rFonts w:hint="eastAsia" w:ascii="宋体" w:hAnsi="宋体" w:eastAsia="宋体" w:cs="宋体"/>
          <w:b/>
          <w:color w:val="FF0000"/>
          <w:szCs w:val="21"/>
          <w:lang w:val="en-US" w:eastAsia="zh-CN"/>
        </w:rPr>
        <w:t>1.</w:t>
      </w:r>
      <w:r>
        <w:rPr>
          <w:rFonts w:hint="eastAsia" w:ascii="宋体" w:hAnsi="宋体" w:eastAsia="宋体" w:cs="宋体"/>
          <w:b/>
          <w:color w:val="FF0000"/>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FF0000"/>
          <w:sz w:val="21"/>
          <w:szCs w:val="21"/>
        </w:rPr>
      </w:pPr>
      <w:bookmarkStart w:id="1" w:name="OLE_LINK3"/>
      <w:r>
        <w:rPr>
          <w:rFonts w:hint="eastAsia" w:ascii="宋体" w:hAnsi="宋体" w:eastAsia="宋体" w:cs="宋体"/>
          <w:b/>
          <w:color w:val="FF0000"/>
          <w:sz w:val="21"/>
          <w:szCs w:val="21"/>
          <w:lang w:val="en-US" w:eastAsia="zh-CN"/>
        </w:rPr>
        <w:t>2.</w:t>
      </w: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74CC8D7">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2B4E6B80">
      <w:pPr>
        <w:rPr>
          <w:rFonts w:hint="eastAsia" w:ascii="宋体" w:hAnsi="宋体" w:eastAsia="宋体" w:cs="宋体"/>
          <w:b/>
          <w:color w:val="FF0000"/>
          <w:sz w:val="21"/>
          <w:szCs w:val="21"/>
        </w:rPr>
      </w:pPr>
      <w:r>
        <w:rPr>
          <w:rFonts w:hint="eastAsia" w:ascii="宋体" w:hAnsi="宋体" w:eastAsia="宋体" w:cs="宋体"/>
          <w:b/>
          <w:color w:val="FF0000"/>
          <w:sz w:val="21"/>
          <w:szCs w:val="21"/>
        </w:rPr>
        <w:br w:type="page"/>
      </w:r>
    </w:p>
    <w:p w14:paraId="62AB80B9">
      <w:pPr>
        <w:pStyle w:val="3"/>
        <w:bidi w:val="0"/>
        <w:rPr>
          <w:rFonts w:hint="eastAsia"/>
          <w:lang w:val="en-US" w:eastAsia="zh-CN"/>
        </w:rPr>
      </w:pPr>
      <w:r>
        <w:rPr>
          <w:rFonts w:hint="eastAsia"/>
          <w:lang w:val="en-US" w:eastAsia="zh-CN"/>
        </w:rPr>
        <w:t>三、</w:t>
      </w:r>
      <w:r>
        <w:rPr>
          <w:rFonts w:hint="eastAsia"/>
        </w:rPr>
        <w:t>企业营业执照复印件</w:t>
      </w:r>
      <w:r>
        <w:rPr>
          <w:rFonts w:hint="eastAsia"/>
          <w:color w:val="FF0000"/>
          <w:lang w:eastAsia="zh-CN"/>
        </w:rPr>
        <w:t>（</w:t>
      </w:r>
      <w:r>
        <w:rPr>
          <w:rFonts w:hint="eastAsia"/>
          <w:color w:val="FF0000"/>
          <w:lang w:val="en-US" w:eastAsia="zh-CN"/>
        </w:rPr>
        <w:t>加盖公章</w:t>
      </w:r>
      <w:r>
        <w:rPr>
          <w:rFonts w:hint="eastAsia"/>
          <w:color w:val="FF0000"/>
          <w:lang w:eastAsia="zh-CN"/>
        </w:rPr>
        <w:t>）</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79C85BED">
      <w:pPr>
        <w:spacing w:line="360" w:lineRule="auto"/>
        <w:ind w:firstLine="422" w:firstLineChars="200"/>
        <w:rPr>
          <w:rFonts w:hint="eastAsia" w:ascii="宋体" w:hAnsi="宋体" w:eastAsia="宋体" w:cs="宋体"/>
          <w:b/>
          <w:color w:val="FF0000"/>
          <w:sz w:val="21"/>
          <w:szCs w:val="21"/>
        </w:rPr>
      </w:pPr>
    </w:p>
    <w:p w14:paraId="1D1B72D3">
      <w:pPr>
        <w:spacing w:line="360" w:lineRule="auto"/>
        <w:ind w:firstLine="422" w:firstLineChars="200"/>
        <w:rPr>
          <w:rFonts w:hint="eastAsia" w:ascii="宋体" w:hAnsi="宋体" w:eastAsia="宋体" w:cs="宋体"/>
          <w:b/>
          <w:color w:val="FF0000"/>
          <w:sz w:val="21"/>
          <w:szCs w:val="21"/>
        </w:rPr>
      </w:pPr>
    </w:p>
    <w:p w14:paraId="2D24E561">
      <w:pPr>
        <w:spacing w:line="360" w:lineRule="auto"/>
        <w:ind w:firstLine="422" w:firstLineChars="200"/>
        <w:rPr>
          <w:rFonts w:hint="eastAsia" w:ascii="宋体" w:hAnsi="宋体" w:eastAsia="宋体" w:cs="宋体"/>
          <w:b/>
          <w:color w:val="FF0000"/>
          <w:sz w:val="21"/>
          <w:szCs w:val="21"/>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47E530C">
      <w:pPr>
        <w:spacing w:line="360" w:lineRule="auto"/>
        <w:ind w:firstLine="422" w:firstLineChars="200"/>
        <w:rPr>
          <w:rFonts w:hint="eastAsia" w:ascii="宋体" w:hAnsi="宋体" w:eastAsia="宋体" w:cs="宋体"/>
          <w:b/>
          <w:color w:val="FF0000"/>
          <w:sz w:val="21"/>
          <w:szCs w:val="21"/>
        </w:rPr>
      </w:pPr>
    </w:p>
    <w:p w14:paraId="7337313F">
      <w:pPr>
        <w:spacing w:line="360" w:lineRule="auto"/>
        <w:ind w:firstLine="422" w:firstLineChars="200"/>
        <w:rPr>
          <w:rFonts w:hint="eastAsia" w:ascii="宋体" w:hAnsi="宋体" w:eastAsia="宋体" w:cs="宋体"/>
          <w:b/>
          <w:color w:val="FF0000"/>
          <w:sz w:val="21"/>
          <w:szCs w:val="21"/>
        </w:rPr>
      </w:pPr>
    </w:p>
    <w:p w14:paraId="329871FC">
      <w:pPr>
        <w:spacing w:line="360" w:lineRule="auto"/>
        <w:ind w:firstLine="422" w:firstLineChars="200"/>
        <w:rPr>
          <w:rFonts w:hint="eastAsia" w:ascii="宋体" w:hAnsi="宋体" w:eastAsia="宋体" w:cs="宋体"/>
          <w:b/>
          <w:color w:val="FF0000"/>
          <w:sz w:val="21"/>
          <w:szCs w:val="21"/>
        </w:rPr>
      </w:pPr>
    </w:p>
    <w:p w14:paraId="22FC9E65">
      <w:pPr>
        <w:spacing w:line="360" w:lineRule="auto"/>
        <w:ind w:firstLine="422" w:firstLineChars="200"/>
        <w:rPr>
          <w:rFonts w:hint="eastAsia" w:ascii="宋体" w:hAnsi="宋体" w:eastAsia="宋体" w:cs="宋体"/>
          <w:b/>
          <w:color w:val="FF0000"/>
          <w:sz w:val="21"/>
          <w:szCs w:val="21"/>
        </w:rPr>
      </w:pPr>
    </w:p>
    <w:p w14:paraId="06FBC297">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ind w:firstLine="422" w:firstLineChars="200"/>
        <w:rPr>
          <w:rFonts w:hint="eastAsia" w:ascii="宋体" w:hAnsi="宋体" w:eastAsia="宋体" w:cs="宋体"/>
          <w:b/>
          <w:color w:val="FF0000"/>
          <w:sz w:val="21"/>
          <w:szCs w:val="21"/>
        </w:rPr>
      </w:pPr>
    </w:p>
    <w:bookmarkEnd w:id="1"/>
    <w:p w14:paraId="45D41595">
      <w:pPr>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br w:type="page"/>
      </w:r>
    </w:p>
    <w:p w14:paraId="28259CBF">
      <w:pPr>
        <w:pStyle w:val="3"/>
        <w:bidi w:val="0"/>
        <w:rPr>
          <w:sz w:val="24"/>
          <w:szCs w:val="24"/>
        </w:rPr>
      </w:pPr>
      <w:r>
        <w:rPr>
          <w:rFonts w:hint="eastAsia"/>
          <w:lang w:val="en-US" w:eastAsia="zh-CN"/>
        </w:rPr>
        <w:t>四、报价表</w:t>
      </w:r>
      <w:r>
        <w:rPr>
          <w:rFonts w:hint="eastAsia"/>
          <w:color w:val="FF0000"/>
          <w:lang w:eastAsia="zh-CN"/>
        </w:rPr>
        <w:t>（</w:t>
      </w:r>
      <w:r>
        <w:rPr>
          <w:rFonts w:hint="eastAsia"/>
          <w:color w:val="FF0000"/>
          <w:lang w:val="en-US" w:eastAsia="zh-CN"/>
        </w:rPr>
        <w:t>加盖公章</w:t>
      </w:r>
      <w:r>
        <w:rPr>
          <w:rFonts w:hint="eastAsia"/>
          <w:color w:val="FF0000"/>
          <w:lang w:eastAsia="zh-CN"/>
        </w:rPr>
        <w:t>）</w:t>
      </w:r>
    </w:p>
    <w:tbl>
      <w:tblPr>
        <w:tblStyle w:val="7"/>
        <w:tblW w:w="7315" w:type="dxa"/>
        <w:jc w:val="center"/>
        <w:tblLayout w:type="autofit"/>
        <w:tblCellMar>
          <w:top w:w="0" w:type="dxa"/>
          <w:left w:w="108" w:type="dxa"/>
          <w:bottom w:w="0" w:type="dxa"/>
          <w:right w:w="108" w:type="dxa"/>
        </w:tblCellMar>
      </w:tblPr>
      <w:tblGrid>
        <w:gridCol w:w="1080"/>
        <w:gridCol w:w="1320"/>
        <w:gridCol w:w="840"/>
        <w:gridCol w:w="1080"/>
        <w:gridCol w:w="1199"/>
        <w:gridCol w:w="1796"/>
      </w:tblGrid>
      <w:tr w14:paraId="7E9A68A3">
        <w:tblPrEx>
          <w:tblCellMar>
            <w:top w:w="0" w:type="dxa"/>
            <w:left w:w="108" w:type="dxa"/>
            <w:bottom w:w="0" w:type="dxa"/>
            <w:right w:w="108" w:type="dxa"/>
          </w:tblCellMar>
        </w:tblPrEx>
        <w:trPr>
          <w:trHeight w:val="585" w:hRule="atLeast"/>
          <w:jc w:val="center"/>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07ABD43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1320" w:type="dxa"/>
            <w:tcBorders>
              <w:top w:val="single" w:color="auto" w:sz="8" w:space="0"/>
              <w:left w:val="nil"/>
              <w:bottom w:val="single" w:color="auto" w:sz="8" w:space="0"/>
              <w:right w:val="single" w:color="auto" w:sz="8" w:space="0"/>
            </w:tcBorders>
            <w:shd w:val="clear" w:color="auto" w:fill="auto"/>
            <w:vAlign w:val="center"/>
          </w:tcPr>
          <w:p w14:paraId="623E186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p>
        </w:tc>
        <w:tc>
          <w:tcPr>
            <w:tcW w:w="840" w:type="dxa"/>
            <w:tcBorders>
              <w:top w:val="single" w:color="auto" w:sz="8" w:space="0"/>
              <w:left w:val="nil"/>
              <w:bottom w:val="single" w:color="auto" w:sz="8" w:space="0"/>
              <w:right w:val="single" w:color="auto" w:sz="8" w:space="0"/>
            </w:tcBorders>
            <w:shd w:val="clear" w:color="auto" w:fill="auto"/>
            <w:vAlign w:val="center"/>
          </w:tcPr>
          <w:p w14:paraId="5EF12E6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数量</w:t>
            </w:r>
          </w:p>
        </w:tc>
        <w:tc>
          <w:tcPr>
            <w:tcW w:w="1080" w:type="dxa"/>
            <w:tcBorders>
              <w:top w:val="single" w:color="auto" w:sz="8" w:space="0"/>
              <w:left w:val="nil"/>
              <w:bottom w:val="single" w:color="auto" w:sz="8" w:space="0"/>
              <w:right w:val="single" w:color="auto" w:sz="8" w:space="0"/>
            </w:tcBorders>
            <w:shd w:val="clear" w:color="auto" w:fill="auto"/>
            <w:vAlign w:val="center"/>
          </w:tcPr>
          <w:p w14:paraId="2FCBE5B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w:t>
            </w:r>
          </w:p>
        </w:tc>
        <w:tc>
          <w:tcPr>
            <w:tcW w:w="1199" w:type="dxa"/>
            <w:tcBorders>
              <w:top w:val="single" w:color="auto" w:sz="8" w:space="0"/>
              <w:left w:val="nil"/>
              <w:bottom w:val="single" w:color="auto" w:sz="8" w:space="0"/>
              <w:right w:val="single" w:color="auto" w:sz="8" w:space="0"/>
            </w:tcBorders>
            <w:shd w:val="clear" w:color="auto" w:fill="auto"/>
            <w:vAlign w:val="center"/>
          </w:tcPr>
          <w:p w14:paraId="090069D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投标报价（元）</w:t>
            </w:r>
          </w:p>
        </w:tc>
        <w:tc>
          <w:tcPr>
            <w:tcW w:w="1796" w:type="dxa"/>
            <w:tcBorders>
              <w:top w:val="single" w:color="auto" w:sz="8" w:space="0"/>
              <w:left w:val="nil"/>
              <w:bottom w:val="single" w:color="auto" w:sz="8" w:space="0"/>
              <w:right w:val="single" w:color="auto" w:sz="8" w:space="0"/>
            </w:tcBorders>
            <w:shd w:val="clear" w:color="auto" w:fill="auto"/>
            <w:vAlign w:val="center"/>
          </w:tcPr>
          <w:p w14:paraId="7E45DAC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项目预算金额（元）</w:t>
            </w:r>
          </w:p>
        </w:tc>
      </w:tr>
      <w:tr w14:paraId="1FAA52A8">
        <w:tblPrEx>
          <w:tblCellMar>
            <w:top w:w="0" w:type="dxa"/>
            <w:left w:w="108" w:type="dxa"/>
            <w:bottom w:w="0" w:type="dxa"/>
            <w:right w:w="108" w:type="dxa"/>
          </w:tblCellMar>
        </w:tblPrEx>
        <w:trPr>
          <w:trHeight w:val="1035" w:hRule="atLeast"/>
          <w:jc w:val="center"/>
        </w:trPr>
        <w:tc>
          <w:tcPr>
            <w:tcW w:w="1080" w:type="dxa"/>
            <w:tcBorders>
              <w:top w:val="nil"/>
              <w:left w:val="single" w:color="auto" w:sz="8" w:space="0"/>
              <w:bottom w:val="single" w:color="auto" w:sz="8" w:space="0"/>
              <w:right w:val="single" w:color="auto" w:sz="8" w:space="0"/>
            </w:tcBorders>
            <w:shd w:val="clear" w:color="auto" w:fill="auto"/>
            <w:vAlign w:val="center"/>
          </w:tcPr>
          <w:p w14:paraId="438D6102">
            <w:pPr>
              <w:spacing w:line="360" w:lineRule="auto"/>
              <w:jc w:val="center"/>
              <w:rPr>
                <w:rFonts w:ascii="仿宋" w:hAnsi="仿宋" w:eastAsia="仿宋" w:cs="宋体"/>
                <w:color w:val="000000"/>
                <w:kern w:val="0"/>
                <w:sz w:val="24"/>
                <w:szCs w:val="24"/>
              </w:rPr>
            </w:pPr>
            <w:r>
              <w:rPr>
                <w:rFonts w:hint="eastAsia" w:ascii="仿宋" w:hAnsi="仿宋" w:eastAsia="仿宋" w:cs="仿宋"/>
                <w:bCs/>
                <w:sz w:val="24"/>
                <w:szCs w:val="24"/>
              </w:rPr>
              <w:t>1</w:t>
            </w:r>
          </w:p>
        </w:tc>
        <w:tc>
          <w:tcPr>
            <w:tcW w:w="1320" w:type="dxa"/>
            <w:tcBorders>
              <w:top w:val="nil"/>
              <w:left w:val="nil"/>
              <w:bottom w:val="single" w:color="auto" w:sz="8" w:space="0"/>
              <w:right w:val="single" w:color="auto" w:sz="8" w:space="0"/>
            </w:tcBorders>
            <w:shd w:val="clear" w:color="auto" w:fill="auto"/>
            <w:vAlign w:val="center"/>
          </w:tcPr>
          <w:p w14:paraId="47DF7486">
            <w:pPr>
              <w:spacing w:line="360" w:lineRule="auto"/>
              <w:jc w:val="center"/>
              <w:rPr>
                <w:rFonts w:ascii="宋体" w:hAnsi="宋体" w:cs="宋体"/>
                <w:color w:val="000000"/>
                <w:kern w:val="0"/>
                <w:szCs w:val="21"/>
              </w:rPr>
            </w:pPr>
            <w:r>
              <w:rPr>
                <w:rFonts w:hint="eastAsia" w:ascii="仿宋" w:hAnsi="仿宋" w:eastAsia="仿宋" w:cs="仿宋"/>
                <w:bCs/>
                <w:color w:val="000000" w:themeColor="text1"/>
                <w:sz w:val="24"/>
                <w:szCs w:val="24"/>
                <w:lang w:eastAsia="zh-CN"/>
                <w14:textFill>
                  <w14:solidFill>
                    <w14:schemeClr w14:val="tx1"/>
                  </w14:solidFill>
                </w14:textFill>
              </w:rPr>
              <w:t>中山大学附属第七医院（深圳）科研中心搬运服务采购项目</w:t>
            </w:r>
          </w:p>
        </w:tc>
        <w:tc>
          <w:tcPr>
            <w:tcW w:w="840" w:type="dxa"/>
            <w:tcBorders>
              <w:top w:val="nil"/>
              <w:left w:val="nil"/>
              <w:bottom w:val="single" w:color="auto" w:sz="8" w:space="0"/>
              <w:right w:val="single" w:color="auto" w:sz="8" w:space="0"/>
            </w:tcBorders>
            <w:shd w:val="clear" w:color="auto" w:fill="auto"/>
            <w:vAlign w:val="center"/>
          </w:tcPr>
          <w:p w14:paraId="1339778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80" w:type="dxa"/>
            <w:tcBorders>
              <w:top w:val="nil"/>
              <w:left w:val="nil"/>
              <w:bottom w:val="single" w:color="auto" w:sz="8" w:space="0"/>
              <w:right w:val="single" w:color="auto" w:sz="8" w:space="0"/>
            </w:tcBorders>
            <w:shd w:val="clear" w:color="auto" w:fill="auto"/>
            <w:vAlign w:val="center"/>
          </w:tcPr>
          <w:p w14:paraId="5C1863C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w:t>
            </w:r>
          </w:p>
        </w:tc>
        <w:tc>
          <w:tcPr>
            <w:tcW w:w="1199" w:type="dxa"/>
            <w:tcBorders>
              <w:top w:val="nil"/>
              <w:left w:val="nil"/>
              <w:bottom w:val="single" w:color="auto" w:sz="8" w:space="0"/>
              <w:right w:val="single" w:color="auto" w:sz="8" w:space="0"/>
            </w:tcBorders>
            <w:shd w:val="clear" w:color="auto" w:fill="auto"/>
            <w:vAlign w:val="center"/>
          </w:tcPr>
          <w:p w14:paraId="00858B56">
            <w:pPr>
              <w:widowControl/>
              <w:jc w:val="center"/>
              <w:rPr>
                <w:rFonts w:ascii="仿宋" w:hAnsi="仿宋" w:eastAsia="仿宋" w:cs="宋体"/>
                <w:color w:val="000000"/>
                <w:kern w:val="0"/>
                <w:sz w:val="24"/>
                <w:szCs w:val="24"/>
              </w:rPr>
            </w:pPr>
          </w:p>
        </w:tc>
        <w:tc>
          <w:tcPr>
            <w:tcW w:w="1796" w:type="dxa"/>
            <w:tcBorders>
              <w:top w:val="nil"/>
              <w:left w:val="nil"/>
              <w:bottom w:val="single" w:color="auto" w:sz="8" w:space="0"/>
              <w:right w:val="single" w:color="auto" w:sz="8" w:space="0"/>
            </w:tcBorders>
            <w:shd w:val="clear" w:color="auto" w:fill="auto"/>
            <w:vAlign w:val="center"/>
          </w:tcPr>
          <w:p w14:paraId="26474766">
            <w:pPr>
              <w:jc w:val="center"/>
              <w:rPr>
                <w:rFonts w:hAnsi="宋体" w:asciiTheme="minorHAnsi" w:eastAsiaTheme="minorEastAsia" w:cstheme="minorBidi"/>
                <w:color w:val="000000" w:themeColor="text1"/>
                <w:kern w:val="2"/>
                <w:sz w:val="21"/>
                <w:szCs w:val="21"/>
                <w:lang w:val="en-US" w:eastAsia="zh-CN" w:bidi="ar-SA"/>
                <w14:textFill>
                  <w14:solidFill>
                    <w14:schemeClr w14:val="tx1"/>
                  </w14:solidFill>
                </w14:textFill>
              </w:rPr>
            </w:pPr>
            <w:r>
              <w:rPr>
                <w:rFonts w:hint="eastAsia" w:ascii="宋体" w:hAnsi="宋体" w:eastAsia="宋体" w:cs="宋体"/>
                <w:lang w:val="en-US" w:eastAsia="zh-CN"/>
              </w:rPr>
              <w:t>55,800.00</w:t>
            </w:r>
          </w:p>
        </w:tc>
      </w:tr>
    </w:tbl>
    <w:p w14:paraId="27F3EB9F">
      <w:pPr>
        <w:widowControl/>
        <w:jc w:val="left"/>
        <w:textAlignment w:val="center"/>
        <w:rPr>
          <w:rFonts w:hint="eastAsia"/>
          <w:sz w:val="24"/>
          <w:szCs w:val="24"/>
        </w:rPr>
      </w:pPr>
    </w:p>
    <w:p w14:paraId="0AD0C699">
      <w:pPr>
        <w:widowControl/>
        <w:jc w:val="left"/>
        <w:textAlignment w:val="center"/>
        <w:rPr>
          <w:rFonts w:ascii="宋体" w:hAnsi="宋体" w:cs="宋体"/>
          <w:b/>
          <w:color w:val="000000"/>
          <w:kern w:val="0"/>
          <w:sz w:val="24"/>
          <w:szCs w:val="20"/>
          <w:lang w:bidi="ar"/>
        </w:rPr>
      </w:pPr>
      <w:r>
        <w:rPr>
          <w:rFonts w:hint="eastAsia"/>
          <w:b/>
          <w:bCs/>
          <w:color w:val="FF0000"/>
          <w:sz w:val="24"/>
          <w:szCs w:val="24"/>
        </w:rPr>
        <w:t>注：总价报价不可超过项目预算金额</w:t>
      </w:r>
      <w:r>
        <w:rPr>
          <w:rFonts w:hint="eastAsia"/>
          <w:sz w:val="24"/>
          <w:szCs w:val="24"/>
        </w:rPr>
        <w:t>（</w:t>
      </w:r>
      <w:r>
        <w:rPr>
          <w:rFonts w:hint="eastAsia" w:ascii="宋体" w:hAnsi="宋体" w:cs="宋体"/>
          <w:b/>
          <w:color w:val="000000"/>
          <w:kern w:val="0"/>
          <w:sz w:val="24"/>
          <w:szCs w:val="20"/>
          <w:lang w:bidi="ar"/>
        </w:rPr>
        <w:t>少报、多报或未按顺序报价的，视为未实质性响应，作废标处理</w:t>
      </w:r>
      <w:r>
        <w:rPr>
          <w:rFonts w:hint="eastAsia"/>
          <w:sz w:val="24"/>
          <w:szCs w:val="24"/>
        </w:rPr>
        <w:t>），</w:t>
      </w:r>
      <w:r>
        <w:rPr>
          <w:rFonts w:hint="eastAsia" w:ascii="宋体" w:hAnsi="宋体" w:cs="宋体"/>
          <w:b/>
          <w:color w:val="000000"/>
          <w:kern w:val="0"/>
          <w:sz w:val="24"/>
          <w:szCs w:val="20"/>
          <w:lang w:bidi="ar"/>
        </w:rPr>
        <w:t>报价为含税价格。</w:t>
      </w:r>
    </w:p>
    <w:p w14:paraId="77FBEF7B">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5837CD53">
      <w:pPr>
        <w:rPr>
          <w:rFonts w:hint="eastAsia" w:ascii="宋体" w:hAnsi="宋体" w:cs="宋体"/>
          <w:color w:val="333333"/>
          <w:kern w:val="0"/>
          <w:sz w:val="24"/>
          <w:szCs w:val="24"/>
        </w:rPr>
      </w:pPr>
    </w:p>
    <w:p w14:paraId="73466D0D">
      <w:pPr>
        <w:rPr>
          <w:rFonts w:hint="eastAsia" w:ascii="宋体" w:hAnsi="宋体" w:cs="宋体" w:eastAsiaTheme="minorEastAsia"/>
          <w:color w:val="333333"/>
          <w:kern w:val="0"/>
          <w:sz w:val="24"/>
          <w:szCs w:val="24"/>
          <w:lang w:val="en-US" w:eastAsia="zh-CN" w:bidi="ar-SA"/>
        </w:rPr>
      </w:pPr>
      <w:r>
        <w:rPr>
          <w:rFonts w:hint="eastAsia" w:ascii="宋体" w:hAnsi="宋体" w:cs="宋体" w:eastAsiaTheme="minorEastAsia"/>
          <w:color w:val="333333"/>
          <w:kern w:val="0"/>
          <w:sz w:val="24"/>
          <w:szCs w:val="24"/>
          <w:lang w:val="en-US" w:eastAsia="zh-CN" w:bidi="ar-SA"/>
        </w:rPr>
        <w:br w:type="page"/>
      </w:r>
    </w:p>
    <w:p w14:paraId="672135BF">
      <w:pPr>
        <w:pStyle w:val="3"/>
        <w:bidi w:val="0"/>
        <w:rPr>
          <w:rFonts w:hint="eastAsia"/>
        </w:rPr>
      </w:pPr>
      <w:r>
        <w:rPr>
          <w:rFonts w:hint="eastAsia"/>
          <w:lang w:val="en-US" w:eastAsia="zh-CN"/>
        </w:rPr>
        <w:t>五、供应商</w:t>
      </w:r>
      <w:r>
        <w:rPr>
          <w:rFonts w:hint="eastAsia"/>
        </w:rPr>
        <w:t>简介及联系方式</w:t>
      </w:r>
      <w:r>
        <w:rPr>
          <w:rFonts w:hint="eastAsia"/>
          <w:color w:val="FF0000"/>
          <w:lang w:eastAsia="zh-CN"/>
        </w:rPr>
        <w:t>（</w:t>
      </w:r>
      <w:r>
        <w:rPr>
          <w:rFonts w:hint="eastAsia"/>
          <w:color w:val="FF0000"/>
          <w:lang w:val="en-US" w:eastAsia="zh-CN"/>
        </w:rPr>
        <w:t>加盖公章</w:t>
      </w:r>
      <w:r>
        <w:rPr>
          <w:rFonts w:hint="eastAsia"/>
          <w:color w:val="FF0000"/>
          <w:lang w:eastAsia="zh-CN"/>
        </w:rPr>
        <w:t>）</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bidi w:val="0"/>
        <w:jc w:val="center"/>
        <w:rPr>
          <w:b/>
          <w:bCs/>
          <w:sz w:val="36"/>
          <w:szCs w:val="44"/>
        </w:rPr>
      </w:pPr>
      <w:r>
        <w:rPr>
          <w:b/>
          <w:bCs/>
          <w:sz w:val="36"/>
          <w:szCs w:val="44"/>
        </w:rPr>
        <w:t>供应商基本情况表</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填表单位</w:t>
      </w:r>
      <w:r>
        <w:rPr>
          <w:rFonts w:ascii="微软雅黑" w:hAnsi="微软雅黑" w:eastAsia="微软雅黑" w:cs="微软雅黑"/>
          <w:spacing w:val="-73"/>
          <w:w w:val="95"/>
          <w:sz w:val="28"/>
          <w:szCs w:val="28"/>
        </w:rPr>
        <w:t>：（</w:t>
      </w:r>
      <w:r>
        <w:rPr>
          <w:rFonts w:hint="eastAsia" w:ascii="微软雅黑" w:hAnsi="微软雅黑" w:eastAsia="微软雅黑" w:cs="微软雅黑"/>
          <w:color w:val="FF0000"/>
          <w:spacing w:val="-73"/>
          <w:w w:val="95"/>
          <w:sz w:val="28"/>
          <w:szCs w:val="28"/>
          <w:lang w:val="en-US" w:eastAsia="zh-CN"/>
        </w:rPr>
        <w:t xml:space="preserve">           </w:t>
      </w:r>
      <w:r>
        <w:rPr>
          <w:rFonts w:ascii="微软雅黑" w:hAnsi="微软雅黑" w:eastAsia="微软雅黑" w:cs="微软雅黑"/>
          <w:color w:val="FF0000"/>
          <w:sz w:val="28"/>
          <w:szCs w:val="28"/>
        </w:rPr>
        <w:t>加盖单位公章）</w:t>
      </w:r>
      <w:r>
        <w:rPr>
          <w:rFonts w:ascii="微软雅黑" w:hAnsi="微软雅黑" w:eastAsia="微软雅黑" w:cs="微软雅黑"/>
          <w:spacing w:val="4"/>
          <w:sz w:val="28"/>
          <w:szCs w:val="28"/>
        </w:rPr>
        <w:t xml:space="preserve">    </w:t>
      </w: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1"/>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10"/>
              <w:spacing w:before="180" w:line="203" w:lineRule="auto"/>
              <w:ind w:left="359"/>
            </w:pPr>
            <w:r>
              <w:rPr>
                <w:spacing w:val="-4"/>
              </w:rPr>
              <w:t>采购人</w:t>
            </w:r>
          </w:p>
        </w:tc>
        <w:tc>
          <w:tcPr>
            <w:tcW w:w="3016" w:type="dxa"/>
            <w:gridSpan w:val="2"/>
            <w:vAlign w:val="top"/>
          </w:tcPr>
          <w:p w14:paraId="18B09EE1">
            <w:pPr>
              <w:rPr>
                <w:rFonts w:ascii="Arial"/>
                <w:sz w:val="21"/>
              </w:rPr>
            </w:pPr>
          </w:p>
        </w:tc>
        <w:tc>
          <w:tcPr>
            <w:tcW w:w="1620" w:type="dxa"/>
            <w:gridSpan w:val="2"/>
            <w:vAlign w:val="top"/>
          </w:tcPr>
          <w:p w14:paraId="75034EC6">
            <w:pPr>
              <w:pStyle w:val="10"/>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10"/>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10"/>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10"/>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10"/>
              <w:spacing w:before="217" w:line="202" w:lineRule="auto"/>
              <w:ind w:left="145"/>
            </w:pPr>
            <w:r>
              <w:rPr>
                <w:spacing w:val="-5"/>
              </w:rPr>
              <w:t>序号</w:t>
            </w:r>
          </w:p>
        </w:tc>
        <w:tc>
          <w:tcPr>
            <w:tcW w:w="2732" w:type="dxa"/>
            <w:gridSpan w:val="2"/>
            <w:vAlign w:val="top"/>
          </w:tcPr>
          <w:p w14:paraId="4F3BD2C3">
            <w:pPr>
              <w:pStyle w:val="10"/>
              <w:spacing w:before="213" w:line="202" w:lineRule="auto"/>
              <w:ind w:left="916"/>
            </w:pPr>
            <w:r>
              <w:rPr>
                <w:spacing w:val="-6"/>
              </w:rPr>
              <w:t>职务</w:t>
            </w:r>
          </w:p>
        </w:tc>
        <w:tc>
          <w:tcPr>
            <w:tcW w:w="960" w:type="dxa"/>
            <w:vAlign w:val="top"/>
          </w:tcPr>
          <w:p w14:paraId="783AF3F3">
            <w:pPr>
              <w:pStyle w:val="10"/>
              <w:spacing w:before="213" w:line="203" w:lineRule="auto"/>
              <w:ind w:left="245"/>
            </w:pPr>
            <w:r>
              <w:rPr>
                <w:spacing w:val="-4"/>
              </w:rPr>
              <w:t>姓名</w:t>
            </w:r>
          </w:p>
        </w:tc>
        <w:tc>
          <w:tcPr>
            <w:tcW w:w="1620" w:type="dxa"/>
            <w:gridSpan w:val="2"/>
            <w:vAlign w:val="top"/>
          </w:tcPr>
          <w:p w14:paraId="3FB9C412">
            <w:pPr>
              <w:pStyle w:val="10"/>
              <w:spacing w:before="214" w:line="203" w:lineRule="auto"/>
              <w:ind w:left="410"/>
            </w:pPr>
            <w:r>
              <w:rPr>
                <w:spacing w:val="-3"/>
              </w:rPr>
              <w:t>身份证号码</w:t>
            </w:r>
          </w:p>
        </w:tc>
        <w:tc>
          <w:tcPr>
            <w:tcW w:w="1404" w:type="dxa"/>
            <w:vAlign w:val="top"/>
          </w:tcPr>
          <w:p w14:paraId="3FB60CB3">
            <w:pPr>
              <w:pStyle w:val="10"/>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10"/>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10"/>
              <w:spacing w:before="103" w:line="169" w:lineRule="auto"/>
              <w:ind w:left="321"/>
            </w:pPr>
            <w:r>
              <w:t>1</w:t>
            </w:r>
          </w:p>
        </w:tc>
        <w:tc>
          <w:tcPr>
            <w:tcW w:w="2732" w:type="dxa"/>
            <w:gridSpan w:val="2"/>
            <w:vAlign w:val="top"/>
          </w:tcPr>
          <w:p w14:paraId="55EC78C5">
            <w:pPr>
              <w:pStyle w:val="10"/>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10"/>
              <w:spacing w:before="211" w:line="168" w:lineRule="auto"/>
              <w:ind w:left="322"/>
            </w:pPr>
            <w:r>
              <w:t>2</w:t>
            </w:r>
          </w:p>
        </w:tc>
        <w:tc>
          <w:tcPr>
            <w:tcW w:w="2732" w:type="dxa"/>
            <w:gridSpan w:val="2"/>
            <w:vAlign w:val="top"/>
          </w:tcPr>
          <w:p w14:paraId="4AC4DCAE">
            <w:pPr>
              <w:pStyle w:val="10"/>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10"/>
              <w:spacing w:before="210" w:line="167" w:lineRule="auto"/>
              <w:ind w:left="321"/>
            </w:pPr>
            <w:r>
              <w:t>3</w:t>
            </w:r>
          </w:p>
        </w:tc>
        <w:tc>
          <w:tcPr>
            <w:tcW w:w="2732" w:type="dxa"/>
            <w:gridSpan w:val="2"/>
            <w:vAlign w:val="top"/>
          </w:tcPr>
          <w:p w14:paraId="28ABBA2C">
            <w:pPr>
              <w:pStyle w:val="10"/>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10"/>
              <w:spacing w:before="210" w:line="168" w:lineRule="auto"/>
              <w:ind w:left="314"/>
            </w:pPr>
            <w:r>
              <w:t>4</w:t>
            </w:r>
          </w:p>
        </w:tc>
        <w:tc>
          <w:tcPr>
            <w:tcW w:w="2732" w:type="dxa"/>
            <w:gridSpan w:val="2"/>
            <w:vAlign w:val="top"/>
          </w:tcPr>
          <w:p w14:paraId="31BB09F1">
            <w:pPr>
              <w:pStyle w:val="10"/>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10"/>
              <w:spacing w:before="215" w:line="165" w:lineRule="auto"/>
              <w:ind w:left="325"/>
            </w:pPr>
            <w:r>
              <w:t>5</w:t>
            </w:r>
          </w:p>
        </w:tc>
        <w:tc>
          <w:tcPr>
            <w:tcW w:w="2732" w:type="dxa"/>
            <w:gridSpan w:val="2"/>
            <w:vAlign w:val="top"/>
          </w:tcPr>
          <w:p w14:paraId="3AC1BD82">
            <w:pPr>
              <w:pStyle w:val="10"/>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10"/>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10"/>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10"/>
              <w:spacing w:before="178" w:line="202" w:lineRule="auto"/>
              <w:ind w:left="145"/>
            </w:pPr>
            <w:r>
              <w:rPr>
                <w:spacing w:val="-5"/>
              </w:rPr>
              <w:t>序号</w:t>
            </w:r>
          </w:p>
        </w:tc>
        <w:tc>
          <w:tcPr>
            <w:tcW w:w="2732" w:type="dxa"/>
            <w:gridSpan w:val="2"/>
            <w:vAlign w:val="top"/>
          </w:tcPr>
          <w:p w14:paraId="1F791490">
            <w:pPr>
              <w:pStyle w:val="10"/>
              <w:spacing w:before="177" w:line="202" w:lineRule="auto"/>
              <w:ind w:left="436"/>
            </w:pPr>
            <w:r>
              <w:rPr>
                <w:spacing w:val="-3"/>
              </w:rPr>
              <w:t>关联关系类型</w:t>
            </w:r>
          </w:p>
        </w:tc>
        <w:tc>
          <w:tcPr>
            <w:tcW w:w="1286" w:type="dxa"/>
            <w:gridSpan w:val="2"/>
            <w:vAlign w:val="top"/>
          </w:tcPr>
          <w:p w14:paraId="21836B40">
            <w:pPr>
              <w:pStyle w:val="10"/>
              <w:spacing w:before="177" w:line="203" w:lineRule="auto"/>
              <w:ind w:left="166"/>
            </w:pPr>
            <w:r>
              <w:rPr>
                <w:spacing w:val="-3"/>
              </w:rPr>
              <w:t>关联主体名称</w:t>
            </w:r>
          </w:p>
        </w:tc>
        <w:tc>
          <w:tcPr>
            <w:tcW w:w="4187" w:type="dxa"/>
            <w:gridSpan w:val="3"/>
            <w:vAlign w:val="top"/>
          </w:tcPr>
          <w:p w14:paraId="71687DAA">
            <w:pPr>
              <w:pStyle w:val="10"/>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10"/>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10"/>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10"/>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10"/>
              <w:spacing w:before="251" w:line="168" w:lineRule="auto"/>
              <w:ind w:left="322"/>
            </w:pPr>
            <w:r>
              <w:t>2</w:t>
            </w:r>
          </w:p>
        </w:tc>
        <w:tc>
          <w:tcPr>
            <w:tcW w:w="2732" w:type="dxa"/>
            <w:gridSpan w:val="2"/>
            <w:vAlign w:val="top"/>
          </w:tcPr>
          <w:p w14:paraId="290EC4EA">
            <w:pPr>
              <w:pStyle w:val="10"/>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10"/>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10"/>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bidi w:val="0"/>
        <w:rPr>
          <w:rFonts w:hint="eastAsia"/>
          <w:b/>
          <w:bCs/>
          <w:sz w:val="40"/>
          <w:szCs w:val="48"/>
        </w:rPr>
      </w:pPr>
    </w:p>
    <w:p w14:paraId="52761A60">
      <w:pPr>
        <w:bidi w:val="0"/>
        <w:rPr>
          <w:rFonts w:hint="eastAsia"/>
          <w:b/>
          <w:bCs/>
          <w:sz w:val="40"/>
          <w:szCs w:val="48"/>
          <w:lang w:val="en-US" w:eastAsia="zh-CN"/>
        </w:rPr>
      </w:pPr>
      <w:r>
        <w:rPr>
          <w:rFonts w:hint="eastAsia"/>
          <w:b/>
          <w:bCs/>
          <w:sz w:val="40"/>
          <w:szCs w:val="48"/>
          <w:lang w:val="en-US" w:eastAsia="zh-CN"/>
        </w:rPr>
        <w:t>联系人：</w:t>
      </w:r>
    </w:p>
    <w:p w14:paraId="2BC9EC8D">
      <w:pPr>
        <w:bidi w:val="0"/>
        <w:rPr>
          <w:rFonts w:hint="default"/>
          <w:b/>
          <w:bCs/>
          <w:sz w:val="40"/>
          <w:szCs w:val="48"/>
          <w:lang w:val="en-US" w:eastAsia="zh-CN"/>
        </w:rPr>
      </w:pPr>
      <w:r>
        <w:rPr>
          <w:rFonts w:hint="eastAsia"/>
          <w:b/>
          <w:bCs/>
          <w:sz w:val="40"/>
          <w:szCs w:val="48"/>
          <w:lang w:val="en-US" w:eastAsia="zh-CN"/>
        </w:rPr>
        <w:t>联系人职务：</w:t>
      </w:r>
    </w:p>
    <w:p w14:paraId="4BF6E42B">
      <w:pPr>
        <w:bidi w:val="0"/>
        <w:rPr>
          <w:rFonts w:hint="default"/>
          <w:b/>
          <w:bCs/>
          <w:sz w:val="40"/>
          <w:szCs w:val="48"/>
          <w:lang w:val="en-US" w:eastAsia="zh-CN"/>
        </w:rPr>
      </w:pPr>
      <w:r>
        <w:rPr>
          <w:rFonts w:hint="eastAsia"/>
          <w:b/>
          <w:bCs/>
          <w:sz w:val="40"/>
          <w:szCs w:val="48"/>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15DD2BBB">
      <w:pPr>
        <w:widowControl w:val="0"/>
        <w:numPr>
          <w:ilvl w:val="0"/>
          <w:numId w:val="0"/>
        </w:numPr>
        <w:jc w:val="both"/>
        <w:rPr>
          <w:rFonts w:hint="default" w:ascii="宋体" w:hAnsi="宋体" w:cs="宋体"/>
          <w:color w:val="333333"/>
          <w:kern w:val="0"/>
          <w:sz w:val="24"/>
          <w:szCs w:val="24"/>
          <w:lang w:val="en-US" w:eastAsia="zh-CN"/>
        </w:rPr>
      </w:pPr>
    </w:p>
    <w:p w14:paraId="5BF11C87">
      <w:pPr>
        <w:widowControl w:val="0"/>
        <w:numPr>
          <w:ilvl w:val="0"/>
          <w:numId w:val="0"/>
        </w:numPr>
        <w:jc w:val="both"/>
        <w:rPr>
          <w:rFonts w:hint="default" w:ascii="宋体" w:hAnsi="宋体" w:cs="宋体"/>
          <w:color w:val="333333"/>
          <w:kern w:val="0"/>
          <w:sz w:val="24"/>
          <w:szCs w:val="24"/>
          <w:lang w:val="en-US" w:eastAsia="zh-CN"/>
        </w:rPr>
      </w:pPr>
    </w:p>
    <w:p w14:paraId="531B4F4E">
      <w:pPr>
        <w:widowControl w:val="0"/>
        <w:numPr>
          <w:ilvl w:val="0"/>
          <w:numId w:val="0"/>
        </w:numPr>
        <w:jc w:val="both"/>
        <w:rPr>
          <w:rFonts w:hint="default" w:ascii="宋体" w:hAnsi="宋体" w:cs="宋体"/>
          <w:color w:val="333333"/>
          <w:kern w:val="0"/>
          <w:sz w:val="24"/>
          <w:szCs w:val="24"/>
          <w:lang w:val="en-US" w:eastAsia="zh-CN"/>
        </w:rPr>
      </w:pPr>
    </w:p>
    <w:p w14:paraId="368B7065">
      <w:pPr>
        <w:widowControl w:val="0"/>
        <w:numPr>
          <w:ilvl w:val="0"/>
          <w:numId w:val="0"/>
        </w:numPr>
        <w:jc w:val="both"/>
        <w:rPr>
          <w:rFonts w:hint="default" w:ascii="宋体" w:hAnsi="宋体" w:cs="宋体"/>
          <w:color w:val="333333"/>
          <w:kern w:val="0"/>
          <w:sz w:val="24"/>
          <w:szCs w:val="24"/>
          <w:lang w:val="en-US" w:eastAsia="zh-CN"/>
        </w:rPr>
      </w:pPr>
    </w:p>
    <w:p w14:paraId="05C77A83">
      <w:pPr>
        <w:widowControl w:val="0"/>
        <w:numPr>
          <w:ilvl w:val="0"/>
          <w:numId w:val="0"/>
        </w:numPr>
        <w:jc w:val="both"/>
        <w:rPr>
          <w:rFonts w:hint="default" w:ascii="宋体" w:hAnsi="宋体" w:cs="宋体"/>
          <w:color w:val="333333"/>
          <w:kern w:val="0"/>
          <w:sz w:val="24"/>
          <w:szCs w:val="24"/>
          <w:lang w:val="en-US" w:eastAsia="zh-CN"/>
        </w:rPr>
      </w:pPr>
    </w:p>
    <w:p w14:paraId="42E4E785">
      <w:pPr>
        <w:pStyle w:val="3"/>
        <w:bidi w:val="0"/>
        <w:rPr>
          <w:rFonts w:hint="eastAsia"/>
        </w:rPr>
      </w:pPr>
      <w:r>
        <w:rPr>
          <w:rFonts w:hint="eastAsia"/>
          <w:lang w:val="en-US" w:eastAsia="zh-CN"/>
        </w:rPr>
        <w:t>六、</w:t>
      </w:r>
      <w:r>
        <w:rPr>
          <w:rFonts w:hint="eastAsia"/>
        </w:rPr>
        <w:t>技术条款偏离情况表（</w:t>
      </w:r>
      <w:r>
        <w:rPr>
          <w:rFonts w:hint="eastAsia"/>
          <w:lang w:val="en-US" w:eastAsia="zh-CN"/>
        </w:rPr>
        <w:t>技术</w:t>
      </w:r>
      <w:r>
        <w:rPr>
          <w:rFonts w:hint="eastAsia"/>
        </w:rPr>
        <w:t>条款均为实质性条款，有任何一条负偏离则导致无效投标）</w:t>
      </w:r>
      <w:r>
        <w:rPr>
          <w:rFonts w:hint="eastAsia"/>
          <w:color w:val="FF0000"/>
          <w:lang w:eastAsia="zh-CN"/>
        </w:rPr>
        <w:t>（</w:t>
      </w:r>
      <w:r>
        <w:rPr>
          <w:rFonts w:hint="eastAsia"/>
          <w:color w:val="FF0000"/>
          <w:lang w:val="en-US" w:eastAsia="zh-CN"/>
        </w:rPr>
        <w:t>加盖公章</w:t>
      </w:r>
      <w:r>
        <w:rPr>
          <w:rFonts w:hint="eastAsia"/>
          <w:color w:val="FF0000"/>
          <w:lang w:eastAsia="zh-CN"/>
        </w:rPr>
        <w:t>）</w:t>
      </w:r>
    </w:p>
    <w:tbl>
      <w:tblPr>
        <w:tblStyle w:val="7"/>
        <w:tblW w:w="53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31"/>
        <w:gridCol w:w="3920"/>
        <w:gridCol w:w="1674"/>
        <w:gridCol w:w="1579"/>
      </w:tblGrid>
      <w:tr w14:paraId="48DA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20" w:type="pct"/>
            <w:vAlign w:val="center"/>
          </w:tcPr>
          <w:p w14:paraId="3296DE05">
            <w:pPr>
              <w:jc w:val="left"/>
              <w:rPr>
                <w:b/>
                <w:bCs/>
                <w:kern w:val="0"/>
                <w:sz w:val="24"/>
                <w:szCs w:val="24"/>
              </w:rPr>
            </w:pPr>
            <w:r>
              <w:rPr>
                <w:rFonts w:hint="eastAsia"/>
                <w:b/>
                <w:bCs/>
                <w:kern w:val="0"/>
                <w:sz w:val="24"/>
                <w:szCs w:val="24"/>
              </w:rPr>
              <w:t>序号</w:t>
            </w:r>
          </w:p>
        </w:tc>
        <w:tc>
          <w:tcPr>
            <w:tcW w:w="624" w:type="pct"/>
            <w:vAlign w:val="center"/>
          </w:tcPr>
          <w:p w14:paraId="4820DDE8">
            <w:pPr>
              <w:jc w:val="left"/>
              <w:rPr>
                <w:rFonts w:hint="eastAsia" w:eastAsia="宋体"/>
                <w:b/>
                <w:bCs/>
                <w:kern w:val="0"/>
                <w:sz w:val="24"/>
                <w:szCs w:val="24"/>
                <w:lang w:val="en-US" w:eastAsia="zh-CN"/>
              </w:rPr>
            </w:pPr>
            <w:r>
              <w:rPr>
                <w:rFonts w:hint="eastAsia"/>
                <w:b/>
                <w:bCs/>
                <w:kern w:val="0"/>
                <w:sz w:val="24"/>
                <w:szCs w:val="24"/>
                <w:lang w:val="en-US" w:eastAsia="zh-CN"/>
              </w:rPr>
              <w:t>目录</w:t>
            </w:r>
          </w:p>
        </w:tc>
        <w:tc>
          <w:tcPr>
            <w:tcW w:w="3917" w:type="dxa"/>
            <w:vAlign w:val="center"/>
          </w:tcPr>
          <w:p w14:paraId="255AF1DE">
            <w:pPr>
              <w:jc w:val="center"/>
              <w:rPr>
                <w:b/>
                <w:bCs/>
                <w:kern w:val="0"/>
                <w:sz w:val="24"/>
                <w:szCs w:val="24"/>
              </w:rPr>
            </w:pPr>
            <w:r>
              <w:rPr>
                <w:rFonts w:hint="eastAsia" w:eastAsia="宋体"/>
                <w:b/>
                <w:bCs/>
                <w:kern w:val="0"/>
                <w:sz w:val="24"/>
                <w:szCs w:val="24"/>
                <w:lang w:val="en-US" w:eastAsia="zh-CN"/>
              </w:rPr>
              <w:t>招标技术条款</w:t>
            </w:r>
          </w:p>
        </w:tc>
        <w:tc>
          <w:tcPr>
            <w:tcW w:w="1675" w:type="dxa"/>
            <w:vAlign w:val="center"/>
          </w:tcPr>
          <w:p w14:paraId="219B29F8">
            <w:pPr>
              <w:jc w:val="left"/>
              <w:rPr>
                <w:rFonts w:hint="eastAsia"/>
                <w:b/>
                <w:bCs/>
                <w:kern w:val="0"/>
                <w:sz w:val="24"/>
                <w:szCs w:val="24"/>
              </w:rPr>
            </w:pPr>
            <w:r>
              <w:rPr>
                <w:rFonts w:hint="eastAsia"/>
                <w:b/>
                <w:bCs/>
                <w:kern w:val="0"/>
                <w:sz w:val="24"/>
                <w:szCs w:val="24"/>
              </w:rPr>
              <w:t>投标</w:t>
            </w:r>
            <w:r>
              <w:rPr>
                <w:rFonts w:hint="eastAsia"/>
                <w:b/>
                <w:bCs/>
                <w:kern w:val="0"/>
                <w:sz w:val="24"/>
                <w:szCs w:val="24"/>
                <w:lang w:val="en-US" w:eastAsia="zh-CN"/>
              </w:rPr>
              <w:t>技术</w:t>
            </w:r>
            <w:r>
              <w:rPr>
                <w:rFonts w:hint="eastAsia"/>
                <w:b/>
                <w:bCs/>
                <w:kern w:val="0"/>
                <w:sz w:val="24"/>
                <w:szCs w:val="24"/>
              </w:rPr>
              <w:t>条款</w:t>
            </w:r>
          </w:p>
        </w:tc>
        <w:tc>
          <w:tcPr>
            <w:tcW w:w="1580" w:type="dxa"/>
            <w:vAlign w:val="center"/>
          </w:tcPr>
          <w:p w14:paraId="2CD885CD">
            <w:pPr>
              <w:jc w:val="left"/>
              <w:rPr>
                <w:rFonts w:hint="eastAsia"/>
                <w:b/>
                <w:bCs/>
                <w:kern w:val="0"/>
                <w:sz w:val="24"/>
                <w:szCs w:val="24"/>
              </w:rPr>
            </w:pPr>
            <w:r>
              <w:rPr>
                <w:rFonts w:hint="eastAsia"/>
                <w:b/>
                <w:bCs/>
                <w:kern w:val="0"/>
                <w:sz w:val="24"/>
                <w:szCs w:val="24"/>
              </w:rPr>
              <w:t>偏离情况</w:t>
            </w:r>
          </w:p>
        </w:tc>
      </w:tr>
      <w:tr w14:paraId="16C5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420" w:type="pct"/>
            <w:vMerge w:val="restart"/>
            <w:vAlign w:val="center"/>
          </w:tcPr>
          <w:p w14:paraId="576F6D84">
            <w:pPr>
              <w:spacing w:line="360" w:lineRule="auto"/>
              <w:jc w:val="center"/>
              <w:rPr>
                <w:rFonts w:hint="eastAsia" w:ascii="仿宋" w:hAnsi="仿宋" w:eastAsia="仿宋" w:cs="仿宋"/>
                <w:bCs/>
                <w:kern w:val="0"/>
                <w:sz w:val="24"/>
                <w:szCs w:val="24"/>
                <w:lang w:val="en-US" w:eastAsia="zh-CN"/>
              </w:rPr>
            </w:pPr>
            <w:r>
              <w:rPr>
                <w:rFonts w:hint="eastAsia" w:ascii="宋体" w:hAnsi="宋体" w:cs="宋体"/>
                <w:i w:val="0"/>
                <w:iCs w:val="0"/>
                <w:color w:val="000000"/>
                <w:kern w:val="0"/>
                <w:sz w:val="22"/>
                <w:szCs w:val="22"/>
                <w:u w:val="none"/>
                <w:lang w:val="en-US" w:eastAsia="zh-CN" w:bidi="ar"/>
              </w:rPr>
              <w:t>1</w:t>
            </w:r>
          </w:p>
        </w:tc>
        <w:tc>
          <w:tcPr>
            <w:tcW w:w="624" w:type="pct"/>
            <w:vMerge w:val="restart"/>
            <w:vAlign w:val="center"/>
          </w:tcPr>
          <w:p w14:paraId="626DFBD7">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服务要求</w:t>
            </w:r>
          </w:p>
        </w:tc>
        <w:tc>
          <w:tcPr>
            <w:tcW w:w="3917" w:type="dxa"/>
            <w:vAlign w:val="center"/>
          </w:tcPr>
          <w:p w14:paraId="19011B13">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本项目需搬运范围和内容如下：</w:t>
            </w:r>
          </w:p>
          <w:p w14:paraId="25C1516B">
            <w:pPr>
              <w:keepNext w:val="0"/>
              <w:keepLines w:val="0"/>
              <w:widowControl/>
              <w:numPr>
                <w:ilvl w:val="-1"/>
                <w:numId w:val="0"/>
              </w:numPr>
              <w:suppressLineNumbers w:val="0"/>
              <w:ind w:left="0" w:leftChars="0" w:firstLine="0" w:firstLineChars="0"/>
              <w:jc w:val="left"/>
              <w:textAlignment w:val="center"/>
              <w:rPr>
                <w:rFonts w:hint="eastAsia"/>
                <w:b w:val="0"/>
                <w:bCs/>
                <w:kern w:val="0"/>
                <w:sz w:val="20"/>
                <w:szCs w:val="21"/>
                <w:lang w:val="en-US" w:eastAsia="zh-CN"/>
              </w:rPr>
            </w:pPr>
            <w:r>
              <w:rPr>
                <w:rFonts w:hint="eastAsia" w:ascii="宋体" w:hAnsi="宋体" w:eastAsia="宋体" w:cs="宋体"/>
                <w:i w:val="0"/>
                <w:iCs w:val="0"/>
                <w:color w:val="000000"/>
                <w:kern w:val="0"/>
                <w:sz w:val="24"/>
                <w:szCs w:val="24"/>
                <w:u w:val="none"/>
                <w:lang w:val="en-US" w:eastAsia="zh-CN" w:bidi="ar"/>
              </w:rPr>
              <w:t>（1）需包含搬运的内容为：</w:t>
            </w:r>
            <w:r>
              <w:rPr>
                <w:rFonts w:hint="eastAsia" w:ascii="宋体" w:hAnsi="宋体" w:eastAsia="宋体" w:cs="宋体"/>
                <w:b/>
                <w:bCs/>
                <w:i w:val="0"/>
                <w:iCs w:val="0"/>
                <w:color w:val="000000"/>
                <w:kern w:val="0"/>
                <w:sz w:val="24"/>
                <w:szCs w:val="24"/>
                <w:u w:val="none"/>
                <w:lang w:val="en-US" w:eastAsia="zh-CN" w:bidi="ar"/>
              </w:rPr>
              <w:t>附件1：货物清单</w:t>
            </w:r>
            <w:r>
              <w:rPr>
                <w:rFonts w:hint="eastAsia" w:ascii="宋体" w:hAnsi="宋体" w:eastAsia="宋体" w:cs="宋体"/>
                <w:i w:val="0"/>
                <w:iCs w:val="0"/>
                <w:color w:val="000000"/>
                <w:kern w:val="0"/>
                <w:sz w:val="24"/>
                <w:szCs w:val="24"/>
                <w:u w:val="none"/>
                <w:lang w:val="en-US" w:eastAsia="zh-CN" w:bidi="ar"/>
              </w:rPr>
              <w:t>内容、各类办公与实验家具用具、货架、办公信息设备等可动产的打包、搬运、归置、安装、调试；样品、试药试剂（含有毒有害物质）、各类在用及库存的玻璃器皿、配件等实验耗材及中药标本等物资的包装、装箱、搬运、归置等；各类图书等文书档案资料的搬运、归置；个人物品等其他物资的迁移。具体数量以实际搬运前盘点以及搬运过程中发生为准。</w:t>
            </w:r>
          </w:p>
        </w:tc>
        <w:tc>
          <w:tcPr>
            <w:tcW w:w="923" w:type="pct"/>
            <w:vAlign w:val="center"/>
          </w:tcPr>
          <w:p w14:paraId="262238DC">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871" w:type="pct"/>
            <w:vAlign w:val="center"/>
          </w:tcPr>
          <w:p w14:paraId="7AD694E2">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5DE8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420" w:type="pct"/>
            <w:vMerge w:val="continue"/>
            <w:vAlign w:val="center"/>
          </w:tcPr>
          <w:p w14:paraId="185221D6">
            <w:pPr>
              <w:spacing w:line="360" w:lineRule="auto"/>
              <w:jc w:val="center"/>
              <w:rPr>
                <w:rFonts w:hint="eastAsia" w:ascii="仿宋" w:hAnsi="仿宋" w:eastAsia="仿宋" w:cs="仿宋"/>
                <w:bCs/>
                <w:kern w:val="0"/>
                <w:sz w:val="24"/>
                <w:szCs w:val="24"/>
                <w:lang w:val="en-US" w:eastAsia="zh-CN"/>
              </w:rPr>
            </w:pPr>
          </w:p>
        </w:tc>
        <w:tc>
          <w:tcPr>
            <w:tcW w:w="624" w:type="pct"/>
            <w:vMerge w:val="continue"/>
            <w:vAlign w:val="center"/>
          </w:tcPr>
          <w:p w14:paraId="0269DE4F">
            <w:pPr>
              <w:spacing w:line="360" w:lineRule="auto"/>
              <w:jc w:val="center"/>
              <w:rPr>
                <w:rFonts w:hint="eastAsia" w:ascii="仿宋" w:hAnsi="仿宋" w:eastAsia="仿宋" w:cs="仿宋"/>
                <w:bCs/>
                <w:kern w:val="0"/>
                <w:sz w:val="24"/>
                <w:szCs w:val="24"/>
                <w:lang w:val="en-US" w:eastAsia="zh-CN"/>
              </w:rPr>
            </w:pPr>
          </w:p>
        </w:tc>
        <w:tc>
          <w:tcPr>
            <w:tcW w:w="3917" w:type="dxa"/>
            <w:vAlign w:val="center"/>
          </w:tcPr>
          <w:p w14:paraId="18544453">
            <w:pPr>
              <w:keepNext w:val="0"/>
              <w:keepLines w:val="0"/>
              <w:widowControl/>
              <w:suppressLineNumbers w:val="0"/>
              <w:jc w:val="left"/>
              <w:textAlignment w:val="center"/>
              <w:rPr>
                <w:rFonts w:hint="eastAsia"/>
                <w:b w:val="0"/>
                <w:bCs/>
                <w:kern w:val="0"/>
                <w:sz w:val="20"/>
                <w:szCs w:val="21"/>
                <w:lang w:val="en-US" w:eastAsia="zh-CN"/>
              </w:rPr>
            </w:pPr>
            <w:r>
              <w:rPr>
                <w:rFonts w:hint="eastAsia" w:ascii="宋体" w:hAnsi="宋体" w:eastAsia="宋体" w:cs="宋体"/>
                <w:i w:val="0"/>
                <w:iCs w:val="0"/>
                <w:color w:val="000000"/>
                <w:kern w:val="0"/>
                <w:sz w:val="24"/>
                <w:szCs w:val="24"/>
                <w:u w:val="none"/>
                <w:lang w:val="en-US" w:eastAsia="zh-CN" w:bidi="ar"/>
              </w:rPr>
              <w:t>（2）原址内整体搬运、安装、调试。搬运前后资产的清查鉴定、管理等相关的全部服务工作。完成本项目所需的一切费用均计入报价，采购人不再另行支付中标价以外的其他款项。</w:t>
            </w:r>
          </w:p>
        </w:tc>
        <w:tc>
          <w:tcPr>
            <w:tcW w:w="923" w:type="pct"/>
            <w:vAlign w:val="center"/>
          </w:tcPr>
          <w:p w14:paraId="78B182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71" w:type="pct"/>
            <w:vAlign w:val="center"/>
          </w:tcPr>
          <w:p w14:paraId="5CF22D0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464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420" w:type="pct"/>
            <w:vMerge w:val="continue"/>
            <w:vAlign w:val="center"/>
          </w:tcPr>
          <w:p w14:paraId="246A70EC">
            <w:pPr>
              <w:spacing w:line="360" w:lineRule="auto"/>
              <w:jc w:val="center"/>
              <w:rPr>
                <w:rFonts w:hint="eastAsia" w:ascii="仿宋" w:hAnsi="仿宋" w:eastAsia="仿宋" w:cs="仿宋"/>
                <w:bCs/>
                <w:kern w:val="0"/>
                <w:sz w:val="24"/>
                <w:szCs w:val="24"/>
                <w:lang w:val="en-US" w:eastAsia="zh-CN"/>
              </w:rPr>
            </w:pPr>
          </w:p>
        </w:tc>
        <w:tc>
          <w:tcPr>
            <w:tcW w:w="624" w:type="pct"/>
            <w:vMerge w:val="continue"/>
            <w:vAlign w:val="center"/>
          </w:tcPr>
          <w:p w14:paraId="2B28E923">
            <w:pPr>
              <w:spacing w:line="360" w:lineRule="auto"/>
              <w:jc w:val="center"/>
              <w:rPr>
                <w:rFonts w:hint="eastAsia" w:ascii="仿宋" w:hAnsi="仿宋" w:eastAsia="仿宋" w:cs="仿宋"/>
                <w:bCs/>
                <w:kern w:val="0"/>
                <w:sz w:val="24"/>
                <w:szCs w:val="24"/>
                <w:lang w:val="en-US" w:eastAsia="zh-CN"/>
              </w:rPr>
            </w:pPr>
          </w:p>
        </w:tc>
        <w:tc>
          <w:tcPr>
            <w:tcW w:w="3917" w:type="dxa"/>
            <w:vAlign w:val="center"/>
          </w:tcPr>
          <w:p w14:paraId="5191E892">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现场管理：</w:t>
            </w:r>
          </w:p>
          <w:p w14:paraId="741FE742">
            <w:pPr>
              <w:keepNext w:val="0"/>
              <w:keepLines w:val="0"/>
              <w:widowControl/>
              <w:numPr>
                <w:ilvl w:val="-1"/>
                <w:numId w:val="0"/>
              </w:numPr>
              <w:suppressLineNumbers w:val="0"/>
              <w:ind w:left="0" w:leftChars="0" w:firstLine="0" w:firstLineChars="0"/>
              <w:jc w:val="left"/>
              <w:textAlignment w:val="center"/>
              <w:rPr>
                <w:rFonts w:hint="eastAsia"/>
                <w:b w:val="0"/>
                <w:bCs/>
                <w:kern w:val="0"/>
                <w:sz w:val="20"/>
                <w:szCs w:val="21"/>
                <w:lang w:val="en-US" w:eastAsia="zh-CN"/>
              </w:rPr>
            </w:pPr>
            <w:r>
              <w:rPr>
                <w:rFonts w:hint="eastAsia" w:ascii="宋体" w:hAnsi="宋体" w:eastAsia="宋体" w:cs="宋体"/>
                <w:i w:val="0"/>
                <w:iCs w:val="0"/>
                <w:color w:val="000000"/>
                <w:kern w:val="0"/>
                <w:sz w:val="24"/>
                <w:szCs w:val="24"/>
                <w:u w:val="none"/>
                <w:lang w:val="en-US" w:eastAsia="zh-CN" w:bidi="ar"/>
              </w:rPr>
              <w:t>（1）中标人在搬运过程中，须服从采购人防疫、安防、消防及交通等管理要求。</w:t>
            </w:r>
          </w:p>
        </w:tc>
        <w:tc>
          <w:tcPr>
            <w:tcW w:w="923" w:type="pct"/>
            <w:vAlign w:val="center"/>
          </w:tcPr>
          <w:p w14:paraId="5965CB47">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871" w:type="pct"/>
            <w:vAlign w:val="center"/>
          </w:tcPr>
          <w:p w14:paraId="4F94CF43">
            <w:pPr>
              <w:keepNext w:val="0"/>
              <w:keepLines w:val="0"/>
              <w:widowControl/>
              <w:numPr>
                <w:ilvl w:val="-1"/>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0B61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420" w:type="pct"/>
            <w:vMerge w:val="continue"/>
            <w:vAlign w:val="center"/>
          </w:tcPr>
          <w:p w14:paraId="312CFADC">
            <w:pPr>
              <w:spacing w:line="360" w:lineRule="auto"/>
              <w:jc w:val="center"/>
              <w:rPr>
                <w:rFonts w:hint="eastAsia" w:ascii="仿宋" w:hAnsi="仿宋" w:eastAsia="仿宋" w:cs="仿宋"/>
                <w:bCs/>
                <w:kern w:val="0"/>
                <w:sz w:val="24"/>
                <w:szCs w:val="24"/>
                <w:lang w:val="en-US" w:eastAsia="zh-CN"/>
              </w:rPr>
            </w:pPr>
          </w:p>
        </w:tc>
        <w:tc>
          <w:tcPr>
            <w:tcW w:w="624" w:type="pct"/>
            <w:vMerge w:val="continue"/>
            <w:vAlign w:val="center"/>
          </w:tcPr>
          <w:p w14:paraId="6907E218">
            <w:pPr>
              <w:spacing w:line="360" w:lineRule="auto"/>
              <w:jc w:val="center"/>
              <w:rPr>
                <w:rFonts w:hint="eastAsia" w:ascii="仿宋" w:hAnsi="仿宋" w:eastAsia="仿宋" w:cs="仿宋"/>
                <w:bCs/>
                <w:kern w:val="0"/>
                <w:sz w:val="24"/>
                <w:szCs w:val="24"/>
                <w:lang w:val="en-US" w:eastAsia="zh-CN"/>
              </w:rPr>
            </w:pPr>
          </w:p>
        </w:tc>
        <w:tc>
          <w:tcPr>
            <w:tcW w:w="3917" w:type="dxa"/>
            <w:vAlign w:val="center"/>
          </w:tcPr>
          <w:p w14:paraId="3DAE9365">
            <w:pPr>
              <w:keepNext w:val="0"/>
              <w:keepLines w:val="0"/>
              <w:widowControl/>
              <w:suppressLineNumbers w:val="0"/>
              <w:jc w:val="left"/>
              <w:textAlignment w:val="center"/>
              <w:rPr>
                <w:rFonts w:hint="eastAsia"/>
                <w:b w:val="0"/>
                <w:bCs/>
                <w:kern w:val="0"/>
                <w:sz w:val="20"/>
                <w:szCs w:val="21"/>
                <w:lang w:val="en-US" w:eastAsia="zh-CN"/>
              </w:rPr>
            </w:pPr>
            <w:r>
              <w:rPr>
                <w:rFonts w:hint="eastAsia" w:ascii="宋体" w:hAnsi="宋体" w:eastAsia="宋体" w:cs="宋体"/>
                <w:i w:val="0"/>
                <w:iCs w:val="0"/>
                <w:color w:val="000000"/>
                <w:kern w:val="0"/>
                <w:sz w:val="24"/>
                <w:szCs w:val="24"/>
                <w:u w:val="none"/>
                <w:lang w:val="en-US" w:eastAsia="zh-CN" w:bidi="ar"/>
              </w:rPr>
              <w:t>（2）中标人须确保所派遣的相关工作人员只在指定项目实施场地活动，不得进入其它楼层正常办公区域，不对正常办公区域进行干扰，中标人需对项目工作人员建立明确规范的指引与说明。</w:t>
            </w:r>
          </w:p>
        </w:tc>
        <w:tc>
          <w:tcPr>
            <w:tcW w:w="923" w:type="pct"/>
            <w:vAlign w:val="center"/>
          </w:tcPr>
          <w:p w14:paraId="48E900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71" w:type="pct"/>
            <w:vAlign w:val="center"/>
          </w:tcPr>
          <w:p w14:paraId="324FE0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7BC7956F">
      <w:pPr>
        <w:rPr>
          <w:b/>
          <w:bCs/>
          <w:sz w:val="24"/>
        </w:rPr>
      </w:pPr>
      <w:r>
        <w:rPr>
          <w:rFonts w:hint="eastAsia" w:ascii="宋体" w:hAnsi="宋体" w:cs="宋体"/>
          <w:color w:val="333333"/>
          <w:kern w:val="0"/>
          <w:sz w:val="24"/>
          <w:szCs w:val="24"/>
          <w:lang w:val="en-US" w:eastAsia="zh-CN"/>
        </w:rPr>
        <w:t>注：</w:t>
      </w:r>
      <w:r>
        <w:rPr>
          <w:rFonts w:hint="eastAsia" w:ascii="宋体" w:hAnsi="宋体" w:cs="宋体"/>
          <w:b/>
          <w:bCs/>
          <w:color w:val="333333"/>
          <w:kern w:val="0"/>
          <w:sz w:val="24"/>
          <w:szCs w:val="24"/>
          <w:lang w:val="en-US" w:eastAsia="zh-CN"/>
        </w:rPr>
        <w:t>1</w:t>
      </w:r>
      <w:r>
        <w:rPr>
          <w:rFonts w:hint="eastAsia"/>
          <w:b/>
          <w:bCs/>
          <w:sz w:val="24"/>
        </w:rPr>
        <w:t>、“投标</w:t>
      </w:r>
      <w:r>
        <w:rPr>
          <w:rFonts w:hint="eastAsia"/>
          <w:b/>
          <w:bCs/>
          <w:sz w:val="24"/>
          <w:lang w:val="en-US" w:eastAsia="zh-CN"/>
        </w:rPr>
        <w:t>技术条款</w:t>
      </w:r>
      <w:r>
        <w:rPr>
          <w:rFonts w:hint="eastAsia"/>
          <w:b/>
          <w:bCs/>
          <w:sz w:val="24"/>
        </w:rPr>
        <w:t>”一栏必须一一对照“招标技术</w:t>
      </w:r>
      <w:r>
        <w:rPr>
          <w:rFonts w:hint="eastAsia"/>
          <w:b/>
          <w:bCs/>
          <w:sz w:val="24"/>
          <w:lang w:val="en-US" w:eastAsia="zh-CN"/>
        </w:rPr>
        <w:t>条款</w:t>
      </w:r>
      <w:r>
        <w:rPr>
          <w:rFonts w:hint="eastAsia"/>
          <w:b/>
          <w:bCs/>
          <w:sz w:val="24"/>
        </w:rPr>
        <w:t>”，详细填写投标人具体响应情况。</w:t>
      </w:r>
    </w:p>
    <w:p w14:paraId="24D307A4">
      <w:pPr>
        <w:rPr>
          <w:b/>
          <w:sz w:val="24"/>
        </w:rPr>
      </w:pPr>
      <w:r>
        <w:rPr>
          <w:rFonts w:hint="eastAsia"/>
          <w:b/>
          <w:bCs/>
          <w:sz w:val="24"/>
          <w:lang w:val="en-US" w:eastAsia="zh-CN"/>
        </w:rPr>
        <w:t>2</w:t>
      </w:r>
      <w:r>
        <w:rPr>
          <w:rFonts w:hint="eastAsia"/>
          <w:b/>
          <w:bCs/>
          <w:sz w:val="24"/>
        </w:rPr>
        <w:t>、</w:t>
      </w:r>
      <w:bookmarkStart w:id="2" w:name="_Hlk72158270"/>
      <w:r>
        <w:rPr>
          <w:rFonts w:hint="eastAsia"/>
          <w:b/>
          <w:bCs/>
          <w:sz w:val="24"/>
        </w:rPr>
        <w:t>“偏离情况”</w:t>
      </w:r>
      <w:bookmarkEnd w:id="2"/>
      <w:r>
        <w:rPr>
          <w:rFonts w:hint="eastAsia"/>
          <w:b/>
          <w:bCs/>
          <w:sz w:val="24"/>
        </w:rPr>
        <w:t>一栏如实填写“正偏离”、“负偏离”或“无偏离”，其中：</w:t>
      </w:r>
      <w:bookmarkStart w:id="3" w:name="_Hlk72093866"/>
      <w:r>
        <w:rPr>
          <w:rFonts w:hint="eastAsia"/>
          <w:b/>
          <w:bCs/>
          <w:sz w:val="24"/>
        </w:rPr>
        <w:t>“正偏离”表示</w:t>
      </w:r>
      <w:r>
        <w:rPr>
          <w:rFonts w:hint="eastAsia"/>
          <w:b/>
          <w:sz w:val="24"/>
        </w:rPr>
        <w:t>“投标响应优于招标技术要求”，“负偏离”表示“投标响应不满足招标技术要求”，“无偏离”表示“投标响应与招标技术要求一致”</w:t>
      </w:r>
      <w:bookmarkEnd w:id="3"/>
      <w:r>
        <w:rPr>
          <w:rFonts w:hint="eastAsia"/>
          <w:b/>
          <w:sz w:val="24"/>
        </w:rPr>
        <w:t>。“投标技术</w:t>
      </w:r>
      <w:r>
        <w:rPr>
          <w:rFonts w:hint="eastAsia"/>
          <w:b/>
          <w:sz w:val="24"/>
          <w:lang w:val="en-US" w:eastAsia="zh-CN"/>
        </w:rPr>
        <w:t>条款</w:t>
      </w:r>
      <w:r>
        <w:rPr>
          <w:rFonts w:hint="eastAsia"/>
          <w:b/>
          <w:sz w:val="24"/>
        </w:rPr>
        <w:t>”对比“招标技术要求”存在响应不全（包括未响应整项招标技术要求或者未响应一项招标技术要求的部分内容），均视为“负偏离”。</w:t>
      </w:r>
    </w:p>
    <w:p w14:paraId="12A61B1E">
      <w:pPr>
        <w:rPr>
          <w:rFonts w:hint="default" w:ascii="宋体" w:hAnsi="宋体" w:cs="宋体"/>
          <w:color w:val="333333"/>
          <w:kern w:val="0"/>
          <w:sz w:val="24"/>
          <w:szCs w:val="24"/>
          <w:lang w:val="en-US" w:eastAsia="zh-CN"/>
        </w:rPr>
      </w:pPr>
    </w:p>
    <w:p w14:paraId="6E905BAE">
      <w:pPr>
        <w:pStyle w:val="3"/>
        <w:bidi w:val="0"/>
        <w:rPr>
          <w:rFonts w:hint="eastAsia"/>
          <w:lang w:val="en-US" w:eastAsia="zh-CN"/>
        </w:rPr>
      </w:pPr>
      <w:r>
        <w:rPr>
          <w:rFonts w:hint="eastAsia"/>
          <w:lang w:val="en-US" w:eastAsia="zh-CN"/>
        </w:rPr>
        <w:t>七、</w:t>
      </w:r>
      <w:r>
        <w:rPr>
          <w:rFonts w:hint="eastAsia"/>
        </w:rPr>
        <w:t>商务条款偏离情况表</w:t>
      </w:r>
      <w:r>
        <w:rPr>
          <w:rFonts w:hint="eastAsia"/>
          <w:lang w:eastAsia="zh-CN"/>
        </w:rPr>
        <w:t>（</w:t>
      </w:r>
      <w:r>
        <w:rPr>
          <w:rFonts w:hint="eastAsia"/>
        </w:rPr>
        <w:t>商务条款</w:t>
      </w:r>
      <w:r>
        <w:rPr>
          <w:rFonts w:hint="eastAsia"/>
          <w:lang w:val="en-US" w:eastAsia="zh-CN"/>
        </w:rPr>
        <w:t>均</w:t>
      </w:r>
      <w:r>
        <w:rPr>
          <w:rFonts w:hint="eastAsia"/>
          <w:lang w:eastAsia="zh-CN"/>
        </w:rPr>
        <w:t>为实质性条款，有任何一条负偏离则导致无效投标）</w:t>
      </w:r>
      <w:r>
        <w:rPr>
          <w:rFonts w:hint="eastAsia"/>
          <w:color w:val="FF0000"/>
          <w:lang w:eastAsia="zh-CN"/>
        </w:rPr>
        <w:t>（</w:t>
      </w:r>
      <w:r>
        <w:rPr>
          <w:rFonts w:hint="eastAsia"/>
          <w:color w:val="FF0000"/>
          <w:lang w:val="en-US" w:eastAsia="zh-CN"/>
        </w:rPr>
        <w:t>加盖公章</w:t>
      </w:r>
      <w:r>
        <w:rPr>
          <w:rFonts w:hint="eastAsia"/>
          <w:color w:val="FF0000"/>
          <w:lang w:eastAsia="zh-CN"/>
        </w:rPr>
        <w:t>）</w:t>
      </w:r>
    </w:p>
    <w:tbl>
      <w:tblPr>
        <w:tblStyle w:val="7"/>
        <w:tblW w:w="54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930"/>
        <w:gridCol w:w="3165"/>
        <w:gridCol w:w="2287"/>
        <w:gridCol w:w="1858"/>
      </w:tblGrid>
      <w:tr w14:paraId="5CAC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EF85F2D">
            <w:pPr>
              <w:rPr>
                <w:rFonts w:hint="eastAsia" w:ascii="宋体" w:hAnsi="宋体" w:eastAsia="宋体" w:cs="宋体"/>
                <w:b/>
                <w:bCs/>
                <w:i w:val="0"/>
                <w:iCs w:val="0"/>
                <w:color w:val="000000"/>
                <w:kern w:val="0"/>
                <w:sz w:val="22"/>
                <w:szCs w:val="22"/>
                <w:u w:val="none"/>
                <w:lang w:val="en-US" w:eastAsia="zh-CN" w:bidi="ar"/>
              </w:rPr>
            </w:pPr>
            <w:r>
              <w:rPr>
                <w:rFonts w:hint="eastAsia"/>
                <w:b/>
                <w:bCs/>
                <w:kern w:val="0"/>
                <w:sz w:val="24"/>
                <w:szCs w:val="24"/>
              </w:rPr>
              <w:t>序号</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9F87BF5">
            <w:pPr>
              <w:rPr>
                <w:rFonts w:hint="eastAsia" w:ascii="宋体" w:hAnsi="宋体" w:eastAsia="宋体" w:cs="宋体"/>
                <w:b/>
                <w:bCs/>
                <w:i w:val="0"/>
                <w:iCs w:val="0"/>
                <w:color w:val="000000"/>
                <w:kern w:val="0"/>
                <w:sz w:val="22"/>
                <w:szCs w:val="22"/>
                <w:u w:val="none"/>
                <w:lang w:val="en-US" w:eastAsia="zh-CN" w:bidi="ar"/>
              </w:rPr>
            </w:pPr>
            <w:r>
              <w:rPr>
                <w:rFonts w:hint="eastAsia"/>
                <w:b/>
                <w:bCs/>
                <w:kern w:val="0"/>
                <w:sz w:val="24"/>
                <w:szCs w:val="24"/>
                <w:lang w:val="en-US" w:eastAsia="zh-CN"/>
              </w:rPr>
              <w:t>目录</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10557B8">
            <w:pPr>
              <w:jc w:val="center"/>
              <w:rPr>
                <w:rFonts w:hint="eastAsia" w:ascii="宋体" w:hAnsi="宋体" w:eastAsia="宋体" w:cs="宋体"/>
                <w:b/>
                <w:bCs/>
                <w:i w:val="0"/>
                <w:iCs w:val="0"/>
                <w:color w:val="000000"/>
                <w:kern w:val="0"/>
                <w:sz w:val="22"/>
                <w:szCs w:val="22"/>
                <w:u w:val="none"/>
                <w:lang w:val="en-US" w:eastAsia="zh-CN" w:bidi="ar"/>
              </w:rPr>
            </w:pPr>
            <w:r>
              <w:rPr>
                <w:rFonts w:hint="eastAsia"/>
                <w:b/>
                <w:bCs/>
                <w:kern w:val="0"/>
                <w:sz w:val="24"/>
                <w:szCs w:val="24"/>
              </w:rPr>
              <w:t>招标</w:t>
            </w:r>
            <w:r>
              <w:rPr>
                <w:rFonts w:hint="eastAsia"/>
                <w:b/>
                <w:bCs/>
                <w:kern w:val="0"/>
                <w:sz w:val="24"/>
                <w:szCs w:val="24"/>
                <w:lang w:val="en-US" w:eastAsia="zh-CN"/>
              </w:rPr>
              <w:t>商务</w:t>
            </w:r>
            <w:r>
              <w:rPr>
                <w:rFonts w:hint="eastAsia"/>
                <w:b/>
                <w:bCs/>
                <w:kern w:val="0"/>
                <w:sz w:val="24"/>
                <w:szCs w:val="24"/>
              </w:rPr>
              <w:t>条款</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273EFD03">
            <w:pPr>
              <w:jc w:val="left"/>
              <w:rPr>
                <w:rFonts w:hint="eastAsia"/>
                <w:b/>
                <w:bCs/>
                <w:kern w:val="0"/>
                <w:sz w:val="24"/>
                <w:szCs w:val="24"/>
              </w:rPr>
            </w:pPr>
            <w:r>
              <w:rPr>
                <w:rFonts w:hint="eastAsia"/>
                <w:b/>
                <w:bCs/>
                <w:kern w:val="0"/>
                <w:sz w:val="24"/>
                <w:szCs w:val="24"/>
              </w:rPr>
              <w:t>投标商务条款</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3686C9F">
            <w:pPr>
              <w:jc w:val="left"/>
              <w:rPr>
                <w:rFonts w:hint="eastAsia"/>
                <w:kern w:val="0"/>
                <w:sz w:val="24"/>
                <w:szCs w:val="24"/>
              </w:rPr>
            </w:pPr>
            <w:r>
              <w:rPr>
                <w:rFonts w:hint="eastAsia"/>
                <w:b/>
                <w:bCs/>
                <w:kern w:val="0"/>
                <w:sz w:val="24"/>
                <w:szCs w:val="24"/>
              </w:rPr>
              <w:t>偏离情况</w:t>
            </w:r>
          </w:p>
        </w:tc>
      </w:tr>
      <w:tr w14:paraId="303C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noWrap w:val="0"/>
            <w:vAlign w:val="top"/>
          </w:tcPr>
          <w:p w14:paraId="62D8E8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930" w:type="dxa"/>
            <w:tcBorders>
              <w:top w:val="single" w:color="000000" w:sz="4" w:space="0"/>
              <w:left w:val="single" w:color="000000" w:sz="4" w:space="0"/>
              <w:bottom w:val="single" w:color="000000" w:sz="4" w:space="0"/>
              <w:right w:val="single" w:color="000000" w:sz="4" w:space="0"/>
            </w:tcBorders>
            <w:noWrap w:val="0"/>
            <w:vAlign w:val="top"/>
          </w:tcPr>
          <w:p w14:paraId="125901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项目服务期限</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1719F4E">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接到采购人正式通知之日起，货物清单品目拆卸</w:t>
            </w:r>
            <w:r>
              <w:rPr>
                <w:rFonts w:hint="eastAsia" w:ascii="宋体" w:hAnsi="宋体" w:eastAsia="宋体" w:cs="宋体"/>
                <w:szCs w:val="21"/>
              </w:rPr>
              <w:t>、包装</w:t>
            </w:r>
            <w:r>
              <w:rPr>
                <w:rFonts w:hint="eastAsia" w:ascii="宋体" w:hAnsi="宋体" w:eastAsia="宋体" w:cs="宋体"/>
                <w:i w:val="0"/>
                <w:iCs w:val="0"/>
                <w:color w:val="000000"/>
                <w:kern w:val="0"/>
                <w:sz w:val="22"/>
                <w:szCs w:val="22"/>
                <w:u w:val="none"/>
                <w:lang w:val="en-US" w:eastAsia="zh-CN" w:bidi="ar"/>
              </w:rPr>
              <w:t>到搬运安装完成及所有搬运物资到位不超过10天（含），不可抗力因素除外。</w:t>
            </w:r>
            <w:bookmarkStart w:id="4" w:name="_GoBack"/>
            <w:bookmarkEnd w:id="4"/>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078A8F2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568EE5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88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restart"/>
            <w:tcBorders>
              <w:top w:val="single" w:color="000000" w:sz="4" w:space="0"/>
              <w:left w:val="single" w:color="000000" w:sz="4" w:space="0"/>
              <w:bottom w:val="single" w:color="000000" w:sz="4" w:space="0"/>
              <w:right w:val="single" w:color="000000" w:sz="4" w:space="0"/>
            </w:tcBorders>
            <w:noWrap w:val="0"/>
            <w:vAlign w:val="top"/>
          </w:tcPr>
          <w:p w14:paraId="1621CF3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4BEF02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项目地点</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DA67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1.原址：中山大学深圳校区医学院、中山大学社康2楼、中山大学附属第七医院（一期工程）、海鑫光高新技术工业园。</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23F471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F1051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00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top"/>
          </w:tcPr>
          <w:p w14:paraId="4DD3CC5A">
            <w:pPr>
              <w:jc w:val="left"/>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2924FD74">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DD55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2.新址搬运：中山大学附属第七医院（二期工程）</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010A15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81566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79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top"/>
          </w:tcPr>
          <w:p w14:paraId="7305A1A9">
            <w:pPr>
              <w:jc w:val="left"/>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21CB477E">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2466602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3.搬运后地址为初步安排，中标人需跟采购人进一步确定具体地址。一切以采购人需求为准。</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138BC8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4A79DF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48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restart"/>
            <w:tcBorders>
              <w:top w:val="single" w:color="000000" w:sz="4" w:space="0"/>
              <w:left w:val="single" w:color="000000" w:sz="4" w:space="0"/>
              <w:right w:val="single" w:color="000000" w:sz="4" w:space="0"/>
            </w:tcBorders>
            <w:noWrap w:val="0"/>
            <w:vAlign w:val="top"/>
          </w:tcPr>
          <w:p w14:paraId="7E656DC9">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w:t>
            </w:r>
          </w:p>
        </w:tc>
        <w:tc>
          <w:tcPr>
            <w:tcW w:w="930" w:type="dxa"/>
            <w:vMerge w:val="restart"/>
            <w:tcBorders>
              <w:top w:val="single" w:color="000000" w:sz="4" w:space="0"/>
              <w:left w:val="single" w:color="000000" w:sz="4" w:space="0"/>
              <w:right w:val="single" w:color="000000" w:sz="4" w:space="0"/>
            </w:tcBorders>
            <w:noWrap w:val="0"/>
            <w:vAlign w:val="top"/>
          </w:tcPr>
          <w:p w14:paraId="3DEFC957">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物资搬运的工作原则</w:t>
            </w: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5C873E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确保搬运过程中所有物品不得发生遗失、损毁。</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64E1A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50E211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5F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4E6A8C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26508C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4087D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确保搬运物品及设备各个组件的完整性，不得发生组件的遗失、损毁。</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176A4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2B5973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B1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390D0B7E">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54A20CFC">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6377F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确保搬运的标本、标准物质、试剂试药、玻璃量器等易碎易坏的物资得到符合物资存放要求的有效处置，避免损坏和泄露。</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42222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E794C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F7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6D19A4C8">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5D77490B">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2CBC6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4.冷链样品、试剂、耗材中涉及易制毒、危化</w:t>
            </w:r>
            <w:r>
              <w:rPr>
                <w:rFonts w:hint="eastAsia" w:ascii="宋体" w:hAnsi="宋体" w:cs="宋体"/>
                <w:i w:val="0"/>
                <w:iCs w:val="0"/>
                <w:color w:val="000000"/>
                <w:kern w:val="0"/>
                <w:sz w:val="22"/>
                <w:szCs w:val="22"/>
                <w:u w:val="none"/>
                <w:lang w:val="en-US" w:eastAsia="zh-CN" w:bidi="ar"/>
              </w:rPr>
              <w:t>品</w:t>
            </w:r>
            <w:r>
              <w:rPr>
                <w:rFonts w:hint="eastAsia" w:ascii="宋体" w:hAnsi="宋体" w:eastAsia="宋体" w:cs="宋体"/>
                <w:i w:val="0"/>
                <w:iCs w:val="0"/>
                <w:color w:val="000000"/>
                <w:kern w:val="0"/>
                <w:sz w:val="22"/>
                <w:szCs w:val="22"/>
                <w:u w:val="none"/>
                <w:lang w:val="en-US" w:eastAsia="zh-CN" w:bidi="ar"/>
              </w:rPr>
              <w:t>等安全的，应积极为采购人提供方案和办理相关易制毒、危化品等转移手续。</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F478B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71A4C4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C2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5E60C9B5">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163C09FF">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51351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确保搬运货物的外观、使用情况、性能前后一致，按要求安装到位；合同签订后按照采购人和中标人约定的时间进行搬运服务工作。</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EB2AE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878DE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92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115DD80D">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104630E3">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24AD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除清单所列货物外，尚有办公电脑、样品、各类在用及库存的玻璃器皿、配件等实验耗材及中药标本等物资、各类图书等文书档案资料、个人物品等其他物资等清单无法列出，但均包含在本项目内，中标人应在整理搬运工作实施前与采购人进行沟通，项目的实际情况、项目现场及周围环境进行了解，提供详细搬运项目方案。</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34F76E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17923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92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4C67FEF5">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46F1F3C2">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3B476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7.采购人单位员工有监督督导搬运过程的权利，项目过程中，采购人有权对搬运工作提出建议和指导意见，中标人应积极配合采购人工作要求。</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D6820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44B09E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50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restart"/>
            <w:tcBorders>
              <w:top w:val="single" w:color="000000" w:sz="4" w:space="0"/>
              <w:left w:val="single" w:color="000000" w:sz="4" w:space="0"/>
              <w:right w:val="single" w:color="000000" w:sz="4" w:space="0"/>
            </w:tcBorders>
            <w:noWrap w:val="0"/>
            <w:vAlign w:val="top"/>
          </w:tcPr>
          <w:p w14:paraId="6095DAC8">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w:t>
            </w:r>
          </w:p>
        </w:tc>
        <w:tc>
          <w:tcPr>
            <w:tcW w:w="930" w:type="dxa"/>
            <w:vMerge w:val="restart"/>
            <w:tcBorders>
              <w:top w:val="single" w:color="000000" w:sz="4" w:space="0"/>
              <w:left w:val="single" w:color="000000" w:sz="4" w:space="0"/>
              <w:right w:val="single" w:color="000000" w:sz="4" w:space="0"/>
            </w:tcBorders>
            <w:noWrap w:val="0"/>
            <w:vAlign w:val="top"/>
          </w:tcPr>
          <w:p w14:paraId="43A19159">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具体要求</w:t>
            </w: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66FC1A5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中标人应按照采购人的货物物资搬运清单，在合同签订后10个工作日内制定出详尽且具有可行性的搬运方案，须获得采购人的认可。</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1EEB256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0921611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0F6D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67B60353">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7A5AD041">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4E4812DD">
            <w:pPr>
              <w:keepNext w:val="0"/>
              <w:keepLines w:val="0"/>
              <w:widowControl/>
              <w:numPr>
                <w:ilvl w:val="0"/>
                <w:numId w:val="3"/>
              </w:numPr>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搬运项目过程中的器械及工具要求：</w:t>
            </w:r>
          </w:p>
          <w:p w14:paraId="58B99584">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（1）所有用于搬运项目工作的车辆、机械设备和工具须干净、整洁；</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45436CAF">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5926BEC8">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21"/>
                <w:szCs w:val="21"/>
                <w:u w:val="none"/>
                <w:lang w:val="en-US" w:eastAsia="zh-CN" w:bidi="ar"/>
              </w:rPr>
            </w:pPr>
          </w:p>
        </w:tc>
      </w:tr>
      <w:tr w14:paraId="52DB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23DD8AB8">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43412AA1">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5B896D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（2）所有运输车辆为</w:t>
            </w:r>
            <w:r>
              <w:rPr>
                <w:rFonts w:hint="eastAsia" w:ascii="宋体" w:hAnsi="宋体" w:eastAsia="宋体" w:cs="宋体"/>
                <w:szCs w:val="21"/>
              </w:rPr>
              <w:t>厢式</w:t>
            </w:r>
            <w:r>
              <w:rPr>
                <w:rFonts w:hint="eastAsia" w:ascii="宋体" w:hAnsi="宋体" w:eastAsia="宋体" w:cs="宋体"/>
                <w:i w:val="0"/>
                <w:iCs w:val="0"/>
                <w:color w:val="000000"/>
                <w:kern w:val="0"/>
                <w:sz w:val="21"/>
                <w:szCs w:val="21"/>
                <w:u w:val="none"/>
                <w:lang w:val="en-US" w:eastAsia="zh-CN" w:bidi="ar"/>
              </w:rPr>
              <w:t>封闭货车，且符合深圳市运输车辆管理条例的要求，保险有效，同时符合环保的相关要求；</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66B6A05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3A5CCE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1B8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785D9A80">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1230044E">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29110A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（3）所有运输车辆的司机须统一着装；</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66E8388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680E72C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5D13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26306ECF">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6AE72A7B">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441D88C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（4）所有运输车辆须具备统一的明确标识；</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9367D4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4F4B3FF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075A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596D0497">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3287DCF1">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00469E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所有用于运输的厢式货车</w:t>
            </w:r>
            <w:r>
              <w:rPr>
                <w:rFonts w:hint="eastAsia" w:ascii="宋体" w:hAnsi="宋体" w:eastAsia="宋体" w:cs="宋体"/>
                <w:szCs w:val="21"/>
              </w:rPr>
              <w:t>厢</w:t>
            </w:r>
            <w:r>
              <w:rPr>
                <w:rFonts w:hint="eastAsia" w:ascii="宋体" w:hAnsi="宋体" w:eastAsia="宋体" w:cs="宋体"/>
                <w:i w:val="0"/>
                <w:iCs w:val="0"/>
                <w:color w:val="000000"/>
                <w:kern w:val="0"/>
                <w:sz w:val="21"/>
                <w:szCs w:val="21"/>
                <w:u w:val="none"/>
                <w:lang w:val="en-US" w:eastAsia="zh-CN" w:bidi="ar"/>
              </w:rPr>
              <w:t>体内部须保证干净且有固定装置。</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7514D9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909466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A04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0EE855C1">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6EFDF3BB">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593B3512">
            <w:pPr>
              <w:keepNext w:val="0"/>
              <w:keepLines w:val="0"/>
              <w:widowControl/>
              <w:numPr>
                <w:ilvl w:val="0"/>
                <w:numId w:val="3"/>
              </w:numPr>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物料要求：</w:t>
            </w:r>
          </w:p>
          <w:p w14:paraId="67CBF525">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（1）中标人须自行准备搬运所需的包装材料和防护用品（含无尘室防护用品）和满足包装和搬运需要的操作工具；</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2288C79">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A015510">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21"/>
                <w:szCs w:val="21"/>
                <w:u w:val="none"/>
                <w:lang w:val="en-US" w:eastAsia="zh-CN" w:bidi="ar"/>
              </w:rPr>
            </w:pPr>
          </w:p>
        </w:tc>
      </w:tr>
      <w:tr w14:paraId="5889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1B614FD8">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0FDF4078">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672F76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（2）搬运项目中使用的包装材料应符合环保要求，并且集中放置明确标识且配备消防器材；</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47FB7F0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05A007F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366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19FACC6C">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48E7740B">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1449BB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（4）运输货品需依据需求使用软性包装材料进行包裹，包装箱内有减震棉层（≥3cm 厚度）填充物材料。</w:t>
            </w:r>
            <w:r>
              <w:rPr>
                <w:rFonts w:hint="eastAsia"/>
                <w:color w:val="auto"/>
                <w:highlight w:val="none"/>
                <w:lang w:eastAsia="zh-CN"/>
              </w:rPr>
              <w:t>（</w:t>
            </w:r>
            <w:r>
              <w:rPr>
                <w:rFonts w:hint="eastAsia"/>
                <w:color w:val="auto"/>
                <w:highlight w:val="none"/>
                <w:lang w:val="en-US" w:eastAsia="zh-CN"/>
              </w:rPr>
              <w:t>危化品外层加贴 “剧毒 / 易燃” 警示标识</w:t>
            </w:r>
            <w:r>
              <w:rPr>
                <w:rFonts w:hint="eastAsia"/>
                <w:color w:val="auto"/>
                <w:highlight w:val="none"/>
                <w:lang w:eastAsia="zh-CN"/>
              </w:rPr>
              <w:t>）</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EE3077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3C17A28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7B9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23149694">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369D72E9">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2A9B2E8B">
            <w:pPr>
              <w:keepNext w:val="0"/>
              <w:keepLines w:val="0"/>
              <w:widowControl/>
              <w:suppressLineNumbers w:val="0"/>
              <w:jc w:val="both"/>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（5） 搬运项目作业期间应保证包装材料的干燥，且在运输过程中做好防水处理工作，包装箱外贴有震动/倾斜/湿度指示标签；</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5B9961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462299B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0865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119B757A">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379E15D8">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6289A6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（6）废弃的包装材料及填充物应当天自行清理干净，且保证作业现场的整洁；</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69EB004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216F209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5B3A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045ADB57">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15BD0DFD">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187406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（7）包装箱应与运输货品的尺寸相匹配；</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0F02867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33D7A4A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08B3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3994B5C4">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3F55E491">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22DAAA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（8）包装箱体外应有清晰明确的标识，标识包括运输货品照片、标签单、运输货品的编号等；</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3EC581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0ACB577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964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4756654C">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27065503">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6E419A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 纸箱应至少使用加强型 5 层瓦楞纸板箱，以保证强度符合搬运需要。</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3B5F0AF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534229C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2D8F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17127A9A">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321BCCD6">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74ABB06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搬运项目管理文件要求：</w:t>
            </w:r>
          </w:p>
          <w:p w14:paraId="586134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（1）搬运项目管理文件应包括：项目的整体搬运方案、实施计划、人员名单、人员组织结构图、各项资质证明、装箱单、装车单、项目验收报告等；</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B26536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0D41DF5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31A6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01BA64A8">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273A6B0F">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55E872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搬运物品搬运前及搬运后的照片须留存，相关电子版随货品搬运档案同时移交；</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6060C85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506E85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0A0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404DAB01">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45981C9B">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4B8E71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（3）中标人协助填写装箱单，装箱单放在包装箱内，包装箱外填写并张贴物品唛头单，双方填写确认装车单。</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0DBC02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64E0350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4CA3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755EC87D">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26D3CA72">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7D0F4C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搬运项目环境要求：中标人应做好搬运现场的保护工作，对于搬运过程中涉及到的实施现场（如电梯、地面、墙面、道路、楼梯、门窗、家具等）做到有效保护。</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4C82FA0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59A0325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0E09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56EC943B">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2949F1CE">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33A472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 其他：搬运项目运输路线应统一并需提供备用路线图</w:t>
            </w:r>
            <w:r>
              <w:rPr>
                <w:rFonts w:hint="eastAsia" w:ascii="宋体" w:hAnsi="宋体" w:cs="宋体"/>
                <w:i w:val="0"/>
                <w:iCs w:val="0"/>
                <w:color w:val="000000"/>
                <w:kern w:val="0"/>
                <w:sz w:val="21"/>
                <w:szCs w:val="21"/>
                <w:u w:val="none"/>
                <w:lang w:val="en-US" w:eastAsia="zh-CN" w:bidi="ar"/>
              </w:rPr>
              <w:t>。</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DE0C4F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48B8DB4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835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02F0169A">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32579914">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645E33CC">
            <w:pPr>
              <w:keepNext w:val="0"/>
              <w:keepLines w:val="0"/>
              <w:widowControl/>
              <w:numPr>
                <w:ilvl w:val="0"/>
                <w:numId w:val="4"/>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搬运项目过程管理要求：</w:t>
            </w:r>
          </w:p>
          <w:p w14:paraId="6B536D1B">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（1）能够提供有效的搬运过程管理方案，降低搬运过程中存在的风险，监测搬运过程中产生的信息（包括对搬运状态、搬运人员等动态信息的即时情况）；</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98C0925">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B88A800">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213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61BC3493">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2C4A3138">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373B27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（2）搬运项目作业期间，中标人应每日与采购人相关人员进行计划及实施情况汇报；</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C31774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310CF17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0AD4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2A6A5D42">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766C0448">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00EB5A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（3）中标人在作业期间发现问题应及时与采购人相关人员进行沟通。</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6E69024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E90DAC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855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4438C6BF">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5B8D50DE">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3824B0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（4）搬运期间现场至少有 1 名现场协调人员，相关技术人员若干。</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632D5F3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72DBDB7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DFF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53654FDA">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6747183E">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5ED4CBD0">
            <w:pPr>
              <w:keepNext w:val="0"/>
              <w:keepLines w:val="0"/>
              <w:widowControl/>
              <w:numPr>
                <w:ilvl w:val="0"/>
                <w:numId w:val="4"/>
              </w:numPr>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highlight w:val="yellow"/>
                <w:u w:val="none"/>
                <w:lang w:val="en-US" w:eastAsia="zh-CN" w:bidi="ar"/>
              </w:rPr>
              <w:t>搬运项目风险管控，投标人在投标文件中应提供具有可行性的应急处置方案</w:t>
            </w:r>
            <w:r>
              <w:rPr>
                <w:rFonts w:hint="eastAsia" w:ascii="宋体" w:hAnsi="宋体" w:eastAsia="宋体" w:cs="宋体"/>
                <w:i w:val="0"/>
                <w:iCs w:val="0"/>
                <w:color w:val="000000"/>
                <w:kern w:val="0"/>
                <w:sz w:val="21"/>
                <w:szCs w:val="21"/>
                <w:u w:val="none"/>
                <w:lang w:val="en-US" w:eastAsia="zh-CN" w:bidi="ar"/>
              </w:rPr>
              <w:t>，包括但不限于以下内容：</w:t>
            </w:r>
          </w:p>
          <w:p w14:paraId="4267EDBB">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（1）危险化学品泄漏事故；搬运过程和实验室火灾；搬运过程和实验室爆炸；搬运过程和实验室中毒；搬运过程和实验室触电；搬运过程和实验室化学灼伤；锐器利器划伤。</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718A928A">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42E68A60">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21"/>
                <w:szCs w:val="21"/>
                <w:u w:val="none"/>
                <w:lang w:val="en-US" w:eastAsia="zh-CN" w:bidi="ar"/>
              </w:rPr>
            </w:pPr>
          </w:p>
        </w:tc>
      </w:tr>
      <w:tr w14:paraId="2967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5A7C5186">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0464A6E2">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23F383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（2）投标人应提供24小时电话响应服务，承诺接报后1小时内到达现场，故障解决时间在2小时以内。</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5E90DC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65A6494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2EF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70BC4C32">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0A1089CA">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4D19682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中标人应在整体搬运工作开始前与采购人各相关业务科室充分沟通本次搬运需求，提供详尽的搬运项目方案。</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52E7F3E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701CE97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6EB8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bottom w:val="single" w:color="auto" w:sz="4" w:space="0"/>
              <w:right w:val="single" w:color="000000" w:sz="4" w:space="0"/>
            </w:tcBorders>
            <w:noWrap w:val="0"/>
            <w:vAlign w:val="top"/>
          </w:tcPr>
          <w:p w14:paraId="6624CB8D">
            <w:pPr>
              <w:jc w:val="left"/>
              <w:rPr>
                <w:rFonts w:hint="eastAsia" w:ascii="宋体" w:hAnsi="宋体" w:eastAsia="宋体" w:cs="宋体"/>
                <w:i w:val="0"/>
                <w:iCs w:val="0"/>
                <w:color w:val="000000"/>
                <w:sz w:val="22"/>
                <w:szCs w:val="22"/>
                <w:u w:val="none"/>
              </w:rPr>
            </w:pPr>
          </w:p>
        </w:tc>
        <w:tc>
          <w:tcPr>
            <w:tcW w:w="930" w:type="dxa"/>
            <w:vMerge w:val="continue"/>
            <w:tcBorders>
              <w:left w:val="single" w:color="000000" w:sz="4" w:space="0"/>
              <w:bottom w:val="single" w:color="auto" w:sz="4" w:space="0"/>
              <w:right w:val="single" w:color="000000" w:sz="4" w:space="0"/>
            </w:tcBorders>
            <w:noWrap w:val="0"/>
            <w:vAlign w:val="top"/>
          </w:tcPr>
          <w:p w14:paraId="4F8CA846">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7F92C5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在搬运过程中，中标人的搬运人员的人身安全由中标人负责，并为搬运人员所购买人身保险，覆盖搬运作业全过程，包括旧址设备及电器测试、货品拆装、移动、包装、运输、卸货、搬运、安装、调试、新址设备及电器测试。</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222EDEC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7AE8E1B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DA5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restart"/>
            <w:tcBorders>
              <w:top w:val="single" w:color="auto" w:sz="4" w:space="0"/>
              <w:left w:val="single" w:color="auto" w:sz="4" w:space="0"/>
              <w:bottom w:val="single" w:color="auto" w:sz="4" w:space="0"/>
              <w:right w:val="single" w:color="auto" w:sz="4" w:space="0"/>
            </w:tcBorders>
            <w:noWrap w:val="0"/>
            <w:vAlign w:val="top"/>
          </w:tcPr>
          <w:p w14:paraId="6E5AD8C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w:t>
            </w:r>
          </w:p>
        </w:tc>
        <w:tc>
          <w:tcPr>
            <w:tcW w:w="930" w:type="dxa"/>
            <w:vMerge w:val="restart"/>
            <w:tcBorders>
              <w:top w:val="single" w:color="auto" w:sz="4" w:space="0"/>
              <w:left w:val="single" w:color="auto" w:sz="4" w:space="0"/>
              <w:bottom w:val="single" w:color="auto" w:sz="4" w:space="0"/>
              <w:right w:val="single" w:color="auto" w:sz="4" w:space="0"/>
            </w:tcBorders>
            <w:noWrap w:val="0"/>
            <w:vAlign w:val="top"/>
          </w:tcPr>
          <w:p w14:paraId="04F4B3B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验收要求</w:t>
            </w:r>
          </w:p>
        </w:tc>
        <w:tc>
          <w:tcPr>
            <w:tcW w:w="3165" w:type="dxa"/>
            <w:tcBorders>
              <w:top w:val="single" w:color="000000" w:sz="4" w:space="0"/>
              <w:left w:val="single" w:color="auto" w:sz="4" w:space="0"/>
              <w:bottom w:val="single" w:color="000000" w:sz="4" w:space="0"/>
              <w:right w:val="single" w:color="000000" w:sz="4" w:space="0"/>
            </w:tcBorders>
            <w:noWrap/>
            <w:vAlign w:val="center"/>
          </w:tcPr>
          <w:p w14:paraId="5F3FB87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 仪器送达指定位置后，逐项清点，确保数量和发运前一致。到达新实验室的仪器必须和唛头单、装箱单中标明的名称、品牌、型号、数量、固定资产编号一致。</w:t>
            </w:r>
          </w:p>
        </w:tc>
        <w:tc>
          <w:tcPr>
            <w:tcW w:w="2287" w:type="dxa"/>
            <w:tcBorders>
              <w:top w:val="single" w:color="000000" w:sz="4" w:space="0"/>
              <w:left w:val="single" w:color="auto" w:sz="4" w:space="0"/>
              <w:bottom w:val="single" w:color="000000" w:sz="4" w:space="0"/>
              <w:right w:val="single" w:color="000000" w:sz="4" w:space="0"/>
            </w:tcBorders>
            <w:noWrap/>
            <w:vAlign w:val="center"/>
          </w:tcPr>
          <w:p w14:paraId="6A98F1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auto" w:sz="4" w:space="0"/>
              <w:bottom w:val="single" w:color="000000" w:sz="4" w:space="0"/>
              <w:right w:val="single" w:color="000000" w:sz="4" w:space="0"/>
            </w:tcBorders>
            <w:noWrap/>
            <w:vAlign w:val="center"/>
          </w:tcPr>
          <w:p w14:paraId="3CADC7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57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top w:val="single" w:color="auto" w:sz="4" w:space="0"/>
              <w:left w:val="single" w:color="auto" w:sz="4" w:space="0"/>
              <w:bottom w:val="single" w:color="auto" w:sz="4" w:space="0"/>
              <w:right w:val="single" w:color="auto" w:sz="4" w:space="0"/>
            </w:tcBorders>
            <w:noWrap w:val="0"/>
            <w:vAlign w:val="top"/>
          </w:tcPr>
          <w:p w14:paraId="7FBC6D15">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930" w:type="dxa"/>
            <w:vMerge w:val="continue"/>
            <w:tcBorders>
              <w:top w:val="single" w:color="auto" w:sz="4" w:space="0"/>
              <w:left w:val="single" w:color="auto" w:sz="4" w:space="0"/>
              <w:bottom w:val="single" w:color="auto" w:sz="4" w:space="0"/>
              <w:right w:val="single" w:color="auto" w:sz="4" w:space="0"/>
            </w:tcBorders>
            <w:noWrap w:val="0"/>
            <w:vAlign w:val="top"/>
          </w:tcPr>
          <w:p w14:paraId="0C7F0739">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tc>
        <w:tc>
          <w:tcPr>
            <w:tcW w:w="3165" w:type="dxa"/>
            <w:tcBorders>
              <w:top w:val="single" w:color="000000" w:sz="4" w:space="0"/>
              <w:left w:val="single" w:color="auto" w:sz="4" w:space="0"/>
              <w:bottom w:val="single" w:color="000000" w:sz="4" w:space="0"/>
              <w:right w:val="single" w:color="000000" w:sz="4" w:space="0"/>
            </w:tcBorders>
            <w:noWrap/>
            <w:vAlign w:val="center"/>
          </w:tcPr>
          <w:p w14:paraId="72DFB3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2.搬运前后对搬运物品做资料存档，确保搬运后搬运网盘及附件外观较搬运前无新增破损、锈蚀、碰伤等。</w:t>
            </w:r>
          </w:p>
        </w:tc>
        <w:tc>
          <w:tcPr>
            <w:tcW w:w="2287" w:type="dxa"/>
            <w:tcBorders>
              <w:top w:val="single" w:color="000000" w:sz="4" w:space="0"/>
              <w:left w:val="single" w:color="auto" w:sz="4" w:space="0"/>
              <w:bottom w:val="single" w:color="000000" w:sz="4" w:space="0"/>
              <w:right w:val="single" w:color="000000" w:sz="4" w:space="0"/>
            </w:tcBorders>
            <w:noWrap/>
            <w:vAlign w:val="center"/>
          </w:tcPr>
          <w:p w14:paraId="4FD054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auto" w:sz="4" w:space="0"/>
              <w:bottom w:val="single" w:color="000000" w:sz="4" w:space="0"/>
              <w:right w:val="single" w:color="000000" w:sz="4" w:space="0"/>
            </w:tcBorders>
            <w:noWrap/>
            <w:vAlign w:val="center"/>
          </w:tcPr>
          <w:p w14:paraId="2EEE97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98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top w:val="single" w:color="auto" w:sz="4" w:space="0"/>
              <w:left w:val="single" w:color="auto" w:sz="4" w:space="0"/>
              <w:bottom w:val="single" w:color="auto" w:sz="4" w:space="0"/>
              <w:right w:val="single" w:color="auto" w:sz="4" w:space="0"/>
            </w:tcBorders>
            <w:noWrap w:val="0"/>
            <w:vAlign w:val="top"/>
          </w:tcPr>
          <w:p w14:paraId="51A6BB6C">
            <w:pPr>
              <w:jc w:val="center"/>
              <w:rPr>
                <w:rFonts w:hint="eastAsia" w:ascii="宋体" w:hAnsi="宋体" w:eastAsia="宋体" w:cs="宋体"/>
                <w:i w:val="0"/>
                <w:iCs w:val="0"/>
                <w:color w:val="000000"/>
                <w:sz w:val="22"/>
                <w:szCs w:val="22"/>
                <w:u w:val="none"/>
              </w:rPr>
            </w:pPr>
          </w:p>
        </w:tc>
        <w:tc>
          <w:tcPr>
            <w:tcW w:w="930" w:type="dxa"/>
            <w:vMerge w:val="continue"/>
            <w:tcBorders>
              <w:top w:val="single" w:color="auto" w:sz="4" w:space="0"/>
              <w:left w:val="single" w:color="auto" w:sz="4" w:space="0"/>
              <w:bottom w:val="single" w:color="auto" w:sz="4" w:space="0"/>
              <w:right w:val="single" w:color="auto" w:sz="4" w:space="0"/>
            </w:tcBorders>
            <w:noWrap w:val="0"/>
            <w:vAlign w:val="top"/>
          </w:tcPr>
          <w:p w14:paraId="3DD21488">
            <w:pPr>
              <w:jc w:val="center"/>
              <w:rPr>
                <w:rFonts w:hint="eastAsia" w:ascii="宋体" w:hAnsi="宋体" w:eastAsia="宋体" w:cs="宋体"/>
                <w:i w:val="0"/>
                <w:iCs w:val="0"/>
                <w:color w:val="000000"/>
                <w:sz w:val="22"/>
                <w:szCs w:val="22"/>
                <w:u w:val="none"/>
              </w:rPr>
            </w:pPr>
          </w:p>
        </w:tc>
        <w:tc>
          <w:tcPr>
            <w:tcW w:w="3165" w:type="dxa"/>
            <w:tcBorders>
              <w:top w:val="single" w:color="000000" w:sz="4" w:space="0"/>
              <w:left w:val="single" w:color="auto" w:sz="4" w:space="0"/>
              <w:bottom w:val="single" w:color="000000" w:sz="4" w:space="0"/>
              <w:right w:val="single" w:color="000000" w:sz="4" w:space="0"/>
            </w:tcBorders>
            <w:noWrap/>
            <w:vAlign w:val="center"/>
          </w:tcPr>
          <w:p w14:paraId="3A5DA1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3. 按照项目服务要求与项目商务要求响应条款、中标人承诺的服务内容等逐项进行验收，采购人签署验收确认单视为验收完毕。</w:t>
            </w:r>
          </w:p>
        </w:tc>
        <w:tc>
          <w:tcPr>
            <w:tcW w:w="2287" w:type="dxa"/>
            <w:tcBorders>
              <w:top w:val="single" w:color="000000" w:sz="4" w:space="0"/>
              <w:left w:val="single" w:color="auto" w:sz="4" w:space="0"/>
              <w:bottom w:val="single" w:color="000000" w:sz="4" w:space="0"/>
              <w:right w:val="single" w:color="000000" w:sz="4" w:space="0"/>
            </w:tcBorders>
            <w:noWrap/>
            <w:vAlign w:val="center"/>
          </w:tcPr>
          <w:p w14:paraId="2A4A35E8">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auto" w:sz="4" w:space="0"/>
              <w:bottom w:val="single" w:color="000000" w:sz="4" w:space="0"/>
              <w:right w:val="single" w:color="000000" w:sz="4" w:space="0"/>
            </w:tcBorders>
            <w:noWrap/>
            <w:vAlign w:val="center"/>
          </w:tcPr>
          <w:p w14:paraId="4939F15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4D10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auto" w:sz="4" w:space="0"/>
              <w:left w:val="single" w:color="auto" w:sz="4" w:space="0"/>
              <w:bottom w:val="single" w:color="auto" w:sz="4" w:space="0"/>
              <w:right w:val="single" w:color="auto" w:sz="4" w:space="0"/>
            </w:tcBorders>
            <w:noWrap w:val="0"/>
            <w:vAlign w:val="top"/>
          </w:tcPr>
          <w:p w14:paraId="664294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w:t>
            </w:r>
          </w:p>
        </w:tc>
        <w:tc>
          <w:tcPr>
            <w:tcW w:w="930" w:type="dxa"/>
            <w:tcBorders>
              <w:top w:val="single" w:color="auto" w:sz="4" w:space="0"/>
              <w:left w:val="single" w:color="auto" w:sz="4" w:space="0"/>
              <w:bottom w:val="single" w:color="auto" w:sz="4" w:space="0"/>
              <w:right w:val="single" w:color="auto" w:sz="4" w:space="0"/>
            </w:tcBorders>
            <w:noWrap w:val="0"/>
            <w:vAlign w:val="top"/>
          </w:tcPr>
          <w:p w14:paraId="79FAA51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w:t>
            </w:r>
          </w:p>
        </w:tc>
        <w:tc>
          <w:tcPr>
            <w:tcW w:w="3165" w:type="dxa"/>
            <w:tcBorders>
              <w:top w:val="single" w:color="000000" w:sz="4" w:space="0"/>
              <w:left w:val="single" w:color="auto" w:sz="4" w:space="0"/>
              <w:bottom w:val="single" w:color="000000" w:sz="4" w:space="0"/>
              <w:right w:val="single" w:color="000000" w:sz="4" w:space="0"/>
            </w:tcBorders>
            <w:noWrap w:val="0"/>
            <w:vAlign w:val="center"/>
          </w:tcPr>
          <w:p w14:paraId="474106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同签订后，采购人完成本项目所有搬运、移机验收工作后（包括安装、调试等），中标人向采购人提供正规发票及采购人要求的其他付款资料文件后，采购人向中标人支付100%的合同款项。费用为全包价，即：服务费、上门费、</w:t>
            </w:r>
            <w:r>
              <w:rPr>
                <w:rFonts w:hint="eastAsia" w:ascii="宋体" w:hAnsi="宋体" w:eastAsia="宋体" w:cs="宋体"/>
                <w:szCs w:val="21"/>
              </w:rPr>
              <w:t>人工费、油费、过路费、拆卸费、搬运费、组装费、包装费、</w:t>
            </w:r>
            <w:r>
              <w:rPr>
                <w:rFonts w:hint="eastAsia" w:ascii="宋体" w:hAnsi="宋体" w:eastAsia="宋体" w:cs="宋体"/>
                <w:i w:val="0"/>
                <w:iCs w:val="0"/>
                <w:color w:val="000000"/>
                <w:kern w:val="0"/>
                <w:sz w:val="22"/>
                <w:szCs w:val="22"/>
                <w:u w:val="none"/>
                <w:lang w:val="en-US" w:eastAsia="zh-CN" w:bidi="ar"/>
              </w:rPr>
              <w:t>运输费、保管费、保修费、税金、保险费、风险费用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误工费等一切可预见以及不可预见费用，采购人不再支付其他费用。合同期内，采购人不会因市场价格的波动而调整合同价格。</w:t>
            </w:r>
          </w:p>
        </w:tc>
        <w:tc>
          <w:tcPr>
            <w:tcW w:w="2287" w:type="dxa"/>
            <w:tcBorders>
              <w:top w:val="single" w:color="000000" w:sz="4" w:space="0"/>
              <w:left w:val="single" w:color="auto" w:sz="4" w:space="0"/>
              <w:bottom w:val="single" w:color="000000" w:sz="4" w:space="0"/>
              <w:right w:val="single" w:color="000000" w:sz="4" w:space="0"/>
            </w:tcBorders>
            <w:noWrap w:val="0"/>
            <w:vAlign w:val="center"/>
          </w:tcPr>
          <w:p w14:paraId="11A6D1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auto" w:sz="4" w:space="0"/>
              <w:bottom w:val="single" w:color="000000" w:sz="4" w:space="0"/>
              <w:right w:val="single" w:color="000000" w:sz="4" w:space="0"/>
            </w:tcBorders>
            <w:noWrap w:val="0"/>
            <w:vAlign w:val="center"/>
          </w:tcPr>
          <w:p w14:paraId="4B9A19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57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restart"/>
            <w:tcBorders>
              <w:top w:val="single" w:color="auto" w:sz="4" w:space="0"/>
              <w:left w:val="single" w:color="000000" w:sz="4" w:space="0"/>
              <w:right w:val="single" w:color="000000" w:sz="4" w:space="0"/>
            </w:tcBorders>
            <w:noWrap w:val="0"/>
            <w:vAlign w:val="top"/>
          </w:tcPr>
          <w:p w14:paraId="67FE3E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w:t>
            </w:r>
          </w:p>
        </w:tc>
        <w:tc>
          <w:tcPr>
            <w:tcW w:w="930" w:type="dxa"/>
            <w:vMerge w:val="restart"/>
            <w:tcBorders>
              <w:top w:val="single" w:color="auto" w:sz="4" w:space="0"/>
              <w:left w:val="single" w:color="000000" w:sz="4" w:space="0"/>
              <w:right w:val="single" w:color="000000" w:sz="4" w:space="0"/>
            </w:tcBorders>
            <w:noWrap w:val="0"/>
            <w:vAlign w:val="top"/>
          </w:tcPr>
          <w:p w14:paraId="665B57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报价要求</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48099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投标人所报价格应为含税全包价，包含提供相关服务的所有费用，合同存续期间采购人不额外支付任何费用应包括服务成本、法定税费和企业的利润等所有一切费用。由企业根据招标文件所提供的资料自行测算投标报价；一经中标，投标报价总价作为中标人与采购人签定的合同金额，采购人不再支付其他费用。</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64D2E2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307B0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1D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5A2288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7B2FBB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464F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2.投标人应充分了解项目的位置、情况、道路及任何其它足以影响投标报价的情况，任何因忽视或误解项目情况而导致的索赔或服务期限延长申请将不获批准。</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45FA5D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6F6C0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B3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restart"/>
            <w:tcBorders>
              <w:top w:val="single" w:color="000000" w:sz="4" w:space="0"/>
              <w:left w:val="single" w:color="000000" w:sz="4" w:space="0"/>
              <w:right w:val="single" w:color="000000" w:sz="4" w:space="0"/>
            </w:tcBorders>
            <w:noWrap w:val="0"/>
            <w:vAlign w:val="top"/>
          </w:tcPr>
          <w:p w14:paraId="167C8DAD">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w:t>
            </w:r>
          </w:p>
        </w:tc>
        <w:tc>
          <w:tcPr>
            <w:tcW w:w="930" w:type="dxa"/>
            <w:vMerge w:val="restart"/>
            <w:tcBorders>
              <w:top w:val="single" w:color="000000" w:sz="4" w:space="0"/>
              <w:left w:val="single" w:color="000000" w:sz="4" w:space="0"/>
              <w:right w:val="single" w:color="000000" w:sz="4" w:space="0"/>
            </w:tcBorders>
            <w:noWrap w:val="0"/>
            <w:vAlign w:val="top"/>
          </w:tcPr>
          <w:p w14:paraId="10B538F7">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w:t>
            </w: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04306C6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1.中标人所提供服务中包含可能涉及的建筑物拆墙及恢复工作。</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42D3FE1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3C2F3BE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2AEC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29EEC4F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2EE05C2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041AA2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2.中标人所提供服务包含可能涉及的水电气路改造工作。</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4D9E263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1A0680E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03EF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07CB521C">
            <w:pPr>
              <w:jc w:val="center"/>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5A1FF343">
            <w:pPr>
              <w:jc w:val="center"/>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5E1594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3.项目准备和实施全过程符合国家相关安全法规要求，并有具体制度和措施加以保障。</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7C63FE8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0F5E98F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464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right w:val="single" w:color="000000" w:sz="4" w:space="0"/>
            </w:tcBorders>
            <w:noWrap w:val="0"/>
            <w:vAlign w:val="top"/>
          </w:tcPr>
          <w:p w14:paraId="67755084">
            <w:pPr>
              <w:jc w:val="center"/>
              <w:rPr>
                <w:rFonts w:hint="eastAsia" w:ascii="宋体" w:hAnsi="宋体" w:eastAsia="宋体" w:cs="宋体"/>
                <w:i w:val="0"/>
                <w:iCs w:val="0"/>
                <w:color w:val="000000"/>
                <w:sz w:val="22"/>
                <w:szCs w:val="22"/>
                <w:u w:val="none"/>
              </w:rPr>
            </w:pPr>
          </w:p>
        </w:tc>
        <w:tc>
          <w:tcPr>
            <w:tcW w:w="930" w:type="dxa"/>
            <w:vMerge w:val="continue"/>
            <w:tcBorders>
              <w:left w:val="single" w:color="000000" w:sz="4" w:space="0"/>
              <w:right w:val="single" w:color="000000" w:sz="4" w:space="0"/>
            </w:tcBorders>
            <w:noWrap w:val="0"/>
            <w:vAlign w:val="top"/>
          </w:tcPr>
          <w:p w14:paraId="01A4BE71">
            <w:pPr>
              <w:jc w:val="center"/>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2CE6AA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4.中标人必须依据相关法规文件要求承诺对在搬运服务项目中所涉及的技术、人员等资料承担保密义务和责任。</w:t>
            </w:r>
            <w:r>
              <w:rPr>
                <w:rFonts w:hint="eastAsia" w:ascii="宋体" w:hAnsi="宋体" w:eastAsia="宋体" w:cs="宋体"/>
                <w:b/>
                <w:bCs/>
                <w:i w:val="0"/>
                <w:iCs w:val="0"/>
                <w:color w:val="000000"/>
                <w:kern w:val="0"/>
                <w:sz w:val="21"/>
                <w:szCs w:val="21"/>
                <w:highlight w:val="yellow"/>
                <w:u w:val="none"/>
                <w:lang w:val="en-US" w:eastAsia="zh-CN" w:bidi="ar"/>
              </w:rPr>
              <w:t>（提供承诺函，格式自定）</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1852641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5CA8B06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7B7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left w:val="single" w:color="000000" w:sz="4" w:space="0"/>
              <w:bottom w:val="single" w:color="000000" w:sz="4" w:space="0"/>
              <w:right w:val="single" w:color="000000" w:sz="4" w:space="0"/>
            </w:tcBorders>
            <w:noWrap w:val="0"/>
            <w:vAlign w:val="top"/>
          </w:tcPr>
          <w:p w14:paraId="29147CC5">
            <w:pPr>
              <w:jc w:val="center"/>
              <w:rPr>
                <w:rFonts w:hint="eastAsia" w:ascii="宋体" w:hAnsi="宋体" w:eastAsia="宋体" w:cs="宋体"/>
                <w:i w:val="0"/>
                <w:iCs w:val="0"/>
                <w:color w:val="000000"/>
                <w:sz w:val="22"/>
                <w:szCs w:val="22"/>
                <w:u w:val="none"/>
              </w:rPr>
            </w:pPr>
          </w:p>
        </w:tc>
        <w:tc>
          <w:tcPr>
            <w:tcW w:w="930" w:type="dxa"/>
            <w:vMerge w:val="continue"/>
            <w:tcBorders>
              <w:left w:val="single" w:color="000000" w:sz="4" w:space="0"/>
              <w:bottom w:val="single" w:color="000000" w:sz="4" w:space="0"/>
              <w:right w:val="single" w:color="000000" w:sz="4" w:space="0"/>
            </w:tcBorders>
            <w:noWrap w:val="0"/>
            <w:vAlign w:val="top"/>
          </w:tcPr>
          <w:p w14:paraId="2A4B72AE">
            <w:pPr>
              <w:jc w:val="center"/>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ign w:val="center"/>
          </w:tcPr>
          <w:p w14:paraId="37C5F5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5.中标人所提供服务中应包含因搬运工作对建筑物造成破坏的修复工作。</w:t>
            </w:r>
          </w:p>
        </w:tc>
        <w:tc>
          <w:tcPr>
            <w:tcW w:w="2287" w:type="dxa"/>
            <w:tcBorders>
              <w:top w:val="single" w:color="000000" w:sz="4" w:space="0"/>
              <w:left w:val="single" w:color="000000" w:sz="4" w:space="0"/>
              <w:bottom w:val="single" w:color="000000" w:sz="4" w:space="0"/>
              <w:right w:val="single" w:color="000000" w:sz="4" w:space="0"/>
            </w:tcBorders>
            <w:noWrap/>
            <w:vAlign w:val="center"/>
          </w:tcPr>
          <w:p w14:paraId="3517011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ign w:val="center"/>
          </w:tcPr>
          <w:p w14:paraId="2DDC3EA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A85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4" w:type="dxa"/>
            <w:vMerge w:val="restart"/>
            <w:tcBorders>
              <w:top w:val="single" w:color="000000" w:sz="4" w:space="0"/>
              <w:left w:val="single" w:color="000000" w:sz="4" w:space="0"/>
              <w:bottom w:val="single" w:color="000000" w:sz="4" w:space="0"/>
              <w:right w:val="single" w:color="000000" w:sz="4" w:space="0"/>
            </w:tcBorders>
            <w:noWrap w:val="0"/>
            <w:vAlign w:val="top"/>
          </w:tcPr>
          <w:p w14:paraId="7E6FFA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top"/>
          </w:tcPr>
          <w:p w14:paraId="68BCC3B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违约责任</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4727B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cs="宋体"/>
                <w:szCs w:val="21"/>
                <w:lang w:val="en-US" w:eastAsia="zh-CN"/>
              </w:rPr>
              <w:t>6.</w:t>
            </w:r>
            <w:r>
              <w:rPr>
                <w:rFonts w:hint="eastAsia" w:ascii="宋体" w:hAnsi="宋体" w:eastAsia="宋体" w:cs="宋体"/>
                <w:i w:val="0"/>
                <w:iCs w:val="0"/>
                <w:color w:val="000000"/>
                <w:kern w:val="0"/>
                <w:sz w:val="21"/>
                <w:szCs w:val="21"/>
                <w:u w:val="none"/>
                <w:lang w:val="en-US" w:eastAsia="zh-CN" w:bidi="ar"/>
              </w:rPr>
              <w:t>中标人</w:t>
            </w:r>
            <w:r>
              <w:rPr>
                <w:rFonts w:hint="eastAsia" w:ascii="宋体" w:hAnsi="宋体" w:eastAsia="宋体" w:cs="宋体"/>
                <w:szCs w:val="21"/>
              </w:rPr>
              <w:t>搬运人员应当做好安全防护措施，</w:t>
            </w:r>
            <w:r>
              <w:rPr>
                <w:rFonts w:hint="eastAsia" w:ascii="宋体" w:hAnsi="宋体" w:eastAsia="宋体" w:cs="宋体"/>
                <w:i w:val="0"/>
                <w:iCs w:val="0"/>
                <w:color w:val="000000"/>
                <w:kern w:val="0"/>
                <w:sz w:val="21"/>
                <w:szCs w:val="21"/>
                <w:u w:val="none"/>
                <w:lang w:val="en-US" w:eastAsia="zh-CN" w:bidi="ar"/>
              </w:rPr>
              <w:t>中标人</w:t>
            </w:r>
            <w:r>
              <w:rPr>
                <w:rFonts w:hint="eastAsia" w:ascii="宋体" w:hAnsi="宋体" w:eastAsia="宋体" w:cs="宋体"/>
                <w:szCs w:val="21"/>
              </w:rPr>
              <w:t>因搬运对其搬运人员及第三人造成人身或财产损害的，应由</w:t>
            </w:r>
            <w:r>
              <w:rPr>
                <w:rFonts w:hint="eastAsia" w:ascii="宋体" w:hAnsi="宋体" w:eastAsia="宋体" w:cs="宋体"/>
                <w:i w:val="0"/>
                <w:iCs w:val="0"/>
                <w:color w:val="000000"/>
                <w:kern w:val="0"/>
                <w:sz w:val="21"/>
                <w:szCs w:val="21"/>
                <w:u w:val="none"/>
                <w:lang w:val="en-US" w:eastAsia="zh-CN" w:bidi="ar"/>
              </w:rPr>
              <w:t>中标人</w:t>
            </w:r>
            <w:r>
              <w:rPr>
                <w:rFonts w:hint="eastAsia" w:ascii="宋体" w:hAnsi="宋体" w:eastAsia="宋体" w:cs="宋体"/>
                <w:szCs w:val="21"/>
              </w:rPr>
              <w:t>承担全部责任。</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79E965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3287C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87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top"/>
          </w:tcPr>
          <w:p w14:paraId="6DBF1C20">
            <w:pPr>
              <w:jc w:val="left"/>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4ED78F03">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71C82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若中标人无法在约定时间内完成招投标文件的商务需求，或超出合同约定或采购人指定期限内仍不履行的，视为中标人违约，中标人应当自应履行而未履行之日起向采购人承担合同金额万分之五/日的违约赔偿责任，且采购人有权解除合同。若中标人违约赔偿款不足以弥补采购人损失的，采购人有权要求中标人补足损失及单方解除合同</w:t>
            </w:r>
            <w:r>
              <w:rPr>
                <w:rFonts w:hint="eastAsia" w:ascii="宋体" w:hAnsi="宋体" w:eastAsia="宋体" w:cs="宋体"/>
                <w:szCs w:val="21"/>
              </w:rPr>
              <w:t>，本条及以下所述“损失”</w:t>
            </w:r>
            <w:r>
              <w:t>包括直接经济损失、本合同履行后可以获得的利益及合理的调查费、评估费、公证费、诉讼费、仲裁费用、差旅费、律师费、担保费、公告费、鉴定费等所有费用。</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3C513B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A4CBD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25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top"/>
          </w:tcPr>
          <w:p w14:paraId="1B957D3E">
            <w:pPr>
              <w:jc w:val="left"/>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76382CD0">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4F11B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2.中标人在实施本项目的过程中，若因自身原因造成采购人货品、家具、墙面、地板等发生损坏、损伤的，中标人应帮助维修及恢复至原状态，所涉及的费用由中标人承担。。</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10046B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BF8C3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90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top"/>
          </w:tcPr>
          <w:p w14:paraId="6B97250B">
            <w:pPr>
              <w:jc w:val="left"/>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7E08AF60">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674CE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3.未经采购人书面同意，中标人不得将本项目合同项下全部或部分权利、义务转让给任何第三方，否则采购人有权单方解除本合同，中标人应按合同总价的【10%】向采购人支付违约赔偿。</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4072E0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5389F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32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top"/>
          </w:tcPr>
          <w:p w14:paraId="55DBAED5">
            <w:pPr>
              <w:jc w:val="left"/>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04929E10">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1B19FD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4.若因搬运造成货物故障，中标人须负责修复，无法修复则须进行更换或按对应货物的购买价值同等金额进行赔偿。中标人若因搬运造成物资损坏、丢失等</w:t>
            </w:r>
            <w:r>
              <w:rPr>
                <w:rFonts w:hint="eastAsia" w:ascii="宋体" w:hAnsi="宋体" w:cs="宋体"/>
                <w:i w:val="0"/>
                <w:iCs w:val="0"/>
                <w:color w:val="000000"/>
                <w:kern w:val="0"/>
                <w:sz w:val="22"/>
                <w:szCs w:val="22"/>
                <w:u w:val="none"/>
                <w:lang w:val="en-US" w:eastAsia="zh-CN" w:bidi="ar"/>
              </w:rPr>
              <w:t>，中标人应</w:t>
            </w:r>
            <w:r>
              <w:rPr>
                <w:rFonts w:hint="eastAsia" w:ascii="宋体" w:hAnsi="宋体" w:eastAsia="宋体" w:cs="宋体"/>
                <w:i w:val="0"/>
                <w:iCs w:val="0"/>
                <w:color w:val="000000"/>
                <w:kern w:val="0"/>
                <w:sz w:val="22"/>
                <w:szCs w:val="22"/>
                <w:u w:val="none"/>
                <w:lang w:val="en-US" w:eastAsia="zh-CN" w:bidi="ar"/>
              </w:rPr>
              <w:t>按照购买原价进行赔偿或换新。</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5C5D3C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F985E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FE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vMerge w:val="continue"/>
            <w:tcBorders>
              <w:top w:val="single" w:color="000000" w:sz="4" w:space="0"/>
              <w:left w:val="single" w:color="000000" w:sz="4" w:space="0"/>
              <w:bottom w:val="single" w:color="000000" w:sz="4" w:space="0"/>
              <w:right w:val="single" w:color="000000" w:sz="4" w:space="0"/>
            </w:tcBorders>
            <w:noWrap w:val="0"/>
            <w:vAlign w:val="top"/>
          </w:tcPr>
          <w:p w14:paraId="4E1E2F4C">
            <w:pPr>
              <w:jc w:val="left"/>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top"/>
          </w:tcPr>
          <w:p w14:paraId="59002B3E">
            <w:pPr>
              <w:jc w:val="left"/>
              <w:rPr>
                <w:rFonts w:hint="eastAsia" w:ascii="宋体" w:hAnsi="宋体" w:eastAsia="宋体" w:cs="宋体"/>
                <w:i w:val="0"/>
                <w:iCs w:val="0"/>
                <w:color w:val="000000"/>
                <w:sz w:val="22"/>
                <w:szCs w:val="22"/>
                <w:u w:val="none"/>
              </w:rPr>
            </w:pP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5819EE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5.中标人因上述情形承担违约金的，采购人有权直接在未支付款项中扣除。</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14:paraId="34B414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5F15F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4681E099">
      <w:pPr>
        <w:widowControl w:val="0"/>
        <w:numPr>
          <w:ilvl w:val="0"/>
          <w:numId w:val="0"/>
        </w:numPr>
        <w:jc w:val="both"/>
        <w:rPr>
          <w:rFonts w:hint="default" w:ascii="宋体" w:hAnsi="宋体" w:cs="宋体"/>
          <w:color w:val="333333"/>
          <w:kern w:val="0"/>
          <w:sz w:val="24"/>
          <w:szCs w:val="24"/>
          <w:lang w:val="en-US" w:eastAsia="zh-CN"/>
        </w:rPr>
      </w:pPr>
    </w:p>
    <w:p w14:paraId="1B738CD9">
      <w:pPr>
        <w:rPr>
          <w:rFonts w:hint="eastAsia"/>
          <w:sz w:val="24"/>
        </w:rPr>
      </w:pPr>
      <w:r>
        <w:rPr>
          <w:rFonts w:hint="eastAsia"/>
          <w:sz w:val="24"/>
        </w:rPr>
        <w:t>备注：</w:t>
      </w:r>
    </w:p>
    <w:p w14:paraId="6002EC76">
      <w:pPr>
        <w:rPr>
          <w:b/>
          <w:bCs/>
          <w:sz w:val="24"/>
        </w:rPr>
      </w:pPr>
      <w:r>
        <w:rPr>
          <w:rFonts w:hint="eastAsia" w:ascii="宋体" w:hAnsi="宋体" w:cs="宋体"/>
          <w:b/>
          <w:bCs/>
          <w:color w:val="333333"/>
          <w:kern w:val="0"/>
          <w:sz w:val="24"/>
          <w:szCs w:val="24"/>
          <w:lang w:val="en-US" w:eastAsia="zh-CN"/>
        </w:rPr>
        <w:t>1</w:t>
      </w:r>
      <w:r>
        <w:rPr>
          <w:rFonts w:hint="eastAsia"/>
          <w:b/>
          <w:bCs/>
          <w:sz w:val="24"/>
        </w:rPr>
        <w:t>、“投标</w:t>
      </w:r>
      <w:r>
        <w:rPr>
          <w:rFonts w:hint="eastAsia"/>
          <w:b/>
          <w:bCs/>
          <w:sz w:val="24"/>
          <w:lang w:val="en-US" w:eastAsia="zh-CN"/>
        </w:rPr>
        <w:t>商务条款</w:t>
      </w:r>
      <w:r>
        <w:rPr>
          <w:rFonts w:hint="eastAsia"/>
          <w:b/>
          <w:bCs/>
          <w:sz w:val="24"/>
        </w:rPr>
        <w:t>”一栏必须一一对照“招标</w:t>
      </w:r>
      <w:r>
        <w:rPr>
          <w:rFonts w:hint="eastAsia"/>
          <w:b/>
          <w:bCs/>
          <w:sz w:val="24"/>
          <w:lang w:val="en-US" w:eastAsia="zh-CN"/>
        </w:rPr>
        <w:t>商务条款</w:t>
      </w:r>
      <w:r>
        <w:rPr>
          <w:rFonts w:hint="eastAsia"/>
          <w:b/>
          <w:bCs/>
          <w:sz w:val="24"/>
        </w:rPr>
        <w:t>”，详细填写投标人具体响应情况。</w:t>
      </w:r>
    </w:p>
    <w:p w14:paraId="7F77C865">
      <w:pPr>
        <w:rPr>
          <w:b/>
          <w:sz w:val="24"/>
        </w:rPr>
      </w:pPr>
      <w:r>
        <w:rPr>
          <w:rFonts w:hint="eastAsia"/>
          <w:b/>
          <w:bCs/>
          <w:sz w:val="24"/>
          <w:lang w:val="en-US" w:eastAsia="zh-CN"/>
        </w:rPr>
        <w:t>2</w:t>
      </w:r>
      <w:r>
        <w:rPr>
          <w:rFonts w:hint="eastAsia"/>
          <w:b/>
          <w:bCs/>
          <w:sz w:val="24"/>
        </w:rPr>
        <w:t>、“偏离情况”一栏如实填写“正偏离”、“负偏离”或“无偏离”，其中：“正偏离”表示</w:t>
      </w:r>
      <w:r>
        <w:rPr>
          <w:rFonts w:hint="eastAsia"/>
          <w:b/>
          <w:sz w:val="24"/>
        </w:rPr>
        <w:t>“投标响应优于招标</w:t>
      </w:r>
      <w:r>
        <w:rPr>
          <w:rFonts w:hint="eastAsia"/>
          <w:b/>
          <w:sz w:val="24"/>
          <w:lang w:val="en-US" w:eastAsia="zh-CN"/>
        </w:rPr>
        <w:t>商务</w:t>
      </w:r>
      <w:r>
        <w:rPr>
          <w:rFonts w:hint="eastAsia"/>
          <w:b/>
          <w:sz w:val="24"/>
        </w:rPr>
        <w:t>要求”，“负偏离”表示“投标响应不满足招标</w:t>
      </w:r>
      <w:r>
        <w:rPr>
          <w:rFonts w:hint="eastAsia"/>
          <w:b/>
          <w:sz w:val="24"/>
          <w:lang w:val="en-US" w:eastAsia="zh-CN"/>
        </w:rPr>
        <w:t>商务</w:t>
      </w:r>
      <w:r>
        <w:rPr>
          <w:rFonts w:hint="eastAsia"/>
          <w:b/>
          <w:sz w:val="24"/>
        </w:rPr>
        <w:t>要求”，“无偏离”表示“投标响应与招标</w:t>
      </w:r>
      <w:r>
        <w:rPr>
          <w:rFonts w:hint="eastAsia"/>
          <w:b/>
          <w:sz w:val="24"/>
          <w:lang w:val="en-US" w:eastAsia="zh-CN"/>
        </w:rPr>
        <w:t>商务</w:t>
      </w:r>
      <w:r>
        <w:rPr>
          <w:rFonts w:hint="eastAsia"/>
          <w:b/>
          <w:sz w:val="24"/>
        </w:rPr>
        <w:t>要求一致”。“投标</w:t>
      </w:r>
      <w:r>
        <w:rPr>
          <w:rFonts w:hint="eastAsia"/>
          <w:b/>
          <w:sz w:val="24"/>
          <w:lang w:val="en-US" w:eastAsia="zh-CN"/>
        </w:rPr>
        <w:t>商务条款</w:t>
      </w:r>
      <w:r>
        <w:rPr>
          <w:rFonts w:hint="eastAsia"/>
          <w:b/>
          <w:sz w:val="24"/>
        </w:rPr>
        <w:t>”对比“招标</w:t>
      </w:r>
      <w:r>
        <w:rPr>
          <w:rFonts w:hint="eastAsia"/>
          <w:b/>
          <w:sz w:val="24"/>
          <w:lang w:val="en-US" w:eastAsia="zh-CN"/>
        </w:rPr>
        <w:t>商务</w:t>
      </w:r>
      <w:r>
        <w:rPr>
          <w:rFonts w:hint="eastAsia"/>
          <w:b/>
          <w:sz w:val="24"/>
        </w:rPr>
        <w:t>要求”存在响应不全（包括未响应整项招标</w:t>
      </w:r>
      <w:r>
        <w:rPr>
          <w:rFonts w:hint="eastAsia"/>
          <w:b/>
          <w:sz w:val="24"/>
          <w:lang w:val="en-US" w:eastAsia="zh-CN"/>
        </w:rPr>
        <w:t>商务</w:t>
      </w:r>
      <w:r>
        <w:rPr>
          <w:rFonts w:hint="eastAsia"/>
          <w:b/>
          <w:sz w:val="24"/>
        </w:rPr>
        <w:t>要求或者未响应一项招标</w:t>
      </w:r>
      <w:r>
        <w:rPr>
          <w:rFonts w:hint="eastAsia"/>
          <w:b/>
          <w:sz w:val="24"/>
          <w:lang w:val="en-US" w:eastAsia="zh-CN"/>
        </w:rPr>
        <w:t>商务</w:t>
      </w:r>
      <w:r>
        <w:rPr>
          <w:rFonts w:hint="eastAsia"/>
          <w:b/>
          <w:sz w:val="24"/>
        </w:rPr>
        <w:t>要求的部分内容），均视为“负偏离”。</w:t>
      </w:r>
    </w:p>
    <w:p w14:paraId="5FD5AFC9">
      <w:pPr>
        <w:rPr>
          <w:sz w:val="24"/>
        </w:rPr>
      </w:pPr>
    </w:p>
    <w:p w14:paraId="7C1A0ABA">
      <w:pPr>
        <w:spacing w:line="580" w:lineRule="exact"/>
        <w:ind w:firstLine="480" w:firstLineChars="200"/>
        <w:rPr>
          <w:rFonts w:hint="default" w:ascii="宋体" w:hAnsi="宋体" w:cs="宋体"/>
          <w:color w:val="333333"/>
          <w:kern w:val="0"/>
          <w:sz w:val="24"/>
          <w:szCs w:val="24"/>
          <w:lang w:val="en-US" w:eastAsia="zh-CN"/>
        </w:rPr>
      </w:pPr>
      <w:r>
        <w:rPr>
          <w:rFonts w:hint="default" w:cs="仿宋" w:asciiTheme="minorEastAsia" w:hAnsiTheme="minorEastAsia" w:eastAsiaTheme="minorEastAsia"/>
          <w:sz w:val="24"/>
          <w:szCs w:val="24"/>
          <w:lang w:val="en-US" w:eastAsia="zh-CN"/>
        </w:rPr>
        <w:br w:type="page"/>
      </w:r>
    </w:p>
    <w:p w14:paraId="3721492C">
      <w:pPr>
        <w:pStyle w:val="3"/>
        <w:bidi w:val="0"/>
        <w:rPr>
          <w:rStyle w:val="14"/>
          <w:rFonts w:hint="eastAsia"/>
          <w:b w:val="0"/>
          <w:lang w:val="en-US" w:eastAsia="zh-CN"/>
        </w:rPr>
      </w:pPr>
      <w:r>
        <w:rPr>
          <w:rFonts w:hint="eastAsia"/>
          <w:lang w:val="en-US" w:eastAsia="zh-CN"/>
        </w:rPr>
        <w:t>八、</w:t>
      </w:r>
      <w:r>
        <w:rPr>
          <w:rStyle w:val="14"/>
          <w:rFonts w:hint="eastAsia"/>
          <w:b w:val="0"/>
        </w:rPr>
        <w:t>投标人提供</w:t>
      </w:r>
      <w:r>
        <w:rPr>
          <w:rStyle w:val="14"/>
          <w:rFonts w:hint="eastAsia"/>
          <w:b w:val="0"/>
          <w:lang w:val="en-US" w:eastAsia="zh-CN"/>
        </w:rPr>
        <w:t>具有可行性的应急处置方案</w:t>
      </w:r>
      <w:r>
        <w:rPr>
          <w:rFonts w:hint="eastAsia"/>
          <w:color w:val="FF0000"/>
          <w:lang w:eastAsia="zh-CN"/>
        </w:rPr>
        <w:t>（</w:t>
      </w:r>
      <w:r>
        <w:rPr>
          <w:rFonts w:hint="eastAsia"/>
          <w:color w:val="FF0000"/>
          <w:lang w:val="en-US" w:eastAsia="zh-CN"/>
        </w:rPr>
        <w:t>加盖公章</w:t>
      </w:r>
      <w:r>
        <w:rPr>
          <w:rFonts w:hint="eastAsia"/>
          <w:color w:val="FF0000"/>
          <w:lang w:eastAsia="zh-CN"/>
        </w:rPr>
        <w:t>）</w:t>
      </w:r>
    </w:p>
    <w:p w14:paraId="65854448">
      <w:pPr>
        <w:rPr>
          <w:rFonts w:hint="eastAsia"/>
          <w:lang w:val="en-US" w:eastAsia="zh-CN"/>
        </w:rPr>
      </w:pPr>
      <w:r>
        <w:rPr>
          <w:rFonts w:ascii="宋体" w:hAnsi="宋体" w:eastAsia="宋体" w:cs="宋体"/>
          <w:sz w:val="24"/>
          <w:szCs w:val="24"/>
        </w:rPr>
        <w:t>投标人在投标文件中应提供具有可行性的应急处置方案，</w:t>
      </w:r>
      <w:r>
        <w:rPr>
          <w:rFonts w:ascii="宋体" w:hAnsi="宋体" w:eastAsia="宋体" w:cs="宋体"/>
          <w:b/>
          <w:bCs/>
          <w:sz w:val="24"/>
          <w:szCs w:val="24"/>
        </w:rPr>
        <w:t>包括但不限于以下内容</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（1）危险化学品泄漏事故；搬运过程和实验室火灾；搬运过程和实验室爆炸；搬运过程和实验室中毒；搬运过程和实验室触电；搬运过程和实验室化学灼伤；锐器利器划伤。</w:t>
      </w:r>
      <w:r>
        <w:rPr>
          <w:rFonts w:ascii="宋体" w:hAnsi="宋体" w:eastAsia="宋体" w:cs="宋体"/>
          <w:sz w:val="24"/>
          <w:szCs w:val="24"/>
        </w:rPr>
        <w:br w:type="textWrapping"/>
      </w:r>
      <w:r>
        <w:rPr>
          <w:rFonts w:ascii="宋体" w:hAnsi="宋体" w:eastAsia="宋体" w:cs="宋体"/>
          <w:sz w:val="24"/>
          <w:szCs w:val="24"/>
        </w:rPr>
        <w:t>（2）投标人应提供24小时电话响应服务，承诺接报后1小时内到达现场，故障解决时间在2小时以内。</w:t>
      </w:r>
      <w:r>
        <w:rPr>
          <w:rFonts w:ascii="宋体" w:hAnsi="宋体" w:eastAsia="宋体" w:cs="宋体"/>
          <w:sz w:val="24"/>
          <w:szCs w:val="24"/>
        </w:rPr>
        <w:br w:type="textWrapping"/>
      </w:r>
      <w:r>
        <w:rPr>
          <w:rFonts w:ascii="宋体" w:hAnsi="宋体" w:eastAsia="宋体" w:cs="宋体"/>
          <w:sz w:val="24"/>
          <w:szCs w:val="24"/>
        </w:rPr>
        <w:t>（3）中标人应在整体搬运工作开始前与采购人各相关业务科室充分沟通本次搬运需求，提供详尽的搬运项目方案。</w:t>
      </w:r>
      <w:r>
        <w:rPr>
          <w:rFonts w:ascii="宋体" w:hAnsi="宋体" w:eastAsia="宋体" w:cs="宋体"/>
          <w:sz w:val="24"/>
          <w:szCs w:val="24"/>
        </w:rPr>
        <w:br w:type="textWrapping"/>
      </w:r>
      <w:r>
        <w:rPr>
          <w:rFonts w:ascii="宋体" w:hAnsi="宋体" w:eastAsia="宋体" w:cs="宋体"/>
          <w:sz w:val="24"/>
          <w:szCs w:val="24"/>
        </w:rPr>
        <w:t>（4）在搬运过程中，中标人的搬运人员的人身安全由中标人负责，并为搬运人员所购买人身保险，覆盖搬运作业全过程，包括旧址设备及电器测试、货品拆装、移动、包装、运输、卸货、搬运、安装、调试、新址设备及电器测试。</w:t>
      </w:r>
      <w:r>
        <w:rPr>
          <w:rFonts w:hint="eastAsia"/>
          <w:lang w:val="en-US" w:eastAsia="zh-CN"/>
        </w:rPr>
        <w:br w:type="page"/>
      </w:r>
    </w:p>
    <w:p w14:paraId="5CF30CF5">
      <w:pPr>
        <w:pStyle w:val="3"/>
        <w:bidi w:val="0"/>
        <w:rPr>
          <w:rFonts w:hint="eastAsia"/>
          <w:color w:val="FF0000"/>
          <w:lang w:val="en-US" w:eastAsia="zh-CN"/>
        </w:rPr>
      </w:pPr>
      <w:r>
        <w:rPr>
          <w:rFonts w:hint="eastAsia"/>
          <w:lang w:val="en-US" w:eastAsia="zh-CN"/>
        </w:rPr>
        <w:t>九、保密承诺函</w:t>
      </w:r>
      <w:r>
        <w:rPr>
          <w:rFonts w:hint="eastAsia"/>
          <w:color w:val="FF0000"/>
          <w:lang w:eastAsia="zh-CN"/>
        </w:rPr>
        <w:t>（</w:t>
      </w:r>
      <w:r>
        <w:rPr>
          <w:rFonts w:hint="eastAsia"/>
          <w:color w:val="FF0000"/>
          <w:lang w:val="en-US" w:eastAsia="zh-CN"/>
        </w:rPr>
        <w:t>加盖公章</w:t>
      </w:r>
      <w:r>
        <w:rPr>
          <w:rFonts w:hint="eastAsia"/>
          <w:color w:val="FF0000"/>
          <w:lang w:eastAsia="zh-CN"/>
        </w:rPr>
        <w:t>）</w:t>
      </w:r>
    </w:p>
    <w:p w14:paraId="57605262">
      <w:pPr>
        <w:bidi w:val="0"/>
        <w:rPr>
          <w:rFonts w:hint="eastAsia"/>
        </w:rPr>
      </w:pPr>
      <w:r>
        <w:rPr>
          <w:rFonts w:hint="eastAsia" w:ascii="宋体" w:hAnsi="宋体" w:eastAsia="宋体" w:cs="宋体"/>
          <w:i w:val="0"/>
          <w:iCs w:val="0"/>
          <w:color w:val="000000"/>
          <w:kern w:val="0"/>
          <w:sz w:val="21"/>
          <w:szCs w:val="21"/>
          <w:u w:val="none"/>
          <w:lang w:val="en-US" w:eastAsia="zh-CN" w:bidi="ar"/>
        </w:rPr>
        <w:t>中标人必须依据相关法规文件要求承诺对在搬运服务项目中所涉及的技术、人员等资料承担保密义务和责任。（格式自拟）</w:t>
      </w:r>
    </w:p>
    <w:p w14:paraId="6CB8E151">
      <w:pPr>
        <w:rPr>
          <w:rFonts w:hint="eastAsia"/>
          <w:lang w:val="en-US" w:eastAsia="zh-CN"/>
        </w:rPr>
      </w:pPr>
      <w:r>
        <w:rPr>
          <w:rFonts w:hint="eastAsia"/>
          <w:lang w:val="en-US" w:eastAsia="zh-CN"/>
        </w:rPr>
        <w:br w:type="page"/>
      </w:r>
    </w:p>
    <w:p w14:paraId="5323F316">
      <w:pPr>
        <w:pStyle w:val="3"/>
        <w:bidi w:val="0"/>
        <w:rPr>
          <w:rFonts w:hint="eastAsia"/>
          <w:color w:val="FF0000"/>
          <w:lang w:val="en-US" w:eastAsia="zh-CN"/>
        </w:rPr>
      </w:pPr>
      <w:r>
        <w:rPr>
          <w:rFonts w:hint="eastAsia"/>
          <w:lang w:val="en-US" w:eastAsia="zh-CN"/>
        </w:rPr>
        <w:t>十、</w:t>
      </w:r>
      <w:r>
        <w:rPr>
          <w:rFonts w:hint="eastAsia"/>
        </w:rPr>
        <w:t>《诚信承诺函》</w:t>
      </w:r>
      <w:r>
        <w:rPr>
          <w:rFonts w:hint="eastAsia"/>
          <w:color w:val="FF0000"/>
          <w:lang w:eastAsia="zh-CN"/>
        </w:rPr>
        <w:t>（</w:t>
      </w:r>
      <w:r>
        <w:rPr>
          <w:rFonts w:hint="eastAsia"/>
          <w:color w:val="FF0000"/>
          <w:lang w:val="en-US" w:eastAsia="zh-CN"/>
        </w:rPr>
        <w:t>加盖公章</w:t>
      </w:r>
      <w:r>
        <w:rPr>
          <w:rFonts w:hint="eastAsia"/>
          <w:color w:val="FF0000"/>
          <w:lang w:eastAsia="zh-CN"/>
        </w:rPr>
        <w:t>）</w:t>
      </w:r>
    </w:p>
    <w:p w14:paraId="76822487">
      <w:pPr>
        <w:widowControl/>
        <w:shd w:val="clear" w:color="auto" w:fill="FFFFFF"/>
        <w:spacing w:line="360" w:lineRule="auto"/>
        <w:ind w:firstLine="480"/>
        <w:jc w:val="left"/>
        <w:rPr>
          <w:rFonts w:hint="eastAsia" w:ascii="宋体" w:hAnsi="宋体" w:cs="宋体"/>
          <w:color w:val="333333"/>
          <w:kern w:val="0"/>
          <w:sz w:val="24"/>
          <w:szCs w:val="24"/>
          <w:lang w:eastAsia="zh-CN"/>
        </w:rPr>
      </w:pPr>
      <w:r>
        <w:rPr>
          <w:rFonts w:hint="eastAsia" w:ascii="宋体" w:hAnsi="宋体" w:cs="宋体"/>
          <w:color w:val="333333"/>
          <w:kern w:val="0"/>
          <w:sz w:val="24"/>
          <w:szCs w:val="24"/>
          <w:lang w:val="en-US" w:eastAsia="zh-CN"/>
        </w:rPr>
        <w:t>需包含：</w:t>
      </w:r>
      <w:r>
        <w:rPr>
          <w:rFonts w:hint="eastAsia" w:ascii="宋体" w:hAnsi="宋体" w:cs="宋体"/>
          <w:color w:val="333333"/>
          <w:kern w:val="0"/>
          <w:sz w:val="24"/>
          <w:szCs w:val="24"/>
        </w:rPr>
        <w:t>本公司参与本项目投标前三年内，在经营活动中没有重大违法记录；参与本项目政府采购活动时不存在被有关部门禁止参与政府采购活动且在有效期内的情况；本公司具备《中华人民共和国政府采购法》第二十二条第一款的条件；本公司未被列入失信被执行人、重大税收违法案件当事人名单、政府采购严重违法失信行为记录名单；本公司不围标、不串标。</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格式自拟</w:t>
      </w:r>
      <w:r>
        <w:rPr>
          <w:rFonts w:hint="eastAsia" w:ascii="宋体" w:hAnsi="宋体" w:cs="宋体"/>
          <w:color w:val="333333"/>
          <w:kern w:val="0"/>
          <w:sz w:val="24"/>
          <w:szCs w:val="24"/>
          <w:lang w:eastAsia="zh-CN"/>
        </w:rPr>
        <w:t>）</w:t>
      </w:r>
    </w:p>
    <w:p w14:paraId="5465BB08">
      <w:pPr>
        <w:widowControl w:val="0"/>
        <w:numPr>
          <w:ilvl w:val="0"/>
          <w:numId w:val="0"/>
        </w:numPr>
        <w:jc w:val="both"/>
        <w:rPr>
          <w:rFonts w:hint="default" w:ascii="宋体" w:hAnsi="宋体" w:cs="宋体"/>
          <w:color w:val="333333"/>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D6ECCD99"/>
    <w:multiLevelType w:val="singleLevel"/>
    <w:tmpl w:val="D6ECCD99"/>
    <w:lvl w:ilvl="0" w:tentative="0">
      <w:start w:val="7"/>
      <w:numFmt w:val="decimal"/>
      <w:suff w:val="space"/>
      <w:lvlText w:val="%1."/>
      <w:lvlJc w:val="left"/>
    </w:lvl>
  </w:abstractNum>
  <w:abstractNum w:abstractNumId="2">
    <w:nsid w:val="38057310"/>
    <w:multiLevelType w:val="singleLevel"/>
    <w:tmpl w:val="38057310"/>
    <w:lvl w:ilvl="0" w:tentative="0">
      <w:start w:val="1"/>
      <w:numFmt w:val="decimal"/>
      <w:lvlText w:val="%1."/>
      <w:lvlJc w:val="left"/>
      <w:pPr>
        <w:tabs>
          <w:tab w:val="left" w:pos="312"/>
        </w:tabs>
      </w:pPr>
    </w:lvl>
  </w:abstractNum>
  <w:abstractNum w:abstractNumId="3">
    <w:nsid w:val="7B1712DF"/>
    <w:multiLevelType w:val="singleLevel"/>
    <w:tmpl w:val="7B1712DF"/>
    <w:lvl w:ilvl="0" w:tentative="0">
      <w:start w:val="1"/>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75A53"/>
    <w:rsid w:val="0D890E30"/>
    <w:rsid w:val="19CD6175"/>
    <w:rsid w:val="244E0D7D"/>
    <w:rsid w:val="328D6125"/>
    <w:rsid w:val="33450CED"/>
    <w:rsid w:val="33DD79B6"/>
    <w:rsid w:val="3BFD66A3"/>
    <w:rsid w:val="448827F5"/>
    <w:rsid w:val="4A854500"/>
    <w:rsid w:val="526C5FBC"/>
    <w:rsid w:val="55FD3B04"/>
    <w:rsid w:val="5A015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pPr>
      <w:spacing w:after="120"/>
    </w:pPr>
    <w:rPr>
      <w:kern w:val="0"/>
      <w:sz w:val="20"/>
    </w:rPr>
  </w:style>
  <w:style w:type="paragraph" w:styleId="6">
    <w:name w:val="Body Text 2"/>
    <w:basedOn w:val="1"/>
    <w:qFormat/>
    <w:uiPriority w:val="0"/>
    <w:pPr>
      <w:spacing w:line="360" w:lineRule="auto"/>
    </w:pPr>
    <w:rPr>
      <w:sz w:val="24"/>
    </w:rPr>
  </w:style>
  <w:style w:type="table" w:styleId="8">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
    <w:name w:val="标题 1 Char"/>
    <w:link w:val="2"/>
    <w:qFormat/>
    <w:uiPriority w:val="0"/>
    <w:rPr>
      <w:b/>
      <w:kern w:val="44"/>
      <w:sz w:val="44"/>
    </w:rPr>
  </w:style>
  <w:style w:type="character" w:customStyle="1" w:styleId="14">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4321</Words>
  <Characters>4353</Characters>
  <Lines>0</Lines>
  <Paragraphs>0</Paragraphs>
  <TotalTime>0</TotalTime>
  <ScaleCrop>false</ScaleCrop>
  <LinksUpToDate>false</LinksUpToDate>
  <CharactersWithSpaces>4788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2026-02-26T03:02:40Z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eyJoZGlkIjoiYWIyNDBhNzNiZDE1NzEwNDFhM2QwOGQ1ZjY1ODdlMzUiLCJ1c2VySWQiOiI2NjA4OTgyNTgifQ==</vt:lpwstr>
  </property>
  <property fmtid="{D5CDD505-2E9C-101B-9397-08002B2CF9AE}" pid="4" name="ICV">
    <vt:lpwstr>84FE47AC6D974A76B22145D7D3D6C6AD_12</vt:lpwstr>
  </property>
</Properties>
</file>