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5F4E">
      <w:pPr>
        <w:rPr>
          <w:sz w:val="24"/>
          <w:szCs w:val="24"/>
        </w:rPr>
      </w:pPr>
      <w:r>
        <w:rPr>
          <w:rFonts w:hint="eastAsia"/>
          <w:sz w:val="24"/>
          <w:szCs w:val="24"/>
        </w:rPr>
        <w:t>附件三 ★商务条款偏离情况表 （“★”号条款为实质性条款，有任何一条负偏离则导致无效投标）。</w:t>
      </w:r>
    </w:p>
    <w:tbl>
      <w:tblPr>
        <w:tblStyle w:val="6"/>
        <w:tblW w:w="4998" w:type="pct"/>
        <w:tblInd w:w="0" w:type="dxa"/>
        <w:tblLayout w:type="autofit"/>
        <w:tblCellMar>
          <w:top w:w="0" w:type="dxa"/>
          <w:left w:w="108" w:type="dxa"/>
          <w:bottom w:w="0" w:type="dxa"/>
          <w:right w:w="108" w:type="dxa"/>
        </w:tblCellMar>
      </w:tblPr>
      <w:tblGrid>
        <w:gridCol w:w="1159"/>
        <w:gridCol w:w="709"/>
        <w:gridCol w:w="2659"/>
        <w:gridCol w:w="2906"/>
        <w:gridCol w:w="1086"/>
      </w:tblGrid>
      <w:tr w14:paraId="1D0BB4D7">
        <w:tblPrEx>
          <w:tblCellMar>
            <w:top w:w="0" w:type="dxa"/>
            <w:left w:w="108" w:type="dxa"/>
            <w:bottom w:w="0" w:type="dxa"/>
            <w:right w:w="108" w:type="dxa"/>
          </w:tblCellMar>
        </w:tblPrEx>
        <w:trPr>
          <w:trHeight w:val="453" w:hRule="atLeast"/>
        </w:trPr>
        <w:tc>
          <w:tcPr>
            <w:tcW w:w="680" w:type="pct"/>
            <w:tcBorders>
              <w:top w:val="single" w:color="auto" w:sz="8" w:space="0"/>
              <w:left w:val="single" w:color="auto" w:sz="8" w:space="0"/>
              <w:bottom w:val="single" w:color="auto" w:sz="8" w:space="0"/>
              <w:right w:val="single" w:color="auto" w:sz="8" w:space="0"/>
            </w:tcBorders>
            <w:noWrap w:val="0"/>
            <w:vAlign w:val="center"/>
          </w:tcPr>
          <w:p w14:paraId="3CCF588C">
            <w:pPr>
              <w:widowControl/>
              <w:jc w:val="center"/>
              <w:rPr>
                <w:rFonts w:hint="eastAsia" w:ascii="宋体" w:hAnsi="宋体" w:eastAsia="宋体" w:cs="宋体"/>
                <w:kern w:val="0"/>
                <w:szCs w:val="21"/>
              </w:rPr>
            </w:pPr>
            <w:r>
              <w:rPr>
                <w:rFonts w:hint="eastAsia" w:ascii="宋体" w:hAnsi="宋体" w:eastAsia="宋体" w:cs="宋体"/>
                <w:kern w:val="0"/>
                <w:szCs w:val="21"/>
              </w:rPr>
              <w:t>需求名称</w:t>
            </w:r>
          </w:p>
        </w:tc>
        <w:tc>
          <w:tcPr>
            <w:tcW w:w="416" w:type="pct"/>
            <w:tcBorders>
              <w:top w:val="single" w:color="auto" w:sz="8" w:space="0"/>
              <w:left w:val="nil"/>
              <w:bottom w:val="single" w:color="auto" w:sz="8" w:space="0"/>
              <w:right w:val="single" w:color="auto" w:sz="8" w:space="0"/>
            </w:tcBorders>
            <w:noWrap w:val="0"/>
            <w:vAlign w:val="center"/>
          </w:tcPr>
          <w:p w14:paraId="47F53C8C">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560" w:type="pct"/>
            <w:tcBorders>
              <w:top w:val="single" w:color="auto" w:sz="8" w:space="0"/>
              <w:left w:val="nil"/>
              <w:bottom w:val="single" w:color="auto" w:sz="8" w:space="0"/>
              <w:right w:val="single" w:color="auto" w:sz="8" w:space="0"/>
            </w:tcBorders>
            <w:noWrap w:val="0"/>
            <w:vAlign w:val="center"/>
          </w:tcPr>
          <w:p w14:paraId="498F9B41">
            <w:pPr>
              <w:widowControl/>
              <w:jc w:val="center"/>
              <w:rPr>
                <w:rFonts w:hint="default" w:ascii="宋体" w:hAnsi="宋体" w:eastAsia="宋体" w:cs="宋体"/>
                <w:kern w:val="0"/>
                <w:szCs w:val="21"/>
                <w:lang w:val="en-US"/>
              </w:rPr>
            </w:pPr>
            <w:r>
              <w:rPr>
                <w:rFonts w:hint="eastAsia" w:ascii="宋体" w:hAnsi="宋体" w:eastAsia="宋体" w:cs="宋体"/>
                <w:kern w:val="0"/>
                <w:szCs w:val="21"/>
                <w:lang w:val="en-US" w:eastAsia="zh-CN"/>
              </w:rPr>
              <w:t>招标商务需求</w:t>
            </w:r>
          </w:p>
        </w:tc>
        <w:tc>
          <w:tcPr>
            <w:tcW w:w="1705" w:type="pct"/>
            <w:tcBorders>
              <w:top w:val="single" w:color="auto" w:sz="8" w:space="0"/>
              <w:left w:val="nil"/>
              <w:bottom w:val="single" w:color="auto" w:sz="8" w:space="0"/>
              <w:right w:val="single" w:color="auto" w:sz="8" w:space="0"/>
            </w:tcBorders>
            <w:noWrap w:val="0"/>
            <w:vAlign w:val="center"/>
          </w:tcPr>
          <w:p w14:paraId="35BF3F1A">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投标商务需求</w:t>
            </w:r>
          </w:p>
        </w:tc>
        <w:tc>
          <w:tcPr>
            <w:tcW w:w="637" w:type="pct"/>
            <w:tcBorders>
              <w:top w:val="single" w:color="auto" w:sz="8" w:space="0"/>
              <w:left w:val="nil"/>
              <w:bottom w:val="single" w:color="auto" w:sz="8" w:space="0"/>
              <w:right w:val="single" w:color="auto" w:sz="8" w:space="0"/>
            </w:tcBorders>
            <w:noWrap w:val="0"/>
            <w:vAlign w:val="center"/>
          </w:tcPr>
          <w:p w14:paraId="08CB897C">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偏离情况</w:t>
            </w:r>
          </w:p>
        </w:tc>
      </w:tr>
      <w:tr w14:paraId="5C3393A1">
        <w:tblPrEx>
          <w:tblCellMar>
            <w:top w:w="0" w:type="dxa"/>
            <w:left w:w="108" w:type="dxa"/>
            <w:bottom w:w="0" w:type="dxa"/>
            <w:right w:w="108" w:type="dxa"/>
          </w:tblCellMar>
        </w:tblPrEx>
        <w:trPr>
          <w:trHeight w:val="90" w:hRule="atLeast"/>
        </w:trPr>
        <w:tc>
          <w:tcPr>
            <w:tcW w:w="680" w:type="pct"/>
            <w:tcBorders>
              <w:top w:val="single" w:color="auto" w:sz="4" w:space="0"/>
              <w:left w:val="single" w:color="auto" w:sz="4" w:space="0"/>
              <w:right w:val="single" w:color="auto" w:sz="8" w:space="0"/>
            </w:tcBorders>
            <w:noWrap w:val="0"/>
            <w:vAlign w:val="center"/>
          </w:tcPr>
          <w:p w14:paraId="494FCE1A">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1.服务期</w:t>
            </w:r>
          </w:p>
        </w:tc>
        <w:tc>
          <w:tcPr>
            <w:tcW w:w="416" w:type="pct"/>
            <w:tcBorders>
              <w:top w:val="single" w:color="auto" w:sz="4" w:space="0"/>
              <w:left w:val="nil"/>
              <w:bottom w:val="single" w:color="auto" w:sz="4" w:space="0"/>
              <w:right w:val="single" w:color="auto" w:sz="8" w:space="0"/>
            </w:tcBorders>
            <w:noWrap w:val="0"/>
            <w:vAlign w:val="center"/>
          </w:tcPr>
          <w:p w14:paraId="4B44F684">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w:t>
            </w:r>
          </w:p>
        </w:tc>
        <w:tc>
          <w:tcPr>
            <w:tcW w:w="1560" w:type="pct"/>
            <w:tcBorders>
              <w:top w:val="single" w:color="auto" w:sz="4" w:space="0"/>
              <w:left w:val="nil"/>
              <w:bottom w:val="single" w:color="auto" w:sz="4" w:space="0"/>
              <w:right w:val="single" w:color="auto" w:sz="4" w:space="0"/>
            </w:tcBorders>
            <w:noWrap w:val="0"/>
            <w:vAlign w:val="center"/>
          </w:tcPr>
          <w:p w14:paraId="4A63976D">
            <w:pPr>
              <w:widowControl/>
              <w:rPr>
                <w:rFonts w:hint="eastAsia" w:ascii="宋体" w:hAnsi="宋体" w:eastAsia="宋体" w:cs="宋体"/>
                <w:color w:val="auto"/>
                <w:szCs w:val="21"/>
              </w:rPr>
            </w:pPr>
            <w:r>
              <w:rPr>
                <w:rFonts w:hint="eastAsia" w:ascii="宋体" w:hAnsi="宋体" w:eastAsia="宋体" w:cs="宋体"/>
                <w:color w:val="auto"/>
                <w:szCs w:val="21"/>
              </w:rPr>
              <w:t>服务期限</w:t>
            </w:r>
            <w:r>
              <w:rPr>
                <w:rFonts w:hint="eastAsia" w:ascii="宋体" w:hAnsi="宋体" w:eastAsia="宋体" w:cs="宋体"/>
                <w:color w:val="auto"/>
                <w:szCs w:val="21"/>
                <w:lang w:val="en-US" w:eastAsia="zh-CN"/>
              </w:rPr>
              <w:t>自验收合格之日起三年。</w:t>
            </w:r>
          </w:p>
        </w:tc>
        <w:tc>
          <w:tcPr>
            <w:tcW w:w="1705" w:type="pct"/>
            <w:tcBorders>
              <w:top w:val="single" w:color="auto" w:sz="4" w:space="0"/>
              <w:left w:val="nil"/>
              <w:bottom w:val="single" w:color="auto" w:sz="4" w:space="0"/>
              <w:right w:val="single" w:color="auto" w:sz="4" w:space="0"/>
            </w:tcBorders>
            <w:noWrap w:val="0"/>
            <w:vAlign w:val="center"/>
          </w:tcPr>
          <w:p w14:paraId="0C76418A">
            <w:pPr>
              <w:widowControl/>
              <w:rPr>
                <w:rFonts w:hint="eastAsia" w:ascii="宋体" w:hAnsi="宋体" w:eastAsia="宋体" w:cs="宋体"/>
                <w:color w:val="auto"/>
                <w:szCs w:val="21"/>
              </w:rPr>
            </w:pPr>
            <w:bookmarkStart w:id="0" w:name="_GoBack"/>
            <w:bookmarkEnd w:id="0"/>
          </w:p>
        </w:tc>
        <w:tc>
          <w:tcPr>
            <w:tcW w:w="637" w:type="pct"/>
            <w:tcBorders>
              <w:top w:val="single" w:color="auto" w:sz="4" w:space="0"/>
              <w:left w:val="nil"/>
              <w:bottom w:val="single" w:color="auto" w:sz="4" w:space="0"/>
              <w:right w:val="single" w:color="auto" w:sz="4" w:space="0"/>
            </w:tcBorders>
            <w:noWrap w:val="0"/>
            <w:vAlign w:val="center"/>
          </w:tcPr>
          <w:p w14:paraId="4D3BF118">
            <w:pPr>
              <w:widowControl/>
              <w:rPr>
                <w:rFonts w:hint="eastAsia" w:ascii="宋体" w:hAnsi="宋体" w:eastAsia="宋体" w:cs="宋体"/>
                <w:color w:val="auto"/>
                <w:szCs w:val="21"/>
              </w:rPr>
            </w:pPr>
          </w:p>
        </w:tc>
      </w:tr>
      <w:tr w14:paraId="201FB6B4">
        <w:tblPrEx>
          <w:tblCellMar>
            <w:top w:w="0" w:type="dxa"/>
            <w:left w:w="108" w:type="dxa"/>
            <w:bottom w:w="0" w:type="dxa"/>
            <w:right w:w="108" w:type="dxa"/>
          </w:tblCellMar>
        </w:tblPrEx>
        <w:trPr>
          <w:trHeight w:val="90" w:hRule="atLeast"/>
        </w:trPr>
        <w:tc>
          <w:tcPr>
            <w:tcW w:w="680" w:type="pct"/>
            <w:tcBorders>
              <w:top w:val="single" w:color="auto" w:sz="4" w:space="0"/>
              <w:left w:val="single" w:color="auto" w:sz="4" w:space="0"/>
              <w:right w:val="single" w:color="auto" w:sz="8" w:space="0"/>
            </w:tcBorders>
            <w:noWrap w:val="0"/>
            <w:vAlign w:val="center"/>
          </w:tcPr>
          <w:p w14:paraId="39FA6036">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2.服务内容</w:t>
            </w:r>
          </w:p>
        </w:tc>
        <w:tc>
          <w:tcPr>
            <w:tcW w:w="416" w:type="pct"/>
            <w:tcBorders>
              <w:top w:val="single" w:color="auto" w:sz="4" w:space="0"/>
              <w:left w:val="nil"/>
              <w:bottom w:val="single" w:color="auto" w:sz="4" w:space="0"/>
              <w:right w:val="single" w:color="auto" w:sz="8" w:space="0"/>
            </w:tcBorders>
            <w:noWrap w:val="0"/>
            <w:vAlign w:val="center"/>
          </w:tcPr>
          <w:p w14:paraId="582776A2">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2.1</w:t>
            </w:r>
          </w:p>
        </w:tc>
        <w:tc>
          <w:tcPr>
            <w:tcW w:w="1560" w:type="pct"/>
            <w:tcBorders>
              <w:top w:val="single" w:color="auto" w:sz="4" w:space="0"/>
              <w:left w:val="nil"/>
              <w:bottom w:val="single" w:color="auto" w:sz="4" w:space="0"/>
              <w:right w:val="single" w:color="auto" w:sz="4" w:space="0"/>
            </w:tcBorders>
            <w:noWrap w:val="0"/>
            <w:vAlign w:val="center"/>
          </w:tcPr>
          <w:p w14:paraId="69584ABA">
            <w:pPr>
              <w:widowControl/>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租赁1台云服务器</w:t>
            </w:r>
            <w:r>
              <w:rPr>
                <w:rFonts w:hint="eastAsia" w:ascii="宋体" w:hAnsi="宋体" w:eastAsia="宋体" w:cs="宋体"/>
                <w:color w:val="auto"/>
                <w:szCs w:val="21"/>
                <w:lang w:val="en-US" w:eastAsia="zh-CN"/>
              </w:rPr>
              <w:t>。</w:t>
            </w:r>
          </w:p>
        </w:tc>
        <w:tc>
          <w:tcPr>
            <w:tcW w:w="1705" w:type="pct"/>
            <w:tcBorders>
              <w:top w:val="single" w:color="auto" w:sz="4" w:space="0"/>
              <w:left w:val="nil"/>
              <w:bottom w:val="single" w:color="auto" w:sz="4" w:space="0"/>
              <w:right w:val="single" w:color="auto" w:sz="4" w:space="0"/>
            </w:tcBorders>
            <w:noWrap w:val="0"/>
            <w:vAlign w:val="center"/>
          </w:tcPr>
          <w:p w14:paraId="6B7BF849">
            <w:pPr>
              <w:widowControl/>
              <w:rPr>
                <w:rFonts w:hint="default" w:ascii="宋体" w:hAnsi="宋体" w:eastAsia="宋体" w:cs="宋体"/>
                <w:color w:val="auto"/>
                <w:szCs w:val="21"/>
                <w:lang w:val="en-US" w:eastAsia="zh-CN"/>
              </w:rPr>
            </w:pPr>
          </w:p>
        </w:tc>
        <w:tc>
          <w:tcPr>
            <w:tcW w:w="637" w:type="pct"/>
            <w:tcBorders>
              <w:top w:val="single" w:color="auto" w:sz="4" w:space="0"/>
              <w:left w:val="nil"/>
              <w:bottom w:val="single" w:color="auto" w:sz="4" w:space="0"/>
              <w:right w:val="single" w:color="auto" w:sz="4" w:space="0"/>
            </w:tcBorders>
            <w:noWrap w:val="0"/>
            <w:vAlign w:val="center"/>
          </w:tcPr>
          <w:p w14:paraId="40F5903C">
            <w:pPr>
              <w:widowControl/>
              <w:rPr>
                <w:rFonts w:hint="default" w:ascii="宋体" w:hAnsi="宋体" w:eastAsia="宋体" w:cs="宋体"/>
                <w:color w:val="auto"/>
                <w:szCs w:val="21"/>
                <w:lang w:val="en-US" w:eastAsia="zh-CN"/>
              </w:rPr>
            </w:pPr>
          </w:p>
        </w:tc>
      </w:tr>
      <w:tr w14:paraId="65809A47">
        <w:tblPrEx>
          <w:tblCellMar>
            <w:top w:w="0" w:type="dxa"/>
            <w:left w:w="108" w:type="dxa"/>
            <w:bottom w:w="0" w:type="dxa"/>
            <w:right w:w="108" w:type="dxa"/>
          </w:tblCellMar>
        </w:tblPrEx>
        <w:trPr>
          <w:trHeight w:val="732" w:hRule="atLeast"/>
        </w:trPr>
        <w:tc>
          <w:tcPr>
            <w:tcW w:w="680" w:type="pct"/>
            <w:tcBorders>
              <w:top w:val="single" w:color="auto" w:sz="4" w:space="0"/>
              <w:left w:val="single" w:color="auto" w:sz="4" w:space="0"/>
              <w:right w:val="single" w:color="auto" w:sz="8" w:space="0"/>
            </w:tcBorders>
            <w:noWrap w:val="0"/>
            <w:vAlign w:val="center"/>
          </w:tcPr>
          <w:p w14:paraId="4703975C">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.验收要求</w:t>
            </w:r>
          </w:p>
        </w:tc>
        <w:tc>
          <w:tcPr>
            <w:tcW w:w="416" w:type="pct"/>
            <w:tcBorders>
              <w:top w:val="single" w:color="auto" w:sz="4" w:space="0"/>
              <w:left w:val="nil"/>
              <w:right w:val="single" w:color="auto" w:sz="8" w:space="0"/>
            </w:tcBorders>
            <w:noWrap w:val="0"/>
            <w:vAlign w:val="center"/>
          </w:tcPr>
          <w:p w14:paraId="415E0FFD">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2</w:t>
            </w:r>
          </w:p>
        </w:tc>
        <w:tc>
          <w:tcPr>
            <w:tcW w:w="1560" w:type="pct"/>
            <w:tcBorders>
              <w:top w:val="single" w:color="auto" w:sz="4" w:space="0"/>
              <w:left w:val="nil"/>
              <w:bottom w:val="single" w:color="auto" w:sz="4" w:space="0"/>
              <w:right w:val="single" w:color="auto" w:sz="4" w:space="0"/>
            </w:tcBorders>
            <w:noWrap w:val="0"/>
            <w:vAlign w:val="center"/>
          </w:tcPr>
          <w:p w14:paraId="290F92B1">
            <w:pPr>
              <w:rPr>
                <w:rFonts w:hint="eastAsia" w:ascii="宋体" w:hAnsi="宋体" w:eastAsia="宋体" w:cs="宋体"/>
                <w:color w:val="auto"/>
                <w:spacing w:val="-3"/>
                <w:szCs w:val="21"/>
              </w:rPr>
            </w:pPr>
            <w:r>
              <w:rPr>
                <w:rFonts w:hint="eastAsia" w:ascii="宋体" w:hAnsi="宋体" w:eastAsia="宋体" w:cs="宋体"/>
                <w:color w:val="auto"/>
                <w:spacing w:val="-3"/>
                <w:szCs w:val="21"/>
                <w:lang w:val="en-US" w:eastAsia="zh-CN"/>
              </w:rPr>
              <w:t>服务</w:t>
            </w:r>
            <w:r>
              <w:rPr>
                <w:rFonts w:hint="eastAsia" w:ascii="宋体" w:hAnsi="宋体" w:eastAsia="宋体" w:cs="宋体"/>
                <w:color w:val="auto"/>
                <w:spacing w:val="-3"/>
                <w:szCs w:val="21"/>
              </w:rPr>
              <w:t>必须满足以下条件后方可被用户方接受：</w:t>
            </w:r>
          </w:p>
          <w:p w14:paraId="28867E6A">
            <w:pPr>
              <w:rPr>
                <w:rFonts w:hint="eastAsia" w:ascii="宋体" w:hAnsi="宋体" w:eastAsia="宋体" w:cs="宋体"/>
                <w:color w:val="auto"/>
                <w:spacing w:val="-3"/>
                <w:szCs w:val="21"/>
              </w:rPr>
            </w:pPr>
            <w:r>
              <w:rPr>
                <w:rFonts w:hint="eastAsia" w:ascii="宋体" w:hAnsi="宋体" w:eastAsia="宋体" w:cs="宋体"/>
                <w:color w:val="auto"/>
                <w:spacing w:val="-3"/>
                <w:szCs w:val="21"/>
              </w:rPr>
              <w:t>（1）必须符合有关国标的规定，响应文件提供的技术数据经实测证实是真实的，检验及质量保证期内达到的性能指标与要求一致，达到或优于相应标准。</w:t>
            </w:r>
          </w:p>
          <w:p w14:paraId="781FC76D">
            <w:pPr>
              <w:rPr>
                <w:rFonts w:hint="eastAsia" w:ascii="宋体" w:hAnsi="宋体" w:eastAsia="宋体" w:cs="宋体"/>
                <w:color w:val="auto"/>
                <w:spacing w:val="-3"/>
                <w:szCs w:val="21"/>
              </w:rPr>
            </w:pPr>
            <w:r>
              <w:rPr>
                <w:rFonts w:hint="eastAsia" w:ascii="宋体" w:hAnsi="宋体" w:eastAsia="宋体" w:cs="宋体"/>
                <w:color w:val="auto"/>
                <w:spacing w:val="-3"/>
                <w:szCs w:val="21"/>
              </w:rPr>
              <w:t>（</w:t>
            </w:r>
            <w:r>
              <w:rPr>
                <w:rFonts w:hint="eastAsia" w:ascii="宋体" w:hAnsi="宋体" w:eastAsia="宋体" w:cs="宋体"/>
                <w:color w:val="auto"/>
                <w:spacing w:val="-3"/>
                <w:szCs w:val="21"/>
                <w:lang w:val="en-US" w:eastAsia="zh-CN"/>
              </w:rPr>
              <w:t>2</w:t>
            </w:r>
            <w:r>
              <w:rPr>
                <w:rFonts w:hint="eastAsia" w:ascii="宋体" w:hAnsi="宋体" w:eastAsia="宋体" w:cs="宋体"/>
                <w:color w:val="auto"/>
                <w:spacing w:val="-3"/>
                <w:szCs w:val="21"/>
              </w:rPr>
              <w:t>）按照采购文件要求及响应文件提供的技术参数验收必须合格。</w:t>
            </w:r>
          </w:p>
          <w:p w14:paraId="1D0ABC50">
            <w:pPr>
              <w:rPr>
                <w:rFonts w:hint="eastAsia" w:ascii="宋体" w:hAnsi="宋体" w:eastAsia="宋体" w:cs="宋体"/>
                <w:color w:val="auto"/>
                <w:spacing w:val="-3"/>
                <w:szCs w:val="21"/>
              </w:rPr>
            </w:pPr>
            <w:r>
              <w:rPr>
                <w:rFonts w:hint="eastAsia" w:ascii="宋体" w:hAnsi="宋体" w:eastAsia="宋体" w:cs="宋体"/>
                <w:color w:val="auto"/>
                <w:spacing w:val="-3"/>
                <w:szCs w:val="21"/>
              </w:rPr>
              <w:t>（</w:t>
            </w:r>
            <w:r>
              <w:rPr>
                <w:rFonts w:hint="eastAsia" w:ascii="宋体" w:hAnsi="宋体" w:eastAsia="宋体" w:cs="宋体"/>
                <w:color w:val="auto"/>
                <w:spacing w:val="-3"/>
                <w:szCs w:val="21"/>
                <w:lang w:val="en-US" w:eastAsia="zh-CN"/>
              </w:rPr>
              <w:t>3</w:t>
            </w:r>
            <w:r>
              <w:rPr>
                <w:rFonts w:hint="eastAsia" w:ascii="宋体" w:hAnsi="宋体" w:eastAsia="宋体" w:cs="宋体"/>
                <w:color w:val="auto"/>
                <w:spacing w:val="-3"/>
                <w:szCs w:val="21"/>
              </w:rPr>
              <w:t>）在</w:t>
            </w:r>
            <w:r>
              <w:rPr>
                <w:rFonts w:hint="eastAsia" w:ascii="宋体" w:hAnsi="宋体" w:eastAsia="宋体" w:cs="宋体"/>
                <w:color w:val="auto"/>
                <w:spacing w:val="-3"/>
                <w:szCs w:val="21"/>
                <w:lang w:val="en-US" w:eastAsia="zh-CN"/>
              </w:rPr>
              <w:t>验收</w:t>
            </w:r>
            <w:r>
              <w:rPr>
                <w:rFonts w:hint="eastAsia" w:ascii="宋体" w:hAnsi="宋体" w:eastAsia="宋体" w:cs="宋体"/>
                <w:color w:val="auto"/>
                <w:spacing w:val="-3"/>
                <w:szCs w:val="21"/>
              </w:rPr>
              <w:t>合格后，能达到采购人使用要求，由采购人组织验收，双方共同签署验收报告。</w:t>
            </w:r>
          </w:p>
        </w:tc>
        <w:tc>
          <w:tcPr>
            <w:tcW w:w="1705" w:type="pct"/>
            <w:tcBorders>
              <w:top w:val="single" w:color="auto" w:sz="4" w:space="0"/>
              <w:left w:val="nil"/>
              <w:bottom w:val="single" w:color="auto" w:sz="4" w:space="0"/>
              <w:right w:val="single" w:color="auto" w:sz="4" w:space="0"/>
            </w:tcBorders>
            <w:noWrap w:val="0"/>
            <w:vAlign w:val="center"/>
          </w:tcPr>
          <w:p w14:paraId="64D290CA">
            <w:pPr>
              <w:rPr>
                <w:rFonts w:hint="eastAsia" w:ascii="宋体" w:hAnsi="宋体" w:eastAsia="宋体" w:cs="宋体"/>
                <w:color w:val="auto"/>
                <w:spacing w:val="-3"/>
                <w:szCs w:val="21"/>
              </w:rPr>
            </w:pPr>
          </w:p>
        </w:tc>
        <w:tc>
          <w:tcPr>
            <w:tcW w:w="637" w:type="pct"/>
            <w:tcBorders>
              <w:top w:val="single" w:color="auto" w:sz="4" w:space="0"/>
              <w:left w:val="nil"/>
              <w:bottom w:val="single" w:color="auto" w:sz="4" w:space="0"/>
              <w:right w:val="single" w:color="auto" w:sz="4" w:space="0"/>
            </w:tcBorders>
            <w:noWrap w:val="0"/>
            <w:vAlign w:val="center"/>
          </w:tcPr>
          <w:p w14:paraId="48EBCD19">
            <w:pPr>
              <w:rPr>
                <w:rFonts w:hint="eastAsia" w:ascii="宋体" w:hAnsi="宋体" w:eastAsia="宋体" w:cs="宋体"/>
                <w:color w:val="auto"/>
                <w:spacing w:val="-3"/>
                <w:szCs w:val="21"/>
              </w:rPr>
            </w:pPr>
          </w:p>
        </w:tc>
      </w:tr>
      <w:tr w14:paraId="0DB2C18F">
        <w:tblPrEx>
          <w:tblCellMar>
            <w:top w:w="0" w:type="dxa"/>
            <w:left w:w="108" w:type="dxa"/>
            <w:bottom w:w="0" w:type="dxa"/>
            <w:right w:w="108" w:type="dxa"/>
          </w:tblCellMar>
        </w:tblPrEx>
        <w:trPr>
          <w:trHeight w:val="1076" w:hRule="atLeast"/>
        </w:trPr>
        <w:tc>
          <w:tcPr>
            <w:tcW w:w="680" w:type="pct"/>
            <w:tcBorders>
              <w:top w:val="single" w:color="auto" w:sz="4" w:space="0"/>
              <w:left w:val="single" w:color="auto" w:sz="4" w:space="0"/>
              <w:bottom w:val="single" w:color="auto" w:sz="4" w:space="0"/>
              <w:right w:val="single" w:color="auto" w:sz="8" w:space="0"/>
            </w:tcBorders>
            <w:noWrap w:val="0"/>
            <w:vAlign w:val="center"/>
          </w:tcPr>
          <w:p w14:paraId="62B81B17">
            <w:pPr>
              <w:widowControl/>
              <w:jc w:val="center"/>
              <w:rPr>
                <w:rFonts w:hint="eastAsia" w:ascii="宋体" w:hAnsi="宋体" w:eastAsia="宋体" w:cs="宋体"/>
                <w:color w:val="auto"/>
                <w:kern w:val="0"/>
                <w:szCs w:val="21"/>
              </w:rPr>
            </w:pPr>
            <w:r>
              <w:rPr>
                <w:rFonts w:hint="eastAsia" w:ascii="宋体" w:hAnsi="宋体" w:eastAsia="宋体" w:cs="宋体"/>
                <w:color w:val="auto"/>
                <w:spacing w:val="-3"/>
                <w:szCs w:val="21"/>
                <w:lang w:val="en-US" w:eastAsia="zh-CN"/>
              </w:rPr>
              <w:t>4</w:t>
            </w:r>
            <w:r>
              <w:rPr>
                <w:rFonts w:hint="eastAsia" w:ascii="宋体" w:hAnsi="宋体" w:eastAsia="宋体" w:cs="宋体"/>
                <w:color w:val="auto"/>
                <w:spacing w:val="-3"/>
                <w:szCs w:val="21"/>
              </w:rPr>
              <w:t>.违约责任</w:t>
            </w:r>
          </w:p>
        </w:tc>
        <w:tc>
          <w:tcPr>
            <w:tcW w:w="416" w:type="pct"/>
            <w:tcBorders>
              <w:top w:val="single" w:color="auto" w:sz="4" w:space="0"/>
              <w:left w:val="nil"/>
              <w:bottom w:val="single" w:color="auto" w:sz="4" w:space="0"/>
              <w:right w:val="single" w:color="auto" w:sz="8" w:space="0"/>
            </w:tcBorders>
            <w:noWrap w:val="0"/>
            <w:vAlign w:val="center"/>
          </w:tcPr>
          <w:p w14:paraId="022BEBFF">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.1</w:t>
            </w:r>
          </w:p>
        </w:tc>
        <w:tc>
          <w:tcPr>
            <w:tcW w:w="1560" w:type="pct"/>
            <w:tcBorders>
              <w:top w:val="single" w:color="auto" w:sz="4" w:space="0"/>
              <w:left w:val="nil"/>
              <w:bottom w:val="single" w:color="auto" w:sz="4" w:space="0"/>
              <w:right w:val="single" w:color="auto" w:sz="4" w:space="0"/>
            </w:tcBorders>
            <w:noWrap w:val="0"/>
            <w:vAlign w:val="center"/>
          </w:tcPr>
          <w:p w14:paraId="3A2D4EA4">
            <w:pPr>
              <w:rPr>
                <w:rFonts w:hint="eastAsia" w:ascii="宋体" w:hAnsi="宋体" w:eastAsia="宋体" w:cs="宋体"/>
                <w:color w:val="auto"/>
                <w:kern w:val="0"/>
                <w:szCs w:val="21"/>
              </w:rPr>
            </w:pPr>
            <w:r>
              <w:rPr>
                <w:rFonts w:hint="eastAsia" w:ascii="宋体" w:hAnsi="宋体" w:eastAsia="宋体" w:cs="宋体"/>
                <w:color w:val="auto"/>
                <w:spacing w:val="-3"/>
                <w:szCs w:val="21"/>
              </w:rPr>
              <w:t>如投标人未按照投标文件中承诺的时间提供服务，投标人应承担延期服务的违约责任，向采购人每日偿付中标金额 0.5 %的违约金。逾期超过30日的，投标人需向采购人另行支付中标金额的 30 %的违约金，且采购人有权单方取消采购。另外，投标人赔偿采购人因此造成的实际经济损失。</w:t>
            </w:r>
          </w:p>
        </w:tc>
        <w:tc>
          <w:tcPr>
            <w:tcW w:w="1705" w:type="pct"/>
            <w:tcBorders>
              <w:top w:val="single" w:color="auto" w:sz="4" w:space="0"/>
              <w:left w:val="nil"/>
              <w:bottom w:val="single" w:color="auto" w:sz="4" w:space="0"/>
              <w:right w:val="single" w:color="auto" w:sz="4" w:space="0"/>
            </w:tcBorders>
            <w:noWrap w:val="0"/>
            <w:vAlign w:val="center"/>
          </w:tcPr>
          <w:p w14:paraId="4C798F75">
            <w:pPr>
              <w:rPr>
                <w:rFonts w:hint="eastAsia" w:ascii="宋体" w:hAnsi="宋体" w:eastAsia="宋体" w:cs="宋体"/>
                <w:color w:val="auto"/>
                <w:spacing w:val="-3"/>
                <w:szCs w:val="21"/>
              </w:rPr>
            </w:pPr>
          </w:p>
        </w:tc>
        <w:tc>
          <w:tcPr>
            <w:tcW w:w="637" w:type="pct"/>
            <w:tcBorders>
              <w:top w:val="single" w:color="auto" w:sz="4" w:space="0"/>
              <w:left w:val="nil"/>
              <w:bottom w:val="single" w:color="auto" w:sz="4" w:space="0"/>
              <w:right w:val="single" w:color="auto" w:sz="4" w:space="0"/>
            </w:tcBorders>
            <w:noWrap w:val="0"/>
            <w:vAlign w:val="center"/>
          </w:tcPr>
          <w:p w14:paraId="2457B687">
            <w:pPr>
              <w:rPr>
                <w:rFonts w:hint="eastAsia" w:ascii="宋体" w:hAnsi="宋体" w:eastAsia="宋体" w:cs="宋体"/>
                <w:color w:val="auto"/>
                <w:spacing w:val="-3"/>
                <w:szCs w:val="21"/>
              </w:rPr>
            </w:pPr>
          </w:p>
        </w:tc>
      </w:tr>
      <w:tr w14:paraId="4EDC228C">
        <w:tblPrEx>
          <w:tblCellMar>
            <w:top w:w="0" w:type="dxa"/>
            <w:left w:w="108" w:type="dxa"/>
            <w:bottom w:w="0" w:type="dxa"/>
            <w:right w:w="108" w:type="dxa"/>
          </w:tblCellMar>
        </w:tblPrEx>
        <w:trPr>
          <w:trHeight w:val="90" w:hRule="atLeast"/>
        </w:trPr>
        <w:tc>
          <w:tcPr>
            <w:tcW w:w="680" w:type="pct"/>
            <w:tcBorders>
              <w:top w:val="single" w:color="auto" w:sz="4" w:space="0"/>
              <w:left w:val="single" w:color="auto" w:sz="4" w:space="0"/>
              <w:bottom w:val="single" w:color="auto" w:sz="4" w:space="0"/>
              <w:right w:val="single" w:color="auto" w:sz="8" w:space="0"/>
            </w:tcBorders>
            <w:noWrap w:val="0"/>
            <w:vAlign w:val="center"/>
          </w:tcPr>
          <w:p w14:paraId="458AC1D4">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w:t>
            </w:r>
            <w:r>
              <w:rPr>
                <w:rFonts w:hint="eastAsia" w:ascii="宋体" w:hAnsi="宋体" w:eastAsia="宋体" w:cs="宋体"/>
                <w:color w:val="auto"/>
                <w:spacing w:val="-3"/>
                <w:szCs w:val="21"/>
              </w:rPr>
              <w:t>保密要求</w:t>
            </w:r>
          </w:p>
        </w:tc>
        <w:tc>
          <w:tcPr>
            <w:tcW w:w="416" w:type="pct"/>
            <w:tcBorders>
              <w:top w:val="single" w:color="auto" w:sz="4" w:space="0"/>
              <w:left w:val="nil"/>
              <w:bottom w:val="single" w:color="auto" w:sz="4" w:space="0"/>
              <w:right w:val="single" w:color="auto" w:sz="8" w:space="0"/>
            </w:tcBorders>
            <w:noWrap w:val="0"/>
            <w:vAlign w:val="center"/>
          </w:tcPr>
          <w:p w14:paraId="653F83D4">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.1</w:t>
            </w:r>
          </w:p>
        </w:tc>
        <w:tc>
          <w:tcPr>
            <w:tcW w:w="1560" w:type="pct"/>
            <w:tcBorders>
              <w:top w:val="single" w:color="auto" w:sz="4" w:space="0"/>
              <w:left w:val="nil"/>
              <w:bottom w:val="single" w:color="auto" w:sz="4" w:space="0"/>
              <w:right w:val="single" w:color="auto" w:sz="4" w:space="0"/>
            </w:tcBorders>
            <w:noWrap w:val="0"/>
            <w:vAlign w:val="center"/>
          </w:tcPr>
          <w:p w14:paraId="267593D0">
            <w:pPr>
              <w:rPr>
                <w:rFonts w:hint="eastAsia" w:ascii="宋体" w:hAnsi="宋体" w:eastAsia="宋体" w:cs="宋体"/>
                <w:color w:val="auto"/>
                <w:kern w:val="0"/>
                <w:szCs w:val="21"/>
              </w:rPr>
            </w:pPr>
            <w:r>
              <w:rPr>
                <w:rFonts w:hint="eastAsia" w:ascii="宋体" w:hAnsi="宋体" w:eastAsia="宋体" w:cs="宋体"/>
                <w:color w:val="auto"/>
                <w:spacing w:val="-3"/>
                <w:szCs w:val="21"/>
              </w:rPr>
              <w:t>中标人承担本项目范围内的所有技术情报和资料的保密义务，不向第三方传泄，不论本项目是否变更、解除或终止，本条款均有效。</w:t>
            </w:r>
          </w:p>
        </w:tc>
        <w:tc>
          <w:tcPr>
            <w:tcW w:w="1705" w:type="pct"/>
            <w:tcBorders>
              <w:top w:val="single" w:color="auto" w:sz="4" w:space="0"/>
              <w:left w:val="nil"/>
              <w:bottom w:val="single" w:color="auto" w:sz="4" w:space="0"/>
              <w:right w:val="single" w:color="auto" w:sz="4" w:space="0"/>
            </w:tcBorders>
            <w:noWrap w:val="0"/>
            <w:vAlign w:val="center"/>
          </w:tcPr>
          <w:p w14:paraId="58259EBD">
            <w:pPr>
              <w:rPr>
                <w:rFonts w:hint="eastAsia" w:ascii="宋体" w:hAnsi="宋体" w:eastAsia="宋体" w:cs="宋体"/>
                <w:color w:val="auto"/>
                <w:spacing w:val="-3"/>
                <w:szCs w:val="21"/>
              </w:rPr>
            </w:pPr>
          </w:p>
        </w:tc>
        <w:tc>
          <w:tcPr>
            <w:tcW w:w="637" w:type="pct"/>
            <w:tcBorders>
              <w:top w:val="single" w:color="auto" w:sz="4" w:space="0"/>
              <w:left w:val="nil"/>
              <w:bottom w:val="single" w:color="auto" w:sz="4" w:space="0"/>
              <w:right w:val="single" w:color="auto" w:sz="4" w:space="0"/>
            </w:tcBorders>
            <w:noWrap w:val="0"/>
            <w:vAlign w:val="center"/>
          </w:tcPr>
          <w:p w14:paraId="35C9E026">
            <w:pPr>
              <w:rPr>
                <w:rFonts w:hint="eastAsia" w:ascii="宋体" w:hAnsi="宋体" w:eastAsia="宋体" w:cs="宋体"/>
                <w:color w:val="auto"/>
                <w:spacing w:val="-3"/>
                <w:szCs w:val="21"/>
              </w:rPr>
            </w:pPr>
          </w:p>
        </w:tc>
      </w:tr>
      <w:tr w14:paraId="790C8B3A">
        <w:tblPrEx>
          <w:tblCellMar>
            <w:top w:w="0" w:type="dxa"/>
            <w:left w:w="108" w:type="dxa"/>
            <w:bottom w:w="0" w:type="dxa"/>
            <w:right w:w="108" w:type="dxa"/>
          </w:tblCellMar>
        </w:tblPrEx>
        <w:trPr>
          <w:trHeight w:val="1076" w:hRule="atLeast"/>
        </w:trPr>
        <w:tc>
          <w:tcPr>
            <w:tcW w:w="680" w:type="pct"/>
            <w:vMerge w:val="restart"/>
            <w:tcBorders>
              <w:top w:val="single" w:color="auto" w:sz="4" w:space="0"/>
              <w:left w:val="single" w:color="auto" w:sz="4" w:space="0"/>
              <w:bottom w:val="single" w:color="auto" w:sz="4" w:space="0"/>
              <w:right w:val="single" w:color="auto" w:sz="4" w:space="0"/>
            </w:tcBorders>
            <w:noWrap w:val="0"/>
            <w:vAlign w:val="center"/>
          </w:tcPr>
          <w:p w14:paraId="2A7ABC8F">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 售后服务</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36257290">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.1</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7A982F04">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验收通过后，中标人至少提供3年的免费升级及维护服务。包括：1.按业务和应用的需求提供云上架构规划设计；2.公有云平台、架构、迁移、管理运营、安全管理咨询；3.业务/应用应用程序评估、依赖性映射和可视化分析；4.公有云TCO和ROI分析。</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12A210BC">
            <w:pPr>
              <w:widowControl/>
              <w:jc w:val="left"/>
              <w:rPr>
                <w:rFonts w:hint="eastAsia" w:ascii="宋体" w:hAnsi="宋体" w:eastAsia="宋体" w:cs="宋体"/>
                <w:color w:val="auto"/>
                <w:kern w:val="0"/>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17097397">
            <w:pPr>
              <w:widowControl/>
              <w:jc w:val="left"/>
              <w:rPr>
                <w:rFonts w:hint="eastAsia" w:ascii="宋体" w:hAnsi="宋体" w:eastAsia="宋体" w:cs="宋体"/>
                <w:color w:val="auto"/>
                <w:kern w:val="0"/>
                <w:szCs w:val="21"/>
              </w:rPr>
            </w:pPr>
          </w:p>
        </w:tc>
      </w:tr>
      <w:tr w14:paraId="01AF5452">
        <w:tblPrEx>
          <w:tblCellMar>
            <w:top w:w="0" w:type="dxa"/>
            <w:left w:w="108" w:type="dxa"/>
            <w:bottom w:w="0" w:type="dxa"/>
            <w:right w:w="108" w:type="dxa"/>
          </w:tblCellMar>
        </w:tblPrEx>
        <w:trPr>
          <w:trHeight w:val="1076"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68B7B94B">
            <w:pPr>
              <w:widowControl/>
              <w:jc w:val="center"/>
              <w:rPr>
                <w:rFonts w:hint="eastAsia" w:ascii="宋体" w:hAnsi="宋体" w:eastAsia="宋体" w:cs="宋体"/>
                <w:color w:val="auto"/>
                <w:kern w:val="0"/>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4B6575D5">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.2</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2B355D41">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5*8云管家服务：公有云使用中遇到的各类问题由我司提供呼叫中心工程师、负责第一线事件、监控的响应及处理，包括咨询、升级事件及故障的处理、工单提交、工单跟进等。</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49C44AD2">
            <w:pPr>
              <w:widowControl/>
              <w:jc w:val="left"/>
              <w:rPr>
                <w:rFonts w:hint="eastAsia" w:ascii="宋体" w:hAnsi="宋体" w:eastAsia="宋体" w:cs="宋体"/>
                <w:color w:val="auto"/>
                <w:kern w:val="0"/>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36F8FBB3">
            <w:pPr>
              <w:widowControl/>
              <w:jc w:val="left"/>
              <w:rPr>
                <w:rFonts w:hint="eastAsia" w:ascii="宋体" w:hAnsi="宋体" w:eastAsia="宋体" w:cs="宋体"/>
                <w:color w:val="auto"/>
                <w:kern w:val="0"/>
                <w:szCs w:val="21"/>
              </w:rPr>
            </w:pPr>
          </w:p>
        </w:tc>
      </w:tr>
      <w:tr w14:paraId="47EB7B91">
        <w:tblPrEx>
          <w:tblCellMar>
            <w:top w:w="0" w:type="dxa"/>
            <w:left w:w="108" w:type="dxa"/>
            <w:bottom w:w="0" w:type="dxa"/>
            <w:right w:w="108" w:type="dxa"/>
          </w:tblCellMar>
        </w:tblPrEx>
        <w:trPr>
          <w:trHeight w:val="90"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74B684FF">
            <w:pPr>
              <w:widowControl/>
              <w:jc w:val="center"/>
              <w:rPr>
                <w:rFonts w:hint="eastAsia" w:ascii="宋体" w:hAnsi="宋体" w:eastAsia="宋体" w:cs="宋体"/>
                <w:color w:val="auto"/>
                <w:kern w:val="0"/>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759CB49F">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.3</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46E37733">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重大事件驻场值守服务：每年提供不少于48天重大事件人员远程支持或必要人员驻场服务（桌面端、网络端、公有云等），由客户提前一天告知预约即可。</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6C0F1338">
            <w:pPr>
              <w:widowControl/>
              <w:jc w:val="left"/>
              <w:rPr>
                <w:rFonts w:hint="eastAsia" w:ascii="宋体" w:hAnsi="宋体" w:eastAsia="宋体" w:cs="宋体"/>
                <w:color w:val="auto"/>
                <w:kern w:val="0"/>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222D74C3">
            <w:pPr>
              <w:widowControl/>
              <w:jc w:val="left"/>
              <w:rPr>
                <w:rFonts w:hint="eastAsia" w:ascii="宋体" w:hAnsi="宋体" w:eastAsia="宋体" w:cs="宋体"/>
                <w:color w:val="auto"/>
                <w:kern w:val="0"/>
                <w:szCs w:val="21"/>
              </w:rPr>
            </w:pPr>
          </w:p>
        </w:tc>
      </w:tr>
      <w:tr w14:paraId="61CEA857">
        <w:tblPrEx>
          <w:tblCellMar>
            <w:top w:w="0" w:type="dxa"/>
            <w:left w:w="108" w:type="dxa"/>
            <w:bottom w:w="0" w:type="dxa"/>
            <w:right w:w="108" w:type="dxa"/>
          </w:tblCellMar>
        </w:tblPrEx>
        <w:trPr>
          <w:trHeight w:val="1076"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1C1A68C0">
            <w:pPr>
              <w:widowControl/>
              <w:jc w:val="center"/>
              <w:rPr>
                <w:rFonts w:hint="eastAsia" w:ascii="宋体" w:hAnsi="宋体" w:eastAsia="宋体" w:cs="宋体"/>
                <w:color w:val="auto"/>
                <w:kern w:val="0"/>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1D64825E">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.4</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507C299C">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CMP人员培训：1.基础云计算培训（不少于3人天）；2.定制化云计算培训（不少于2人天）；3.云计算动手训练营（不少于1人天）。</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4C835917">
            <w:pPr>
              <w:widowControl/>
              <w:jc w:val="left"/>
              <w:rPr>
                <w:rFonts w:hint="eastAsia" w:ascii="宋体" w:hAnsi="宋体" w:eastAsia="宋体" w:cs="宋体"/>
                <w:color w:val="auto"/>
                <w:kern w:val="0"/>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0E71C32B">
            <w:pPr>
              <w:widowControl/>
              <w:jc w:val="left"/>
              <w:rPr>
                <w:rFonts w:hint="eastAsia" w:ascii="宋体" w:hAnsi="宋体" w:eastAsia="宋体" w:cs="宋体"/>
                <w:color w:val="auto"/>
                <w:kern w:val="0"/>
                <w:szCs w:val="21"/>
              </w:rPr>
            </w:pPr>
          </w:p>
        </w:tc>
      </w:tr>
      <w:tr w14:paraId="0E471C32">
        <w:tblPrEx>
          <w:tblCellMar>
            <w:top w:w="0" w:type="dxa"/>
            <w:left w:w="108" w:type="dxa"/>
            <w:bottom w:w="0" w:type="dxa"/>
            <w:right w:w="108" w:type="dxa"/>
          </w:tblCellMar>
        </w:tblPrEx>
        <w:trPr>
          <w:trHeight w:val="90"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14:paraId="00FEE5D1">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 付款方式</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17909112">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.1</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0E50F745">
            <w:pPr>
              <w:widowControl/>
              <w:jc w:val="left"/>
              <w:rPr>
                <w:rFonts w:hint="eastAsia" w:ascii="宋体" w:hAnsi="宋体" w:eastAsia="宋体" w:cs="宋体"/>
                <w:color w:val="auto"/>
                <w:kern w:val="0"/>
                <w:szCs w:val="21"/>
              </w:rPr>
            </w:pPr>
            <w:r>
              <w:rPr>
                <w:rFonts w:hint="eastAsia" w:ascii="宋体" w:hAnsi="宋体" w:eastAsia="宋体" w:cs="宋体"/>
                <w:color w:val="auto"/>
                <w:spacing w:val="-3"/>
                <w:szCs w:val="21"/>
              </w:rPr>
              <w:t>合同签订后，采购方在收到中标供应商开具的全额发票后支付中标总金额的100%。</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70C18BDA">
            <w:pPr>
              <w:widowControl/>
              <w:jc w:val="left"/>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5EB6AFB3">
            <w:pPr>
              <w:widowControl/>
              <w:jc w:val="left"/>
              <w:rPr>
                <w:rFonts w:hint="eastAsia" w:ascii="宋体" w:hAnsi="宋体" w:eastAsia="宋体" w:cs="宋体"/>
                <w:color w:val="auto"/>
                <w:spacing w:val="-3"/>
                <w:szCs w:val="21"/>
              </w:rPr>
            </w:pPr>
          </w:p>
        </w:tc>
      </w:tr>
      <w:tr w14:paraId="148DE31D">
        <w:tblPrEx>
          <w:tblCellMar>
            <w:top w:w="0" w:type="dxa"/>
            <w:left w:w="108" w:type="dxa"/>
            <w:bottom w:w="0" w:type="dxa"/>
            <w:right w:w="108" w:type="dxa"/>
          </w:tblCellMar>
        </w:tblPrEx>
        <w:trPr>
          <w:trHeight w:val="1076" w:hRule="atLeast"/>
        </w:trPr>
        <w:tc>
          <w:tcPr>
            <w:tcW w:w="680" w:type="pct"/>
            <w:vMerge w:val="restart"/>
            <w:tcBorders>
              <w:top w:val="single" w:color="auto" w:sz="4" w:space="0"/>
              <w:left w:val="single" w:color="auto" w:sz="4" w:space="0"/>
              <w:bottom w:val="single" w:color="auto" w:sz="4" w:space="0"/>
              <w:right w:val="single" w:color="auto" w:sz="4" w:space="0"/>
            </w:tcBorders>
            <w:noWrap w:val="0"/>
            <w:vAlign w:val="center"/>
          </w:tcPr>
          <w:p w14:paraId="2F27F689">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8.报价要求</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1A2B1B08">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8.1</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085AA993">
            <w:pPr>
              <w:widowControl/>
              <w:rPr>
                <w:rFonts w:hint="eastAsia" w:ascii="宋体" w:hAnsi="宋体" w:eastAsia="宋体" w:cs="宋体"/>
                <w:color w:val="auto"/>
                <w:spacing w:val="-3"/>
                <w:szCs w:val="21"/>
              </w:rPr>
            </w:pPr>
            <w:r>
              <w:rPr>
                <w:rFonts w:hint="eastAsia" w:ascii="宋体" w:hAnsi="宋体" w:eastAsia="宋体" w:cs="宋体"/>
                <w:color w:val="auto"/>
                <w:spacing w:val="-3"/>
                <w:szCs w:val="21"/>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2BB48B19">
            <w:pPr>
              <w:widowControl/>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0FE4BD8B">
            <w:pPr>
              <w:widowControl/>
              <w:rPr>
                <w:rFonts w:hint="eastAsia" w:ascii="宋体" w:hAnsi="宋体" w:eastAsia="宋体" w:cs="宋体"/>
                <w:color w:val="auto"/>
                <w:spacing w:val="-3"/>
                <w:szCs w:val="21"/>
              </w:rPr>
            </w:pPr>
          </w:p>
        </w:tc>
      </w:tr>
      <w:tr w14:paraId="4B698A38">
        <w:tblPrEx>
          <w:tblCellMar>
            <w:top w:w="0" w:type="dxa"/>
            <w:left w:w="108" w:type="dxa"/>
            <w:bottom w:w="0" w:type="dxa"/>
            <w:right w:w="108" w:type="dxa"/>
          </w:tblCellMar>
        </w:tblPrEx>
        <w:trPr>
          <w:trHeight w:val="90"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66A9CD1B">
            <w:pPr>
              <w:widowControl/>
              <w:jc w:val="center"/>
              <w:rPr>
                <w:rFonts w:hint="default" w:ascii="宋体" w:hAnsi="宋体" w:eastAsia="宋体" w:cs="宋体"/>
                <w:color w:val="auto"/>
                <w:kern w:val="0"/>
                <w:szCs w:val="21"/>
                <w:lang w:val="en-US" w:eastAsia="zh-CN"/>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3C20D547">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8.2</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093C2479">
            <w:pPr>
              <w:widowControl/>
              <w:rPr>
                <w:rFonts w:hint="eastAsia" w:ascii="宋体" w:hAnsi="宋体" w:eastAsia="宋体" w:cs="宋体"/>
                <w:color w:val="auto"/>
                <w:spacing w:val="-3"/>
                <w:kern w:val="2"/>
                <w:sz w:val="21"/>
                <w:szCs w:val="21"/>
                <w:lang w:val="en-US" w:eastAsia="zh-CN" w:bidi="ar-SA"/>
              </w:rPr>
            </w:pPr>
            <w:r>
              <w:rPr>
                <w:rFonts w:hint="eastAsia" w:ascii="宋体" w:hAnsi="宋体" w:eastAsia="宋体" w:cs="宋体"/>
                <w:color w:val="auto"/>
                <w:spacing w:val="-3"/>
                <w:szCs w:val="21"/>
              </w:rPr>
              <w:t>投标供应商应当根据本企业的成本自行决定报价，但不得以低于其企业成本的报价投标。</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2342A90D">
            <w:pPr>
              <w:widowControl/>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70F45434">
            <w:pPr>
              <w:widowControl/>
              <w:rPr>
                <w:rFonts w:hint="eastAsia" w:ascii="宋体" w:hAnsi="宋体" w:eastAsia="宋体" w:cs="宋体"/>
                <w:color w:val="auto"/>
                <w:spacing w:val="-3"/>
                <w:szCs w:val="21"/>
              </w:rPr>
            </w:pPr>
          </w:p>
        </w:tc>
      </w:tr>
      <w:tr w14:paraId="200C8C33">
        <w:tblPrEx>
          <w:tblCellMar>
            <w:top w:w="0" w:type="dxa"/>
            <w:left w:w="108" w:type="dxa"/>
            <w:bottom w:w="0" w:type="dxa"/>
            <w:right w:w="108" w:type="dxa"/>
          </w:tblCellMar>
        </w:tblPrEx>
        <w:trPr>
          <w:trHeight w:val="90"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2A1A1399">
            <w:pPr>
              <w:widowControl/>
              <w:jc w:val="center"/>
              <w:rPr>
                <w:rFonts w:hint="default" w:ascii="宋体" w:hAnsi="宋体" w:eastAsia="宋体" w:cs="宋体"/>
                <w:color w:val="auto"/>
                <w:kern w:val="0"/>
                <w:szCs w:val="21"/>
                <w:lang w:val="en-US" w:eastAsia="zh-CN"/>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4F013169">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8.3</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36105105">
            <w:pPr>
              <w:widowControl/>
              <w:rPr>
                <w:rFonts w:hint="eastAsia" w:ascii="宋体" w:hAnsi="宋体" w:eastAsia="宋体" w:cs="宋体"/>
                <w:color w:val="auto"/>
                <w:spacing w:val="-3"/>
                <w:kern w:val="2"/>
                <w:sz w:val="21"/>
                <w:szCs w:val="21"/>
                <w:lang w:val="en-US" w:eastAsia="zh-CN" w:bidi="ar-SA"/>
              </w:rPr>
            </w:pPr>
            <w:r>
              <w:rPr>
                <w:rFonts w:hint="eastAsia" w:ascii="宋体" w:hAnsi="宋体" w:eastAsia="宋体" w:cs="宋体"/>
                <w:color w:val="auto"/>
                <w:spacing w:val="-3"/>
                <w:szCs w:val="21"/>
              </w:rPr>
              <w:t>投标供应商的报价不得超过项目预算金额。</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74DB2DA8">
            <w:pPr>
              <w:widowControl/>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50503728">
            <w:pPr>
              <w:widowControl/>
              <w:rPr>
                <w:rFonts w:hint="eastAsia" w:ascii="宋体" w:hAnsi="宋体" w:eastAsia="宋体" w:cs="宋体"/>
                <w:color w:val="auto"/>
                <w:spacing w:val="-3"/>
                <w:szCs w:val="21"/>
              </w:rPr>
            </w:pPr>
          </w:p>
        </w:tc>
      </w:tr>
      <w:tr w14:paraId="2A09D49A">
        <w:tblPrEx>
          <w:tblCellMar>
            <w:top w:w="0" w:type="dxa"/>
            <w:left w:w="108" w:type="dxa"/>
            <w:bottom w:w="0" w:type="dxa"/>
            <w:right w:w="108" w:type="dxa"/>
          </w:tblCellMar>
        </w:tblPrEx>
        <w:trPr>
          <w:trHeight w:val="90"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684E019C">
            <w:pPr>
              <w:widowControl/>
              <w:jc w:val="center"/>
              <w:rPr>
                <w:rFonts w:hint="default" w:ascii="宋体" w:hAnsi="宋体" w:eastAsia="宋体" w:cs="宋体"/>
                <w:color w:val="auto"/>
                <w:kern w:val="0"/>
                <w:szCs w:val="21"/>
                <w:lang w:val="en-US" w:eastAsia="zh-CN"/>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0426F82F">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8.4</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40AF7ECA">
            <w:pPr>
              <w:widowControl/>
              <w:rPr>
                <w:rFonts w:hint="eastAsia" w:ascii="宋体" w:hAnsi="宋体" w:eastAsia="宋体" w:cs="宋体"/>
                <w:color w:val="auto"/>
                <w:spacing w:val="-3"/>
                <w:szCs w:val="21"/>
              </w:rPr>
            </w:pPr>
            <w:r>
              <w:rPr>
                <w:rFonts w:hint="eastAsia" w:ascii="宋体" w:hAnsi="宋体" w:eastAsia="宋体" w:cs="宋体"/>
                <w:color w:val="auto"/>
                <w:spacing w:val="-3"/>
                <w:szCs w:val="21"/>
              </w:rPr>
              <w:t>投标供应商的报价，应当是本项目采购范围和采购文件及合同条款上所列的各项内容中所述的全部，不得以任何理由予以重复。</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53828C58">
            <w:pPr>
              <w:widowControl/>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2B7520C9">
            <w:pPr>
              <w:widowControl/>
              <w:rPr>
                <w:rFonts w:hint="eastAsia" w:ascii="宋体" w:hAnsi="宋体" w:eastAsia="宋体" w:cs="宋体"/>
                <w:color w:val="auto"/>
                <w:spacing w:val="-3"/>
                <w:szCs w:val="21"/>
              </w:rPr>
            </w:pPr>
          </w:p>
        </w:tc>
      </w:tr>
      <w:tr w14:paraId="1E709608">
        <w:tblPrEx>
          <w:tblCellMar>
            <w:top w:w="0" w:type="dxa"/>
            <w:left w:w="108" w:type="dxa"/>
            <w:bottom w:w="0" w:type="dxa"/>
            <w:right w:w="108" w:type="dxa"/>
          </w:tblCellMar>
        </w:tblPrEx>
        <w:trPr>
          <w:trHeight w:val="1076"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7B3AAA14">
            <w:pPr>
              <w:widowControl/>
              <w:jc w:val="center"/>
              <w:rPr>
                <w:rFonts w:hint="default" w:ascii="宋体" w:hAnsi="宋体" w:eastAsia="宋体" w:cs="宋体"/>
                <w:color w:val="auto"/>
                <w:kern w:val="0"/>
                <w:szCs w:val="21"/>
                <w:lang w:val="en-US" w:eastAsia="zh-CN"/>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05B5F3CD">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8.5</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3F6136E6">
            <w:pPr>
              <w:widowControl/>
              <w:rPr>
                <w:rFonts w:hint="eastAsia" w:ascii="宋体" w:hAnsi="宋体" w:eastAsia="宋体" w:cs="宋体"/>
                <w:color w:val="auto"/>
                <w:spacing w:val="-3"/>
                <w:szCs w:val="21"/>
              </w:rPr>
            </w:pPr>
            <w:r>
              <w:rPr>
                <w:rFonts w:hint="eastAsia" w:ascii="宋体" w:hAnsi="宋体" w:eastAsia="宋体" w:cs="宋体"/>
                <w:color w:val="auto"/>
                <w:spacing w:val="-3"/>
                <w:szCs w:val="21"/>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2E7B3110">
            <w:pPr>
              <w:widowControl/>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299E46DA">
            <w:pPr>
              <w:widowControl/>
              <w:rPr>
                <w:rFonts w:hint="eastAsia" w:ascii="宋体" w:hAnsi="宋体" w:eastAsia="宋体" w:cs="宋体"/>
                <w:color w:val="auto"/>
                <w:spacing w:val="-3"/>
                <w:szCs w:val="21"/>
              </w:rPr>
            </w:pPr>
          </w:p>
        </w:tc>
      </w:tr>
      <w:tr w14:paraId="08EEBA20">
        <w:tblPrEx>
          <w:tblCellMar>
            <w:top w:w="0" w:type="dxa"/>
            <w:left w:w="108" w:type="dxa"/>
            <w:bottom w:w="0" w:type="dxa"/>
            <w:right w:w="108" w:type="dxa"/>
          </w:tblCellMar>
        </w:tblPrEx>
        <w:trPr>
          <w:trHeight w:val="90"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36E4CF86">
            <w:pPr>
              <w:widowControl/>
              <w:jc w:val="center"/>
              <w:rPr>
                <w:rFonts w:hint="default" w:ascii="宋体" w:hAnsi="宋体" w:eastAsia="宋体" w:cs="宋体"/>
                <w:color w:val="auto"/>
                <w:kern w:val="0"/>
                <w:szCs w:val="21"/>
                <w:lang w:val="en-US" w:eastAsia="zh-CN"/>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3441CF29">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8.6</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6BFFE518">
            <w:pPr>
              <w:widowControl/>
              <w:rPr>
                <w:rFonts w:hint="eastAsia" w:ascii="宋体" w:hAnsi="宋体" w:eastAsia="宋体" w:cs="宋体"/>
                <w:color w:val="auto"/>
                <w:spacing w:val="-3"/>
                <w:szCs w:val="21"/>
              </w:rPr>
            </w:pPr>
            <w:r>
              <w:rPr>
                <w:rFonts w:hint="eastAsia" w:ascii="宋体" w:hAnsi="宋体" w:eastAsia="宋体" w:cs="宋体"/>
                <w:color w:val="auto"/>
                <w:spacing w:val="-3"/>
                <w:szCs w:val="21"/>
              </w:rPr>
              <w:t>投标供应商应先到项目地点踏勘以充分了解项目的位置、情况、道路及任何其它足以影响投标报价的情况，任何因忽视或误解项目情况而导致的索赔或服务期限延长申请将不获批准。</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7B072D83">
            <w:pPr>
              <w:widowControl/>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1B56C692">
            <w:pPr>
              <w:widowControl/>
              <w:rPr>
                <w:rFonts w:hint="eastAsia" w:ascii="宋体" w:hAnsi="宋体" w:eastAsia="宋体" w:cs="宋体"/>
                <w:color w:val="auto"/>
                <w:spacing w:val="-3"/>
                <w:szCs w:val="21"/>
              </w:rPr>
            </w:pPr>
          </w:p>
        </w:tc>
      </w:tr>
      <w:tr w14:paraId="3B3F9608">
        <w:tblPrEx>
          <w:tblCellMar>
            <w:top w:w="0" w:type="dxa"/>
            <w:left w:w="108" w:type="dxa"/>
            <w:bottom w:w="0" w:type="dxa"/>
            <w:right w:w="108" w:type="dxa"/>
          </w:tblCellMar>
        </w:tblPrEx>
        <w:trPr>
          <w:trHeight w:val="1076" w:hRule="atLeast"/>
        </w:trPr>
        <w:tc>
          <w:tcPr>
            <w:tcW w:w="680" w:type="pct"/>
            <w:vMerge w:val="continue"/>
            <w:tcBorders>
              <w:top w:val="single" w:color="auto" w:sz="4" w:space="0"/>
              <w:left w:val="single" w:color="auto" w:sz="4" w:space="0"/>
              <w:bottom w:val="single" w:color="auto" w:sz="4" w:space="0"/>
              <w:right w:val="single" w:color="auto" w:sz="4" w:space="0"/>
            </w:tcBorders>
            <w:noWrap w:val="0"/>
            <w:vAlign w:val="center"/>
          </w:tcPr>
          <w:p w14:paraId="696C4E6E">
            <w:pPr>
              <w:widowControl/>
              <w:jc w:val="center"/>
              <w:rPr>
                <w:rFonts w:hint="default" w:ascii="宋体" w:hAnsi="宋体" w:eastAsia="宋体" w:cs="宋体"/>
                <w:color w:val="auto"/>
                <w:kern w:val="0"/>
                <w:szCs w:val="21"/>
                <w:lang w:val="en-US" w:eastAsia="zh-CN"/>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0D2006CF">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8.7</w:t>
            </w:r>
          </w:p>
        </w:tc>
        <w:tc>
          <w:tcPr>
            <w:tcW w:w="1560" w:type="pct"/>
            <w:tcBorders>
              <w:top w:val="single" w:color="auto" w:sz="4" w:space="0"/>
              <w:left w:val="single" w:color="auto" w:sz="4" w:space="0"/>
              <w:bottom w:val="single" w:color="auto" w:sz="4" w:space="0"/>
              <w:right w:val="single" w:color="auto" w:sz="4" w:space="0"/>
            </w:tcBorders>
            <w:noWrap w:val="0"/>
            <w:vAlign w:val="center"/>
          </w:tcPr>
          <w:p w14:paraId="7904B624">
            <w:pPr>
              <w:widowControl/>
              <w:rPr>
                <w:rFonts w:hint="eastAsia" w:ascii="宋体" w:hAnsi="宋体" w:eastAsia="宋体" w:cs="宋体"/>
                <w:color w:val="auto"/>
                <w:spacing w:val="-3"/>
                <w:szCs w:val="21"/>
              </w:rPr>
            </w:pPr>
            <w:r>
              <w:rPr>
                <w:rFonts w:hint="eastAsia" w:ascii="宋体" w:hAnsi="宋体" w:eastAsia="宋体" w:cs="宋体"/>
                <w:color w:val="auto"/>
                <w:spacing w:val="-3"/>
                <w:szCs w:val="21"/>
              </w:rPr>
              <w:t>投标供应商不得期望通过索赔等方式获取补偿，否则，除可能遭到拒绝外，还可能将被作为不良行为记录在案，并可能影响其以后参加政府采购的项目投标。各投标供应商在报价时，应充分考虑报价的风险。</w:t>
            </w:r>
          </w:p>
        </w:tc>
        <w:tc>
          <w:tcPr>
            <w:tcW w:w="1705" w:type="pct"/>
            <w:tcBorders>
              <w:top w:val="single" w:color="auto" w:sz="4" w:space="0"/>
              <w:left w:val="single" w:color="auto" w:sz="4" w:space="0"/>
              <w:bottom w:val="single" w:color="auto" w:sz="4" w:space="0"/>
              <w:right w:val="single" w:color="auto" w:sz="4" w:space="0"/>
            </w:tcBorders>
            <w:noWrap w:val="0"/>
            <w:vAlign w:val="center"/>
          </w:tcPr>
          <w:p w14:paraId="13091253">
            <w:pPr>
              <w:widowControl/>
              <w:rPr>
                <w:rFonts w:hint="eastAsia" w:ascii="宋体" w:hAnsi="宋体" w:eastAsia="宋体" w:cs="宋体"/>
                <w:color w:val="auto"/>
                <w:spacing w:val="-3"/>
                <w:szCs w:val="21"/>
              </w:rPr>
            </w:pPr>
          </w:p>
        </w:tc>
        <w:tc>
          <w:tcPr>
            <w:tcW w:w="637" w:type="pct"/>
            <w:tcBorders>
              <w:top w:val="single" w:color="auto" w:sz="4" w:space="0"/>
              <w:left w:val="single" w:color="auto" w:sz="4" w:space="0"/>
              <w:bottom w:val="single" w:color="auto" w:sz="4" w:space="0"/>
              <w:right w:val="single" w:color="auto" w:sz="4" w:space="0"/>
            </w:tcBorders>
            <w:noWrap w:val="0"/>
            <w:vAlign w:val="center"/>
          </w:tcPr>
          <w:p w14:paraId="12586126">
            <w:pPr>
              <w:widowControl/>
              <w:rPr>
                <w:rFonts w:hint="eastAsia" w:ascii="宋体" w:hAnsi="宋体" w:eastAsia="宋体" w:cs="宋体"/>
                <w:color w:val="auto"/>
                <w:spacing w:val="-3"/>
                <w:szCs w:val="21"/>
              </w:rPr>
            </w:pPr>
          </w:p>
        </w:tc>
      </w:tr>
    </w:tbl>
    <w:p w14:paraId="0DADD1F9">
      <w:pPr>
        <w:rPr>
          <w:sz w:val="24"/>
          <w:szCs w:val="24"/>
        </w:rPr>
      </w:pPr>
    </w:p>
    <w:p w14:paraId="331962FC">
      <w:pPr>
        <w:spacing w:line="360" w:lineRule="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注：</w:t>
      </w:r>
    </w:p>
    <w:p w14:paraId="053B0A8F">
      <w:pPr>
        <w:spacing w:line="360" w:lineRule="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1、偏离情况一栏请填入“正偏离/无偏离/负偏离”。</w:t>
      </w:r>
    </w:p>
    <w:p w14:paraId="0666A0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
    <w:altName w:val="Malgun Gothic"/>
    <w:panose1 w:val="00000000000000000000"/>
    <w:charset w:val="81"/>
    <w:family w:val="roma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mOWQ0YjU5ZWZkZDFlYjNjODBmYTliZjhjYTJiYzUifQ=="/>
  </w:docVars>
  <w:rsids>
    <w:rsidRoot w:val="00694056"/>
    <w:rsid w:val="000A57FF"/>
    <w:rsid w:val="001D6E11"/>
    <w:rsid w:val="00270708"/>
    <w:rsid w:val="00316D5E"/>
    <w:rsid w:val="00390D82"/>
    <w:rsid w:val="003A3331"/>
    <w:rsid w:val="00481D51"/>
    <w:rsid w:val="004A2289"/>
    <w:rsid w:val="004D770A"/>
    <w:rsid w:val="005A5DA5"/>
    <w:rsid w:val="00634E50"/>
    <w:rsid w:val="00694056"/>
    <w:rsid w:val="006F72F3"/>
    <w:rsid w:val="007820FA"/>
    <w:rsid w:val="00795368"/>
    <w:rsid w:val="00836DCC"/>
    <w:rsid w:val="0085622A"/>
    <w:rsid w:val="008C0BEF"/>
    <w:rsid w:val="009A1E78"/>
    <w:rsid w:val="009D2525"/>
    <w:rsid w:val="00A04F71"/>
    <w:rsid w:val="00A246EB"/>
    <w:rsid w:val="00A54F0D"/>
    <w:rsid w:val="00A62B9B"/>
    <w:rsid w:val="00B77CCE"/>
    <w:rsid w:val="00B84B66"/>
    <w:rsid w:val="00BA3D69"/>
    <w:rsid w:val="00C915D1"/>
    <w:rsid w:val="00C949ED"/>
    <w:rsid w:val="00D957BD"/>
    <w:rsid w:val="00E638EB"/>
    <w:rsid w:val="00EB18A0"/>
    <w:rsid w:val="00EC605D"/>
    <w:rsid w:val="00FE2C88"/>
    <w:rsid w:val="06A12660"/>
    <w:rsid w:val="08871D2A"/>
    <w:rsid w:val="09AF2373"/>
    <w:rsid w:val="0A8D3E3D"/>
    <w:rsid w:val="121A2353"/>
    <w:rsid w:val="12831CA9"/>
    <w:rsid w:val="1C3433ED"/>
    <w:rsid w:val="20162B07"/>
    <w:rsid w:val="240510B5"/>
    <w:rsid w:val="2A8E6B20"/>
    <w:rsid w:val="317A0D95"/>
    <w:rsid w:val="35293223"/>
    <w:rsid w:val="3AF732FB"/>
    <w:rsid w:val="45714A84"/>
    <w:rsid w:val="4614764A"/>
    <w:rsid w:val="4FF1145F"/>
    <w:rsid w:val="5144296E"/>
    <w:rsid w:val="51AC406F"/>
    <w:rsid w:val="54564D1F"/>
    <w:rsid w:val="567333AD"/>
    <w:rsid w:val="58D55B45"/>
    <w:rsid w:val="5AB602E7"/>
    <w:rsid w:val="62153A3B"/>
    <w:rsid w:val="642A4C48"/>
    <w:rsid w:val="68BD099E"/>
    <w:rsid w:val="6F7A2894"/>
    <w:rsid w:val="6FC8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autoRedefine/>
    <w:unhideWhenUsed/>
    <w:qFormat/>
    <w:uiPriority w:val="99"/>
    <w:pPr>
      <w:spacing w:after="120"/>
      <w:ind w:left="420" w:leftChars="200" w:firstLine="420" w:firstLineChars="200"/>
    </w:pPr>
    <w:rPr>
      <w:rFonts w:eastAsia="宋?"/>
      <w:sz w:val="21"/>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3</Pages>
  <Words>727</Words>
  <Characters>746</Characters>
  <Lines>8</Lines>
  <Paragraphs>2</Paragraphs>
  <TotalTime>0</TotalTime>
  <ScaleCrop>false</ScaleCrop>
  <LinksUpToDate>false</LinksUpToDate>
  <CharactersWithSpaces>754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2022-07-22T07:54:00Z</dcterms:created>
  <dc:creator>Chilan</dc:creator>
  <cp:lastModifiedBy>bling</cp:lastModifiedBy>
  <dcterms:modified xsi:type="dcterms:W3CDTF">2024-07-26T09:04:47Z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C58D9F7532984385BF6EA5D356CF6B9B_12</vt:lpwstr>
  </property>
</Properties>
</file>