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7EAF">
      <w:pPr>
        <w:jc w:val="center"/>
        <w:rPr>
          <w:rFonts w:hint="eastAsia" w:ascii="Times New Roman" w:hAnsi="Times New Roman" w:eastAsia="黑体"/>
          <w:sz w:val="32"/>
          <w:szCs w:val="20"/>
          <w:lang w:val="en-US" w:eastAsia="zh-CN"/>
        </w:rPr>
      </w:pPr>
    </w:p>
    <w:p w14:paraId="04EBFF51">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lang w:val="en-US" w:eastAsia="zh-CN"/>
        </w:rPr>
        <w:t>拟推荐“2025年度广东省精准医学应用学会科学技术奖”</w:t>
      </w:r>
    </w:p>
    <w:p w14:paraId="5A341464">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rPr>
        <w:t>奖</w:t>
      </w:r>
      <w:r>
        <w:rPr>
          <w:rFonts w:hint="eastAsia" w:ascii="Times New Roman" w:hAnsi="Times New Roman" w:eastAsia="黑体"/>
          <w:sz w:val="32"/>
          <w:szCs w:val="20"/>
          <w:lang w:val="en-US" w:eastAsia="zh-CN"/>
        </w:rPr>
        <w:t>候选项目/候选人</w:t>
      </w:r>
    </w:p>
    <w:p w14:paraId="1CE99070">
      <w:pPr>
        <w:jc w:val="center"/>
        <w:rPr>
          <w:rFonts w:hint="eastAsia" w:ascii="Times New Roman" w:hAnsi="Times New Roman" w:eastAsia="黑体"/>
          <w:sz w:val="32"/>
          <w:szCs w:val="20"/>
          <w:lang w:val="en-US" w:eastAsia="zh-CN"/>
        </w:rPr>
      </w:pPr>
      <w:r>
        <w:rPr>
          <w:rFonts w:hint="eastAsia" w:ascii="Times New Roman" w:hAnsi="Times New Roman" w:eastAsia="黑体"/>
          <w:sz w:val="32"/>
          <w:szCs w:val="20"/>
          <w:lang w:val="en-US" w:eastAsia="zh-CN"/>
        </w:rPr>
        <w:t>公示内容</w:t>
      </w:r>
    </w:p>
    <w:tbl>
      <w:tblPr>
        <w:tblStyle w:val="4"/>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12"/>
        <w:gridCol w:w="186"/>
        <w:gridCol w:w="150"/>
        <w:gridCol w:w="344"/>
        <w:gridCol w:w="812"/>
        <w:gridCol w:w="1162"/>
        <w:gridCol w:w="1153"/>
        <w:gridCol w:w="294"/>
        <w:gridCol w:w="778"/>
        <w:gridCol w:w="896"/>
        <w:gridCol w:w="402"/>
        <w:gridCol w:w="678"/>
        <w:gridCol w:w="665"/>
        <w:gridCol w:w="787"/>
        <w:gridCol w:w="1084"/>
      </w:tblGrid>
      <w:tr w14:paraId="3A50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4"/>
            <w:vAlign w:val="center"/>
          </w:tcPr>
          <w:p w14:paraId="01689095">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奖项类别</w:t>
            </w:r>
          </w:p>
        </w:tc>
        <w:tc>
          <w:tcPr>
            <w:tcW w:w="9055" w:type="dxa"/>
            <w:gridSpan w:val="12"/>
            <w:vAlign w:val="center"/>
          </w:tcPr>
          <w:p w14:paraId="458124AE">
            <w:pPr>
              <w:spacing w:line="360" w:lineRule="auto"/>
              <w:jc w:val="center"/>
              <w:rPr>
                <w:rFonts w:hint="eastAsia" w:ascii="Times New Roman" w:hAnsi="Times New Roman" w:eastAsia="黑体" w:cs="黑体"/>
                <w:sz w:val="24"/>
                <w:szCs w:val="24"/>
                <w:vertAlign w:val="baseline"/>
                <w:lang w:val="en-US" w:eastAsia="zh-CN"/>
              </w:rPr>
            </w:pPr>
            <w:r>
              <w:rPr>
                <w:rFonts w:hint="eastAsia" w:ascii="宋体" w:hAnsi="宋体" w:eastAsia="宋体" w:cs="宋体"/>
                <w:b/>
                <w:bCs/>
                <w:sz w:val="24"/>
                <w:szCs w:val="24"/>
                <w:vertAlign w:val="baseline"/>
                <w:lang w:val="en-US" w:eastAsia="zh-CN"/>
              </w:rPr>
              <w:t>自然科学奖</w:t>
            </w:r>
          </w:p>
        </w:tc>
      </w:tr>
      <w:tr w14:paraId="1408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4"/>
            <w:vAlign w:val="center"/>
          </w:tcPr>
          <w:p w14:paraId="529C759F">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项目名称</w:t>
            </w:r>
          </w:p>
        </w:tc>
        <w:tc>
          <w:tcPr>
            <w:tcW w:w="9055" w:type="dxa"/>
            <w:gridSpan w:val="12"/>
            <w:vAlign w:val="center"/>
          </w:tcPr>
          <w:p w14:paraId="6FB48C16">
            <w:pPr>
              <w:spacing w:line="360" w:lineRule="auto"/>
              <w:jc w:val="center"/>
              <w:rPr>
                <w:rFonts w:hint="default" w:ascii="Times New Roman" w:hAnsi="Times New Roman" w:eastAsia="黑体" w:cs="黑体"/>
                <w:sz w:val="24"/>
                <w:szCs w:val="24"/>
                <w:vertAlign w:val="baseline"/>
                <w:lang w:val="en-US" w:eastAsia="zh-CN"/>
              </w:rPr>
            </w:pPr>
            <w:r>
              <w:rPr>
                <w:rFonts w:hint="eastAsia" w:ascii="宋体" w:hAnsi="宋体" w:eastAsia="宋体" w:cs="宋体"/>
                <w:b/>
                <w:bCs/>
                <w:sz w:val="24"/>
                <w:szCs w:val="24"/>
                <w:vertAlign w:val="baseline"/>
                <w:lang w:val="en-US" w:eastAsia="zh-CN"/>
              </w:rPr>
              <w:t>糖尿病视网膜病变早期视网膜炎症机制的系统性研究</w:t>
            </w:r>
          </w:p>
        </w:tc>
      </w:tr>
      <w:tr w14:paraId="484B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4"/>
            <w:vAlign w:val="center"/>
          </w:tcPr>
          <w:p w14:paraId="07814720">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sz w:val="28"/>
                <w:szCs w:val="28"/>
                <w:vertAlign w:val="baseline"/>
                <w:lang w:val="en-US" w:eastAsia="zh-CN"/>
              </w:rPr>
              <w:t>推荐单位</w:t>
            </w:r>
          </w:p>
        </w:tc>
        <w:tc>
          <w:tcPr>
            <w:tcW w:w="9055" w:type="dxa"/>
            <w:gridSpan w:val="12"/>
            <w:vAlign w:val="center"/>
          </w:tcPr>
          <w:p w14:paraId="023DEAD1">
            <w:pPr>
              <w:spacing w:line="360" w:lineRule="auto"/>
              <w:jc w:val="center"/>
              <w:rPr>
                <w:rFonts w:hint="default" w:ascii="Times New Roman" w:hAnsi="Times New Roman" w:eastAsia="黑体" w:cs="黑体"/>
                <w:sz w:val="24"/>
                <w:szCs w:val="24"/>
                <w:vertAlign w:val="baseline"/>
                <w:lang w:val="en-US" w:eastAsia="zh-CN"/>
              </w:rPr>
            </w:pPr>
            <w:r>
              <w:rPr>
                <w:rFonts w:hint="eastAsia" w:ascii="宋体" w:hAnsi="宋体" w:eastAsia="宋体" w:cs="宋体"/>
                <w:b/>
                <w:bCs/>
                <w:sz w:val="24"/>
                <w:szCs w:val="24"/>
                <w:vertAlign w:val="baseline"/>
                <w:lang w:val="en-US" w:eastAsia="zh-CN"/>
              </w:rPr>
              <w:t>南方医科大学珠江医院</w:t>
            </w:r>
          </w:p>
        </w:tc>
      </w:tr>
      <w:tr w14:paraId="0A8E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gridSpan w:val="4"/>
            <w:vAlign w:val="center"/>
          </w:tcPr>
          <w:p w14:paraId="1F8C62D7">
            <w:pPr>
              <w:spacing w:line="360" w:lineRule="auto"/>
              <w:jc w:val="center"/>
              <w:rPr>
                <w:rFonts w:hint="default" w:ascii="Times New Roman" w:hAnsi="Times New Roman" w:eastAsia="黑体"/>
                <w:sz w:val="28"/>
                <w:szCs w:val="28"/>
                <w:vertAlign w:val="baseline"/>
                <w:lang w:val="en-US" w:eastAsia="zh-CN"/>
              </w:rPr>
            </w:pPr>
            <w:r>
              <w:rPr>
                <w:rFonts w:hint="eastAsia" w:ascii="Times New Roman" w:hAnsi="Times New Roman" w:eastAsia="黑体"/>
                <w:b/>
                <w:bCs/>
                <w:sz w:val="28"/>
                <w:szCs w:val="28"/>
                <w:highlight w:val="none"/>
                <w:vertAlign w:val="baseline"/>
                <w:lang w:val="en-US" w:eastAsia="zh-CN"/>
              </w:rPr>
              <w:t>项目简介</w:t>
            </w:r>
          </w:p>
        </w:tc>
        <w:tc>
          <w:tcPr>
            <w:tcW w:w="9055" w:type="dxa"/>
            <w:gridSpan w:val="12"/>
            <w:vAlign w:val="center"/>
          </w:tcPr>
          <w:p w14:paraId="19930D7D">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default" w:ascii="Times New Roman" w:hAnsi="Times New Roman" w:eastAsia="宋体" w:cs="Times New Roman"/>
                <w:b w:val="0"/>
                <w:bCs w:val="0"/>
                <w:sz w:val="24"/>
                <w:szCs w:val="16"/>
                <w:vertAlign w:val="baseline"/>
                <w:lang w:val="en-US" w:eastAsia="zh-CN"/>
              </w:rPr>
              <w:t>糖尿病及糖尿病视网膜病变（Diabetic retinopathy，DR）患者与日俱增，现有治疗多局限于中晚期且效果不佳、致盲率高，亟需早期有效干预措施。DR的发病机制复杂，</w:t>
            </w:r>
            <w:r>
              <w:rPr>
                <w:rFonts w:hint="default" w:ascii="Times New Roman" w:hAnsi="Times New Roman" w:eastAsia="宋体" w:cs="Times New Roman"/>
                <w:sz w:val="24"/>
                <w:szCs w:val="24"/>
              </w:rPr>
              <w:t>视网膜炎症反应远早于临床可见的微血管病变，长期的慢性炎症是导致其不可逆进展的关键始动机制</w:t>
            </w:r>
            <w:r>
              <w:rPr>
                <w:rFonts w:hint="default" w:ascii="Times New Roman" w:hAnsi="Times New Roman" w:eastAsia="宋体" w:cs="Times New Roman"/>
                <w:b w:val="0"/>
                <w:bCs w:val="0"/>
                <w:sz w:val="24"/>
                <w:szCs w:val="16"/>
                <w:vertAlign w:val="baseline"/>
                <w:lang w:val="en-US" w:eastAsia="zh-CN"/>
              </w:rPr>
              <w:t>。因此深入探索DR早期炎症启动的发病机理，有望为DR的早期诊断及干预提供新的靶点及思路。</w:t>
            </w:r>
          </w:p>
          <w:p w14:paraId="519B382C">
            <w:pPr>
              <w:spacing w:line="24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sz w:val="24"/>
                <w:szCs w:val="16"/>
                <w:vertAlign w:val="baseline"/>
                <w:lang w:val="en-US" w:eastAsia="zh-CN"/>
              </w:rPr>
              <w:t>本项目</w:t>
            </w:r>
            <w:r>
              <w:rPr>
                <w:rFonts w:hint="default" w:ascii="宋体" w:hAnsi="宋体" w:eastAsia="宋体" w:cs="宋体"/>
                <w:b w:val="0"/>
                <w:bCs w:val="0"/>
                <w:sz w:val="24"/>
                <w:szCs w:val="16"/>
                <w:vertAlign w:val="baseline"/>
                <w:lang w:val="en-US" w:eastAsia="zh-CN"/>
              </w:rPr>
              <w:t>打破</w:t>
            </w:r>
            <w:r>
              <w:rPr>
                <w:rFonts w:hint="eastAsia" w:ascii="宋体" w:hAnsi="宋体" w:cs="宋体"/>
                <w:b w:val="0"/>
                <w:bCs w:val="0"/>
                <w:sz w:val="24"/>
                <w:szCs w:val="16"/>
                <w:vertAlign w:val="baseline"/>
                <w:lang w:val="en-US" w:eastAsia="zh-CN"/>
              </w:rPr>
              <w:t>传统</w:t>
            </w:r>
            <w:r>
              <w:rPr>
                <w:rFonts w:hint="default" w:ascii="Times New Roman" w:hAnsi="Times New Roman" w:eastAsia="宋体" w:cs="Times New Roman"/>
                <w:b w:val="0"/>
                <w:bCs w:val="0"/>
                <w:sz w:val="24"/>
                <w:szCs w:val="16"/>
                <w:vertAlign w:val="baseline"/>
                <w:lang w:val="en-US" w:eastAsia="zh-CN"/>
              </w:rPr>
              <w:t>DR</w:t>
            </w:r>
            <w:r>
              <w:rPr>
                <w:rFonts w:hint="default" w:ascii="宋体" w:hAnsi="宋体" w:eastAsia="宋体" w:cs="宋体"/>
                <w:b w:val="0"/>
                <w:bCs w:val="0"/>
                <w:sz w:val="24"/>
                <w:szCs w:val="16"/>
                <w:vertAlign w:val="baseline"/>
                <w:lang w:val="en-US" w:eastAsia="zh-CN"/>
              </w:rPr>
              <w:t>研究聚焦中晚期微血管病变的局限，创新性地从局部免疫微环境视角切入</w:t>
            </w:r>
            <w:r>
              <w:rPr>
                <w:rFonts w:hint="eastAsia" w:ascii="宋体" w:hAnsi="宋体" w:eastAsia="宋体" w:cs="宋体"/>
                <w:b w:val="0"/>
                <w:bCs w:val="0"/>
                <w:sz w:val="24"/>
                <w:szCs w:val="16"/>
                <w:vertAlign w:val="baseline"/>
                <w:lang w:val="en-US" w:eastAsia="zh-CN"/>
              </w:rPr>
              <w:t>，</w:t>
            </w:r>
            <w:r>
              <w:rPr>
                <w:rFonts w:hint="default" w:ascii="Times New Roman" w:hAnsi="Times New Roman" w:eastAsia="宋体" w:cs="Times New Roman"/>
                <w:sz w:val="24"/>
                <w:szCs w:val="24"/>
              </w:rPr>
              <w:t>通过整合临床</w:t>
            </w:r>
            <w:r>
              <w:rPr>
                <w:rFonts w:hint="default" w:ascii="Times New Roman" w:hAnsi="Times New Roman" w:eastAsia="宋体" w:cs="Times New Roman"/>
                <w:sz w:val="24"/>
                <w:szCs w:val="24"/>
                <w:lang w:val="en-US" w:eastAsia="zh-CN"/>
              </w:rPr>
              <w:t>样本、高糖细胞模型与DR动物模型，采用转录组学、基因敲除等方法</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通过“临床现象挖掘-分子机理解析-</w:t>
            </w:r>
            <w:r>
              <w:rPr>
                <w:rFonts w:hint="default" w:ascii="Times New Roman" w:hAnsi="Times New Roman" w:eastAsia="宋体" w:cs="Times New Roman"/>
                <w:sz w:val="24"/>
                <w:szCs w:val="24"/>
              </w:rPr>
              <w:t>药物靶向转化</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这一体系，</w:t>
            </w:r>
            <w:r>
              <w:rPr>
                <w:rFonts w:hint="default" w:ascii="Times New Roman" w:hAnsi="Times New Roman" w:eastAsia="宋体" w:cs="Times New Roman"/>
                <w:color w:val="000000" w:themeColor="text1"/>
                <w:sz w:val="24"/>
                <w:szCs w:val="24"/>
                <w14:textFill>
                  <w14:solidFill>
                    <w14:schemeClr w14:val="tx1"/>
                  </w14:solidFill>
                </w14:textFill>
              </w:rPr>
              <w:t>突破DR早诊早治的关键技术瓶颈，全面提升我国DR的早期防治水平。</w:t>
            </w:r>
            <w:r>
              <w:rPr>
                <w:rFonts w:hint="eastAsia" w:ascii="Times New Roman" w:hAnsi="Times New Roman" w:eastAsia="宋体" w:cs="Times New Roman"/>
                <w:sz w:val="24"/>
                <w:szCs w:val="24"/>
                <w:lang w:val="en-US" w:eastAsia="zh-CN"/>
              </w:rPr>
              <w:t>核心内容</w:t>
            </w:r>
            <w:r>
              <w:rPr>
                <w:rFonts w:hint="default" w:ascii="Times New Roman" w:hAnsi="Times New Roman" w:eastAsia="宋体" w:cs="Times New Roman"/>
                <w:sz w:val="24"/>
                <w:szCs w:val="24"/>
              </w:rPr>
              <w:t>如下</w:t>
            </w:r>
            <w:r>
              <w:rPr>
                <w:rFonts w:hint="default" w:ascii="Times New Roman" w:hAnsi="Times New Roman" w:eastAsia="宋体" w:cs="Times New Roman"/>
                <w:sz w:val="24"/>
                <w:szCs w:val="24"/>
                <w:lang w:eastAsia="zh-CN"/>
              </w:rPr>
              <w:t>：</w:t>
            </w:r>
          </w:p>
          <w:p w14:paraId="543F9846">
            <w:pPr>
              <w:spacing w:line="240" w:lineRule="auto"/>
              <w:ind w:firstLine="480" w:firstLineChars="200"/>
              <w:jc w:val="both"/>
              <w:rPr>
                <w:rFonts w:hint="default" w:ascii="Times New Roman" w:hAnsi="Times New Roman" w:eastAsia="宋体" w:cs="Times New Roman"/>
                <w:b w:val="0"/>
                <w:bCs w:val="0"/>
                <w:sz w:val="24"/>
                <w:szCs w:val="16"/>
                <w:vertAlign w:val="baseline"/>
                <w:lang w:val="en-US" w:eastAsia="zh-CN"/>
              </w:rPr>
            </w:pPr>
            <w:r>
              <w:rPr>
                <w:rFonts w:hint="eastAsia"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lang w:val="en-US" w:eastAsia="zh-CN"/>
              </w:rPr>
              <w:t>筛选并</w:t>
            </w:r>
            <w:r>
              <w:rPr>
                <w:rFonts w:hint="default" w:ascii="Times New Roman" w:hAnsi="Times New Roman" w:eastAsia="宋体" w:cs="Times New Roman"/>
                <w:sz w:val="24"/>
                <w:szCs w:val="24"/>
              </w:rPr>
              <w:t>鉴定</w:t>
            </w:r>
            <w:r>
              <w:rPr>
                <w:rFonts w:hint="default" w:ascii="Times New Roman" w:hAnsi="Times New Roman" w:eastAsia="宋体" w:cs="Times New Roman"/>
                <w:sz w:val="24"/>
                <w:szCs w:val="24"/>
                <w:lang w:val="en-US" w:eastAsia="zh-CN"/>
              </w:rPr>
              <w:t>出两种</w:t>
            </w:r>
            <w:r>
              <w:rPr>
                <w:rFonts w:hint="default" w:ascii="Times New Roman" w:hAnsi="Times New Roman" w:eastAsia="宋体" w:cs="Times New Roman"/>
                <w:sz w:val="24"/>
                <w:szCs w:val="24"/>
              </w:rPr>
              <w:t>新型促炎小胶质细胞亚群并解析</w:t>
            </w:r>
            <w:r>
              <w:rPr>
                <w:rFonts w:hint="eastAsia" w:ascii="Times New Roman" w:hAnsi="Times New Roman" w:eastAsia="宋体" w:cs="Times New Roman"/>
                <w:sz w:val="24"/>
                <w:szCs w:val="24"/>
                <w:lang w:val="en-US" w:eastAsia="zh-CN"/>
              </w:rPr>
              <w:t>视网膜神经血管单元（</w:t>
            </w:r>
            <w:r>
              <w:rPr>
                <w:rFonts w:hint="default" w:ascii="Times New Roman" w:hAnsi="Times New Roman" w:eastAsia="宋体" w:cs="Times New Roman"/>
                <w:sz w:val="24"/>
                <w:szCs w:val="24"/>
              </w:rPr>
              <w:t>NVU</w:t>
            </w:r>
            <w:r>
              <w:rPr>
                <w:rFonts w:hint="eastAsia"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炎症特征</w:t>
            </w:r>
            <w:r>
              <w:rPr>
                <w:rFonts w:hint="default" w:ascii="Times New Roman" w:hAnsi="Times New Roman" w:eastAsia="宋体" w:cs="Times New Roman"/>
                <w:b w:val="0"/>
                <w:bCs w:val="0"/>
                <w:sz w:val="24"/>
                <w:szCs w:val="16"/>
                <w:vertAlign w:val="baseline"/>
                <w:lang w:val="en-US" w:eastAsia="zh-CN"/>
              </w:rPr>
              <w:t>。项目组聚焦DR早期微环境炎症启动阶段细胞靶点不明的局限，利用单细胞转录组测序技术，鉴定出两类新型促炎型小胶质细胞亚群，为DR的早期干预提供了精准的细胞亚型靶点。在此基础上，项目组通过深入分析炎症和缺氧条件下NVU的免疫浸润模式，发掘出Aqp4</w:t>
            </w:r>
            <w:r>
              <w:rPr>
                <w:rFonts w:hint="default" w:ascii="Times New Roman" w:hAnsi="Times New Roman" w:eastAsia="宋体" w:cs="Times New Roman"/>
                <w:b w:val="0"/>
                <w:bCs w:val="0"/>
                <w:sz w:val="24"/>
                <w:szCs w:val="16"/>
                <w:vertAlign w:val="superscript"/>
                <w:lang w:val="en-US" w:eastAsia="zh-CN"/>
              </w:rPr>
              <w:t>hi</w:t>
            </w:r>
            <w:r>
              <w:rPr>
                <w:rFonts w:hint="default" w:ascii="Times New Roman" w:hAnsi="Times New Roman" w:eastAsia="宋体" w:cs="Times New Roman"/>
                <w:b w:val="0"/>
                <w:bCs w:val="0"/>
                <w:sz w:val="24"/>
                <w:szCs w:val="16"/>
                <w:vertAlign w:val="baseline"/>
                <w:lang w:val="en-US" w:eastAsia="zh-CN"/>
              </w:rPr>
              <w:t>亚型Müller细胞在维持视网膜稳态中的关键机制，并揭示了“炎症细胞/NVU-单核细胞-APCs-Ifng+T细胞”的交互调控环路，阐明了细胞自噬在NVU损伤中的双重调控效应。上述研究深入剖析了</w:t>
            </w:r>
            <w:r>
              <w:rPr>
                <w:rFonts w:hint="eastAsia" w:ascii="Times New Roman" w:hAnsi="Times New Roman" w:eastAsia="宋体" w:cs="Times New Roman"/>
                <w:b w:val="0"/>
                <w:bCs w:val="0"/>
                <w:sz w:val="24"/>
                <w:szCs w:val="16"/>
                <w:vertAlign w:val="baseline"/>
                <w:lang w:val="en-US" w:eastAsia="zh-CN"/>
              </w:rPr>
              <w:t>视网膜</w:t>
            </w:r>
            <w:r>
              <w:rPr>
                <w:rFonts w:hint="default" w:ascii="Times New Roman" w:hAnsi="Times New Roman" w:eastAsia="宋体" w:cs="Times New Roman"/>
                <w:b w:val="0"/>
                <w:bCs w:val="0"/>
                <w:sz w:val="24"/>
                <w:szCs w:val="16"/>
                <w:vertAlign w:val="baseline"/>
                <w:lang w:val="en-US" w:eastAsia="zh-CN"/>
              </w:rPr>
              <w:t>微</w:t>
            </w:r>
            <w:r>
              <w:rPr>
                <w:rFonts w:hint="eastAsia" w:ascii="Times New Roman" w:hAnsi="Times New Roman" w:eastAsia="宋体" w:cs="Times New Roman"/>
                <w:b w:val="0"/>
                <w:bCs w:val="0"/>
                <w:sz w:val="24"/>
                <w:szCs w:val="16"/>
                <w:vertAlign w:val="baseline"/>
                <w:lang w:val="en-US" w:eastAsia="zh-CN"/>
              </w:rPr>
              <w:t>环境</w:t>
            </w:r>
            <w:r>
              <w:rPr>
                <w:rFonts w:hint="default" w:ascii="Times New Roman" w:hAnsi="Times New Roman" w:eastAsia="宋体" w:cs="Times New Roman"/>
                <w:b w:val="0"/>
                <w:bCs w:val="0"/>
                <w:sz w:val="24"/>
                <w:szCs w:val="16"/>
                <w:vertAlign w:val="baseline"/>
                <w:lang w:val="en-US" w:eastAsia="zh-CN"/>
              </w:rPr>
              <w:t>的免疫及炎症特征，为</w:t>
            </w:r>
            <w:r>
              <w:rPr>
                <w:rFonts w:hint="eastAsia" w:ascii="Times New Roman" w:hAnsi="Times New Roman" w:eastAsia="宋体" w:cs="Times New Roman"/>
                <w:b w:val="0"/>
                <w:bCs w:val="0"/>
                <w:sz w:val="24"/>
                <w:szCs w:val="16"/>
                <w:vertAlign w:val="baseline"/>
                <w:lang w:val="en-US" w:eastAsia="zh-CN"/>
              </w:rPr>
              <w:t>DR</w:t>
            </w:r>
            <w:r>
              <w:rPr>
                <w:rFonts w:hint="default" w:ascii="Times New Roman" w:hAnsi="Times New Roman" w:eastAsia="宋体" w:cs="Times New Roman"/>
                <w:b w:val="0"/>
                <w:bCs w:val="0"/>
                <w:sz w:val="24"/>
                <w:szCs w:val="16"/>
                <w:vertAlign w:val="baseline"/>
                <w:lang w:val="en-US" w:eastAsia="zh-CN"/>
              </w:rPr>
              <w:t>早期</w:t>
            </w:r>
            <w:r>
              <w:rPr>
                <w:rFonts w:hint="eastAsia" w:ascii="Times New Roman" w:hAnsi="Times New Roman" w:eastAsia="宋体" w:cs="Times New Roman"/>
                <w:b w:val="0"/>
                <w:bCs w:val="0"/>
                <w:sz w:val="24"/>
                <w:szCs w:val="16"/>
                <w:vertAlign w:val="baseline"/>
                <w:lang w:val="en-US" w:eastAsia="zh-CN"/>
              </w:rPr>
              <w:t>视网膜炎症</w:t>
            </w:r>
            <w:r>
              <w:rPr>
                <w:rFonts w:hint="default" w:ascii="Times New Roman" w:hAnsi="Times New Roman" w:eastAsia="宋体" w:cs="Times New Roman"/>
                <w:b w:val="0"/>
                <w:bCs w:val="0"/>
                <w:sz w:val="24"/>
                <w:szCs w:val="16"/>
                <w:vertAlign w:val="baseline"/>
                <w:lang w:val="en-US" w:eastAsia="zh-CN"/>
              </w:rPr>
              <w:t>提供了潜在的新型治疗靶点。</w:t>
            </w:r>
          </w:p>
          <w:p w14:paraId="5799A761">
            <w:pPr>
              <w:spacing w:line="240" w:lineRule="auto"/>
              <w:ind w:firstLine="480" w:firstLineChars="200"/>
              <w:jc w:val="both"/>
              <w:rPr>
                <w:rFonts w:hint="default" w:ascii="Times New Roman" w:hAnsi="Times New Roman" w:eastAsia="宋体" w:cs="Times New Roman"/>
                <w:sz w:val="24"/>
                <w:szCs w:val="24"/>
              </w:rPr>
            </w:pPr>
            <w:r>
              <w:rPr>
                <w:rFonts w:hint="eastAsia" w:ascii="Times New Roman" w:hAnsi="Times New Roman" w:eastAsia="宋体" w:cs="Times New Roman"/>
                <w:b w:val="0"/>
                <w:bCs w:val="0"/>
                <w:sz w:val="24"/>
                <w:szCs w:val="16"/>
                <w:vertAlign w:val="baseline"/>
                <w:lang w:val="en-US" w:eastAsia="zh-CN"/>
              </w:rPr>
              <w:t>二、</w:t>
            </w:r>
            <w:r>
              <w:rPr>
                <w:rFonts w:hint="default" w:ascii="Times New Roman" w:hAnsi="Times New Roman" w:eastAsia="宋体" w:cs="Times New Roman"/>
                <w:b w:val="0"/>
                <w:bCs w:val="0"/>
                <w:sz w:val="24"/>
                <w:szCs w:val="16"/>
                <w:vertAlign w:val="baseline"/>
                <w:lang w:val="en-US" w:eastAsia="zh-CN"/>
              </w:rPr>
              <w:t>系统阐明APN经AGEs/RAGE轴调控DR早期视网膜小胶质细胞炎症</w:t>
            </w:r>
            <w:r>
              <w:rPr>
                <w:rFonts w:hint="eastAsia" w:ascii="Times New Roman" w:hAnsi="Times New Roman" w:eastAsia="宋体" w:cs="Times New Roman"/>
                <w:b w:val="0"/>
                <w:bCs w:val="0"/>
                <w:sz w:val="24"/>
                <w:szCs w:val="16"/>
                <w:vertAlign w:val="baseline"/>
                <w:lang w:val="en-US" w:eastAsia="zh-CN"/>
              </w:rPr>
              <w:t>的分子机理</w:t>
            </w:r>
            <w:r>
              <w:rPr>
                <w:rFonts w:hint="default" w:ascii="Times New Roman" w:hAnsi="Times New Roman" w:eastAsia="宋体" w:cs="Times New Roman"/>
                <w:b w:val="0"/>
                <w:bCs w:val="0"/>
                <w:sz w:val="24"/>
                <w:szCs w:val="16"/>
                <w:vertAlign w:val="baseline"/>
                <w:lang w:val="en-US" w:eastAsia="zh-CN"/>
              </w:rPr>
              <w:t>，发掘开辟PPAR-α激动剂“老药新用”的转化路径。脂联素（APN）</w:t>
            </w:r>
            <w:r>
              <w:rPr>
                <w:rFonts w:hint="eastAsia" w:ascii="Times New Roman" w:hAnsi="Times New Roman" w:eastAsia="宋体" w:cs="Times New Roman"/>
                <w:b w:val="0"/>
                <w:bCs w:val="0"/>
                <w:sz w:val="24"/>
                <w:szCs w:val="16"/>
                <w:vertAlign w:val="baseline"/>
                <w:lang w:val="en-US" w:eastAsia="zh-CN"/>
              </w:rPr>
              <w:t>调控</w:t>
            </w:r>
            <w:r>
              <w:rPr>
                <w:rFonts w:hint="default" w:ascii="Times New Roman" w:hAnsi="Times New Roman" w:eastAsia="宋体" w:cs="Times New Roman"/>
                <w:b w:val="0"/>
                <w:bCs w:val="0"/>
                <w:sz w:val="24"/>
                <w:szCs w:val="16"/>
                <w:vertAlign w:val="baseline"/>
                <w:lang w:val="en-US" w:eastAsia="zh-CN"/>
              </w:rPr>
              <w:t>糖脂代谢</w:t>
            </w:r>
            <w:r>
              <w:rPr>
                <w:rFonts w:hint="eastAsia" w:ascii="Times New Roman" w:hAnsi="Times New Roman" w:eastAsia="宋体" w:cs="Times New Roman"/>
                <w:b w:val="0"/>
                <w:bCs w:val="0"/>
                <w:sz w:val="24"/>
                <w:szCs w:val="16"/>
                <w:vertAlign w:val="baseline"/>
                <w:lang w:val="en-US" w:eastAsia="zh-CN"/>
              </w:rPr>
              <w:t>的</w:t>
            </w:r>
            <w:r>
              <w:rPr>
                <w:rFonts w:hint="default" w:ascii="Times New Roman" w:hAnsi="Times New Roman" w:eastAsia="宋体" w:cs="Times New Roman"/>
                <w:b w:val="0"/>
                <w:bCs w:val="0"/>
                <w:sz w:val="24"/>
                <w:szCs w:val="16"/>
                <w:vertAlign w:val="baseline"/>
                <w:lang w:val="en-US" w:eastAsia="zh-CN"/>
              </w:rPr>
              <w:t>作用</w:t>
            </w:r>
            <w:r>
              <w:rPr>
                <w:rFonts w:hint="eastAsia" w:ascii="Times New Roman" w:hAnsi="Times New Roman" w:eastAsia="宋体" w:cs="Times New Roman"/>
                <w:b w:val="0"/>
                <w:bCs w:val="0"/>
                <w:sz w:val="24"/>
                <w:szCs w:val="16"/>
                <w:vertAlign w:val="baseline"/>
                <w:lang w:val="en-US" w:eastAsia="zh-CN"/>
              </w:rPr>
              <w:t>已广泛研究</w:t>
            </w:r>
            <w:r>
              <w:rPr>
                <w:rFonts w:hint="default" w:ascii="Times New Roman" w:hAnsi="Times New Roman" w:eastAsia="宋体" w:cs="Times New Roman"/>
                <w:b w:val="0"/>
                <w:bCs w:val="0"/>
                <w:sz w:val="24"/>
                <w:szCs w:val="16"/>
                <w:vertAlign w:val="baseline"/>
                <w:lang w:val="en-US" w:eastAsia="zh-CN"/>
              </w:rPr>
              <w:t>，</w:t>
            </w:r>
            <w:r>
              <w:rPr>
                <w:rFonts w:hint="eastAsia" w:ascii="Times New Roman" w:hAnsi="Times New Roman" w:eastAsia="宋体" w:cs="Times New Roman"/>
                <w:b w:val="0"/>
                <w:bCs w:val="0"/>
                <w:sz w:val="24"/>
                <w:szCs w:val="16"/>
                <w:vertAlign w:val="baseline"/>
                <w:lang w:val="en-US" w:eastAsia="zh-CN"/>
              </w:rPr>
              <w:t>其对DR视网膜的保护作用尚属起步。本</w:t>
            </w:r>
            <w:r>
              <w:rPr>
                <w:rFonts w:hint="default" w:ascii="Times New Roman" w:hAnsi="Times New Roman" w:eastAsia="宋体" w:cs="Times New Roman"/>
                <w:b w:val="0"/>
                <w:bCs w:val="0"/>
                <w:sz w:val="24"/>
                <w:szCs w:val="16"/>
                <w:vertAlign w:val="baseline"/>
                <w:lang w:val="en-US" w:eastAsia="zh-CN"/>
              </w:rPr>
              <w:t>项目通过构建高糖动物模型，联合AAV载体靶向干预APN受体及AdipoRon药物激动等手段，阐明了APN对视网膜</w:t>
            </w:r>
            <w:r>
              <w:rPr>
                <w:rFonts w:hint="eastAsia" w:ascii="Times New Roman" w:hAnsi="Times New Roman" w:eastAsia="宋体" w:cs="Times New Roman"/>
                <w:b w:val="0"/>
                <w:bCs w:val="0"/>
                <w:sz w:val="24"/>
                <w:szCs w:val="16"/>
                <w:vertAlign w:val="baseline"/>
                <w:lang w:val="en-US" w:eastAsia="zh-CN"/>
              </w:rPr>
              <w:t>炎症</w:t>
            </w:r>
            <w:r>
              <w:rPr>
                <w:rFonts w:hint="default" w:ascii="Times New Roman" w:hAnsi="Times New Roman" w:eastAsia="宋体" w:cs="Times New Roman"/>
                <w:b w:val="0"/>
                <w:bCs w:val="0"/>
                <w:sz w:val="24"/>
                <w:szCs w:val="16"/>
                <w:vertAlign w:val="baseline"/>
                <w:lang w:val="en-US" w:eastAsia="zh-CN"/>
              </w:rPr>
              <w:t>的抑制作用，</w:t>
            </w:r>
            <w:r>
              <w:rPr>
                <w:rFonts w:hint="eastAsia" w:ascii="Times New Roman" w:hAnsi="Times New Roman" w:eastAsia="宋体" w:cs="Times New Roman"/>
                <w:b w:val="0"/>
                <w:bCs w:val="0"/>
                <w:sz w:val="24"/>
                <w:szCs w:val="16"/>
                <w:vertAlign w:val="baseline"/>
                <w:lang w:val="en-US" w:eastAsia="zh-CN"/>
              </w:rPr>
              <w:t>明确了APN</w:t>
            </w:r>
            <w:r>
              <w:rPr>
                <w:rFonts w:hint="default" w:ascii="Times New Roman" w:hAnsi="Times New Roman" w:eastAsia="宋体" w:cs="Times New Roman"/>
                <w:b w:val="0"/>
                <w:bCs w:val="0"/>
                <w:sz w:val="24"/>
                <w:szCs w:val="16"/>
                <w:vertAlign w:val="baseline"/>
                <w:lang w:val="en-US" w:eastAsia="zh-CN"/>
              </w:rPr>
              <w:t>调控AGEs/RAGE轴抑制氧化应激和炎症级联反应</w:t>
            </w:r>
            <w:r>
              <w:rPr>
                <w:rFonts w:hint="eastAsia" w:ascii="Times New Roman" w:hAnsi="Times New Roman" w:eastAsia="宋体" w:cs="Times New Roman"/>
                <w:b w:val="0"/>
                <w:bCs w:val="0"/>
                <w:sz w:val="24"/>
                <w:szCs w:val="16"/>
                <w:vertAlign w:val="baseline"/>
                <w:lang w:val="en-US" w:eastAsia="zh-CN"/>
              </w:rPr>
              <w:t>、</w:t>
            </w:r>
            <w:r>
              <w:rPr>
                <w:rFonts w:hint="default" w:ascii="Times New Roman" w:hAnsi="Times New Roman" w:eastAsia="宋体" w:cs="Times New Roman"/>
                <w:b w:val="0"/>
                <w:bCs w:val="0"/>
                <w:sz w:val="24"/>
                <w:szCs w:val="16"/>
                <w:vertAlign w:val="baseline"/>
                <w:lang w:val="en-US" w:eastAsia="zh-CN"/>
              </w:rPr>
              <w:t>发挥</w:t>
            </w:r>
            <w:r>
              <w:rPr>
                <w:rFonts w:hint="eastAsia" w:ascii="Times New Roman" w:hAnsi="Times New Roman" w:eastAsia="宋体" w:cs="Times New Roman"/>
                <w:b w:val="0"/>
                <w:bCs w:val="0"/>
                <w:sz w:val="24"/>
                <w:szCs w:val="16"/>
                <w:vertAlign w:val="baseline"/>
                <w:lang w:val="en-US" w:eastAsia="zh-CN"/>
              </w:rPr>
              <w:t>视网膜</w:t>
            </w:r>
            <w:r>
              <w:rPr>
                <w:rFonts w:hint="default" w:ascii="Times New Roman" w:hAnsi="Times New Roman" w:eastAsia="宋体" w:cs="Times New Roman"/>
                <w:b w:val="0"/>
                <w:bCs w:val="0"/>
                <w:sz w:val="24"/>
                <w:szCs w:val="16"/>
                <w:vertAlign w:val="baseline"/>
                <w:lang w:val="en-US" w:eastAsia="zh-CN"/>
              </w:rPr>
              <w:t>保护效应。同时，</w:t>
            </w:r>
            <w:r>
              <w:rPr>
                <w:rFonts w:hint="default" w:ascii="Times New Roman" w:hAnsi="Times New Roman" w:eastAsia="宋体" w:cs="Times New Roman"/>
                <w:sz w:val="24"/>
                <w:szCs w:val="24"/>
              </w:rPr>
              <w:t>针对全新药物研发周期长、成本高</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效果不明确</w:t>
            </w:r>
            <w:r>
              <w:rPr>
                <w:rFonts w:hint="default" w:ascii="Times New Roman" w:hAnsi="Times New Roman" w:eastAsia="宋体" w:cs="Times New Roman"/>
                <w:sz w:val="24"/>
                <w:szCs w:val="24"/>
              </w:rPr>
              <w:t>的瓶颈，</w:t>
            </w:r>
            <w:r>
              <w:rPr>
                <w:rFonts w:hint="eastAsia" w:ascii="Times New Roman" w:hAnsi="Times New Roman" w:eastAsia="宋体" w:cs="Times New Roman"/>
                <w:sz w:val="24"/>
                <w:szCs w:val="24"/>
                <w:lang w:val="en-US" w:eastAsia="zh-CN"/>
              </w:rPr>
              <w:t>本项目在实验研究基础上，</w:t>
            </w:r>
            <w:r>
              <w:rPr>
                <w:rFonts w:hint="default" w:ascii="Times New Roman" w:hAnsi="Times New Roman" w:eastAsia="宋体" w:cs="Times New Roman"/>
                <w:sz w:val="24"/>
                <w:szCs w:val="24"/>
              </w:rPr>
              <w:t>聚焦</w:t>
            </w:r>
            <w:r>
              <w:rPr>
                <w:rFonts w:hint="default" w:ascii="Times New Roman" w:hAnsi="Times New Roman" w:eastAsia="宋体" w:cs="Times New Roman"/>
                <w:b w:val="0"/>
                <w:bCs w:val="0"/>
                <w:sz w:val="24"/>
                <w:szCs w:val="16"/>
                <w:vertAlign w:val="baseline"/>
                <w:lang w:val="en-US" w:eastAsia="zh-CN"/>
              </w:rPr>
              <w:t>PPAR-α激动剂</w:t>
            </w:r>
            <w:r>
              <w:rPr>
                <w:rFonts w:hint="eastAsia" w:ascii="Times New Roman" w:hAnsi="Times New Roman" w:eastAsia="宋体" w:cs="Times New Roman"/>
                <w:b w:val="0"/>
                <w:bCs w:val="0"/>
                <w:sz w:val="24"/>
                <w:szCs w:val="16"/>
                <w:vertAlign w:val="baseline"/>
                <w:lang w:val="en-US" w:eastAsia="zh-CN"/>
              </w:rPr>
              <w:t>的</w:t>
            </w:r>
            <w:r>
              <w:rPr>
                <w:rFonts w:hint="default" w:ascii="Times New Roman" w:hAnsi="Times New Roman" w:eastAsia="宋体" w:cs="Times New Roman"/>
                <w:sz w:val="24"/>
                <w:szCs w:val="24"/>
              </w:rPr>
              <w:t>经典口服降脂药非诺贝特，</w:t>
            </w:r>
            <w:r>
              <w:rPr>
                <w:rFonts w:hint="default" w:ascii="Times New Roman" w:hAnsi="Times New Roman" w:eastAsia="宋体" w:cs="Times New Roman"/>
                <w:b w:val="0"/>
                <w:bCs w:val="0"/>
                <w:sz w:val="24"/>
                <w:szCs w:val="16"/>
                <w:vertAlign w:val="baseline"/>
                <w:lang w:val="en-US" w:eastAsia="zh-CN"/>
              </w:rPr>
              <w:t>阐明了PPAR-α激动剂通过APN/AGEs/RAGE轴抑制DR早期视网膜炎症的分子机制。</w:t>
            </w:r>
            <w:r>
              <w:rPr>
                <w:rFonts w:hint="eastAsia" w:ascii="Times New Roman" w:hAnsi="Times New Roman" w:eastAsia="宋体" w:cs="Times New Roman"/>
                <w:b w:val="0"/>
                <w:bCs w:val="0"/>
                <w:sz w:val="24"/>
                <w:szCs w:val="16"/>
                <w:vertAlign w:val="baseline"/>
                <w:lang w:val="en-US" w:eastAsia="zh-CN"/>
              </w:rPr>
              <w:t>这些系列</w:t>
            </w:r>
            <w:r>
              <w:rPr>
                <w:rFonts w:hint="default" w:ascii="Times New Roman" w:hAnsi="Times New Roman" w:eastAsia="宋体" w:cs="Times New Roman"/>
                <w:b w:val="0"/>
                <w:bCs w:val="0"/>
                <w:sz w:val="24"/>
                <w:szCs w:val="16"/>
                <w:vertAlign w:val="baseline"/>
                <w:lang w:val="en-US" w:eastAsia="zh-CN"/>
              </w:rPr>
              <w:t>研究不仅丰富了PPAR-α激动剂</w:t>
            </w:r>
            <w:r>
              <w:rPr>
                <w:rFonts w:hint="default" w:ascii="Times New Roman" w:hAnsi="Times New Roman" w:eastAsia="宋体" w:cs="Times New Roman"/>
                <w:sz w:val="24"/>
                <w:szCs w:val="24"/>
              </w:rPr>
              <w:t>的药理学理论依据，更为DR早期实现低成本、无创非手术干预提供了重要的转化医学支撑。</w:t>
            </w:r>
          </w:p>
          <w:p w14:paraId="6C505AE9">
            <w:pPr>
              <w:spacing w:line="24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lang w:val="en-US" w:eastAsia="zh-CN"/>
              </w:rPr>
              <w:t>构建多组学融合与网络药理学拓扑预测体系，深挖DR病理机制与治疗新靶点。针对DR发病机制错综复杂、单一组学研究存在信息碎片化的局限，</w:t>
            </w:r>
            <w:r>
              <w:rPr>
                <w:rFonts w:hint="eastAsia" w:ascii="Times New Roman" w:hAnsi="Times New Roman" w:eastAsia="宋体" w:cs="Times New Roman"/>
                <w:sz w:val="24"/>
                <w:szCs w:val="24"/>
                <w:lang w:val="en-US" w:eastAsia="zh-CN"/>
              </w:rPr>
              <w:t>本</w:t>
            </w:r>
            <w:r>
              <w:rPr>
                <w:rFonts w:hint="default" w:ascii="Times New Roman" w:hAnsi="Times New Roman" w:eastAsia="宋体" w:cs="Times New Roman"/>
                <w:sz w:val="24"/>
                <w:szCs w:val="24"/>
                <w:lang w:val="en-US" w:eastAsia="zh-CN"/>
              </w:rPr>
              <w:t>项目</w:t>
            </w:r>
            <w:r>
              <w:rPr>
                <w:rFonts w:hint="default" w:ascii="Times New Roman" w:hAnsi="Times New Roman" w:eastAsia="宋体" w:cs="Times New Roman"/>
                <w:color w:val="auto"/>
                <w:sz w:val="24"/>
                <w:szCs w:val="24"/>
              </w:rPr>
              <w:t>整合多组学转录组、全表型关联分析和蛋白质互作网络分析、人工智能驱动的多模态数据融合模型以及基于网络药理学的治疗靶点拓扑预测体系</w:t>
            </w:r>
            <w:r>
              <w:rPr>
                <w:rFonts w:hint="default" w:ascii="Times New Roman" w:hAnsi="Times New Roman" w:eastAsia="宋体" w:cs="Times New Roman"/>
                <w:sz w:val="24"/>
                <w:szCs w:val="24"/>
                <w:lang w:val="en-US" w:eastAsia="zh-CN"/>
              </w:rPr>
              <w:t>，多维度探寻脂质代谢网络、STAT蛋白家族等关键保护与致病因素在DR发病</w:t>
            </w:r>
            <w:r>
              <w:rPr>
                <w:rFonts w:hint="eastAsia" w:ascii="Times New Roman" w:hAnsi="Times New Roman" w:eastAsia="宋体" w:cs="Times New Roman"/>
                <w:sz w:val="24"/>
                <w:szCs w:val="24"/>
                <w:lang w:val="en-US" w:eastAsia="zh-CN"/>
              </w:rPr>
              <w:t>机制</w:t>
            </w:r>
            <w:r>
              <w:rPr>
                <w:rFonts w:hint="default" w:ascii="Times New Roman" w:hAnsi="Times New Roman" w:eastAsia="宋体" w:cs="Times New Roman"/>
                <w:sz w:val="24"/>
                <w:szCs w:val="24"/>
                <w:lang w:val="en-US" w:eastAsia="zh-CN"/>
              </w:rPr>
              <w:t>中的核心角色，进一步</w:t>
            </w:r>
            <w:r>
              <w:rPr>
                <w:rFonts w:hint="eastAsia" w:ascii="Times New Roman" w:hAnsi="Times New Roman" w:eastAsia="宋体" w:cs="Times New Roman"/>
                <w:sz w:val="24"/>
                <w:szCs w:val="24"/>
                <w:lang w:val="en-US" w:eastAsia="zh-CN"/>
              </w:rPr>
              <w:t>完善了</w:t>
            </w:r>
            <w:r>
              <w:rPr>
                <w:rFonts w:hint="default" w:ascii="Times New Roman" w:hAnsi="Times New Roman" w:eastAsia="宋体" w:cs="Times New Roman"/>
                <w:sz w:val="24"/>
                <w:szCs w:val="24"/>
                <w:lang w:val="en-US" w:eastAsia="zh-CN"/>
              </w:rPr>
              <w:t>DR</w:t>
            </w:r>
            <w:r>
              <w:rPr>
                <w:rFonts w:hint="eastAsia" w:ascii="Times New Roman" w:hAnsi="Times New Roman" w:eastAsia="宋体" w:cs="Times New Roman"/>
                <w:sz w:val="24"/>
                <w:szCs w:val="24"/>
                <w:lang w:val="en-US" w:eastAsia="zh-CN"/>
              </w:rPr>
              <w:t>致病机理，</w:t>
            </w:r>
            <w:r>
              <w:rPr>
                <w:rFonts w:hint="default" w:ascii="Times New Roman" w:hAnsi="Times New Roman" w:eastAsia="宋体" w:cs="Times New Roman"/>
                <w:sz w:val="24"/>
                <w:szCs w:val="24"/>
                <w:lang w:val="en-US" w:eastAsia="zh-CN"/>
              </w:rPr>
              <w:t>为 DR早期精准治疗提供新型分子靶点并开辟了新型临床转化路径。</w:t>
            </w:r>
          </w:p>
          <w:p w14:paraId="1D2B7736">
            <w:pPr>
              <w:spacing w:line="240" w:lineRule="auto"/>
              <w:ind w:firstLine="480" w:firstLineChars="200"/>
              <w:jc w:val="both"/>
              <w:rPr>
                <w:rFonts w:hint="eastAsia" w:ascii="宋体" w:hAnsi="宋体" w:eastAsia="宋体" w:cs="宋体"/>
                <w:sz w:val="24"/>
                <w:szCs w:val="24"/>
                <w:lang w:val="en-US" w:eastAsia="zh-CN"/>
              </w:rPr>
            </w:pPr>
            <w:r>
              <w:rPr>
                <w:rFonts w:hint="default" w:ascii="Times New Roman" w:hAnsi="Times New Roman" w:eastAsia="宋体" w:cs="Times New Roman"/>
                <w:sz w:val="24"/>
                <w:szCs w:val="24"/>
              </w:rPr>
              <w:t>综上所述，本项目通过临床队列</w:t>
            </w:r>
            <w:r>
              <w:rPr>
                <w:rFonts w:hint="default" w:ascii="Times New Roman" w:hAnsi="Times New Roman" w:eastAsia="宋体" w:cs="Times New Roman"/>
                <w:sz w:val="24"/>
                <w:szCs w:val="24"/>
                <w:lang w:val="en-US" w:eastAsia="zh-CN"/>
              </w:rPr>
              <w:t>研究</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基础机制探索</w:t>
            </w:r>
            <w:r>
              <w:rPr>
                <w:rFonts w:hint="default" w:ascii="Times New Roman" w:hAnsi="Times New Roman" w:eastAsia="宋体" w:cs="Times New Roman"/>
                <w:sz w:val="24"/>
                <w:szCs w:val="24"/>
                <w:lang w:val="en-US" w:eastAsia="zh-CN"/>
              </w:rPr>
              <w:t>与药物</w:t>
            </w:r>
            <w:r>
              <w:rPr>
                <w:rFonts w:hint="default" w:ascii="Times New Roman" w:hAnsi="Times New Roman" w:eastAsia="宋体" w:cs="Times New Roman"/>
                <w:sz w:val="24"/>
                <w:szCs w:val="24"/>
              </w:rPr>
              <w:t>转化医学路径创新，系统性地</w:t>
            </w:r>
            <w:r>
              <w:rPr>
                <w:rFonts w:hint="eastAsia" w:ascii="Times New Roman" w:hAnsi="Times New Roman" w:eastAsia="宋体" w:cs="Times New Roman"/>
                <w:sz w:val="24"/>
                <w:szCs w:val="24"/>
                <w:lang w:val="en-US" w:eastAsia="zh-CN"/>
              </w:rPr>
              <w:t>阐释了</w:t>
            </w:r>
            <w:r>
              <w:rPr>
                <w:rFonts w:hint="default" w:ascii="Times New Roman" w:hAnsi="Times New Roman" w:eastAsia="宋体" w:cs="Times New Roman"/>
                <w:sz w:val="24"/>
                <w:szCs w:val="24"/>
              </w:rPr>
              <w:t>DR</w:t>
            </w:r>
            <w:r>
              <w:rPr>
                <w:rFonts w:hint="eastAsia" w:ascii="Times New Roman" w:hAnsi="Times New Roman" w:eastAsia="宋体" w:cs="Times New Roman"/>
                <w:sz w:val="24"/>
                <w:szCs w:val="24"/>
                <w:lang w:val="en-US" w:eastAsia="zh-CN"/>
              </w:rPr>
              <w:t>早期</w:t>
            </w:r>
            <w:r>
              <w:rPr>
                <w:rFonts w:hint="default" w:ascii="Times New Roman" w:hAnsi="Times New Roman" w:eastAsia="宋体" w:cs="Times New Roman"/>
                <w:sz w:val="24"/>
                <w:szCs w:val="24"/>
              </w:rPr>
              <w:t>诊疗中的关键问题，实现机制精准化</w:t>
            </w:r>
            <w:r>
              <w:rPr>
                <w:rFonts w:hint="default" w:ascii="Times New Roman" w:hAnsi="Times New Roman" w:eastAsia="宋体" w:cs="Times New Roman"/>
                <w:sz w:val="24"/>
                <w:szCs w:val="24"/>
                <w:lang w:val="en-US" w:eastAsia="zh-CN"/>
              </w:rPr>
              <w:t>与</w:t>
            </w:r>
            <w:r>
              <w:rPr>
                <w:rFonts w:hint="default" w:ascii="Times New Roman" w:hAnsi="Times New Roman" w:eastAsia="宋体" w:cs="Times New Roman"/>
                <w:sz w:val="24"/>
                <w:szCs w:val="24"/>
              </w:rPr>
              <w:t>药效多维化，为我国</w:t>
            </w:r>
            <w:r>
              <w:rPr>
                <w:rFonts w:hint="default" w:ascii="Times New Roman" w:hAnsi="Times New Roman" w:eastAsia="宋体" w:cs="Times New Roman"/>
                <w:sz w:val="24"/>
                <w:szCs w:val="24"/>
                <w:lang w:val="en-US" w:eastAsia="zh-CN"/>
              </w:rPr>
              <w:t>DR早期</w:t>
            </w:r>
            <w:r>
              <w:rPr>
                <w:rFonts w:hint="default" w:ascii="Times New Roman" w:hAnsi="Times New Roman" w:eastAsia="宋体" w:cs="Times New Roman"/>
                <w:sz w:val="24"/>
                <w:szCs w:val="24"/>
              </w:rPr>
              <w:t>精准干预策略的优化与落地实施提供重要支撑。</w:t>
            </w:r>
          </w:p>
        </w:tc>
      </w:tr>
      <w:tr w14:paraId="49CD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6"/>
            <w:vAlign w:val="center"/>
          </w:tcPr>
          <w:p w14:paraId="2ED136FE">
            <w:pPr>
              <w:spacing w:line="360" w:lineRule="auto"/>
              <w:jc w:val="center"/>
              <w:rPr>
                <w:rFonts w:hint="default" w:ascii="Times New Roman" w:hAnsi="Times New Roman" w:eastAsia="黑体"/>
                <w:sz w:val="32"/>
                <w:szCs w:val="20"/>
                <w:vertAlign w:val="baseline"/>
                <w:lang w:val="en-US" w:eastAsia="zh-CN"/>
              </w:rPr>
            </w:pPr>
            <w:r>
              <w:rPr>
                <w:rFonts w:hint="eastAsia" w:ascii="Times New Roman" w:hAnsi="Times New Roman" w:eastAsia="黑体"/>
                <w:sz w:val="28"/>
                <w:szCs w:val="28"/>
                <w:vertAlign w:val="baseline"/>
                <w:lang w:val="en-US" w:eastAsia="zh-CN"/>
              </w:rPr>
              <w:t>代表性论文目录</w:t>
            </w:r>
          </w:p>
        </w:tc>
      </w:tr>
      <w:tr w14:paraId="6231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0DC7302C">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序号</w:t>
            </w:r>
          </w:p>
        </w:tc>
        <w:tc>
          <w:tcPr>
            <w:tcW w:w="3366" w:type="dxa"/>
            <w:gridSpan w:val="6"/>
            <w:vAlign w:val="center"/>
          </w:tcPr>
          <w:p w14:paraId="01BF2E47">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论文名称</w:t>
            </w:r>
          </w:p>
        </w:tc>
        <w:tc>
          <w:tcPr>
            <w:tcW w:w="1447" w:type="dxa"/>
            <w:gridSpan w:val="2"/>
            <w:vAlign w:val="center"/>
          </w:tcPr>
          <w:p w14:paraId="0F4BE8D7">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刊名</w:t>
            </w:r>
          </w:p>
        </w:tc>
        <w:tc>
          <w:tcPr>
            <w:tcW w:w="2076" w:type="dxa"/>
            <w:gridSpan w:val="3"/>
            <w:vAlign w:val="center"/>
          </w:tcPr>
          <w:p w14:paraId="67278848">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年，卷（期）及页码</w:t>
            </w:r>
          </w:p>
        </w:tc>
        <w:tc>
          <w:tcPr>
            <w:tcW w:w="2130" w:type="dxa"/>
            <w:gridSpan w:val="3"/>
            <w:vAlign w:val="center"/>
          </w:tcPr>
          <w:p w14:paraId="0EEFB19E">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全部作者</w:t>
            </w:r>
          </w:p>
        </w:tc>
        <w:tc>
          <w:tcPr>
            <w:tcW w:w="1084" w:type="dxa"/>
            <w:vAlign w:val="center"/>
          </w:tcPr>
          <w:p w14:paraId="6DCB4F5C">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通讯作者</w:t>
            </w:r>
          </w:p>
        </w:tc>
      </w:tr>
      <w:tr w14:paraId="092C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393A0837">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1</w:t>
            </w:r>
          </w:p>
        </w:tc>
        <w:tc>
          <w:tcPr>
            <w:tcW w:w="3366" w:type="dxa"/>
            <w:gridSpan w:val="6"/>
            <w:vAlign w:val="center"/>
          </w:tcPr>
          <w:p w14:paraId="02C6FDE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2"/>
                <w:szCs w:val="22"/>
                <w:vertAlign w:val="baseline"/>
                <w:lang w:val="en-US" w:eastAsia="zh-CN"/>
              </w:rPr>
            </w:pPr>
            <w:r>
              <w:rPr>
                <w:rFonts w:hint="eastAsia" w:ascii="Times New Roman" w:hAnsi="Times New Roman" w:eastAsia="黑体" w:cs="黑体"/>
                <w:b w:val="0"/>
                <w:bCs w:val="0"/>
                <w:sz w:val="20"/>
                <w:szCs w:val="20"/>
                <w:vertAlign w:val="baseline"/>
                <w:lang w:val="en-US" w:eastAsia="zh-CN"/>
              </w:rPr>
              <w:t>Integration of multi-omics transcriptome-wide analysis for the identification of novel therapeutic drug targets in diabetic retinopathy</w:t>
            </w:r>
          </w:p>
        </w:tc>
        <w:tc>
          <w:tcPr>
            <w:tcW w:w="1447" w:type="dxa"/>
            <w:gridSpan w:val="2"/>
            <w:vAlign w:val="center"/>
          </w:tcPr>
          <w:p w14:paraId="51BFB2A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Journal of Translational Medicine</w:t>
            </w:r>
          </w:p>
        </w:tc>
        <w:tc>
          <w:tcPr>
            <w:tcW w:w="2076" w:type="dxa"/>
            <w:gridSpan w:val="3"/>
            <w:vAlign w:val="center"/>
          </w:tcPr>
          <w:p w14:paraId="2F0C28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2024 Dec 24;22(1):1146</w:t>
            </w:r>
          </w:p>
        </w:tc>
        <w:tc>
          <w:tcPr>
            <w:tcW w:w="2130" w:type="dxa"/>
            <w:gridSpan w:val="3"/>
            <w:vAlign w:val="center"/>
          </w:tcPr>
          <w:p w14:paraId="0AF6A4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Yi G, Li Z, Sun Y, Ma X, Wang Z, Chen J, Cai D, Zhang Z, Chen Z, Wu F, Cao M, Fu M</w:t>
            </w:r>
          </w:p>
        </w:tc>
        <w:tc>
          <w:tcPr>
            <w:tcW w:w="1084" w:type="dxa"/>
            <w:vAlign w:val="center"/>
          </w:tcPr>
          <w:p w14:paraId="6370BA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Fu M</w:t>
            </w:r>
          </w:p>
        </w:tc>
      </w:tr>
      <w:tr w14:paraId="34B3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B16A0A0">
            <w:pPr>
              <w:spacing w:line="360" w:lineRule="auto"/>
              <w:jc w:val="center"/>
              <w:rPr>
                <w:rFonts w:hint="default"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t>2</w:t>
            </w:r>
          </w:p>
        </w:tc>
        <w:tc>
          <w:tcPr>
            <w:tcW w:w="3366" w:type="dxa"/>
            <w:gridSpan w:val="6"/>
            <w:vAlign w:val="center"/>
          </w:tcPr>
          <w:p w14:paraId="76C79C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Single-cell RNA sequencing reveals roles of unique retinal microglia types in early diabetic retinopathy</w:t>
            </w:r>
          </w:p>
        </w:tc>
        <w:tc>
          <w:tcPr>
            <w:tcW w:w="1447" w:type="dxa"/>
            <w:gridSpan w:val="2"/>
            <w:vAlign w:val="center"/>
          </w:tcPr>
          <w:p w14:paraId="34F3FF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Diabetology and Metabolic Syndrome</w:t>
            </w:r>
          </w:p>
        </w:tc>
        <w:tc>
          <w:tcPr>
            <w:tcW w:w="2076" w:type="dxa"/>
            <w:gridSpan w:val="3"/>
            <w:vAlign w:val="center"/>
          </w:tcPr>
          <w:p w14:paraId="6041E2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default" w:ascii="Times New Roman" w:hAnsi="Times New Roman" w:eastAsia="黑体" w:cs="黑体"/>
                <w:b w:val="0"/>
                <w:bCs w:val="0"/>
                <w:sz w:val="20"/>
                <w:szCs w:val="20"/>
                <w:vertAlign w:val="baseline"/>
                <w:lang w:val="en-US" w:eastAsia="zh-CN"/>
              </w:rPr>
              <w:t>2024 Feb 26;16(1):49</w:t>
            </w:r>
          </w:p>
        </w:tc>
        <w:tc>
          <w:tcPr>
            <w:tcW w:w="2130" w:type="dxa"/>
            <w:gridSpan w:val="3"/>
            <w:vAlign w:val="center"/>
          </w:tcPr>
          <w:p w14:paraId="33EF3D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Wang Y, Yang X, Zhang Y, Hong L, Xie Z, Jiang W, Chen L, Xiong K, Yang S, Lin M, Guo X, Li Q, Deng X, Lin Y, Cao M, Yi G, Fu M</w:t>
            </w:r>
          </w:p>
        </w:tc>
        <w:tc>
          <w:tcPr>
            <w:tcW w:w="1084" w:type="dxa"/>
            <w:vAlign w:val="center"/>
          </w:tcPr>
          <w:p w14:paraId="7CDA6C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4"/>
                <w:szCs w:val="24"/>
                <w:vertAlign w:val="baseline"/>
                <w:lang w:val="en-US" w:eastAsia="zh-CN"/>
              </w:rPr>
            </w:pPr>
            <w:r>
              <w:rPr>
                <w:rFonts w:hint="eastAsia" w:ascii="Times New Roman" w:hAnsi="Times New Roman" w:eastAsia="黑体" w:cs="黑体"/>
                <w:b w:val="0"/>
                <w:bCs w:val="0"/>
                <w:sz w:val="20"/>
                <w:szCs w:val="20"/>
                <w:vertAlign w:val="baseline"/>
                <w:lang w:val="en-US" w:eastAsia="zh-CN"/>
              </w:rPr>
              <w:t>Cao M, Yi G, Fu M</w:t>
            </w:r>
          </w:p>
        </w:tc>
      </w:tr>
      <w:tr w14:paraId="0A2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17F54EA">
            <w:pPr>
              <w:spacing w:line="360" w:lineRule="auto"/>
              <w:jc w:val="center"/>
              <w:rPr>
                <w:rFonts w:hint="default"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1"/>
                <w:szCs w:val="21"/>
                <w:vertAlign w:val="baseline"/>
                <w:lang w:val="en-US" w:eastAsia="zh-CN"/>
                <w14:textFill>
                  <w14:solidFill>
                    <w14:schemeClr w14:val="tx1"/>
                  </w14:solidFill>
                </w14:textFill>
              </w:rPr>
              <w:t>3</w:t>
            </w:r>
          </w:p>
        </w:tc>
        <w:tc>
          <w:tcPr>
            <w:tcW w:w="3366" w:type="dxa"/>
            <w:gridSpan w:val="6"/>
            <w:vAlign w:val="center"/>
          </w:tcPr>
          <w:p w14:paraId="063B302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Single-cell transcriptomics-based multidisease analysis revealing the molecular dynamics of retinal neurovascular units under inflammatory and hypoxic conditions</w:t>
            </w:r>
          </w:p>
        </w:tc>
        <w:tc>
          <w:tcPr>
            <w:tcW w:w="1447" w:type="dxa"/>
            <w:gridSpan w:val="2"/>
            <w:vAlign w:val="center"/>
          </w:tcPr>
          <w:p w14:paraId="15E24B2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Experimental Neurology</w:t>
            </w:r>
          </w:p>
        </w:tc>
        <w:tc>
          <w:tcPr>
            <w:tcW w:w="2076" w:type="dxa"/>
            <w:gridSpan w:val="3"/>
            <w:vAlign w:val="center"/>
          </w:tcPr>
          <w:p w14:paraId="35CD12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2023 Apr;362:114345</w:t>
            </w:r>
          </w:p>
        </w:tc>
        <w:tc>
          <w:tcPr>
            <w:tcW w:w="2130" w:type="dxa"/>
            <w:gridSpan w:val="3"/>
            <w:vAlign w:val="center"/>
          </w:tcPr>
          <w:p w14:paraId="5F34A4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Zhang Y, Yang X, Deng X, Yang S, Li Q, Xie Z, Hong L, Cao M, Yi G, Fu M</w:t>
            </w:r>
          </w:p>
        </w:tc>
        <w:tc>
          <w:tcPr>
            <w:tcW w:w="1084" w:type="dxa"/>
            <w:vAlign w:val="center"/>
          </w:tcPr>
          <w:p w14:paraId="0D2EE5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Cao M, Yi G, Fu M</w:t>
            </w:r>
          </w:p>
        </w:tc>
      </w:tr>
      <w:tr w14:paraId="5792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58" w:type="dxa"/>
            <w:vAlign w:val="center"/>
          </w:tcPr>
          <w:p w14:paraId="2AEA60C7">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4</w:t>
            </w:r>
          </w:p>
        </w:tc>
        <w:tc>
          <w:tcPr>
            <w:tcW w:w="3366" w:type="dxa"/>
            <w:gridSpan w:val="6"/>
            <w:vAlign w:val="center"/>
          </w:tcPr>
          <w:p w14:paraId="783EEB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单细胞RNA测序在眼角膜和视网膜疾病诊断治疗中的应用</w:t>
            </w:r>
          </w:p>
        </w:tc>
        <w:tc>
          <w:tcPr>
            <w:tcW w:w="1447" w:type="dxa"/>
            <w:gridSpan w:val="2"/>
            <w:vAlign w:val="center"/>
          </w:tcPr>
          <w:p w14:paraId="156C85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中国组织工程</w:t>
            </w:r>
          </w:p>
          <w:p w14:paraId="48137A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研究</w:t>
            </w:r>
          </w:p>
        </w:tc>
        <w:tc>
          <w:tcPr>
            <w:tcW w:w="2076" w:type="dxa"/>
            <w:gridSpan w:val="3"/>
            <w:vAlign w:val="center"/>
          </w:tcPr>
          <w:p w14:paraId="6F8E32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2022;26(13):2106-2113</w:t>
            </w:r>
          </w:p>
        </w:tc>
        <w:tc>
          <w:tcPr>
            <w:tcW w:w="2130" w:type="dxa"/>
            <w:gridSpan w:val="3"/>
            <w:vAlign w:val="center"/>
          </w:tcPr>
          <w:p w14:paraId="7E833CA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黄畅，应沛汐，易果果，符晟，王燕，郭茜，</w:t>
            </w:r>
          </w:p>
          <w:p w14:paraId="72F761D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张玉玺，符敏</w:t>
            </w:r>
          </w:p>
        </w:tc>
        <w:tc>
          <w:tcPr>
            <w:tcW w:w="1084" w:type="dxa"/>
            <w:vAlign w:val="center"/>
          </w:tcPr>
          <w:p w14:paraId="065143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符敏</w:t>
            </w:r>
          </w:p>
        </w:tc>
      </w:tr>
      <w:tr w14:paraId="7528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6E00706A">
            <w:pPr>
              <w:spacing w:line="360" w:lineRule="auto"/>
              <w:jc w:val="center"/>
              <w:rPr>
                <w:rFonts w:hint="default"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5</w:t>
            </w:r>
          </w:p>
        </w:tc>
        <w:tc>
          <w:tcPr>
            <w:tcW w:w="3366" w:type="dxa"/>
            <w:gridSpan w:val="6"/>
            <w:vAlign w:val="center"/>
          </w:tcPr>
          <w:p w14:paraId="1D324CD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Regional Gene Expression Profile Comparison Reveals the Unique Transcriptome of the Optic Fissure</w:t>
            </w:r>
          </w:p>
        </w:tc>
        <w:tc>
          <w:tcPr>
            <w:tcW w:w="1447" w:type="dxa"/>
            <w:gridSpan w:val="2"/>
            <w:vAlign w:val="center"/>
          </w:tcPr>
          <w:p w14:paraId="51EC1D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Investigative Ophthalmology &amp; Visual Science</w:t>
            </w:r>
          </w:p>
        </w:tc>
        <w:tc>
          <w:tcPr>
            <w:tcW w:w="2076" w:type="dxa"/>
            <w:gridSpan w:val="3"/>
            <w:vAlign w:val="center"/>
          </w:tcPr>
          <w:p w14:paraId="776BF6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2018 Dec 3; 59(15):5773-5784</w:t>
            </w:r>
          </w:p>
        </w:tc>
        <w:tc>
          <w:tcPr>
            <w:tcW w:w="2130" w:type="dxa"/>
            <w:gridSpan w:val="3"/>
            <w:vAlign w:val="center"/>
          </w:tcPr>
          <w:p w14:paraId="3D1351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Cao M, Ouyang J, Liang H, Guo J, Lin S, Yang S, Xie T, Chen S</w:t>
            </w:r>
          </w:p>
        </w:tc>
        <w:tc>
          <w:tcPr>
            <w:tcW w:w="1084" w:type="dxa"/>
            <w:vAlign w:val="center"/>
          </w:tcPr>
          <w:p w14:paraId="261457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0"/>
                <w:szCs w:val="20"/>
                <w:vertAlign w:val="baseline"/>
                <w:lang w:val="en-US" w:eastAsia="zh-CN"/>
              </w:rPr>
            </w:pPr>
            <w:r>
              <w:rPr>
                <w:rFonts w:hint="eastAsia" w:ascii="Times New Roman" w:hAnsi="Times New Roman" w:eastAsia="黑体" w:cs="黑体"/>
                <w:b w:val="0"/>
                <w:bCs w:val="0"/>
                <w:sz w:val="20"/>
                <w:szCs w:val="20"/>
                <w:vertAlign w:val="baseline"/>
                <w:lang w:val="en-US" w:eastAsia="zh-CN"/>
              </w:rPr>
              <w:t>Chen S</w:t>
            </w:r>
          </w:p>
        </w:tc>
      </w:tr>
      <w:tr w14:paraId="122C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DFC8B2D">
            <w:pPr>
              <w:spacing w:line="360" w:lineRule="auto"/>
              <w:jc w:val="center"/>
              <w:rPr>
                <w:rFonts w:hint="eastAsia" w:ascii="Times New Roman" w:hAnsi="Times New Roman" w:eastAsia="黑体" w:cs="黑体"/>
                <w:b w:val="0"/>
                <w:bCs w:val="0"/>
                <w:sz w:val="21"/>
                <w:szCs w:val="21"/>
                <w:vertAlign w:val="baseline"/>
                <w:lang w:val="en-US" w:eastAsia="zh-CN"/>
              </w:rPr>
            </w:pPr>
          </w:p>
        </w:tc>
        <w:tc>
          <w:tcPr>
            <w:tcW w:w="3366" w:type="dxa"/>
            <w:gridSpan w:val="6"/>
            <w:vAlign w:val="center"/>
          </w:tcPr>
          <w:p w14:paraId="44FFDD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21"/>
                <w:szCs w:val="21"/>
                <w:vertAlign w:val="baseline"/>
                <w:lang w:val="en-US" w:eastAsia="zh-CN"/>
              </w:rPr>
            </w:pPr>
          </w:p>
        </w:tc>
        <w:tc>
          <w:tcPr>
            <w:tcW w:w="1447" w:type="dxa"/>
            <w:gridSpan w:val="2"/>
            <w:vAlign w:val="center"/>
          </w:tcPr>
          <w:p w14:paraId="02D968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2076" w:type="dxa"/>
            <w:gridSpan w:val="3"/>
            <w:vAlign w:val="center"/>
          </w:tcPr>
          <w:p w14:paraId="387E4B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2130" w:type="dxa"/>
            <w:gridSpan w:val="3"/>
            <w:vAlign w:val="center"/>
          </w:tcPr>
          <w:p w14:paraId="14D630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c>
          <w:tcPr>
            <w:tcW w:w="1084" w:type="dxa"/>
            <w:vAlign w:val="center"/>
          </w:tcPr>
          <w:p w14:paraId="78E438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sz w:val="16"/>
                <w:szCs w:val="16"/>
                <w:vertAlign w:val="baseline"/>
                <w:lang w:val="en-US" w:eastAsia="zh-CN"/>
              </w:rPr>
            </w:pPr>
          </w:p>
        </w:tc>
      </w:tr>
      <w:tr w14:paraId="0DFB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6"/>
          </w:tcPr>
          <w:p w14:paraId="0C89C9B4">
            <w:pPr>
              <w:spacing w:line="360" w:lineRule="auto"/>
              <w:jc w:val="center"/>
              <w:rPr>
                <w:rFonts w:hint="default" w:ascii="Times New Roman" w:hAnsi="Times New Roman" w:eastAsia="黑体"/>
                <w:sz w:val="32"/>
                <w:szCs w:val="20"/>
                <w:vertAlign w:val="baseline"/>
                <w:lang w:val="en-US" w:eastAsia="zh-CN"/>
              </w:rPr>
            </w:pPr>
            <w:r>
              <w:rPr>
                <w:rFonts w:hint="eastAsia" w:ascii="Times New Roman" w:hAnsi="Times New Roman" w:eastAsia="黑体"/>
                <w:sz w:val="28"/>
                <w:szCs w:val="18"/>
                <w:vertAlign w:val="baseline"/>
                <w:lang w:val="en-US" w:eastAsia="zh-CN"/>
              </w:rPr>
              <w:t>主要知识产权目录</w:t>
            </w:r>
          </w:p>
        </w:tc>
      </w:tr>
      <w:tr w14:paraId="7652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2D09F692">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序号</w:t>
            </w:r>
          </w:p>
        </w:tc>
        <w:tc>
          <w:tcPr>
            <w:tcW w:w="712" w:type="dxa"/>
            <w:vAlign w:val="center"/>
          </w:tcPr>
          <w:p w14:paraId="187B5997">
            <w:pPr>
              <w:spacing w:line="360" w:lineRule="auto"/>
              <w:jc w:val="center"/>
              <w:rPr>
                <w:rFonts w:hint="eastAsia" w:ascii="Times New Roman" w:hAnsi="Times New Roman" w:eastAsia="黑体" w:cs="黑体"/>
                <w:b w:val="0"/>
                <w:bCs w:val="0"/>
                <w:sz w:val="21"/>
                <w:szCs w:val="21"/>
                <w:vertAlign w:val="baseline"/>
                <w:lang w:val="en-US" w:eastAsia="zh-CN"/>
              </w:rPr>
            </w:pPr>
            <w:r>
              <w:rPr>
                <w:rFonts w:hint="eastAsia" w:ascii="Times New Roman" w:hAnsi="Times New Roman" w:eastAsia="黑体" w:cs="黑体"/>
                <w:b w:val="0"/>
                <w:bCs w:val="0"/>
                <w:sz w:val="21"/>
                <w:szCs w:val="21"/>
                <w:vertAlign w:val="baseline"/>
                <w:lang w:val="en-US" w:eastAsia="zh-CN"/>
              </w:rPr>
              <w:t>类别</w:t>
            </w:r>
          </w:p>
        </w:tc>
        <w:tc>
          <w:tcPr>
            <w:tcW w:w="680" w:type="dxa"/>
            <w:gridSpan w:val="3"/>
            <w:vAlign w:val="center"/>
          </w:tcPr>
          <w:p w14:paraId="3B3D877D">
            <w:pPr>
              <w:spacing w:line="360" w:lineRule="auto"/>
              <w:jc w:val="center"/>
              <w:rPr>
                <w:rFonts w:hint="eastAsia"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rPr>
              <w:t>国别</w:t>
            </w:r>
          </w:p>
        </w:tc>
        <w:tc>
          <w:tcPr>
            <w:tcW w:w="1974" w:type="dxa"/>
            <w:gridSpan w:val="2"/>
            <w:vAlign w:val="center"/>
          </w:tcPr>
          <w:p w14:paraId="7F19B4B9">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rPr>
              <w:t>专利号</w:t>
            </w:r>
            <w:r>
              <w:rPr>
                <w:rFonts w:hint="eastAsia" w:ascii="Times New Roman" w:hAnsi="Times New Roman" w:eastAsia="黑体" w:cs="黑体"/>
                <w:sz w:val="21"/>
                <w:szCs w:val="21"/>
                <w:lang w:val="en-US" w:eastAsia="zh-CN"/>
              </w:rPr>
              <w:t>/软著登记号</w:t>
            </w:r>
          </w:p>
        </w:tc>
        <w:tc>
          <w:tcPr>
            <w:tcW w:w="1153" w:type="dxa"/>
            <w:vAlign w:val="center"/>
          </w:tcPr>
          <w:p w14:paraId="190E5BC7">
            <w:pPr>
              <w:spacing w:line="360" w:lineRule="auto"/>
              <w:jc w:val="center"/>
              <w:rPr>
                <w:rFonts w:hint="eastAsia"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rPr>
              <w:t>授权时间</w:t>
            </w:r>
          </w:p>
        </w:tc>
        <w:tc>
          <w:tcPr>
            <w:tcW w:w="1968" w:type="dxa"/>
            <w:gridSpan w:val="3"/>
            <w:vAlign w:val="center"/>
          </w:tcPr>
          <w:p w14:paraId="4474EFA7">
            <w:pPr>
              <w:spacing w:line="360" w:lineRule="auto"/>
              <w:jc w:val="center"/>
              <w:rPr>
                <w:rFonts w:hint="eastAsia"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rPr>
              <w:t>申请号</w:t>
            </w:r>
          </w:p>
        </w:tc>
        <w:tc>
          <w:tcPr>
            <w:tcW w:w="1080" w:type="dxa"/>
            <w:gridSpan w:val="2"/>
            <w:vAlign w:val="center"/>
          </w:tcPr>
          <w:p w14:paraId="0DAB944D">
            <w:pPr>
              <w:spacing w:line="360" w:lineRule="auto"/>
              <w:jc w:val="center"/>
              <w:rPr>
                <w:rFonts w:hint="eastAsia"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rPr>
              <w:t>申请时间</w:t>
            </w:r>
          </w:p>
        </w:tc>
        <w:tc>
          <w:tcPr>
            <w:tcW w:w="2536" w:type="dxa"/>
            <w:gridSpan w:val="3"/>
            <w:vAlign w:val="center"/>
          </w:tcPr>
          <w:p w14:paraId="5CE78A2B">
            <w:pPr>
              <w:spacing w:line="360" w:lineRule="auto"/>
              <w:jc w:val="center"/>
              <w:rPr>
                <w:rFonts w:hint="eastAsia"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rPr>
              <w:t>专利名称</w:t>
            </w:r>
          </w:p>
        </w:tc>
      </w:tr>
      <w:tr w14:paraId="6CF4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58" w:type="dxa"/>
            <w:vAlign w:val="center"/>
          </w:tcPr>
          <w:p w14:paraId="6D00B121">
            <w:pPr>
              <w:spacing w:line="360" w:lineRule="auto"/>
              <w:jc w:val="center"/>
              <w:rPr>
                <w:rFonts w:hint="eastAsia"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1</w:t>
            </w:r>
          </w:p>
        </w:tc>
        <w:tc>
          <w:tcPr>
            <w:tcW w:w="712" w:type="dxa"/>
            <w:vAlign w:val="center"/>
          </w:tcPr>
          <w:p w14:paraId="02842AA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软著</w:t>
            </w:r>
          </w:p>
        </w:tc>
        <w:tc>
          <w:tcPr>
            <w:tcW w:w="680" w:type="dxa"/>
            <w:gridSpan w:val="3"/>
            <w:vAlign w:val="center"/>
          </w:tcPr>
          <w:p w14:paraId="1F59B37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中国</w:t>
            </w:r>
          </w:p>
        </w:tc>
        <w:tc>
          <w:tcPr>
            <w:tcW w:w="1974" w:type="dxa"/>
            <w:gridSpan w:val="2"/>
            <w:vAlign w:val="center"/>
          </w:tcPr>
          <w:p w14:paraId="3A591B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2025SR1636372</w:t>
            </w:r>
          </w:p>
        </w:tc>
        <w:tc>
          <w:tcPr>
            <w:tcW w:w="1153" w:type="dxa"/>
            <w:vAlign w:val="center"/>
          </w:tcPr>
          <w:p w14:paraId="0CF1BB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2025.8.27</w:t>
            </w:r>
          </w:p>
        </w:tc>
        <w:tc>
          <w:tcPr>
            <w:tcW w:w="1968" w:type="dxa"/>
            <w:gridSpan w:val="3"/>
            <w:vAlign w:val="center"/>
          </w:tcPr>
          <w:p w14:paraId="08ADB4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p>
        </w:tc>
        <w:tc>
          <w:tcPr>
            <w:tcW w:w="1080" w:type="dxa"/>
            <w:gridSpan w:val="2"/>
            <w:vAlign w:val="center"/>
          </w:tcPr>
          <w:p w14:paraId="636C03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p>
        </w:tc>
        <w:tc>
          <w:tcPr>
            <w:tcW w:w="2536" w:type="dxa"/>
            <w:gridSpan w:val="3"/>
            <w:vAlign w:val="center"/>
          </w:tcPr>
          <w:p w14:paraId="386B0E1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基于多级诊疗网络的糖网分级管理转诊平台 V1.0</w:t>
            </w:r>
          </w:p>
        </w:tc>
      </w:tr>
      <w:tr w14:paraId="3CA1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58" w:type="dxa"/>
            <w:vAlign w:val="center"/>
          </w:tcPr>
          <w:p w14:paraId="403EBAFF">
            <w:pPr>
              <w:spacing w:line="360" w:lineRule="auto"/>
              <w:jc w:val="center"/>
              <w:rPr>
                <w:rFonts w:hint="eastAsia"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2</w:t>
            </w:r>
          </w:p>
        </w:tc>
        <w:tc>
          <w:tcPr>
            <w:tcW w:w="712" w:type="dxa"/>
            <w:vAlign w:val="center"/>
          </w:tcPr>
          <w:p w14:paraId="01F979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专利</w:t>
            </w:r>
          </w:p>
        </w:tc>
        <w:tc>
          <w:tcPr>
            <w:tcW w:w="680" w:type="dxa"/>
            <w:gridSpan w:val="3"/>
            <w:vAlign w:val="center"/>
          </w:tcPr>
          <w:p w14:paraId="3E6963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中国</w:t>
            </w:r>
          </w:p>
        </w:tc>
        <w:tc>
          <w:tcPr>
            <w:tcW w:w="1974" w:type="dxa"/>
            <w:gridSpan w:val="2"/>
            <w:vAlign w:val="center"/>
          </w:tcPr>
          <w:p w14:paraId="794ACD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ZL 2025 1 0450865.6</w:t>
            </w:r>
          </w:p>
        </w:tc>
        <w:tc>
          <w:tcPr>
            <w:tcW w:w="1153" w:type="dxa"/>
            <w:vAlign w:val="center"/>
          </w:tcPr>
          <w:p w14:paraId="24A6E7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2026.4.14</w:t>
            </w:r>
          </w:p>
        </w:tc>
        <w:tc>
          <w:tcPr>
            <w:tcW w:w="1968" w:type="dxa"/>
            <w:gridSpan w:val="3"/>
            <w:vAlign w:val="center"/>
          </w:tcPr>
          <w:p w14:paraId="1DD9D3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CN</w:t>
            </w: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202510450865</w:t>
            </w: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w:t>
            </w: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6</w:t>
            </w:r>
          </w:p>
        </w:tc>
        <w:tc>
          <w:tcPr>
            <w:tcW w:w="1080" w:type="dxa"/>
            <w:gridSpan w:val="2"/>
            <w:vAlign w:val="center"/>
          </w:tcPr>
          <w:p w14:paraId="54E88FC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2025.4.11</w:t>
            </w:r>
          </w:p>
        </w:tc>
        <w:tc>
          <w:tcPr>
            <w:tcW w:w="2536" w:type="dxa"/>
            <w:gridSpan w:val="3"/>
            <w:vAlign w:val="center"/>
          </w:tcPr>
          <w:p w14:paraId="501ACB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基于三维重构的眼底病灶智能标注方法及诊断系统</w:t>
            </w:r>
          </w:p>
        </w:tc>
      </w:tr>
      <w:tr w14:paraId="3456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58" w:type="dxa"/>
            <w:vAlign w:val="center"/>
          </w:tcPr>
          <w:p w14:paraId="0AC6525E">
            <w:pPr>
              <w:spacing w:line="360" w:lineRule="auto"/>
              <w:jc w:val="center"/>
              <w:rPr>
                <w:rFonts w:hint="eastAsia"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3</w:t>
            </w:r>
          </w:p>
        </w:tc>
        <w:tc>
          <w:tcPr>
            <w:tcW w:w="712" w:type="dxa"/>
            <w:vAlign w:val="center"/>
          </w:tcPr>
          <w:p w14:paraId="17D57F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专利</w:t>
            </w:r>
          </w:p>
        </w:tc>
        <w:tc>
          <w:tcPr>
            <w:tcW w:w="680" w:type="dxa"/>
            <w:gridSpan w:val="3"/>
            <w:vAlign w:val="center"/>
          </w:tcPr>
          <w:p w14:paraId="76D03C3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中国</w:t>
            </w:r>
          </w:p>
        </w:tc>
        <w:tc>
          <w:tcPr>
            <w:tcW w:w="1974" w:type="dxa"/>
            <w:gridSpan w:val="2"/>
            <w:vAlign w:val="center"/>
          </w:tcPr>
          <w:p w14:paraId="631A11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ZL 2024 1 1222355.5</w:t>
            </w:r>
          </w:p>
        </w:tc>
        <w:tc>
          <w:tcPr>
            <w:tcW w:w="1153" w:type="dxa"/>
            <w:vAlign w:val="center"/>
          </w:tcPr>
          <w:p w14:paraId="197B9C9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2025.7.11</w:t>
            </w:r>
          </w:p>
        </w:tc>
        <w:tc>
          <w:tcPr>
            <w:tcW w:w="1968" w:type="dxa"/>
            <w:gridSpan w:val="3"/>
            <w:vAlign w:val="center"/>
          </w:tcPr>
          <w:p w14:paraId="55BDC7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CN</w:t>
            </w: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202411222355</w:t>
            </w:r>
            <w:r>
              <w:rPr>
                <w:rFonts w:hint="eastAsia"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w:t>
            </w: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5</w:t>
            </w:r>
          </w:p>
        </w:tc>
        <w:tc>
          <w:tcPr>
            <w:tcW w:w="1080" w:type="dxa"/>
            <w:gridSpan w:val="2"/>
            <w:vAlign w:val="center"/>
          </w:tcPr>
          <w:p w14:paraId="0A60C59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2025.9.2</w:t>
            </w:r>
          </w:p>
        </w:tc>
        <w:tc>
          <w:tcPr>
            <w:tcW w:w="2536" w:type="dxa"/>
            <w:gridSpan w:val="3"/>
            <w:vAlign w:val="center"/>
          </w:tcPr>
          <w:p w14:paraId="005CE82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一种视网膜病变的致病基因和生物标志物的筛选</w:t>
            </w:r>
          </w:p>
          <w:p w14:paraId="6888C10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pPr>
            <w:r>
              <w:rPr>
                <w:rFonts w:hint="default" w:ascii="Times New Roman" w:hAnsi="Times New Roman" w:eastAsia="黑体" w:cs="黑体"/>
                <w:b w:val="0"/>
                <w:bCs w:val="0"/>
                <w:color w:val="000000" w:themeColor="text1"/>
                <w:sz w:val="20"/>
                <w:szCs w:val="20"/>
                <w:vertAlign w:val="baseline"/>
                <w:lang w:val="en-US" w:eastAsia="zh-CN"/>
                <w14:textFill>
                  <w14:solidFill>
                    <w14:schemeClr w14:val="tx1"/>
                  </w14:solidFill>
                </w14:textFill>
              </w:rPr>
              <w:t>方法、系统</w:t>
            </w:r>
          </w:p>
        </w:tc>
      </w:tr>
      <w:tr w14:paraId="0375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53466291">
            <w:pPr>
              <w:spacing w:line="360" w:lineRule="auto"/>
              <w:jc w:val="center"/>
              <w:rPr>
                <w:rFonts w:hint="eastAsia" w:ascii="Times New Roman" w:hAnsi="Times New Roman" w:eastAsia="黑体" w:cs="黑体"/>
                <w:sz w:val="21"/>
                <w:szCs w:val="21"/>
                <w:vertAlign w:val="baseline"/>
                <w:lang w:val="en-US" w:eastAsia="zh-CN"/>
              </w:rPr>
            </w:pPr>
          </w:p>
        </w:tc>
        <w:tc>
          <w:tcPr>
            <w:tcW w:w="712" w:type="dxa"/>
            <w:vAlign w:val="center"/>
          </w:tcPr>
          <w:p w14:paraId="34023D22">
            <w:pPr>
              <w:spacing w:line="360" w:lineRule="auto"/>
              <w:jc w:val="center"/>
              <w:rPr>
                <w:rFonts w:hint="eastAsia" w:ascii="Times New Roman" w:hAnsi="Times New Roman" w:eastAsia="黑体" w:cs="黑体"/>
                <w:sz w:val="21"/>
                <w:szCs w:val="21"/>
                <w:vertAlign w:val="baseline"/>
                <w:lang w:val="en-US" w:eastAsia="zh-CN"/>
              </w:rPr>
            </w:pPr>
          </w:p>
        </w:tc>
        <w:tc>
          <w:tcPr>
            <w:tcW w:w="680" w:type="dxa"/>
            <w:gridSpan w:val="3"/>
            <w:vAlign w:val="center"/>
          </w:tcPr>
          <w:p w14:paraId="19D0929A">
            <w:pPr>
              <w:spacing w:line="360" w:lineRule="auto"/>
              <w:jc w:val="center"/>
              <w:rPr>
                <w:rFonts w:hint="eastAsia" w:ascii="Times New Roman" w:hAnsi="Times New Roman" w:eastAsia="黑体" w:cs="黑体"/>
                <w:sz w:val="21"/>
                <w:szCs w:val="21"/>
                <w:vertAlign w:val="baseline"/>
                <w:lang w:val="en-US" w:eastAsia="zh-CN"/>
              </w:rPr>
            </w:pPr>
          </w:p>
        </w:tc>
        <w:tc>
          <w:tcPr>
            <w:tcW w:w="1974" w:type="dxa"/>
            <w:gridSpan w:val="2"/>
            <w:vAlign w:val="center"/>
          </w:tcPr>
          <w:p w14:paraId="0BE86929">
            <w:pPr>
              <w:spacing w:line="360" w:lineRule="auto"/>
              <w:jc w:val="center"/>
              <w:rPr>
                <w:rFonts w:hint="eastAsia" w:ascii="Times New Roman" w:hAnsi="Times New Roman" w:eastAsia="黑体" w:cs="黑体"/>
                <w:sz w:val="21"/>
                <w:szCs w:val="21"/>
                <w:vertAlign w:val="baseline"/>
                <w:lang w:val="en-US" w:eastAsia="zh-CN"/>
              </w:rPr>
            </w:pPr>
          </w:p>
        </w:tc>
        <w:tc>
          <w:tcPr>
            <w:tcW w:w="1153" w:type="dxa"/>
            <w:vAlign w:val="center"/>
          </w:tcPr>
          <w:p w14:paraId="1E2F4EB6">
            <w:pPr>
              <w:spacing w:line="360" w:lineRule="auto"/>
              <w:jc w:val="center"/>
              <w:rPr>
                <w:rFonts w:hint="eastAsia" w:ascii="Times New Roman" w:hAnsi="Times New Roman" w:eastAsia="黑体" w:cs="黑体"/>
                <w:sz w:val="21"/>
                <w:szCs w:val="21"/>
                <w:vertAlign w:val="baseline"/>
                <w:lang w:val="en-US" w:eastAsia="zh-CN"/>
              </w:rPr>
            </w:pPr>
          </w:p>
        </w:tc>
        <w:tc>
          <w:tcPr>
            <w:tcW w:w="1968" w:type="dxa"/>
            <w:gridSpan w:val="3"/>
            <w:vAlign w:val="center"/>
          </w:tcPr>
          <w:p w14:paraId="241B5E0A">
            <w:pPr>
              <w:spacing w:line="360" w:lineRule="auto"/>
              <w:jc w:val="center"/>
              <w:rPr>
                <w:rFonts w:hint="eastAsia" w:ascii="Times New Roman" w:hAnsi="Times New Roman" w:eastAsia="黑体" w:cs="黑体"/>
                <w:sz w:val="21"/>
                <w:szCs w:val="21"/>
                <w:vertAlign w:val="baseline"/>
                <w:lang w:val="en-US" w:eastAsia="zh-CN"/>
              </w:rPr>
            </w:pPr>
          </w:p>
        </w:tc>
        <w:tc>
          <w:tcPr>
            <w:tcW w:w="1080" w:type="dxa"/>
            <w:gridSpan w:val="2"/>
            <w:vAlign w:val="center"/>
          </w:tcPr>
          <w:p w14:paraId="2B8CE6A4">
            <w:pPr>
              <w:spacing w:line="360" w:lineRule="auto"/>
              <w:jc w:val="center"/>
              <w:rPr>
                <w:rFonts w:hint="eastAsia" w:ascii="Times New Roman" w:hAnsi="Times New Roman" w:eastAsia="黑体" w:cs="黑体"/>
                <w:sz w:val="21"/>
                <w:szCs w:val="21"/>
                <w:vertAlign w:val="baseline"/>
                <w:lang w:val="en-US" w:eastAsia="zh-CN"/>
              </w:rPr>
            </w:pPr>
          </w:p>
        </w:tc>
        <w:tc>
          <w:tcPr>
            <w:tcW w:w="2536" w:type="dxa"/>
            <w:gridSpan w:val="3"/>
            <w:vAlign w:val="center"/>
          </w:tcPr>
          <w:p w14:paraId="73D7A7B2">
            <w:pPr>
              <w:spacing w:line="360" w:lineRule="auto"/>
              <w:jc w:val="center"/>
              <w:rPr>
                <w:rFonts w:hint="eastAsia" w:ascii="Times New Roman" w:hAnsi="Times New Roman" w:eastAsia="黑体" w:cs="黑体"/>
                <w:sz w:val="21"/>
                <w:szCs w:val="21"/>
                <w:vertAlign w:val="baseline"/>
                <w:lang w:val="en-US" w:eastAsia="zh-CN"/>
              </w:rPr>
            </w:pPr>
          </w:p>
        </w:tc>
      </w:tr>
      <w:tr w14:paraId="4763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14:paraId="5C075CCE">
            <w:pPr>
              <w:spacing w:line="360" w:lineRule="auto"/>
              <w:jc w:val="center"/>
              <w:rPr>
                <w:rFonts w:hint="eastAsia" w:ascii="Times New Roman" w:hAnsi="Times New Roman" w:eastAsia="黑体" w:cs="黑体"/>
                <w:sz w:val="21"/>
                <w:szCs w:val="21"/>
                <w:vertAlign w:val="baseline"/>
                <w:lang w:val="en-US" w:eastAsia="zh-CN"/>
              </w:rPr>
            </w:pPr>
          </w:p>
        </w:tc>
        <w:tc>
          <w:tcPr>
            <w:tcW w:w="712" w:type="dxa"/>
            <w:vAlign w:val="center"/>
          </w:tcPr>
          <w:p w14:paraId="3E3F7E02">
            <w:pPr>
              <w:spacing w:line="360" w:lineRule="auto"/>
              <w:jc w:val="center"/>
              <w:rPr>
                <w:rFonts w:hint="eastAsia" w:ascii="Times New Roman" w:hAnsi="Times New Roman" w:eastAsia="黑体" w:cs="黑体"/>
                <w:sz w:val="21"/>
                <w:szCs w:val="21"/>
                <w:vertAlign w:val="baseline"/>
                <w:lang w:val="en-US" w:eastAsia="zh-CN"/>
              </w:rPr>
            </w:pPr>
          </w:p>
        </w:tc>
        <w:tc>
          <w:tcPr>
            <w:tcW w:w="680" w:type="dxa"/>
            <w:gridSpan w:val="3"/>
            <w:vAlign w:val="center"/>
          </w:tcPr>
          <w:p w14:paraId="332F8E8C">
            <w:pPr>
              <w:spacing w:line="360" w:lineRule="auto"/>
              <w:jc w:val="center"/>
              <w:rPr>
                <w:rFonts w:hint="eastAsia" w:ascii="Times New Roman" w:hAnsi="Times New Roman" w:eastAsia="黑体" w:cs="黑体"/>
                <w:sz w:val="21"/>
                <w:szCs w:val="21"/>
                <w:vertAlign w:val="baseline"/>
                <w:lang w:val="en-US" w:eastAsia="zh-CN"/>
              </w:rPr>
            </w:pPr>
          </w:p>
        </w:tc>
        <w:tc>
          <w:tcPr>
            <w:tcW w:w="1974" w:type="dxa"/>
            <w:gridSpan w:val="2"/>
            <w:vAlign w:val="center"/>
          </w:tcPr>
          <w:p w14:paraId="5E0C4875">
            <w:pPr>
              <w:spacing w:line="360" w:lineRule="auto"/>
              <w:jc w:val="center"/>
              <w:rPr>
                <w:rFonts w:hint="eastAsia" w:ascii="Times New Roman" w:hAnsi="Times New Roman" w:eastAsia="黑体" w:cs="黑体"/>
                <w:sz w:val="21"/>
                <w:szCs w:val="21"/>
                <w:vertAlign w:val="baseline"/>
                <w:lang w:val="en-US" w:eastAsia="zh-CN"/>
              </w:rPr>
            </w:pPr>
          </w:p>
        </w:tc>
        <w:tc>
          <w:tcPr>
            <w:tcW w:w="1153" w:type="dxa"/>
            <w:vAlign w:val="center"/>
          </w:tcPr>
          <w:p w14:paraId="07936428">
            <w:pPr>
              <w:spacing w:line="360" w:lineRule="auto"/>
              <w:jc w:val="center"/>
              <w:rPr>
                <w:rFonts w:hint="eastAsia" w:ascii="Times New Roman" w:hAnsi="Times New Roman" w:eastAsia="黑体" w:cs="黑体"/>
                <w:sz w:val="21"/>
                <w:szCs w:val="21"/>
                <w:vertAlign w:val="baseline"/>
                <w:lang w:val="en-US" w:eastAsia="zh-CN"/>
              </w:rPr>
            </w:pPr>
          </w:p>
        </w:tc>
        <w:tc>
          <w:tcPr>
            <w:tcW w:w="1968" w:type="dxa"/>
            <w:gridSpan w:val="3"/>
            <w:vAlign w:val="center"/>
          </w:tcPr>
          <w:p w14:paraId="1C96981F">
            <w:pPr>
              <w:spacing w:line="360" w:lineRule="auto"/>
              <w:jc w:val="center"/>
              <w:rPr>
                <w:rFonts w:hint="eastAsia" w:ascii="Times New Roman" w:hAnsi="Times New Roman" w:eastAsia="黑体" w:cs="黑体"/>
                <w:sz w:val="21"/>
                <w:szCs w:val="21"/>
                <w:vertAlign w:val="baseline"/>
                <w:lang w:val="en-US" w:eastAsia="zh-CN"/>
              </w:rPr>
            </w:pPr>
            <w:bookmarkStart w:id="0" w:name="_GoBack"/>
            <w:bookmarkEnd w:id="0"/>
          </w:p>
        </w:tc>
        <w:tc>
          <w:tcPr>
            <w:tcW w:w="1080" w:type="dxa"/>
            <w:gridSpan w:val="2"/>
            <w:vAlign w:val="center"/>
          </w:tcPr>
          <w:p w14:paraId="655FA26C">
            <w:pPr>
              <w:spacing w:line="360" w:lineRule="auto"/>
              <w:jc w:val="center"/>
              <w:rPr>
                <w:rFonts w:hint="eastAsia" w:ascii="Times New Roman" w:hAnsi="Times New Roman" w:eastAsia="黑体" w:cs="黑体"/>
                <w:sz w:val="21"/>
                <w:szCs w:val="21"/>
                <w:vertAlign w:val="baseline"/>
                <w:lang w:val="en-US" w:eastAsia="zh-CN"/>
              </w:rPr>
            </w:pPr>
          </w:p>
        </w:tc>
        <w:tc>
          <w:tcPr>
            <w:tcW w:w="2536" w:type="dxa"/>
            <w:gridSpan w:val="3"/>
            <w:vAlign w:val="center"/>
          </w:tcPr>
          <w:p w14:paraId="5B29CDF5">
            <w:pPr>
              <w:spacing w:line="360" w:lineRule="auto"/>
              <w:jc w:val="center"/>
              <w:rPr>
                <w:rFonts w:hint="eastAsia" w:ascii="Times New Roman" w:hAnsi="Times New Roman" w:eastAsia="黑体" w:cs="黑体"/>
                <w:sz w:val="21"/>
                <w:szCs w:val="21"/>
                <w:vertAlign w:val="baseline"/>
                <w:lang w:val="en-US" w:eastAsia="zh-CN"/>
              </w:rPr>
            </w:pPr>
          </w:p>
        </w:tc>
      </w:tr>
      <w:tr w14:paraId="4464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6"/>
            <w:vAlign w:val="center"/>
          </w:tcPr>
          <w:p w14:paraId="3B017F27">
            <w:pPr>
              <w:spacing w:line="360" w:lineRule="auto"/>
              <w:jc w:val="center"/>
              <w:rPr>
                <w:rFonts w:hint="default" w:ascii="Times New Roman" w:hAnsi="Times New Roman" w:eastAsia="微软雅黑" w:cs="微软雅黑"/>
                <w:sz w:val="21"/>
                <w:szCs w:val="21"/>
                <w:lang w:val="en-US" w:eastAsia="zh-CN"/>
              </w:rPr>
            </w:pPr>
            <w:r>
              <w:rPr>
                <w:rFonts w:hint="eastAsia" w:ascii="Times New Roman" w:hAnsi="Times New Roman" w:eastAsia="黑体" w:cs="黑体"/>
                <w:sz w:val="28"/>
                <w:szCs w:val="28"/>
                <w:lang w:val="en-US" w:eastAsia="zh-CN"/>
              </w:rPr>
              <w:t>主要完成人</w:t>
            </w:r>
          </w:p>
        </w:tc>
      </w:tr>
      <w:tr w14:paraId="37CB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21DA1E01">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vertAlign w:val="baseline"/>
                <w:lang w:val="en-US" w:eastAsia="zh-CN"/>
              </w:rPr>
              <w:t>姓名</w:t>
            </w:r>
          </w:p>
        </w:tc>
        <w:tc>
          <w:tcPr>
            <w:tcW w:w="1306" w:type="dxa"/>
            <w:gridSpan w:val="3"/>
            <w:vAlign w:val="center"/>
          </w:tcPr>
          <w:p w14:paraId="01F4B735">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排名</w:t>
            </w:r>
          </w:p>
        </w:tc>
        <w:tc>
          <w:tcPr>
            <w:tcW w:w="3387" w:type="dxa"/>
            <w:gridSpan w:val="4"/>
            <w:vAlign w:val="center"/>
          </w:tcPr>
          <w:p w14:paraId="38E16FD4">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工作单位</w:t>
            </w:r>
          </w:p>
        </w:tc>
        <w:tc>
          <w:tcPr>
            <w:tcW w:w="2641" w:type="dxa"/>
            <w:gridSpan w:val="4"/>
            <w:vAlign w:val="center"/>
          </w:tcPr>
          <w:p w14:paraId="7F10C88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职称/学历</w:t>
            </w:r>
          </w:p>
        </w:tc>
        <w:tc>
          <w:tcPr>
            <w:tcW w:w="1871" w:type="dxa"/>
            <w:gridSpan w:val="2"/>
            <w:vAlign w:val="center"/>
          </w:tcPr>
          <w:p w14:paraId="2D0BBF2D">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行政职务</w:t>
            </w:r>
          </w:p>
        </w:tc>
      </w:tr>
      <w:tr w14:paraId="4399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00134E9F">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符敏</w:t>
            </w:r>
          </w:p>
        </w:tc>
        <w:tc>
          <w:tcPr>
            <w:tcW w:w="1306" w:type="dxa"/>
            <w:gridSpan w:val="3"/>
            <w:vAlign w:val="center"/>
          </w:tcPr>
          <w:p w14:paraId="516B50D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w:t>
            </w:r>
          </w:p>
        </w:tc>
        <w:tc>
          <w:tcPr>
            <w:tcW w:w="3387" w:type="dxa"/>
            <w:gridSpan w:val="4"/>
            <w:vAlign w:val="center"/>
          </w:tcPr>
          <w:p w14:paraId="755D1F83">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南方医科大学珠江医院</w:t>
            </w:r>
          </w:p>
        </w:tc>
        <w:tc>
          <w:tcPr>
            <w:tcW w:w="2641" w:type="dxa"/>
            <w:gridSpan w:val="4"/>
            <w:vAlign w:val="center"/>
          </w:tcPr>
          <w:p w14:paraId="55CAEE90">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主任医师/硕士研究生</w:t>
            </w:r>
          </w:p>
        </w:tc>
        <w:tc>
          <w:tcPr>
            <w:tcW w:w="1871" w:type="dxa"/>
            <w:gridSpan w:val="2"/>
            <w:vAlign w:val="center"/>
          </w:tcPr>
          <w:p w14:paraId="3E9F705A">
            <w:pPr>
              <w:spacing w:line="360" w:lineRule="auto"/>
              <w:jc w:val="center"/>
              <w:rPr>
                <w:rFonts w:hint="eastAsia" w:ascii="Times New Roman" w:hAnsi="Times New Roman" w:eastAsia="黑体" w:cs="黑体"/>
                <w:sz w:val="21"/>
                <w:szCs w:val="21"/>
                <w:lang w:val="en-US" w:eastAsia="zh-CN"/>
              </w:rPr>
            </w:pPr>
          </w:p>
        </w:tc>
      </w:tr>
      <w:tr w14:paraId="6F66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0AA3C7A3">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易果果</w:t>
            </w:r>
          </w:p>
        </w:tc>
        <w:tc>
          <w:tcPr>
            <w:tcW w:w="1306" w:type="dxa"/>
            <w:gridSpan w:val="3"/>
            <w:vAlign w:val="center"/>
          </w:tcPr>
          <w:p w14:paraId="57886080">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2</w:t>
            </w:r>
          </w:p>
        </w:tc>
        <w:tc>
          <w:tcPr>
            <w:tcW w:w="3387" w:type="dxa"/>
            <w:gridSpan w:val="4"/>
            <w:vAlign w:val="center"/>
          </w:tcPr>
          <w:p w14:paraId="4868C143">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中山大学附属第六医院</w:t>
            </w:r>
          </w:p>
        </w:tc>
        <w:tc>
          <w:tcPr>
            <w:tcW w:w="2641" w:type="dxa"/>
            <w:gridSpan w:val="4"/>
            <w:vAlign w:val="center"/>
          </w:tcPr>
          <w:p w14:paraId="7E1B94AC">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副主任医师/博士研究生</w:t>
            </w:r>
          </w:p>
        </w:tc>
        <w:tc>
          <w:tcPr>
            <w:tcW w:w="1871" w:type="dxa"/>
            <w:gridSpan w:val="2"/>
            <w:vAlign w:val="center"/>
          </w:tcPr>
          <w:p w14:paraId="0D73548F">
            <w:pPr>
              <w:spacing w:line="360" w:lineRule="auto"/>
              <w:jc w:val="center"/>
              <w:rPr>
                <w:rFonts w:hint="default" w:ascii="Times New Roman" w:hAnsi="Times New Roman" w:eastAsia="黑体" w:cs="黑体"/>
                <w:sz w:val="21"/>
                <w:szCs w:val="21"/>
                <w:lang w:val="en-US" w:eastAsia="zh-CN"/>
              </w:rPr>
            </w:pPr>
          </w:p>
        </w:tc>
      </w:tr>
      <w:tr w14:paraId="4F51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352AA581">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曹明哲</w:t>
            </w:r>
          </w:p>
        </w:tc>
        <w:tc>
          <w:tcPr>
            <w:tcW w:w="1306" w:type="dxa"/>
            <w:gridSpan w:val="3"/>
            <w:vAlign w:val="center"/>
          </w:tcPr>
          <w:p w14:paraId="4D14146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3</w:t>
            </w:r>
          </w:p>
        </w:tc>
        <w:tc>
          <w:tcPr>
            <w:tcW w:w="3387" w:type="dxa"/>
            <w:gridSpan w:val="4"/>
            <w:vAlign w:val="center"/>
          </w:tcPr>
          <w:p w14:paraId="023BBE1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2641" w:type="dxa"/>
            <w:gridSpan w:val="4"/>
            <w:vAlign w:val="center"/>
          </w:tcPr>
          <w:p w14:paraId="6EB51329">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副主任医师/博士研究生</w:t>
            </w:r>
          </w:p>
        </w:tc>
        <w:tc>
          <w:tcPr>
            <w:tcW w:w="1871" w:type="dxa"/>
            <w:gridSpan w:val="2"/>
            <w:vAlign w:val="center"/>
          </w:tcPr>
          <w:p w14:paraId="2D53710E">
            <w:pPr>
              <w:spacing w:line="360" w:lineRule="auto"/>
              <w:jc w:val="center"/>
              <w:rPr>
                <w:rFonts w:hint="eastAsia" w:ascii="Times New Roman" w:hAnsi="Times New Roman" w:eastAsia="黑体" w:cs="黑体"/>
                <w:sz w:val="21"/>
                <w:szCs w:val="21"/>
                <w:lang w:val="en-US" w:eastAsia="zh-CN"/>
              </w:rPr>
            </w:pPr>
          </w:p>
        </w:tc>
      </w:tr>
      <w:tr w14:paraId="76D4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30E21A9B">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马欣雨</w:t>
            </w:r>
          </w:p>
        </w:tc>
        <w:tc>
          <w:tcPr>
            <w:tcW w:w="1306" w:type="dxa"/>
            <w:gridSpan w:val="3"/>
            <w:vAlign w:val="center"/>
          </w:tcPr>
          <w:p w14:paraId="75F68BCC">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4</w:t>
            </w:r>
          </w:p>
        </w:tc>
        <w:tc>
          <w:tcPr>
            <w:tcW w:w="3387" w:type="dxa"/>
            <w:gridSpan w:val="4"/>
            <w:vAlign w:val="center"/>
          </w:tcPr>
          <w:p w14:paraId="71E9A652">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南方医科大学珠江医院</w:t>
            </w:r>
          </w:p>
        </w:tc>
        <w:tc>
          <w:tcPr>
            <w:tcW w:w="2641" w:type="dxa"/>
            <w:gridSpan w:val="4"/>
            <w:vAlign w:val="center"/>
          </w:tcPr>
          <w:p w14:paraId="5419F342">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医师/本科</w:t>
            </w:r>
          </w:p>
        </w:tc>
        <w:tc>
          <w:tcPr>
            <w:tcW w:w="1871" w:type="dxa"/>
            <w:gridSpan w:val="2"/>
            <w:vAlign w:val="center"/>
          </w:tcPr>
          <w:p w14:paraId="041BFFA1">
            <w:pPr>
              <w:spacing w:line="360" w:lineRule="auto"/>
              <w:jc w:val="center"/>
              <w:rPr>
                <w:rFonts w:hint="eastAsia" w:ascii="Times New Roman" w:hAnsi="Times New Roman" w:eastAsia="黑体" w:cs="黑体"/>
                <w:sz w:val="21"/>
                <w:szCs w:val="21"/>
                <w:lang w:val="en-US" w:eastAsia="zh-CN"/>
              </w:rPr>
            </w:pPr>
          </w:p>
        </w:tc>
      </w:tr>
      <w:tr w14:paraId="7E5E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53BB70D5">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田润</w:t>
            </w:r>
          </w:p>
        </w:tc>
        <w:tc>
          <w:tcPr>
            <w:tcW w:w="1306" w:type="dxa"/>
            <w:gridSpan w:val="3"/>
            <w:vAlign w:val="center"/>
          </w:tcPr>
          <w:p w14:paraId="042AED5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5</w:t>
            </w:r>
          </w:p>
        </w:tc>
        <w:tc>
          <w:tcPr>
            <w:tcW w:w="3387" w:type="dxa"/>
            <w:gridSpan w:val="4"/>
            <w:vAlign w:val="center"/>
          </w:tcPr>
          <w:p w14:paraId="68B60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南方医科大学深圳坪山医院</w:t>
            </w:r>
          </w:p>
          <w:p w14:paraId="355D9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黑体"/>
                <w:sz w:val="21"/>
                <w:szCs w:val="21"/>
                <w:lang w:val="en-US" w:eastAsia="zh-CN"/>
              </w:rPr>
            </w:pPr>
            <w:r>
              <w:rPr>
                <w:rFonts w:hint="default" w:ascii="Times New Roman" w:hAnsi="Times New Roman" w:eastAsia="黑体" w:cs="黑体"/>
                <w:sz w:val="21"/>
                <w:szCs w:val="21"/>
                <w:lang w:val="en-US" w:eastAsia="zh-CN"/>
              </w:rPr>
              <w:t>深圳市坪山区人民医院</w:t>
            </w:r>
          </w:p>
        </w:tc>
        <w:tc>
          <w:tcPr>
            <w:tcW w:w="2641" w:type="dxa"/>
            <w:gridSpan w:val="4"/>
            <w:vAlign w:val="center"/>
          </w:tcPr>
          <w:p w14:paraId="03EF1A97">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主任医师/博士研究生</w:t>
            </w:r>
          </w:p>
        </w:tc>
        <w:tc>
          <w:tcPr>
            <w:tcW w:w="1871" w:type="dxa"/>
            <w:gridSpan w:val="2"/>
            <w:vAlign w:val="center"/>
          </w:tcPr>
          <w:p w14:paraId="4C2717E7">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眼科主任</w:t>
            </w:r>
          </w:p>
        </w:tc>
      </w:tr>
      <w:tr w14:paraId="0B04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2082C416">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王绍禹</w:t>
            </w:r>
          </w:p>
        </w:tc>
        <w:tc>
          <w:tcPr>
            <w:tcW w:w="1306" w:type="dxa"/>
            <w:gridSpan w:val="3"/>
            <w:vAlign w:val="center"/>
          </w:tcPr>
          <w:p w14:paraId="036C8E41">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6</w:t>
            </w:r>
          </w:p>
        </w:tc>
        <w:tc>
          <w:tcPr>
            <w:tcW w:w="3387" w:type="dxa"/>
            <w:gridSpan w:val="4"/>
            <w:vAlign w:val="center"/>
          </w:tcPr>
          <w:p w14:paraId="25DF54A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南方医科大学珠江医院</w:t>
            </w:r>
          </w:p>
        </w:tc>
        <w:tc>
          <w:tcPr>
            <w:tcW w:w="2641" w:type="dxa"/>
            <w:gridSpan w:val="4"/>
            <w:vAlign w:val="center"/>
          </w:tcPr>
          <w:p w14:paraId="3F77E2F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医师/本科</w:t>
            </w:r>
          </w:p>
        </w:tc>
        <w:tc>
          <w:tcPr>
            <w:tcW w:w="1871" w:type="dxa"/>
            <w:gridSpan w:val="2"/>
            <w:vAlign w:val="center"/>
          </w:tcPr>
          <w:p w14:paraId="4DCBA7FB">
            <w:pPr>
              <w:spacing w:line="360" w:lineRule="auto"/>
              <w:jc w:val="center"/>
              <w:rPr>
                <w:rFonts w:hint="eastAsia" w:ascii="Times New Roman" w:hAnsi="Times New Roman" w:eastAsia="黑体" w:cs="黑体"/>
                <w:sz w:val="21"/>
                <w:szCs w:val="21"/>
                <w:lang w:val="en-US" w:eastAsia="zh-CN"/>
              </w:rPr>
            </w:pPr>
          </w:p>
        </w:tc>
      </w:tr>
      <w:tr w14:paraId="31D6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3E6D9101">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林少妍</w:t>
            </w:r>
          </w:p>
        </w:tc>
        <w:tc>
          <w:tcPr>
            <w:tcW w:w="1306" w:type="dxa"/>
            <w:gridSpan w:val="3"/>
            <w:vAlign w:val="center"/>
          </w:tcPr>
          <w:p w14:paraId="2B1DBBC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7</w:t>
            </w:r>
          </w:p>
        </w:tc>
        <w:tc>
          <w:tcPr>
            <w:tcW w:w="3387" w:type="dxa"/>
            <w:gridSpan w:val="4"/>
            <w:vAlign w:val="center"/>
          </w:tcPr>
          <w:p w14:paraId="30E4B008">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南方医科大学珠江医院</w:t>
            </w:r>
          </w:p>
        </w:tc>
        <w:tc>
          <w:tcPr>
            <w:tcW w:w="2641" w:type="dxa"/>
            <w:gridSpan w:val="4"/>
            <w:vAlign w:val="center"/>
          </w:tcPr>
          <w:p w14:paraId="615F0E41">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医师/本科</w:t>
            </w:r>
          </w:p>
        </w:tc>
        <w:tc>
          <w:tcPr>
            <w:tcW w:w="1871" w:type="dxa"/>
            <w:gridSpan w:val="2"/>
            <w:vAlign w:val="center"/>
          </w:tcPr>
          <w:p w14:paraId="1FA06B76">
            <w:pPr>
              <w:spacing w:line="360" w:lineRule="auto"/>
              <w:jc w:val="center"/>
              <w:rPr>
                <w:rFonts w:hint="default" w:ascii="Times New Roman" w:hAnsi="Times New Roman" w:eastAsia="黑体" w:cs="黑体"/>
                <w:sz w:val="21"/>
                <w:szCs w:val="21"/>
                <w:lang w:val="en-US" w:eastAsia="zh-CN"/>
              </w:rPr>
            </w:pPr>
          </w:p>
        </w:tc>
      </w:tr>
      <w:tr w14:paraId="3F7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0342A11A">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赵致远</w:t>
            </w:r>
          </w:p>
        </w:tc>
        <w:tc>
          <w:tcPr>
            <w:tcW w:w="1306" w:type="dxa"/>
            <w:gridSpan w:val="3"/>
            <w:vAlign w:val="center"/>
          </w:tcPr>
          <w:p w14:paraId="6F77B4A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8</w:t>
            </w:r>
          </w:p>
        </w:tc>
        <w:tc>
          <w:tcPr>
            <w:tcW w:w="3387" w:type="dxa"/>
            <w:gridSpan w:val="4"/>
            <w:vAlign w:val="center"/>
          </w:tcPr>
          <w:p w14:paraId="126BFEF7">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南方医科大学珠江医院</w:t>
            </w:r>
          </w:p>
        </w:tc>
        <w:tc>
          <w:tcPr>
            <w:tcW w:w="2641" w:type="dxa"/>
            <w:gridSpan w:val="4"/>
            <w:vAlign w:val="center"/>
          </w:tcPr>
          <w:p w14:paraId="29B9B26B">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医师/本科</w:t>
            </w:r>
          </w:p>
        </w:tc>
        <w:tc>
          <w:tcPr>
            <w:tcW w:w="1871" w:type="dxa"/>
            <w:gridSpan w:val="2"/>
            <w:vAlign w:val="center"/>
          </w:tcPr>
          <w:p w14:paraId="659429EC">
            <w:pPr>
              <w:spacing w:line="360" w:lineRule="auto"/>
              <w:jc w:val="center"/>
              <w:rPr>
                <w:rFonts w:hint="default" w:ascii="Times New Roman" w:hAnsi="Times New Roman" w:eastAsia="黑体" w:cs="黑体"/>
                <w:sz w:val="21"/>
                <w:szCs w:val="21"/>
                <w:lang w:val="en-US" w:eastAsia="zh-CN"/>
              </w:rPr>
            </w:pPr>
          </w:p>
        </w:tc>
      </w:tr>
      <w:tr w14:paraId="4537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597E2835">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黄军斐</w:t>
            </w:r>
          </w:p>
        </w:tc>
        <w:tc>
          <w:tcPr>
            <w:tcW w:w="1306" w:type="dxa"/>
            <w:gridSpan w:val="3"/>
            <w:vAlign w:val="center"/>
          </w:tcPr>
          <w:p w14:paraId="23D0A51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9</w:t>
            </w:r>
          </w:p>
        </w:tc>
        <w:tc>
          <w:tcPr>
            <w:tcW w:w="3387" w:type="dxa"/>
            <w:gridSpan w:val="4"/>
            <w:vAlign w:val="center"/>
          </w:tcPr>
          <w:p w14:paraId="2DA6312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南方医科大学珠江医院</w:t>
            </w:r>
          </w:p>
        </w:tc>
        <w:tc>
          <w:tcPr>
            <w:tcW w:w="2641" w:type="dxa"/>
            <w:gridSpan w:val="4"/>
            <w:vAlign w:val="center"/>
          </w:tcPr>
          <w:p w14:paraId="01EBC13A">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医师/本科</w:t>
            </w:r>
          </w:p>
        </w:tc>
        <w:tc>
          <w:tcPr>
            <w:tcW w:w="1871" w:type="dxa"/>
            <w:gridSpan w:val="2"/>
            <w:vAlign w:val="center"/>
          </w:tcPr>
          <w:p w14:paraId="6A291BDF">
            <w:pPr>
              <w:spacing w:line="360" w:lineRule="auto"/>
              <w:jc w:val="center"/>
              <w:rPr>
                <w:rFonts w:hint="default" w:ascii="Times New Roman" w:hAnsi="Times New Roman" w:eastAsia="黑体" w:cs="黑体"/>
                <w:sz w:val="21"/>
                <w:szCs w:val="21"/>
                <w:lang w:val="en-US" w:eastAsia="zh-CN"/>
              </w:rPr>
            </w:pPr>
          </w:p>
        </w:tc>
      </w:tr>
      <w:tr w14:paraId="7C6D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gridSpan w:val="3"/>
            <w:vAlign w:val="center"/>
          </w:tcPr>
          <w:p w14:paraId="7FFD8543">
            <w:pPr>
              <w:spacing w:line="360" w:lineRule="auto"/>
              <w:jc w:val="center"/>
              <w:rPr>
                <w:rFonts w:hint="default" w:ascii="Times New Roman" w:hAnsi="Times New Roman" w:eastAsia="黑体" w:cs="黑体"/>
                <w:sz w:val="21"/>
                <w:szCs w:val="21"/>
                <w:vertAlign w:val="baseline"/>
                <w:lang w:val="en-US" w:eastAsia="zh-CN"/>
              </w:rPr>
            </w:pPr>
            <w:r>
              <w:rPr>
                <w:rFonts w:hint="eastAsia" w:ascii="Times New Roman" w:hAnsi="Times New Roman" w:eastAsia="黑体" w:cs="黑体"/>
                <w:sz w:val="21"/>
                <w:szCs w:val="21"/>
                <w:vertAlign w:val="baseline"/>
                <w:lang w:val="en-US" w:eastAsia="zh-CN"/>
              </w:rPr>
              <w:t>邓爱萍</w:t>
            </w:r>
          </w:p>
        </w:tc>
        <w:tc>
          <w:tcPr>
            <w:tcW w:w="1306" w:type="dxa"/>
            <w:gridSpan w:val="3"/>
            <w:vAlign w:val="center"/>
          </w:tcPr>
          <w:p w14:paraId="3B41E60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10</w:t>
            </w:r>
          </w:p>
        </w:tc>
        <w:tc>
          <w:tcPr>
            <w:tcW w:w="3387" w:type="dxa"/>
            <w:gridSpan w:val="4"/>
            <w:vAlign w:val="center"/>
          </w:tcPr>
          <w:p w14:paraId="63513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南方医科大学深圳坪山医院</w:t>
            </w:r>
          </w:p>
          <w:p w14:paraId="1F9F6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深圳市坪山区人民医院</w:t>
            </w:r>
          </w:p>
        </w:tc>
        <w:tc>
          <w:tcPr>
            <w:tcW w:w="2641" w:type="dxa"/>
            <w:gridSpan w:val="4"/>
            <w:vAlign w:val="center"/>
          </w:tcPr>
          <w:p w14:paraId="1832843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主治医师/硕士研究生</w:t>
            </w:r>
          </w:p>
        </w:tc>
        <w:tc>
          <w:tcPr>
            <w:tcW w:w="1871" w:type="dxa"/>
            <w:gridSpan w:val="2"/>
            <w:vAlign w:val="center"/>
          </w:tcPr>
          <w:p w14:paraId="77DEE6B9">
            <w:pPr>
              <w:spacing w:line="360" w:lineRule="auto"/>
              <w:jc w:val="center"/>
              <w:rPr>
                <w:rFonts w:hint="default" w:ascii="Times New Roman" w:hAnsi="Times New Roman" w:eastAsia="黑体" w:cs="黑体"/>
                <w:sz w:val="21"/>
                <w:szCs w:val="21"/>
                <w:lang w:val="en-US" w:eastAsia="zh-CN"/>
              </w:rPr>
            </w:pPr>
          </w:p>
        </w:tc>
      </w:tr>
      <w:tr w14:paraId="03AC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1" w:type="dxa"/>
            <w:gridSpan w:val="16"/>
            <w:vAlign w:val="center"/>
          </w:tcPr>
          <w:p w14:paraId="1B12DC3B">
            <w:pPr>
              <w:spacing w:line="360" w:lineRule="auto"/>
              <w:jc w:val="center"/>
              <w:rPr>
                <w:rFonts w:hint="default" w:ascii="Times New Roman" w:hAnsi="Times New Roman" w:eastAsia="微软雅黑" w:cs="微软雅黑"/>
                <w:sz w:val="21"/>
                <w:szCs w:val="21"/>
                <w:lang w:val="en-US" w:eastAsia="zh-CN"/>
              </w:rPr>
            </w:pPr>
            <w:r>
              <w:rPr>
                <w:rFonts w:hint="eastAsia" w:ascii="Times New Roman" w:hAnsi="Times New Roman" w:eastAsia="黑体" w:cs="黑体"/>
                <w:sz w:val="28"/>
                <w:szCs w:val="28"/>
                <w:lang w:val="en-US" w:eastAsia="zh-CN"/>
              </w:rPr>
              <w:t>主要完成单位</w:t>
            </w:r>
          </w:p>
        </w:tc>
      </w:tr>
      <w:tr w14:paraId="0FA0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9"/>
            <w:vAlign w:val="center"/>
          </w:tcPr>
          <w:p w14:paraId="583E9ADF">
            <w:pPr>
              <w:spacing w:line="360" w:lineRule="auto"/>
              <w:jc w:val="center"/>
              <w:rPr>
                <w:rFonts w:hint="eastAsia" w:ascii="Times New Roman" w:hAnsi="Times New Roman" w:eastAsia="黑体" w:cs="黑体"/>
                <w:sz w:val="21"/>
                <w:szCs w:val="21"/>
              </w:rPr>
            </w:pPr>
            <w:r>
              <w:rPr>
                <w:rFonts w:hint="eastAsia" w:ascii="Times New Roman" w:hAnsi="Times New Roman" w:eastAsia="黑体" w:cs="黑体"/>
                <w:sz w:val="21"/>
                <w:szCs w:val="21"/>
                <w:lang w:val="en-US" w:eastAsia="zh-CN"/>
              </w:rPr>
              <w:t>单位名称</w:t>
            </w:r>
          </w:p>
        </w:tc>
        <w:tc>
          <w:tcPr>
            <w:tcW w:w="5290" w:type="dxa"/>
            <w:gridSpan w:val="7"/>
            <w:vAlign w:val="center"/>
          </w:tcPr>
          <w:p w14:paraId="6F838E4E">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排名</w:t>
            </w:r>
          </w:p>
        </w:tc>
      </w:tr>
      <w:tr w14:paraId="31A6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9"/>
            <w:vAlign w:val="center"/>
          </w:tcPr>
          <w:p w14:paraId="06CE5A6E">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南方医科大学珠江医院</w:t>
            </w:r>
          </w:p>
        </w:tc>
        <w:tc>
          <w:tcPr>
            <w:tcW w:w="5290" w:type="dxa"/>
            <w:gridSpan w:val="7"/>
            <w:vAlign w:val="center"/>
          </w:tcPr>
          <w:p w14:paraId="1051F473">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1</w:t>
            </w:r>
          </w:p>
        </w:tc>
      </w:tr>
      <w:tr w14:paraId="7B91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9"/>
            <w:vAlign w:val="center"/>
          </w:tcPr>
          <w:p w14:paraId="2A5C156F">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中山大学附属第六医院</w:t>
            </w:r>
          </w:p>
        </w:tc>
        <w:tc>
          <w:tcPr>
            <w:tcW w:w="5290" w:type="dxa"/>
            <w:gridSpan w:val="7"/>
            <w:vAlign w:val="center"/>
          </w:tcPr>
          <w:p w14:paraId="35FA02E0">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2</w:t>
            </w:r>
          </w:p>
        </w:tc>
      </w:tr>
      <w:tr w14:paraId="5FFF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9"/>
            <w:vAlign w:val="center"/>
          </w:tcPr>
          <w:p w14:paraId="4969FAFD">
            <w:pPr>
              <w:spacing w:line="360" w:lineRule="auto"/>
              <w:jc w:val="center"/>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中山大学附属第七医院（深圳）</w:t>
            </w:r>
          </w:p>
        </w:tc>
        <w:tc>
          <w:tcPr>
            <w:tcW w:w="5290" w:type="dxa"/>
            <w:gridSpan w:val="7"/>
            <w:vAlign w:val="center"/>
          </w:tcPr>
          <w:p w14:paraId="24582147">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3</w:t>
            </w:r>
          </w:p>
        </w:tc>
      </w:tr>
      <w:tr w14:paraId="1B37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1" w:type="dxa"/>
            <w:gridSpan w:val="9"/>
            <w:vAlign w:val="center"/>
          </w:tcPr>
          <w:p w14:paraId="69D1D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南方医科大学深圳坪山医院</w:t>
            </w:r>
          </w:p>
          <w:p w14:paraId="47BF2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深圳市坪山区人民医院</w:t>
            </w:r>
          </w:p>
        </w:tc>
        <w:tc>
          <w:tcPr>
            <w:tcW w:w="5290" w:type="dxa"/>
            <w:gridSpan w:val="7"/>
            <w:vAlign w:val="center"/>
          </w:tcPr>
          <w:p w14:paraId="1A85A3E8">
            <w:pPr>
              <w:spacing w:line="360" w:lineRule="auto"/>
              <w:jc w:val="center"/>
              <w:rPr>
                <w:rFonts w:hint="default" w:ascii="Times New Roman" w:hAnsi="Times New Roman" w:eastAsia="黑体" w:cs="黑体"/>
                <w:sz w:val="21"/>
                <w:szCs w:val="21"/>
                <w:lang w:val="en-US" w:eastAsia="zh-CN"/>
              </w:rPr>
            </w:pPr>
            <w:r>
              <w:rPr>
                <w:rFonts w:hint="eastAsia" w:ascii="Times New Roman" w:hAnsi="Times New Roman" w:eastAsia="黑体" w:cs="黑体"/>
                <w:sz w:val="21"/>
                <w:szCs w:val="21"/>
                <w:lang w:val="en-US" w:eastAsia="zh-CN"/>
              </w:rPr>
              <w:t>4</w:t>
            </w:r>
          </w:p>
        </w:tc>
      </w:tr>
    </w:tbl>
    <w:p w14:paraId="20C3288E">
      <w:pPr>
        <w:jc w:val="center"/>
        <w:rPr>
          <w:rFonts w:hint="default" w:ascii="Times New Roman" w:hAnsi="Times New Roman" w:eastAsia="黑体"/>
          <w:sz w:val="32"/>
          <w:szCs w:val="20"/>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F1561"/>
    <w:rsid w:val="0A881CCF"/>
    <w:rsid w:val="0CAF6EE7"/>
    <w:rsid w:val="0DFFDDCE"/>
    <w:rsid w:val="0E3F647C"/>
    <w:rsid w:val="0FEFA42F"/>
    <w:rsid w:val="1456146C"/>
    <w:rsid w:val="15BD45A0"/>
    <w:rsid w:val="16D41D69"/>
    <w:rsid w:val="176D17BF"/>
    <w:rsid w:val="177A35B1"/>
    <w:rsid w:val="17CD2BBD"/>
    <w:rsid w:val="1ADF905E"/>
    <w:rsid w:val="1D9F1A9C"/>
    <w:rsid w:val="1DFA20BC"/>
    <w:rsid w:val="1EBE621C"/>
    <w:rsid w:val="1FED0EB3"/>
    <w:rsid w:val="2565F25A"/>
    <w:rsid w:val="260B53BD"/>
    <w:rsid w:val="27751C3A"/>
    <w:rsid w:val="288E0F4E"/>
    <w:rsid w:val="29A22F02"/>
    <w:rsid w:val="2A111E36"/>
    <w:rsid w:val="2E3B6D00"/>
    <w:rsid w:val="2FAF9796"/>
    <w:rsid w:val="2FBF1D04"/>
    <w:rsid w:val="2FFBB63C"/>
    <w:rsid w:val="31FB4077"/>
    <w:rsid w:val="360FC8D9"/>
    <w:rsid w:val="366FE6AF"/>
    <w:rsid w:val="3778BDA3"/>
    <w:rsid w:val="3ABD2246"/>
    <w:rsid w:val="3AF7F50D"/>
    <w:rsid w:val="3BDFEAC9"/>
    <w:rsid w:val="3BFD1331"/>
    <w:rsid w:val="3BFF0D9A"/>
    <w:rsid w:val="3D7FBF40"/>
    <w:rsid w:val="3DEDE1DB"/>
    <w:rsid w:val="3EA5619D"/>
    <w:rsid w:val="3EDFEDB5"/>
    <w:rsid w:val="3EFA2E10"/>
    <w:rsid w:val="3F5B456A"/>
    <w:rsid w:val="3F5F86B2"/>
    <w:rsid w:val="3F73589B"/>
    <w:rsid w:val="3F7CDB4F"/>
    <w:rsid w:val="3F87E897"/>
    <w:rsid w:val="3FAF5874"/>
    <w:rsid w:val="3FDF4602"/>
    <w:rsid w:val="3FEF5975"/>
    <w:rsid w:val="3FEFD269"/>
    <w:rsid w:val="3FFF36B7"/>
    <w:rsid w:val="3FFFDF21"/>
    <w:rsid w:val="46847C7F"/>
    <w:rsid w:val="47FFBB18"/>
    <w:rsid w:val="48CE566A"/>
    <w:rsid w:val="4ADFE89E"/>
    <w:rsid w:val="4B4740C0"/>
    <w:rsid w:val="4BE7092B"/>
    <w:rsid w:val="4BEED983"/>
    <w:rsid w:val="4C7F402D"/>
    <w:rsid w:val="4DF3589A"/>
    <w:rsid w:val="4FCE2AF9"/>
    <w:rsid w:val="4FDE1936"/>
    <w:rsid w:val="4FFB9B43"/>
    <w:rsid w:val="51EF007E"/>
    <w:rsid w:val="533C5231"/>
    <w:rsid w:val="53C7BF9A"/>
    <w:rsid w:val="576B992C"/>
    <w:rsid w:val="57BF43B9"/>
    <w:rsid w:val="57BFE125"/>
    <w:rsid w:val="57F7C580"/>
    <w:rsid w:val="57FB1E87"/>
    <w:rsid w:val="599C291D"/>
    <w:rsid w:val="59F68459"/>
    <w:rsid w:val="5ABFF110"/>
    <w:rsid w:val="5BDBF53C"/>
    <w:rsid w:val="5BFEE2F1"/>
    <w:rsid w:val="5C3FCA29"/>
    <w:rsid w:val="5C8E77A2"/>
    <w:rsid w:val="5CE9D28C"/>
    <w:rsid w:val="5CFBE30F"/>
    <w:rsid w:val="5CFD5DAE"/>
    <w:rsid w:val="5D53AFED"/>
    <w:rsid w:val="5D6D6152"/>
    <w:rsid w:val="5D7FA8E9"/>
    <w:rsid w:val="5DDB1C52"/>
    <w:rsid w:val="5E7F5356"/>
    <w:rsid w:val="5ED78F64"/>
    <w:rsid w:val="5EDF53AC"/>
    <w:rsid w:val="5EE75E52"/>
    <w:rsid w:val="5EFABD87"/>
    <w:rsid w:val="5F4FF0B2"/>
    <w:rsid w:val="5F7F847D"/>
    <w:rsid w:val="5FB73A48"/>
    <w:rsid w:val="5FBB3A29"/>
    <w:rsid w:val="5FBC2095"/>
    <w:rsid w:val="5FBDA036"/>
    <w:rsid w:val="5FBF7066"/>
    <w:rsid w:val="5FDC1DBC"/>
    <w:rsid w:val="5FDE70DB"/>
    <w:rsid w:val="5FEEBFBE"/>
    <w:rsid w:val="5FF1E3F1"/>
    <w:rsid w:val="5FF76687"/>
    <w:rsid w:val="5FFF5D12"/>
    <w:rsid w:val="619163B9"/>
    <w:rsid w:val="635EF83F"/>
    <w:rsid w:val="637F465C"/>
    <w:rsid w:val="639F8136"/>
    <w:rsid w:val="63A9B8EF"/>
    <w:rsid w:val="668665FF"/>
    <w:rsid w:val="67FBD7E6"/>
    <w:rsid w:val="67FF8B29"/>
    <w:rsid w:val="69692CF7"/>
    <w:rsid w:val="6A2333C7"/>
    <w:rsid w:val="6BF7A453"/>
    <w:rsid w:val="6DCD60ED"/>
    <w:rsid w:val="6EBA0918"/>
    <w:rsid w:val="6EE7E5D6"/>
    <w:rsid w:val="6EFA2D80"/>
    <w:rsid w:val="6F31816D"/>
    <w:rsid w:val="6F3EAD5F"/>
    <w:rsid w:val="6F4610F1"/>
    <w:rsid w:val="6F7F7B0A"/>
    <w:rsid w:val="6FAD27CD"/>
    <w:rsid w:val="6FB131C3"/>
    <w:rsid w:val="6FBBDF8C"/>
    <w:rsid w:val="6FC59832"/>
    <w:rsid w:val="6FD79995"/>
    <w:rsid w:val="6FDFF52C"/>
    <w:rsid w:val="6FEA6CCE"/>
    <w:rsid w:val="6FFA491E"/>
    <w:rsid w:val="6FFD9119"/>
    <w:rsid w:val="72DD9285"/>
    <w:rsid w:val="73FF4B47"/>
    <w:rsid w:val="74343D24"/>
    <w:rsid w:val="755A3AD7"/>
    <w:rsid w:val="75FCFC8B"/>
    <w:rsid w:val="75FFAB17"/>
    <w:rsid w:val="773EFC00"/>
    <w:rsid w:val="775EFCC1"/>
    <w:rsid w:val="7777572C"/>
    <w:rsid w:val="777EB08B"/>
    <w:rsid w:val="777F129A"/>
    <w:rsid w:val="779F3964"/>
    <w:rsid w:val="77B7016B"/>
    <w:rsid w:val="77E3C78D"/>
    <w:rsid w:val="77F70454"/>
    <w:rsid w:val="77FA69BD"/>
    <w:rsid w:val="77FBF180"/>
    <w:rsid w:val="77FF8BE8"/>
    <w:rsid w:val="783F706A"/>
    <w:rsid w:val="7997BCC9"/>
    <w:rsid w:val="79EE0E19"/>
    <w:rsid w:val="7A6A4943"/>
    <w:rsid w:val="7AF7B628"/>
    <w:rsid w:val="7B16F6F1"/>
    <w:rsid w:val="7B7E466B"/>
    <w:rsid w:val="7B7F2BA0"/>
    <w:rsid w:val="7BAF04BA"/>
    <w:rsid w:val="7BCB1B8E"/>
    <w:rsid w:val="7BDC045F"/>
    <w:rsid w:val="7BF40327"/>
    <w:rsid w:val="7BFABC1C"/>
    <w:rsid w:val="7BFB9E91"/>
    <w:rsid w:val="7C7F9934"/>
    <w:rsid w:val="7CF67CDA"/>
    <w:rsid w:val="7D7F79A0"/>
    <w:rsid w:val="7D897D17"/>
    <w:rsid w:val="7D95EF37"/>
    <w:rsid w:val="7DDF1FBA"/>
    <w:rsid w:val="7DF65D7F"/>
    <w:rsid w:val="7DF73B71"/>
    <w:rsid w:val="7DFBE513"/>
    <w:rsid w:val="7DFF1EDD"/>
    <w:rsid w:val="7DFFF316"/>
    <w:rsid w:val="7E2D6534"/>
    <w:rsid w:val="7E670366"/>
    <w:rsid w:val="7E7FC0D5"/>
    <w:rsid w:val="7E7FCE22"/>
    <w:rsid w:val="7E7FE332"/>
    <w:rsid w:val="7EBA3BE9"/>
    <w:rsid w:val="7EC7325C"/>
    <w:rsid w:val="7EF789A2"/>
    <w:rsid w:val="7EF7B52E"/>
    <w:rsid w:val="7EF83826"/>
    <w:rsid w:val="7EFA32EB"/>
    <w:rsid w:val="7EFF1675"/>
    <w:rsid w:val="7F5F0E74"/>
    <w:rsid w:val="7F5F14B7"/>
    <w:rsid w:val="7F637842"/>
    <w:rsid w:val="7F6C5AC5"/>
    <w:rsid w:val="7F7524E1"/>
    <w:rsid w:val="7F7FBB79"/>
    <w:rsid w:val="7F971E02"/>
    <w:rsid w:val="7FB679C3"/>
    <w:rsid w:val="7FBD2B10"/>
    <w:rsid w:val="7FC76DBC"/>
    <w:rsid w:val="7FCFC2F4"/>
    <w:rsid w:val="7FD3E25C"/>
    <w:rsid w:val="7FD7A083"/>
    <w:rsid w:val="7FD7D3D8"/>
    <w:rsid w:val="7FDD9712"/>
    <w:rsid w:val="7FDF9616"/>
    <w:rsid w:val="7FEFD18C"/>
    <w:rsid w:val="7FF72A88"/>
    <w:rsid w:val="7FFB7F5C"/>
    <w:rsid w:val="7FFCAE77"/>
    <w:rsid w:val="7FFE2173"/>
    <w:rsid w:val="7FFF5652"/>
    <w:rsid w:val="8D590377"/>
    <w:rsid w:val="8DFCE92D"/>
    <w:rsid w:val="8EF70D7D"/>
    <w:rsid w:val="8EFD8293"/>
    <w:rsid w:val="8FCD3102"/>
    <w:rsid w:val="91FF490F"/>
    <w:rsid w:val="9577916D"/>
    <w:rsid w:val="958F47E7"/>
    <w:rsid w:val="97FBD491"/>
    <w:rsid w:val="9BAD6120"/>
    <w:rsid w:val="9CDB48C9"/>
    <w:rsid w:val="9DF726BE"/>
    <w:rsid w:val="9EFD55A8"/>
    <w:rsid w:val="9F1FE9CD"/>
    <w:rsid w:val="9FCFDEC2"/>
    <w:rsid w:val="A4BF9C5D"/>
    <w:rsid w:val="A6CB770B"/>
    <w:rsid w:val="A7CC7696"/>
    <w:rsid w:val="A7EBFF85"/>
    <w:rsid w:val="A7FF2F07"/>
    <w:rsid w:val="AFDDA22E"/>
    <w:rsid w:val="B08F72A1"/>
    <w:rsid w:val="B361192C"/>
    <w:rsid w:val="B70BEE47"/>
    <w:rsid w:val="B7DB1C18"/>
    <w:rsid w:val="B7DF8261"/>
    <w:rsid w:val="B7F678B5"/>
    <w:rsid w:val="B8FDC925"/>
    <w:rsid w:val="B9EEB248"/>
    <w:rsid w:val="BAF857A3"/>
    <w:rsid w:val="BAFD0CCA"/>
    <w:rsid w:val="BBFD8E9C"/>
    <w:rsid w:val="BC7F042F"/>
    <w:rsid w:val="BCF72F0F"/>
    <w:rsid w:val="BDDF1561"/>
    <w:rsid w:val="BEDD3976"/>
    <w:rsid w:val="BF3F4013"/>
    <w:rsid w:val="BF6FF729"/>
    <w:rsid w:val="BF73EDCA"/>
    <w:rsid w:val="BF7D7C5C"/>
    <w:rsid w:val="BF7E06C5"/>
    <w:rsid w:val="BFDF44EF"/>
    <w:rsid w:val="BFFD8D06"/>
    <w:rsid w:val="C3CD83B4"/>
    <w:rsid w:val="C5BF7156"/>
    <w:rsid w:val="C7975760"/>
    <w:rsid w:val="C7EFA04E"/>
    <w:rsid w:val="C9FE6F23"/>
    <w:rsid w:val="CBB663CE"/>
    <w:rsid w:val="CDFB79BD"/>
    <w:rsid w:val="CDFF7045"/>
    <w:rsid w:val="CED7E9B5"/>
    <w:rsid w:val="CF21A21E"/>
    <w:rsid w:val="CF9F4FEB"/>
    <w:rsid w:val="D3DFFBDD"/>
    <w:rsid w:val="D5FF1CF3"/>
    <w:rsid w:val="D7F133FE"/>
    <w:rsid w:val="D7FC17DC"/>
    <w:rsid w:val="D8FED544"/>
    <w:rsid w:val="D97F6854"/>
    <w:rsid w:val="D99B8F29"/>
    <w:rsid w:val="DBBD6AE1"/>
    <w:rsid w:val="DBFF00BA"/>
    <w:rsid w:val="DC7F6DEB"/>
    <w:rsid w:val="DDB3B004"/>
    <w:rsid w:val="DEFEADFD"/>
    <w:rsid w:val="DF791E0B"/>
    <w:rsid w:val="DF7D008A"/>
    <w:rsid w:val="DF7E2C74"/>
    <w:rsid w:val="DFCBE9BE"/>
    <w:rsid w:val="DFE7FF25"/>
    <w:rsid w:val="DFEE252D"/>
    <w:rsid w:val="DFFEC5D2"/>
    <w:rsid w:val="E377D2D6"/>
    <w:rsid w:val="E5BFFE9B"/>
    <w:rsid w:val="E6DB54DA"/>
    <w:rsid w:val="E7BD805A"/>
    <w:rsid w:val="E9774304"/>
    <w:rsid w:val="E9EFBB54"/>
    <w:rsid w:val="EAAFAB91"/>
    <w:rsid w:val="EBDFDFBB"/>
    <w:rsid w:val="EC575769"/>
    <w:rsid w:val="ED7EC289"/>
    <w:rsid w:val="ED7FCAB7"/>
    <w:rsid w:val="EDCF41DE"/>
    <w:rsid w:val="EDDEFBAB"/>
    <w:rsid w:val="EDFF15F2"/>
    <w:rsid w:val="EEB7E818"/>
    <w:rsid w:val="EEE4A9E8"/>
    <w:rsid w:val="EEFBA266"/>
    <w:rsid w:val="EF3E09F5"/>
    <w:rsid w:val="EF3FBD83"/>
    <w:rsid w:val="EFBECFE8"/>
    <w:rsid w:val="EFFE20E6"/>
    <w:rsid w:val="F0AD9BB4"/>
    <w:rsid w:val="F34AFD65"/>
    <w:rsid w:val="F57F70F0"/>
    <w:rsid w:val="F6FD392D"/>
    <w:rsid w:val="F7799A92"/>
    <w:rsid w:val="F77FE612"/>
    <w:rsid w:val="F79F968F"/>
    <w:rsid w:val="F7D7A10B"/>
    <w:rsid w:val="F7DA21BB"/>
    <w:rsid w:val="F7DB63A5"/>
    <w:rsid w:val="F7F5DBCB"/>
    <w:rsid w:val="F8DA4409"/>
    <w:rsid w:val="F9DF159C"/>
    <w:rsid w:val="FABE71E7"/>
    <w:rsid w:val="FB3F8357"/>
    <w:rsid w:val="FBBBCF9B"/>
    <w:rsid w:val="FBD51A4C"/>
    <w:rsid w:val="FBDF5372"/>
    <w:rsid w:val="FBF91520"/>
    <w:rsid w:val="FBFEA0FF"/>
    <w:rsid w:val="FBFF15F1"/>
    <w:rsid w:val="FBFFEE31"/>
    <w:rsid w:val="FC9F6A87"/>
    <w:rsid w:val="FCAF51B9"/>
    <w:rsid w:val="FCBB712B"/>
    <w:rsid w:val="FCF76A58"/>
    <w:rsid w:val="FD3B1AE8"/>
    <w:rsid w:val="FD5FE09A"/>
    <w:rsid w:val="FDDBECFC"/>
    <w:rsid w:val="FDFF7A05"/>
    <w:rsid w:val="FEF35CF4"/>
    <w:rsid w:val="FEFE1ED3"/>
    <w:rsid w:val="FEFEB6BF"/>
    <w:rsid w:val="FEFFFCFA"/>
    <w:rsid w:val="FF6E4F3C"/>
    <w:rsid w:val="FF6F7ED0"/>
    <w:rsid w:val="FF759FE6"/>
    <w:rsid w:val="FF8687E0"/>
    <w:rsid w:val="FF9FB4FB"/>
    <w:rsid w:val="FFAFBC8C"/>
    <w:rsid w:val="FFB3BA4F"/>
    <w:rsid w:val="FFB54B04"/>
    <w:rsid w:val="FFB66129"/>
    <w:rsid w:val="FFB7C902"/>
    <w:rsid w:val="FFBD217D"/>
    <w:rsid w:val="FFBF7D3B"/>
    <w:rsid w:val="FFBF8667"/>
    <w:rsid w:val="FFCDEC7F"/>
    <w:rsid w:val="FFCF2D6D"/>
    <w:rsid w:val="FFE5835D"/>
    <w:rsid w:val="FFE7260E"/>
    <w:rsid w:val="FFE7EFD2"/>
    <w:rsid w:val="FFE9AB13"/>
    <w:rsid w:val="FFEF2D21"/>
    <w:rsid w:val="FFF3C3FF"/>
    <w:rsid w:val="FFF7B66D"/>
    <w:rsid w:val="FFFBC7BB"/>
    <w:rsid w:val="FFFC9916"/>
    <w:rsid w:val="FFFF0FEE"/>
    <w:rsid w:val="FFFF9494"/>
    <w:rsid w:val="FFFFF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1"/>
    <w:basedOn w:val="1"/>
    <w:qFormat/>
    <w:uiPriority w:val="0"/>
    <w:pPr>
      <w:spacing w:before="0" w:beforeAutospacing="0" w:after="0" w:afterAutospacing="0"/>
      <w:ind w:left="0" w:right="0"/>
      <w:jc w:val="left"/>
    </w:pPr>
    <w:rPr>
      <w:rFonts w:ascii="helvetica" w:hAnsi="helvetica" w:eastAsia="helvetica" w:cs="helvetica"/>
      <w:kern w:val="0"/>
      <w:sz w:val="19"/>
      <w:szCs w:val="19"/>
      <w:lang w:val="en-US" w:eastAsia="zh-CN" w:bidi="ar"/>
    </w:rPr>
  </w:style>
  <w:style w:type="character" w:customStyle="1" w:styleId="7">
    <w:name w:val="s1"/>
    <w:basedOn w:val="5"/>
    <w:qFormat/>
    <w:uiPriority w:val="0"/>
    <w:rPr>
      <w:rFonts w:hint="default" w:ascii="helvetica" w:hAnsi="helvetica" w:eastAsia="helvetica" w:cs="helvetica"/>
      <w:sz w:val="19"/>
      <w:szCs w:val="19"/>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2050</Words>
  <Characters>3053</Characters>
  <Lines>0</Lines>
  <Paragraphs>0</Paragraphs>
  <TotalTime>25</TotalTime>
  <ScaleCrop>false</ScaleCrop>
  <LinksUpToDate>false</LinksUpToDate>
  <CharactersWithSpaces>3239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2025-04-19T12:41:00Z</dcterms:created>
  <dc:creator>陪伴</dc:creator>
  <cp:lastModifiedBy>小7</cp:lastModifiedBy>
  <dcterms:modified xsi:type="dcterms:W3CDTF">2026-06-16T08:40:28Z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A2CECA86824D40B7BE6387852BF77982_13</vt:lpwstr>
  </property>
  <property fmtid="{D5CDD505-2E9C-101B-9397-08002B2CF9AE}" pid="4" name="KSOTemplateDocerSaveRecord">
    <vt:lpwstr>eyJoZGlkIjoiMGMyNzcxODQyMGFjNzgxODM2NDY3ZjVhMWY1ZjcyNmQiLCJ1c2VySWQiOiIyMzk5NTc4MTcifQ==</vt:lpwstr>
  </property>
</Properties>
</file>