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1C5E0">
      <w:pPr>
        <w:jc w:val="center"/>
        <w:rPr>
          <w:rFonts w:hint="default" w:ascii="仿宋_GB2312" w:hAnsi="宋体" w:eastAsia="仿宋_GB2312"/>
          <w:b/>
          <w:sz w:val="32"/>
          <w:szCs w:val="32"/>
          <w:lang w:val="en-US" w:eastAsia="zh-CN"/>
        </w:rPr>
      </w:pPr>
      <w:bookmarkStart w:id="0" w:name="_Toc421266940"/>
      <w:r>
        <w:rPr>
          <w:rFonts w:hint="eastAsia" w:ascii="仿宋_GB2312" w:hAnsi="宋体" w:eastAsia="仿宋_GB2312"/>
          <w:b/>
          <w:sz w:val="32"/>
          <w:szCs w:val="32"/>
        </w:rPr>
        <w:t>项目</w:t>
      </w:r>
      <w:bookmarkEnd w:id="0"/>
      <w:r>
        <w:rPr>
          <w:rFonts w:hint="eastAsia" w:ascii="仿宋_GB2312" w:hAnsi="宋体" w:eastAsia="仿宋_GB2312"/>
          <w:b/>
          <w:sz w:val="32"/>
          <w:szCs w:val="32"/>
        </w:rPr>
        <w:t>需求书</w:t>
      </w:r>
      <w:r>
        <w:rPr>
          <w:rFonts w:hint="eastAsia" w:ascii="仿宋_GB2312" w:hAnsi="宋体" w:eastAsia="仿宋_GB2312"/>
          <w:b/>
          <w:sz w:val="32"/>
          <w:szCs w:val="32"/>
          <w:lang w:val="en-US" w:eastAsia="zh-CN"/>
        </w:rPr>
        <w:t>以及保养包明细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7286"/>
      </w:tblGrid>
      <w:tr w14:paraId="585A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5" w:type="pct"/>
            <w:noWrap w:val="0"/>
            <w:vAlign w:val="top"/>
          </w:tcPr>
          <w:p w14:paraId="422BABD8">
            <w:pPr>
              <w:rPr>
                <w:rFonts w:hint="eastAsia"/>
                <w:b/>
              </w:rPr>
            </w:pPr>
            <w:r>
              <w:rPr>
                <w:rFonts w:hint="eastAsia"/>
                <w:b/>
              </w:rPr>
              <w:t>项目名称</w:t>
            </w:r>
          </w:p>
        </w:tc>
        <w:tc>
          <w:tcPr>
            <w:tcW w:w="4274" w:type="pct"/>
            <w:noWrap w:val="0"/>
            <w:vAlign w:val="top"/>
          </w:tcPr>
          <w:p w14:paraId="2661AC78">
            <w:pPr>
              <w:rPr>
                <w:rFonts w:hint="eastAsia"/>
              </w:rPr>
            </w:pPr>
            <w:r>
              <w:rPr>
                <w:rFonts w:hint="eastAsia"/>
                <w:lang w:val="en-US" w:eastAsia="zh-CN"/>
              </w:rPr>
              <w:t>CytoFLEX LX流式细胞仪、CytoFLEX流式细胞仪、Optima XPN-100超速离心机3</w:t>
            </w:r>
            <w:r>
              <w:rPr>
                <w:rFonts w:hint="eastAsia"/>
              </w:rPr>
              <w:t>台贝克曼设备延保服务项目</w:t>
            </w:r>
          </w:p>
        </w:tc>
      </w:tr>
      <w:tr w14:paraId="391D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5" w:type="pct"/>
            <w:noWrap w:val="0"/>
            <w:vAlign w:val="top"/>
          </w:tcPr>
          <w:p w14:paraId="5412A5B2">
            <w:pPr>
              <w:rPr>
                <w:rFonts w:hint="eastAsia"/>
                <w:b/>
              </w:rPr>
            </w:pPr>
            <w:r>
              <w:rPr>
                <w:rFonts w:hint="eastAsia"/>
                <w:b/>
              </w:rPr>
              <w:t>项目简介</w:t>
            </w:r>
          </w:p>
        </w:tc>
        <w:tc>
          <w:tcPr>
            <w:tcW w:w="4274" w:type="pct"/>
            <w:noWrap w:val="0"/>
            <w:vAlign w:val="top"/>
          </w:tcPr>
          <w:p w14:paraId="28398AC2">
            <w:pPr>
              <w:rPr>
                <w:rFonts w:hint="eastAsia"/>
              </w:rPr>
            </w:pPr>
            <w:r>
              <w:rPr>
                <w:rFonts w:hint="eastAsia" w:ascii="Times New Roman" w:hAnsi="Times New Roman" w:eastAsia="宋体" w:cs="Times New Roman"/>
                <w:lang w:val="en-US" w:eastAsia="zh-CN"/>
              </w:rPr>
              <w:t>中山大学附属第七医院现有</w:t>
            </w:r>
            <w:r>
              <w:rPr>
                <w:rFonts w:hint="default" w:ascii="宋体" w:eastAsia="宋体"/>
                <w:sz w:val="21"/>
                <w:szCs w:val="24"/>
              </w:rPr>
              <w:t>CytoFLEX LX流式细胞仪、CytoFLEX流式细胞仪、Optima XPN-100超速离心机</w:t>
            </w:r>
            <w:r>
              <w:rPr>
                <w:rFonts w:hint="eastAsia" w:ascii="Times New Roman" w:hAnsi="Times New Roman" w:eastAsia="宋体" w:cs="Times New Roman"/>
                <w:lang w:val="en-US" w:eastAsia="zh-CN"/>
              </w:rPr>
              <w:t>3台贝克曼设备维保服务已到期，为保障科研工作的顺利进行，实现成本效益最大化，拟继续采购相关维保服务。</w:t>
            </w:r>
          </w:p>
        </w:tc>
      </w:tr>
      <w:tr w14:paraId="2B40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25" w:type="pct"/>
            <w:noWrap w:val="0"/>
            <w:vAlign w:val="top"/>
          </w:tcPr>
          <w:p w14:paraId="02BB9F86">
            <w:pPr>
              <w:jc w:val="center"/>
              <w:rPr>
                <w:rFonts w:hint="eastAsia"/>
                <w:b/>
              </w:rPr>
            </w:pPr>
            <w:r>
              <w:rPr>
                <w:rFonts w:hint="eastAsia" w:ascii="宋体" w:hAnsi="宋体" w:cs="宋体"/>
                <w:b/>
                <w:kern w:val="0"/>
                <w:szCs w:val="21"/>
              </w:rPr>
              <w:t>具体技术要求</w:t>
            </w:r>
          </w:p>
        </w:tc>
        <w:tc>
          <w:tcPr>
            <w:tcW w:w="4274" w:type="pct"/>
            <w:noWrap w:val="0"/>
            <w:vAlign w:val="top"/>
          </w:tcPr>
          <w:p w14:paraId="6862ED62">
            <w:pPr>
              <w:spacing w:beforeLines="0" w:afterLines="0"/>
              <w:rPr>
                <w:rFonts w:hint="default"/>
                <w:sz w:val="21"/>
                <w:szCs w:val="24"/>
              </w:rPr>
            </w:pPr>
            <w:r>
              <w:rPr>
                <w:rFonts w:hint="default" w:ascii="宋体" w:hAnsi="宋体" w:eastAsia="宋体"/>
                <w:sz w:val="21"/>
                <w:szCs w:val="24"/>
              </w:rPr>
              <w:t>一、服务总体要求：投标人需为三台贝克曼仪器提供三年</w:t>
            </w:r>
          </w:p>
          <w:p w14:paraId="6DF50376">
            <w:pPr>
              <w:spacing w:beforeLines="0" w:afterLines="0"/>
              <w:rPr>
                <w:rFonts w:hint="default"/>
                <w:sz w:val="21"/>
                <w:szCs w:val="24"/>
              </w:rPr>
            </w:pPr>
            <w:r>
              <w:rPr>
                <w:rFonts w:hint="default" w:ascii="宋体" w:hAnsi="宋体" w:eastAsia="宋体"/>
                <w:sz w:val="21"/>
                <w:szCs w:val="24"/>
              </w:rPr>
              <w:t>全保服务，包括但不限于每年</w:t>
            </w:r>
            <w:r>
              <w:rPr>
                <w:rFonts w:hint="default" w:ascii="宋体" w:hAnsi="宋体" w:eastAsia="宋体"/>
                <w:color w:val="auto"/>
                <w:sz w:val="21"/>
                <w:szCs w:val="24"/>
                <w:highlight w:val="yellow"/>
              </w:rPr>
              <w:t>每台设备</w:t>
            </w:r>
            <w:r>
              <w:rPr>
                <w:rFonts w:hint="default"/>
                <w:sz w:val="21"/>
                <w:szCs w:val="24"/>
              </w:rPr>
              <w:t>1</w:t>
            </w:r>
            <w:r>
              <w:rPr>
                <w:rFonts w:hint="default" w:ascii="宋体" w:hAnsi="宋体" w:eastAsia="宋体"/>
                <w:sz w:val="21"/>
                <w:szCs w:val="24"/>
              </w:rPr>
              <w:t>次预防性保养、</w:t>
            </w:r>
            <w:r>
              <w:rPr>
                <w:rFonts w:hint="default"/>
                <w:sz w:val="21"/>
                <w:szCs w:val="24"/>
              </w:rPr>
              <w:t>4</w:t>
            </w:r>
            <w:r>
              <w:rPr>
                <w:rFonts w:hint="default" w:ascii="宋体" w:hAnsi="宋体" w:eastAsia="宋体"/>
                <w:sz w:val="21"/>
                <w:szCs w:val="24"/>
              </w:rPr>
              <w:t>次检测维护、不限次数的</w:t>
            </w:r>
            <w:r>
              <w:rPr>
                <w:rFonts w:hint="default" w:ascii="宋体" w:hAnsi="Times New Roman" w:eastAsia="宋体" w:cs="Times New Roman"/>
                <w:sz w:val="21"/>
                <w:szCs w:val="24"/>
                <w:highlight w:val="yellow"/>
              </w:rPr>
              <w:t>工程师</w:t>
            </w:r>
            <w:r>
              <w:rPr>
                <w:rFonts w:hint="default" w:ascii="宋体" w:eastAsia="宋体"/>
                <w:sz w:val="21"/>
                <w:szCs w:val="24"/>
              </w:rPr>
              <w:t>上门维修及原装配件更换等，并提交年度运行与保养报告，确保设备持续合规运行。</w:t>
            </w:r>
          </w:p>
          <w:p w14:paraId="685486B8">
            <w:pPr>
              <w:spacing w:beforeLines="0" w:afterLines="0"/>
              <w:rPr>
                <w:rFonts w:hint="default"/>
                <w:sz w:val="21"/>
                <w:szCs w:val="24"/>
              </w:rPr>
            </w:pPr>
            <w:r>
              <w:rPr>
                <w:rFonts w:hint="default" w:ascii="宋体" w:eastAsia="宋体"/>
                <w:sz w:val="21"/>
                <w:szCs w:val="24"/>
              </w:rPr>
              <w:t>二、具体服务需求：</w:t>
            </w:r>
          </w:p>
          <w:p w14:paraId="04A5CC96">
            <w:pPr>
              <w:spacing w:beforeLines="0" w:afterLines="0"/>
              <w:rPr>
                <w:rFonts w:hint="default" w:ascii="宋体" w:hAnsi="宋体" w:eastAsia="宋体"/>
                <w:sz w:val="21"/>
                <w:szCs w:val="24"/>
              </w:rPr>
            </w:pPr>
            <w:r>
              <w:rPr>
                <w:rFonts w:hint="default"/>
                <w:sz w:val="21"/>
                <w:szCs w:val="24"/>
              </w:rPr>
              <w:t>1.</w:t>
            </w:r>
            <w:r>
              <w:rPr>
                <w:rFonts w:hint="default" w:ascii="宋体" w:eastAsia="宋体"/>
                <w:sz w:val="21"/>
                <w:szCs w:val="24"/>
              </w:rPr>
              <w:t>科研中心需维保贝克曼品牌的三台贵重仪器：1台流式细胞仪CytoFLEX LX、1台流式细胞仪CytoFLEX、1台</w:t>
            </w:r>
            <w:r>
              <w:rPr>
                <w:rFonts w:hint="default"/>
                <w:sz w:val="21"/>
                <w:szCs w:val="24"/>
              </w:rPr>
              <w:t>Optima XPN-100</w:t>
            </w:r>
            <w:r>
              <w:rPr>
                <w:rFonts w:hint="default" w:ascii="宋体" w:eastAsia="宋体"/>
                <w:sz w:val="21"/>
                <w:szCs w:val="24"/>
              </w:rPr>
              <w:t>超速离心机。投标人</w:t>
            </w:r>
            <w:r>
              <w:rPr>
                <w:rFonts w:hint="default" w:ascii="宋体" w:hAnsi="宋体" w:eastAsia="宋体"/>
                <w:sz w:val="21"/>
                <w:szCs w:val="24"/>
              </w:rPr>
              <w:t>对</w:t>
            </w:r>
            <w:r>
              <w:rPr>
                <w:rFonts w:hint="default" w:ascii="宋体" w:eastAsia="宋体"/>
                <w:sz w:val="21"/>
                <w:szCs w:val="24"/>
              </w:rPr>
              <w:t>上述</w:t>
            </w:r>
            <w:r>
              <w:rPr>
                <w:rFonts w:hint="default" w:ascii="宋体" w:hAnsi="宋体" w:eastAsia="宋体"/>
                <w:sz w:val="21"/>
                <w:szCs w:val="24"/>
              </w:rPr>
              <w:t>设备提供每年1次有计划性的保养服务(保养时提供保养包详见附件一)。在每一个有效年度的第一个季度内完成预防性维护保养工作，并提供维修、保养报告单。</w:t>
            </w:r>
          </w:p>
          <w:p w14:paraId="56F49579">
            <w:pPr>
              <w:spacing w:beforeLines="0" w:afterLines="0"/>
              <w:rPr>
                <w:rFonts w:hint="default" w:ascii="宋体" w:hAnsi="宋体" w:eastAsia="宋体"/>
                <w:sz w:val="21"/>
                <w:szCs w:val="24"/>
              </w:rPr>
            </w:pPr>
            <w:r>
              <w:rPr>
                <w:rFonts w:hint="default" w:ascii="宋体" w:hAnsi="宋体" w:eastAsia="宋体"/>
                <w:sz w:val="21"/>
                <w:szCs w:val="24"/>
              </w:rPr>
              <w:t>2.每年每台仪器至少</w:t>
            </w:r>
            <w:r>
              <w:rPr>
                <w:rFonts w:hint="default" w:ascii="宋体" w:hAnsi="宋体" w:eastAsia="宋体"/>
                <w:sz w:val="21"/>
                <w:szCs w:val="24"/>
                <w:highlight w:val="yellow"/>
              </w:rPr>
              <w:t>4</w:t>
            </w:r>
            <w:r>
              <w:rPr>
                <w:rFonts w:hint="default" w:ascii="宋体" w:hAnsi="宋体" w:eastAsia="宋体"/>
                <w:sz w:val="21"/>
                <w:szCs w:val="24"/>
              </w:rPr>
              <w:t>次检测维护服务检测包括机器清洁、性能测试及校准、必要的机械或电气的检查，以及非紧急性质的预防性维护和确保系统能按照设备的产品规格运行的其他维护。</w:t>
            </w:r>
          </w:p>
          <w:p w14:paraId="5B7EC76B">
            <w:pPr>
              <w:spacing w:beforeLines="0" w:afterLines="0"/>
              <w:rPr>
                <w:rFonts w:hint="default" w:ascii="宋体" w:hAnsi="宋体" w:eastAsia="宋体"/>
                <w:sz w:val="21"/>
                <w:szCs w:val="24"/>
              </w:rPr>
            </w:pPr>
            <w:r>
              <w:rPr>
                <w:rFonts w:hint="default" w:ascii="宋体" w:hAnsi="宋体" w:eastAsia="宋体"/>
                <w:sz w:val="21"/>
                <w:szCs w:val="24"/>
              </w:rPr>
              <w:t>3.中标人在每年12月20日前需向采购人提供每台设备的《设备年度运行报告》、《设备年度保养报告》，以便采购人了解设备的运行状态。</w:t>
            </w:r>
          </w:p>
          <w:p w14:paraId="1DF7A4B4">
            <w:pPr>
              <w:spacing w:beforeLines="0" w:afterLines="0"/>
              <w:rPr>
                <w:rFonts w:hint="default" w:ascii="宋体" w:hAnsi="Times New Roman" w:eastAsia="宋体" w:cs="Times New Roman"/>
                <w:sz w:val="21"/>
                <w:szCs w:val="24"/>
              </w:rPr>
            </w:pPr>
            <w:r>
              <w:rPr>
                <w:rFonts w:hint="default" w:ascii="宋体" w:hAnsi="Times New Roman" w:eastAsia="宋体" w:cs="Times New Roman"/>
                <w:sz w:val="21"/>
                <w:szCs w:val="24"/>
              </w:rPr>
              <w:t>4.中标人提供上述三台仪器整机三年全保，全保范围包括:整机及所有原配置配件的维修、保养与部件更换。</w:t>
            </w:r>
            <w:r>
              <w:rPr>
                <w:rFonts w:hint="default" w:ascii="宋体" w:hAnsi="Times New Roman" w:eastAsia="宋体" w:cs="Times New Roman"/>
                <w:sz w:val="21"/>
                <w:szCs w:val="24"/>
                <w:highlight w:val="yellow"/>
              </w:rPr>
              <w:t>工程师提供</w:t>
            </w:r>
            <w:r>
              <w:rPr>
                <w:rFonts w:hint="default" w:ascii="宋体" w:hAnsi="Times New Roman" w:eastAsia="宋体" w:cs="Times New Roman"/>
                <w:sz w:val="21"/>
                <w:szCs w:val="24"/>
              </w:rPr>
              <w:t>上门服务、根据设备运行要求提供不限次数的人工技术服务与备件更换，维保期内不再收取任何相关费用，</w:t>
            </w:r>
            <w:r>
              <w:rPr>
                <w:rFonts w:hint="default" w:ascii="宋体" w:eastAsia="宋体"/>
                <w:sz w:val="21"/>
                <w:szCs w:val="24"/>
              </w:rPr>
              <w:t>如在维修（护）过程中设备或其他配件发生损坏，中标人自行承担全部维修、更换费用，若无法修复需照价赔偿。</w:t>
            </w:r>
          </w:p>
          <w:p w14:paraId="0F0CE998">
            <w:pPr>
              <w:spacing w:beforeLines="0" w:afterLines="0"/>
              <w:rPr>
                <w:rFonts w:hint="default" w:ascii="宋体" w:hAnsi="Times New Roman" w:eastAsia="宋体" w:cs="Times New Roman"/>
                <w:sz w:val="21"/>
                <w:szCs w:val="24"/>
              </w:rPr>
            </w:pPr>
            <w:r>
              <w:rPr>
                <w:rFonts w:hint="default" w:ascii="宋体" w:hAnsi="Times New Roman" w:eastAsia="宋体" w:cs="Times New Roman"/>
                <w:sz w:val="21"/>
                <w:szCs w:val="24"/>
              </w:rPr>
              <w:t>5.上门服务的工程师必须能够准确评估故障原因并且及时修复，直至单次报修问题解决之前不得随意更换维修工程师。</w:t>
            </w:r>
          </w:p>
          <w:p w14:paraId="78FC9AEF">
            <w:pPr>
              <w:spacing w:beforeLines="0" w:afterLines="0"/>
              <w:rPr>
                <w:rFonts w:hint="default" w:ascii="宋体" w:hAnsi="Times New Roman" w:eastAsia="宋体" w:cs="Times New Roman"/>
                <w:sz w:val="21"/>
                <w:szCs w:val="24"/>
              </w:rPr>
            </w:pPr>
            <w:r>
              <w:rPr>
                <w:rFonts w:hint="default" w:ascii="宋体" w:hAnsi="Times New Roman" w:eastAsia="宋体" w:cs="Times New Roman"/>
                <w:sz w:val="21"/>
                <w:szCs w:val="24"/>
              </w:rPr>
              <w:t>6.保修范围内提供的维修所需配件,如所更换的配件发生故障，中标人必须无条件更换。更换的配件必须是同一型号原生产厂家配件，配件来源可向设备原生产厂家查询验证。</w:t>
            </w:r>
          </w:p>
          <w:p w14:paraId="5EA6CB45">
            <w:pPr>
              <w:rPr>
                <w:rFonts w:hint="default" w:ascii="宋体" w:hAnsi="宋体" w:eastAsia="宋体" w:cs="宋体"/>
                <w:kern w:val="0"/>
                <w:szCs w:val="21"/>
                <w:lang w:val="en-US" w:eastAsia="zh-CN"/>
              </w:rPr>
            </w:pPr>
            <w:r>
              <w:rPr>
                <w:rFonts w:hint="default" w:ascii="宋体" w:hAnsi="Times New Roman" w:eastAsia="宋体" w:cs="Times New Roman"/>
                <w:sz w:val="21"/>
                <w:szCs w:val="24"/>
              </w:rPr>
              <w:t>7.</w:t>
            </w:r>
            <w:r>
              <w:rPr>
                <w:rFonts w:hint="default" w:ascii="宋体" w:hAnsi="Times New Roman" w:eastAsia="宋体" w:cs="Times New Roman"/>
                <w:sz w:val="21"/>
                <w:szCs w:val="24"/>
                <w:highlight w:val="yellow"/>
              </w:rPr>
              <w:t>工程师持有厂家培训证明书或实验室设备管理师等与维保设备相关的证书。</w:t>
            </w:r>
          </w:p>
        </w:tc>
      </w:tr>
      <w:tr w14:paraId="39D1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725" w:type="pct"/>
            <w:noWrap w:val="0"/>
            <w:vAlign w:val="top"/>
          </w:tcPr>
          <w:p w14:paraId="198F9E6D">
            <w:pPr>
              <w:jc w:val="center"/>
              <w:rPr>
                <w:rFonts w:hint="eastAsia" w:ascii="宋体" w:hAnsi="宋体" w:cs="宋体"/>
                <w:b/>
                <w:kern w:val="0"/>
                <w:szCs w:val="21"/>
              </w:rPr>
            </w:pPr>
            <w:r>
              <w:rPr>
                <w:rFonts w:hint="eastAsia" w:ascii="宋体" w:hAnsi="宋体" w:cs="宋体"/>
                <w:b/>
                <w:kern w:val="0"/>
                <w:szCs w:val="21"/>
              </w:rPr>
              <w:t>商务需求</w:t>
            </w:r>
          </w:p>
        </w:tc>
        <w:tc>
          <w:tcPr>
            <w:tcW w:w="4274" w:type="pct"/>
            <w:noWrap w:val="0"/>
            <w:vAlign w:val="top"/>
          </w:tcPr>
          <w:p w14:paraId="64D62074">
            <w:pPr>
              <w:numPr>
                <w:ilvl w:val="0"/>
                <w:numId w:val="1"/>
              </w:numP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服务期限：合同签订之日起3年。</w:t>
            </w:r>
          </w:p>
          <w:p w14:paraId="656B1568">
            <w:pPr>
              <w:numPr>
                <w:ilvl w:val="0"/>
                <w:numId w:val="1"/>
              </w:numP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服务响应时效要求及服务售后：</w:t>
            </w:r>
          </w:p>
          <w:p w14:paraId="3EE6CE7C">
            <w:pPr>
              <w:numPr>
                <w:ilvl w:val="0"/>
                <w:numId w:val="0"/>
              </w:numPr>
              <w:rPr>
                <w:rFonts w:hint="eastAsia" w:ascii="宋体" w:hAnsi="宋体" w:cs="宋体"/>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kern w:val="0"/>
                <w:szCs w:val="21"/>
                <w:lang w:val="en-US" w:eastAsia="zh-CN"/>
              </w:rPr>
              <w:t>保修服务范围内，中标人所提供的零配件必须是完全适配主设备且是全新原生产厂家配件，必须是符合国家有关质量安全标准及机器的品质标准的合格产品，保证不会对设备质量或图像产生不良影响。提供的维修所需配件可接受向设备原生产厂家查询验证、设备原生产厂家出具的零配件来源证明、第三方单位检测、不定期抽检等方式检测验证:如因二手或经非法、非正常渠道来源备件给采购人带来其他经济损失(如上级监管单位处罚等)，中标人则需完全承担相关赔偿及责任。</w:t>
            </w:r>
          </w:p>
          <w:p w14:paraId="0B7D2EB5">
            <w:pPr>
              <w:numPr>
                <w:ilvl w:val="0"/>
                <w:numId w:val="0"/>
              </w:numPr>
              <w:rPr>
                <w:rFonts w:hint="eastAsia" w:ascii="宋体" w:hAnsi="宋体" w:cs="宋体"/>
                <w:kern w:val="0"/>
                <w:szCs w:val="21"/>
                <w:lang w:val="en-US" w:eastAsia="zh-CN"/>
              </w:rPr>
            </w:pPr>
            <w:r>
              <w:rPr>
                <w:rFonts w:hint="eastAsia" w:ascii="宋体" w:hAnsi="宋体" w:cs="宋体"/>
                <w:kern w:val="0"/>
                <w:szCs w:val="21"/>
                <w:lang w:val="en-US" w:eastAsia="zh-CN"/>
              </w:rPr>
              <w:t>2.开机率保证:设备的开机率≥95%(按全年 365 天计算，即每年停机天数不得超过 18 天)，停机天数每超过一天，顺延一天保修期。</w:t>
            </w:r>
          </w:p>
          <w:p w14:paraId="35378193">
            <w:pPr>
              <w:numPr>
                <w:ilvl w:val="0"/>
                <w:numId w:val="0"/>
              </w:numPr>
              <w:rPr>
                <w:rFonts w:hint="eastAsia" w:ascii="宋体" w:hAnsi="宋体" w:cs="宋体"/>
                <w:color w:val="auto"/>
                <w:kern w:val="0"/>
                <w:szCs w:val="21"/>
                <w:lang w:val="en-US" w:eastAsia="zh-CN"/>
              </w:rPr>
            </w:pPr>
            <w:r>
              <w:rPr>
                <w:rFonts w:hint="eastAsia" w:ascii="宋体" w:hAnsi="宋体" w:cs="宋体"/>
                <w:kern w:val="0"/>
                <w:szCs w:val="21"/>
                <w:lang w:val="en-US" w:eastAsia="zh-CN"/>
              </w:rPr>
              <w:t>3.故障响应时间:接到故障报修电话后，中标人需在2小时内做出响应;收到通知后 48小时内到达设备使用现场进行维修，并</w:t>
            </w:r>
            <w:r>
              <w:rPr>
                <w:rFonts w:hint="eastAsia" w:ascii="宋体" w:hAnsi="宋体" w:cs="宋体"/>
                <w:kern w:val="0"/>
                <w:szCs w:val="21"/>
                <w:highlight w:val="none"/>
                <w:lang w:val="en-US" w:eastAsia="zh-CN"/>
              </w:rPr>
              <w:t>在72</w:t>
            </w:r>
            <w:r>
              <w:rPr>
                <w:rFonts w:hint="eastAsia" w:ascii="宋体" w:hAnsi="宋体" w:cs="宋体"/>
                <w:kern w:val="0"/>
                <w:szCs w:val="21"/>
                <w:lang w:val="en-US" w:eastAsia="zh-CN"/>
              </w:rPr>
              <w:t>小时内消除故障(不可抗力因素除外)。如需更换配件，</w:t>
            </w:r>
            <w:r>
              <w:rPr>
                <w:rFonts w:hint="eastAsia" w:ascii="宋体" w:hAnsi="宋体" w:cs="宋体"/>
                <w:color w:val="auto"/>
                <w:kern w:val="0"/>
                <w:szCs w:val="21"/>
                <w:lang w:val="en-US" w:eastAsia="zh-CN"/>
              </w:rPr>
              <w:t>中标人必须保证小配件（进样针、螺丝、泵管等）在 48小时内提供备品备件的能力，大配件（其他精密零件）在15个工作日内提供备品备件的能力，配件到达后，中标人需在</w:t>
            </w:r>
            <w:r>
              <w:rPr>
                <w:rFonts w:hint="eastAsia" w:ascii="宋体" w:hAnsi="宋体" w:cs="宋体"/>
                <w:color w:val="auto"/>
                <w:kern w:val="0"/>
                <w:szCs w:val="21"/>
                <w:highlight w:val="none"/>
                <w:lang w:val="en-US" w:eastAsia="zh-CN"/>
              </w:rPr>
              <w:t>24</w:t>
            </w:r>
            <w:r>
              <w:rPr>
                <w:rFonts w:hint="eastAsia" w:ascii="宋体" w:hAnsi="宋体" w:cs="宋体"/>
                <w:color w:val="auto"/>
                <w:kern w:val="0"/>
                <w:szCs w:val="21"/>
                <w:lang w:val="en-US" w:eastAsia="zh-CN"/>
              </w:rPr>
              <w:t>小时之内维修完毕，不可抗力因素影响除外。</w:t>
            </w:r>
          </w:p>
          <w:p w14:paraId="15EEB354">
            <w:pPr>
              <w:rPr>
                <w:rFonts w:hint="eastAsia"/>
              </w:rPr>
            </w:pPr>
            <w:r>
              <w:rPr>
                <w:rFonts w:hint="eastAsia"/>
                <w:lang w:val="en-US" w:eastAsia="zh-CN"/>
              </w:rPr>
              <w:t>3.</w:t>
            </w:r>
            <w:r>
              <w:rPr>
                <w:rFonts w:hint="eastAsia"/>
                <w:lang w:eastAsia="zh-CN"/>
              </w:rPr>
              <w:t>中标人</w:t>
            </w:r>
            <w:r>
              <w:rPr>
                <w:rFonts w:hint="eastAsia"/>
              </w:rPr>
              <w:t>按照设备产品说明书或者技术手册要求配置有相应的维修、维护专用工具;配置设备质量控制和性能检测的相应模体;检测计量的器具与设备，需要按照规定，定期校验合格后放能继续使用。</w:t>
            </w:r>
          </w:p>
          <w:p w14:paraId="7038F3E1">
            <w:pPr>
              <w:rPr>
                <w:rFonts w:hint="eastAsia"/>
              </w:rPr>
            </w:pPr>
            <w:r>
              <w:rPr>
                <w:rFonts w:hint="eastAsia"/>
                <w:lang w:val="en-US" w:eastAsia="zh-CN"/>
              </w:rPr>
              <w:t>4.</w:t>
            </w:r>
            <w:r>
              <w:rPr>
                <w:rFonts w:hint="eastAsia"/>
                <w:lang w:eastAsia="zh-CN"/>
              </w:rPr>
              <w:t>中标人</w:t>
            </w:r>
            <w:r>
              <w:rPr>
                <w:rFonts w:hint="eastAsia"/>
              </w:rPr>
              <w:t>维修时需按国家行业的安全标准进行维修。</w:t>
            </w:r>
          </w:p>
          <w:p w14:paraId="11802DEC">
            <w:pPr>
              <w:rPr>
                <w:rFonts w:hint="eastAsia"/>
              </w:rPr>
            </w:pPr>
            <w:r>
              <w:rPr>
                <w:rFonts w:hint="eastAsia"/>
                <w:lang w:val="en-US" w:eastAsia="zh-CN"/>
              </w:rPr>
              <w:t>5.</w:t>
            </w:r>
            <w:r>
              <w:rPr>
                <w:rFonts w:hint="eastAsia"/>
                <w:lang w:eastAsia="zh-CN"/>
              </w:rPr>
              <w:t>中标人</w:t>
            </w:r>
            <w:r>
              <w:rPr>
                <w:rFonts w:hint="eastAsia"/>
              </w:rPr>
              <w:t>需对涉及设备电气安全、设备防静电安全、接地线安全、设备机械安全射线防护以及维修维护作业过程中的其他安全制定维修方案。</w:t>
            </w:r>
          </w:p>
          <w:p w14:paraId="543BCFE6">
            <w:pPr>
              <w:rPr>
                <w:rFonts w:hint="eastAsia" w:ascii="宋体" w:hAnsi="宋体" w:cs="宋体"/>
                <w:kern w:val="0"/>
                <w:szCs w:val="21"/>
                <w:lang w:val="en-US" w:eastAsia="zh-CN"/>
              </w:rPr>
            </w:pPr>
            <w:r>
              <w:rPr>
                <w:rFonts w:hint="eastAsia"/>
                <w:lang w:val="en-US" w:eastAsia="zh-CN"/>
              </w:rPr>
              <w:t>6.</w:t>
            </w:r>
            <w:r>
              <w:rPr>
                <w:rFonts w:hint="eastAsia"/>
              </w:rPr>
              <w:t>在设备维修过程中，</w:t>
            </w:r>
            <w:r>
              <w:rPr>
                <w:rFonts w:hint="eastAsia"/>
                <w:lang w:eastAsia="zh-CN"/>
              </w:rPr>
              <w:t>中标人</w:t>
            </w:r>
            <w:r>
              <w:rPr>
                <w:rFonts w:hint="eastAsia"/>
              </w:rPr>
              <w:t>要</w:t>
            </w:r>
            <w:r>
              <w:rPr>
                <w:rFonts w:hint="eastAsia"/>
                <w:lang w:val="en-US" w:eastAsia="zh-CN"/>
              </w:rPr>
              <w:t>提供</w:t>
            </w:r>
            <w:r>
              <w:rPr>
                <w:rFonts w:hint="eastAsia"/>
              </w:rPr>
              <w:t>明显的类似“故障暂停使用</w:t>
            </w:r>
            <w:r>
              <w:rPr>
                <w:rFonts w:hint="eastAsia"/>
                <w:lang w:eastAsia="zh-CN"/>
              </w:rPr>
              <w:t>”</w:t>
            </w:r>
            <w:r>
              <w:rPr>
                <w:rFonts w:hint="eastAsia"/>
              </w:rPr>
              <w:t>的警示标识。</w:t>
            </w:r>
          </w:p>
          <w:p w14:paraId="538CC8C6">
            <w:pPr>
              <w:numPr>
                <w:ilvl w:val="0"/>
                <w:numId w:val="1"/>
              </w:numPr>
              <w:ind w:leftChars="0"/>
              <w:rPr>
                <w:rFonts w:hint="eastAsia" w:ascii="宋体" w:hAnsi="宋体" w:cs="宋体"/>
                <w:kern w:val="0"/>
                <w:szCs w:val="21"/>
                <w:lang w:val="en-US" w:eastAsia="zh-CN"/>
              </w:rPr>
            </w:pPr>
            <w:r>
              <w:rPr>
                <w:rFonts w:hint="eastAsia" w:ascii="宋体" w:hAnsi="宋体" w:cs="宋体"/>
                <w:kern w:val="0"/>
                <w:szCs w:val="21"/>
                <w:lang w:val="en-US" w:eastAsia="zh-CN"/>
              </w:rPr>
              <w:t>培训服务:保修期内，中标人对采购人的工程技术人员及使用人员进行培训，每台机器每年提供至少4次现场仪器的维护使用培训，直至培训对象对该设备能熟练进行日常维护和保养。</w:t>
            </w:r>
          </w:p>
          <w:p w14:paraId="123C144E">
            <w:pPr>
              <w:numPr>
                <w:ilvl w:val="0"/>
                <w:numId w:val="0"/>
              </w:numPr>
              <w:ind w:leftChars="0"/>
              <w:rPr>
                <w:rFonts w:hint="eastAsia" w:ascii="宋体" w:hAnsi="宋体" w:cs="宋体"/>
                <w:kern w:val="0"/>
                <w:szCs w:val="21"/>
                <w:lang w:val="en-US" w:eastAsia="zh-CN"/>
              </w:rPr>
            </w:pPr>
            <w:r>
              <w:rPr>
                <w:rFonts w:hint="eastAsia" w:ascii="宋体" w:hAnsi="宋体" w:cs="宋体"/>
                <w:kern w:val="0"/>
                <w:szCs w:val="21"/>
                <w:lang w:val="en-US" w:eastAsia="zh-CN"/>
              </w:rPr>
              <w:t>四、维修档案建立：中标人须对维保设备的维护保养做好记录并建立技术档案，并在维修过程中对采购人公开、透明的分析存在故障及提出合理化建议。</w:t>
            </w:r>
          </w:p>
          <w:p w14:paraId="7E9D1150">
            <w:pPr>
              <w:rPr>
                <w:rFonts w:hint="eastAsia"/>
              </w:rPr>
            </w:pPr>
            <w:r>
              <w:rPr>
                <w:rFonts w:hint="eastAsia"/>
                <w:lang w:val="en-US" w:eastAsia="zh-CN"/>
              </w:rPr>
              <w:t>五、</w:t>
            </w:r>
            <w:r>
              <w:rPr>
                <w:rFonts w:hint="eastAsia"/>
              </w:rPr>
              <w:t>服务地点</w:t>
            </w:r>
            <w:r>
              <w:rPr>
                <w:rFonts w:hint="eastAsia"/>
                <w:lang w:eastAsia="zh-CN"/>
              </w:rPr>
              <w:t>：</w:t>
            </w:r>
            <w:r>
              <w:rPr>
                <w:rFonts w:hint="eastAsia"/>
              </w:rPr>
              <w:t>服务地点为</w:t>
            </w:r>
            <w:r>
              <w:rPr>
                <w:rFonts w:hint="eastAsia"/>
                <w:lang w:eastAsia="zh-CN"/>
              </w:rPr>
              <w:t>采购人</w:t>
            </w:r>
            <w:r>
              <w:rPr>
                <w:rFonts w:hint="eastAsia"/>
              </w:rPr>
              <w:t>指定地点。</w:t>
            </w:r>
          </w:p>
          <w:p w14:paraId="13C98A6C">
            <w:pPr>
              <w:rPr>
                <w:rFonts w:hint="default" w:ascii="Times New Roman" w:hAnsi="Times New Roman" w:eastAsia="宋体" w:cs="Times New Roman"/>
                <w:lang w:val="en-US" w:eastAsia="zh-CN"/>
              </w:rPr>
            </w:pPr>
          </w:p>
        </w:tc>
      </w:tr>
    </w:tbl>
    <w:p w14:paraId="46E72B96">
      <w:pPr>
        <w:pStyle w:val="4"/>
        <w:jc w:val="both"/>
        <w:rPr>
          <w:rFonts w:hint="eastAsia" w:ascii="仿宋_GB2312" w:hAnsi="仿宋_GB2312" w:eastAsia="仿宋_GB2312"/>
          <w:sz w:val="28"/>
          <w:lang w:val="en-US" w:eastAsia="zh-CN"/>
        </w:rPr>
      </w:pPr>
      <w:r>
        <w:rPr>
          <w:rFonts w:hint="eastAsia" w:ascii="仿宋_GB2312" w:hAnsi="仿宋_GB2312" w:eastAsia="仿宋_GB2312"/>
          <w:sz w:val="28"/>
          <w:lang w:val="en-US" w:eastAsia="zh-CN"/>
        </w:rPr>
        <w:t>附件1</w:t>
      </w:r>
    </w:p>
    <w:p w14:paraId="660EA52B">
      <w:pPr>
        <w:jc w:val="center"/>
        <w:rPr>
          <w:sz w:val="22"/>
          <w:szCs w:val="28"/>
        </w:rPr>
      </w:pPr>
      <w:r>
        <w:rPr>
          <w:rFonts w:hint="eastAsia"/>
          <w:sz w:val="22"/>
          <w:szCs w:val="28"/>
        </w:rPr>
        <w:t>贝克曼</w:t>
      </w:r>
      <w:r>
        <w:rPr>
          <w:sz w:val="22"/>
          <w:szCs w:val="28"/>
        </w:rPr>
        <w:t>CytoFLEX</w:t>
      </w:r>
      <w:r>
        <w:rPr>
          <w:rFonts w:hint="eastAsia"/>
          <w:sz w:val="22"/>
          <w:szCs w:val="28"/>
        </w:rPr>
        <w:t>流式细胞仪保养主要内容</w:t>
      </w:r>
    </w:p>
    <w:p w14:paraId="15329F79">
      <w:pPr>
        <w:pStyle w:val="8"/>
        <w:ind w:left="1080" w:firstLine="440"/>
        <w:rPr>
          <w:sz w:val="22"/>
          <w:szCs w:val="28"/>
        </w:rPr>
      </w:pPr>
    </w:p>
    <w:p w14:paraId="306FD364">
      <w:pPr>
        <w:pStyle w:val="8"/>
        <w:widowControl/>
        <w:numPr>
          <w:ilvl w:val="0"/>
          <w:numId w:val="2"/>
        </w:numPr>
        <w:spacing w:after="200" w:line="276" w:lineRule="auto"/>
        <w:ind w:firstLineChars="0"/>
        <w:contextualSpacing/>
        <w:jc w:val="left"/>
      </w:pPr>
      <w:r>
        <w:rPr>
          <w:rFonts w:hint="eastAsia"/>
        </w:rPr>
        <w:t>除去仪器内外灰尘。</w:t>
      </w:r>
    </w:p>
    <w:p w14:paraId="1687897E">
      <w:pPr>
        <w:pStyle w:val="8"/>
        <w:widowControl/>
        <w:numPr>
          <w:ilvl w:val="0"/>
          <w:numId w:val="2"/>
        </w:numPr>
        <w:spacing w:after="200" w:line="276" w:lineRule="auto"/>
        <w:ind w:firstLineChars="0"/>
        <w:contextualSpacing/>
        <w:jc w:val="left"/>
      </w:pPr>
      <w:r>
        <w:rPr>
          <w:rFonts w:hint="eastAsia"/>
        </w:rPr>
        <w:t>更换下表中消耗品。</w:t>
      </w:r>
    </w:p>
    <w:p w14:paraId="6120140C">
      <w:pPr>
        <w:pStyle w:val="8"/>
        <w:widowControl/>
        <w:numPr>
          <w:ilvl w:val="0"/>
          <w:numId w:val="2"/>
        </w:numPr>
        <w:spacing w:after="200" w:line="276" w:lineRule="auto"/>
        <w:ind w:firstLineChars="0"/>
        <w:contextualSpacing/>
        <w:jc w:val="left"/>
      </w:pPr>
      <w:r>
        <w:rPr>
          <w:rFonts w:hint="eastAsia"/>
        </w:rPr>
        <w:t>清洗进样针及后部管道。</w:t>
      </w:r>
    </w:p>
    <w:p w14:paraId="62E9E298">
      <w:pPr>
        <w:pStyle w:val="8"/>
        <w:widowControl/>
        <w:numPr>
          <w:ilvl w:val="0"/>
          <w:numId w:val="2"/>
        </w:numPr>
        <w:spacing w:after="200" w:line="276" w:lineRule="auto"/>
        <w:ind w:firstLineChars="0"/>
        <w:contextualSpacing/>
        <w:jc w:val="left"/>
      </w:pPr>
      <w:r>
        <w:rPr>
          <w:rFonts w:hint="eastAsia"/>
        </w:rPr>
        <w:t>校准自动进样器位置。</w:t>
      </w:r>
    </w:p>
    <w:p w14:paraId="01A3333D">
      <w:pPr>
        <w:pStyle w:val="8"/>
        <w:widowControl/>
        <w:numPr>
          <w:ilvl w:val="0"/>
          <w:numId w:val="2"/>
        </w:numPr>
        <w:spacing w:after="200" w:line="276" w:lineRule="auto"/>
        <w:ind w:firstLineChars="0"/>
        <w:contextualSpacing/>
        <w:jc w:val="left"/>
      </w:pPr>
      <w:r>
        <w:rPr>
          <w:rFonts w:hint="eastAsia"/>
        </w:rPr>
        <w:t>检查仪器各部件功能和光路。</w:t>
      </w:r>
    </w:p>
    <w:p w14:paraId="45E7E83A">
      <w:pPr>
        <w:pStyle w:val="8"/>
        <w:widowControl/>
        <w:numPr>
          <w:ilvl w:val="0"/>
          <w:numId w:val="2"/>
        </w:numPr>
        <w:spacing w:after="200" w:line="276" w:lineRule="auto"/>
        <w:ind w:firstLineChars="0"/>
        <w:contextualSpacing/>
        <w:jc w:val="left"/>
      </w:pPr>
      <w:r>
        <w:rPr>
          <w:rFonts w:hint="eastAsia"/>
        </w:rPr>
        <w:t>检查激光强度。</w:t>
      </w:r>
    </w:p>
    <w:p w14:paraId="5D3E7C84">
      <w:pPr>
        <w:pStyle w:val="8"/>
        <w:widowControl/>
        <w:numPr>
          <w:ilvl w:val="0"/>
          <w:numId w:val="2"/>
        </w:numPr>
        <w:spacing w:after="200" w:line="276" w:lineRule="auto"/>
        <w:ind w:firstLineChars="0"/>
        <w:contextualSpacing/>
        <w:jc w:val="left"/>
      </w:pPr>
      <w:r>
        <w:rPr>
          <w:rFonts w:hint="eastAsia"/>
        </w:rPr>
        <w:t>分析质控确认仪器性能。</w:t>
      </w:r>
      <w:bookmarkStart w:id="1" w:name="OLE_LINK1"/>
      <w:bookmarkStart w:id="2" w:name="OLE_LINK2"/>
    </w:p>
    <w:p w14:paraId="0D5B481A">
      <w:r>
        <w:rPr>
          <w:rFonts w:hint="eastAsia"/>
        </w:rPr>
        <w:t>保养时提供保养包（货号：</w:t>
      </w:r>
      <w:r>
        <w:t>B75910</w:t>
      </w:r>
      <w:r>
        <w:rPr>
          <w:rFonts w:hint="eastAsia"/>
        </w:rPr>
        <w:t>），含以下耗材清单：</w:t>
      </w:r>
    </w:p>
    <w:bookmarkEnd w:id="1"/>
    <w:bookmarkEnd w:id="2"/>
    <w:tbl>
      <w:tblPr>
        <w:tblStyle w:val="5"/>
        <w:tblW w:w="0" w:type="auto"/>
        <w:tblInd w:w="93" w:type="dxa"/>
        <w:tblLayout w:type="fixed"/>
        <w:tblCellMar>
          <w:top w:w="0" w:type="dxa"/>
          <w:left w:w="108" w:type="dxa"/>
          <w:bottom w:w="0" w:type="dxa"/>
          <w:right w:w="108" w:type="dxa"/>
        </w:tblCellMar>
      </w:tblPr>
      <w:tblGrid>
        <w:gridCol w:w="1522"/>
        <w:gridCol w:w="2880"/>
        <w:gridCol w:w="1440"/>
      </w:tblGrid>
      <w:tr w14:paraId="05598D9F">
        <w:tblPrEx>
          <w:tblCellMar>
            <w:top w:w="0" w:type="dxa"/>
            <w:left w:w="108" w:type="dxa"/>
            <w:bottom w:w="0" w:type="dxa"/>
            <w:right w:w="108" w:type="dxa"/>
          </w:tblCellMar>
        </w:tblPrEx>
        <w:trPr>
          <w:trHeight w:val="566" w:hRule="atLeast"/>
        </w:trPr>
        <w:tc>
          <w:tcPr>
            <w:tcW w:w="1522" w:type="dxa"/>
            <w:tcBorders>
              <w:top w:val="single" w:color="auto" w:sz="4" w:space="0"/>
              <w:left w:val="single" w:color="auto" w:sz="4" w:space="0"/>
              <w:bottom w:val="single" w:color="auto" w:sz="4" w:space="0"/>
              <w:right w:val="single" w:color="auto" w:sz="4" w:space="0"/>
            </w:tcBorders>
            <w:noWrap/>
            <w:vAlign w:val="center"/>
          </w:tcPr>
          <w:p w14:paraId="79E7C760">
            <w:pPr>
              <w:jc w:val="center"/>
              <w:rPr>
                <w:rFonts w:ascii="华文细黑" w:hAnsi="华文细黑" w:eastAsia="华文细黑" w:cs="Times New Roman"/>
                <w:b/>
                <w:bCs/>
                <w:sz w:val="16"/>
                <w:szCs w:val="16"/>
              </w:rPr>
            </w:pPr>
            <w:r>
              <w:rPr>
                <w:rFonts w:hint="eastAsia" w:ascii="华文细黑" w:hAnsi="华文细黑" w:eastAsia="华文细黑" w:cs="Times New Roman"/>
                <w:b/>
                <w:bCs/>
                <w:sz w:val="16"/>
                <w:szCs w:val="16"/>
              </w:rPr>
              <w:t>序号</w:t>
            </w:r>
          </w:p>
        </w:tc>
        <w:tc>
          <w:tcPr>
            <w:tcW w:w="2880" w:type="dxa"/>
            <w:tcBorders>
              <w:top w:val="single" w:color="auto" w:sz="4" w:space="0"/>
              <w:left w:val="nil"/>
              <w:bottom w:val="single" w:color="auto" w:sz="4" w:space="0"/>
              <w:right w:val="single" w:color="auto" w:sz="4" w:space="0"/>
            </w:tcBorders>
            <w:noWrap/>
            <w:vAlign w:val="center"/>
          </w:tcPr>
          <w:p w14:paraId="49C274C3">
            <w:pPr>
              <w:jc w:val="center"/>
              <w:rPr>
                <w:rFonts w:hint="eastAsia" w:ascii="华文细黑" w:hAnsi="华文细黑" w:eastAsia="华文细黑" w:cs="Times New Roman"/>
                <w:b/>
                <w:bCs/>
                <w:sz w:val="16"/>
                <w:szCs w:val="16"/>
              </w:rPr>
            </w:pPr>
            <w:r>
              <w:rPr>
                <w:rFonts w:hint="eastAsia" w:ascii="华文细黑" w:hAnsi="华文细黑" w:eastAsia="华文细黑" w:cs="Times New Roman"/>
                <w:b/>
                <w:bCs/>
                <w:sz w:val="16"/>
                <w:szCs w:val="16"/>
              </w:rPr>
              <w:t>产品说明</w:t>
            </w:r>
          </w:p>
        </w:tc>
        <w:tc>
          <w:tcPr>
            <w:tcW w:w="1440" w:type="dxa"/>
            <w:tcBorders>
              <w:top w:val="single" w:color="auto" w:sz="4" w:space="0"/>
              <w:left w:val="nil"/>
              <w:bottom w:val="single" w:color="auto" w:sz="4" w:space="0"/>
              <w:right w:val="single" w:color="auto" w:sz="4" w:space="0"/>
            </w:tcBorders>
            <w:noWrap w:val="0"/>
            <w:vAlign w:val="center"/>
          </w:tcPr>
          <w:p w14:paraId="61A144B1">
            <w:pPr>
              <w:jc w:val="center"/>
              <w:rPr>
                <w:rFonts w:hint="eastAsia" w:ascii="华文细黑" w:hAnsi="华文细黑" w:eastAsia="华文细黑" w:cs="Times New Roman"/>
                <w:b/>
                <w:bCs/>
                <w:sz w:val="16"/>
                <w:szCs w:val="16"/>
              </w:rPr>
            </w:pPr>
            <w:r>
              <w:rPr>
                <w:rFonts w:hint="eastAsia" w:ascii="华文细黑" w:hAnsi="华文细黑" w:eastAsia="华文细黑" w:cs="Times New Roman"/>
                <w:b/>
                <w:bCs/>
                <w:sz w:val="16"/>
                <w:szCs w:val="16"/>
              </w:rPr>
              <w:t>(包装)   数量</w:t>
            </w:r>
          </w:p>
        </w:tc>
      </w:tr>
      <w:tr w14:paraId="6383839C">
        <w:tblPrEx>
          <w:tblCellMar>
            <w:top w:w="0" w:type="dxa"/>
            <w:left w:w="108" w:type="dxa"/>
            <w:bottom w:w="0" w:type="dxa"/>
            <w:right w:w="108" w:type="dxa"/>
          </w:tblCellMar>
        </w:tblPrEx>
        <w:trPr>
          <w:trHeight w:val="396" w:hRule="atLeast"/>
        </w:trPr>
        <w:tc>
          <w:tcPr>
            <w:tcW w:w="1522" w:type="dxa"/>
            <w:tcBorders>
              <w:top w:val="nil"/>
              <w:left w:val="single" w:color="auto" w:sz="4" w:space="0"/>
              <w:bottom w:val="single" w:color="auto" w:sz="4" w:space="0"/>
              <w:right w:val="single" w:color="auto" w:sz="4" w:space="0"/>
            </w:tcBorders>
            <w:noWrap/>
            <w:vAlign w:val="top"/>
          </w:tcPr>
          <w:p w14:paraId="7C25868D">
            <w:pPr>
              <w:rPr>
                <w:rFonts w:hint="eastAsia"/>
              </w:rPr>
            </w:pPr>
            <w:r>
              <w:t>01</w:t>
            </w:r>
          </w:p>
        </w:tc>
        <w:tc>
          <w:tcPr>
            <w:tcW w:w="2880" w:type="dxa"/>
            <w:tcBorders>
              <w:top w:val="nil"/>
              <w:left w:val="nil"/>
              <w:bottom w:val="single" w:color="auto" w:sz="4" w:space="0"/>
              <w:right w:val="single" w:color="auto" w:sz="4" w:space="0"/>
            </w:tcBorders>
            <w:noWrap w:val="0"/>
            <w:vAlign w:val="top"/>
          </w:tcPr>
          <w:p w14:paraId="18157314">
            <w:r>
              <w:rPr>
                <w:rFonts w:hint="eastAsia"/>
              </w:rPr>
              <w:t>细管道</w:t>
            </w:r>
          </w:p>
        </w:tc>
        <w:tc>
          <w:tcPr>
            <w:tcW w:w="1440" w:type="dxa"/>
            <w:tcBorders>
              <w:top w:val="nil"/>
              <w:left w:val="nil"/>
              <w:bottom w:val="single" w:color="auto" w:sz="4" w:space="0"/>
              <w:right w:val="single" w:color="auto" w:sz="4" w:space="0"/>
            </w:tcBorders>
            <w:noWrap/>
            <w:vAlign w:val="top"/>
          </w:tcPr>
          <w:p w14:paraId="0FCFB82A">
            <w:r>
              <w:t xml:space="preserve">1 </w:t>
            </w:r>
          </w:p>
        </w:tc>
      </w:tr>
      <w:tr w14:paraId="4E93B442">
        <w:tblPrEx>
          <w:tblCellMar>
            <w:top w:w="0" w:type="dxa"/>
            <w:left w:w="108" w:type="dxa"/>
            <w:bottom w:w="0" w:type="dxa"/>
            <w:right w:w="108" w:type="dxa"/>
          </w:tblCellMar>
        </w:tblPrEx>
        <w:trPr>
          <w:trHeight w:val="459" w:hRule="atLeast"/>
        </w:trPr>
        <w:tc>
          <w:tcPr>
            <w:tcW w:w="1522" w:type="dxa"/>
            <w:tcBorders>
              <w:top w:val="nil"/>
              <w:left w:val="single" w:color="auto" w:sz="4" w:space="0"/>
              <w:bottom w:val="single" w:color="auto" w:sz="4" w:space="0"/>
              <w:right w:val="single" w:color="auto" w:sz="4" w:space="0"/>
            </w:tcBorders>
            <w:noWrap/>
            <w:vAlign w:val="top"/>
          </w:tcPr>
          <w:p w14:paraId="501980F2">
            <w:r>
              <w:t>02</w:t>
            </w:r>
          </w:p>
        </w:tc>
        <w:tc>
          <w:tcPr>
            <w:tcW w:w="2880" w:type="dxa"/>
            <w:tcBorders>
              <w:top w:val="nil"/>
              <w:left w:val="nil"/>
              <w:bottom w:val="single" w:color="auto" w:sz="4" w:space="0"/>
              <w:right w:val="single" w:color="auto" w:sz="4" w:space="0"/>
            </w:tcBorders>
            <w:noWrap w:val="0"/>
            <w:vAlign w:val="top"/>
          </w:tcPr>
          <w:p w14:paraId="2FFB18C1">
            <w:r>
              <w:rPr>
                <w:rFonts w:hint="eastAsia"/>
              </w:rPr>
              <w:t>粗管道</w:t>
            </w:r>
          </w:p>
        </w:tc>
        <w:tc>
          <w:tcPr>
            <w:tcW w:w="1440" w:type="dxa"/>
            <w:tcBorders>
              <w:top w:val="nil"/>
              <w:left w:val="nil"/>
              <w:bottom w:val="single" w:color="auto" w:sz="4" w:space="0"/>
              <w:right w:val="single" w:color="auto" w:sz="4" w:space="0"/>
            </w:tcBorders>
            <w:noWrap/>
            <w:vAlign w:val="top"/>
          </w:tcPr>
          <w:p w14:paraId="2337951D">
            <w:r>
              <w:t xml:space="preserve">1 </w:t>
            </w:r>
          </w:p>
        </w:tc>
      </w:tr>
      <w:tr w14:paraId="2C8A4B41">
        <w:tblPrEx>
          <w:tblCellMar>
            <w:top w:w="0" w:type="dxa"/>
            <w:left w:w="108" w:type="dxa"/>
            <w:bottom w:w="0" w:type="dxa"/>
            <w:right w:w="108" w:type="dxa"/>
          </w:tblCellMar>
        </w:tblPrEx>
        <w:trPr>
          <w:trHeight w:val="475" w:hRule="atLeast"/>
        </w:trPr>
        <w:tc>
          <w:tcPr>
            <w:tcW w:w="1522" w:type="dxa"/>
            <w:tcBorders>
              <w:top w:val="nil"/>
              <w:left w:val="single" w:color="auto" w:sz="4" w:space="0"/>
              <w:bottom w:val="single" w:color="auto" w:sz="4" w:space="0"/>
              <w:right w:val="single" w:color="auto" w:sz="4" w:space="0"/>
            </w:tcBorders>
            <w:noWrap/>
            <w:vAlign w:val="top"/>
          </w:tcPr>
          <w:p w14:paraId="73D65247">
            <w:r>
              <w:t>03</w:t>
            </w:r>
          </w:p>
        </w:tc>
        <w:tc>
          <w:tcPr>
            <w:tcW w:w="2880" w:type="dxa"/>
            <w:tcBorders>
              <w:top w:val="nil"/>
              <w:left w:val="nil"/>
              <w:bottom w:val="single" w:color="auto" w:sz="4" w:space="0"/>
              <w:right w:val="single" w:color="auto" w:sz="4" w:space="0"/>
            </w:tcBorders>
            <w:noWrap w:val="0"/>
            <w:vAlign w:val="top"/>
          </w:tcPr>
          <w:p w14:paraId="672BED57">
            <w:r>
              <w:rPr>
                <w:rFonts w:hint="eastAsia"/>
              </w:rPr>
              <w:t>鞘液过滤器</w:t>
            </w:r>
          </w:p>
        </w:tc>
        <w:tc>
          <w:tcPr>
            <w:tcW w:w="1440" w:type="dxa"/>
            <w:tcBorders>
              <w:top w:val="nil"/>
              <w:left w:val="nil"/>
              <w:bottom w:val="single" w:color="auto" w:sz="4" w:space="0"/>
              <w:right w:val="single" w:color="auto" w:sz="4" w:space="0"/>
            </w:tcBorders>
            <w:noWrap/>
            <w:vAlign w:val="top"/>
          </w:tcPr>
          <w:p w14:paraId="6A1EB80F">
            <w:r>
              <w:t xml:space="preserve">1 </w:t>
            </w:r>
          </w:p>
        </w:tc>
      </w:tr>
      <w:tr w14:paraId="391BCA11">
        <w:tblPrEx>
          <w:tblCellMar>
            <w:top w:w="0" w:type="dxa"/>
            <w:left w:w="108" w:type="dxa"/>
            <w:bottom w:w="0" w:type="dxa"/>
            <w:right w:w="108" w:type="dxa"/>
          </w:tblCellMar>
        </w:tblPrEx>
        <w:trPr>
          <w:trHeight w:val="411" w:hRule="atLeast"/>
        </w:trPr>
        <w:tc>
          <w:tcPr>
            <w:tcW w:w="1522" w:type="dxa"/>
            <w:tcBorders>
              <w:top w:val="nil"/>
              <w:left w:val="single" w:color="auto" w:sz="4" w:space="0"/>
              <w:bottom w:val="single" w:color="auto" w:sz="4" w:space="0"/>
              <w:right w:val="single" w:color="auto" w:sz="4" w:space="0"/>
            </w:tcBorders>
            <w:noWrap/>
            <w:vAlign w:val="top"/>
          </w:tcPr>
          <w:p w14:paraId="7E8C4F03">
            <w:r>
              <w:t>04</w:t>
            </w:r>
          </w:p>
        </w:tc>
        <w:tc>
          <w:tcPr>
            <w:tcW w:w="2880" w:type="dxa"/>
            <w:tcBorders>
              <w:top w:val="nil"/>
              <w:left w:val="nil"/>
              <w:bottom w:val="single" w:color="auto" w:sz="4" w:space="0"/>
              <w:right w:val="single" w:color="auto" w:sz="4" w:space="0"/>
            </w:tcBorders>
            <w:noWrap w:val="0"/>
            <w:vAlign w:val="top"/>
          </w:tcPr>
          <w:p w14:paraId="15D6674D">
            <w:r>
              <w:rPr>
                <w:rFonts w:hint="eastAsia"/>
              </w:rPr>
              <w:t>蠕动泵管</w:t>
            </w:r>
          </w:p>
        </w:tc>
        <w:tc>
          <w:tcPr>
            <w:tcW w:w="1440" w:type="dxa"/>
            <w:tcBorders>
              <w:top w:val="nil"/>
              <w:left w:val="nil"/>
              <w:bottom w:val="single" w:color="auto" w:sz="4" w:space="0"/>
              <w:right w:val="single" w:color="auto" w:sz="4" w:space="0"/>
            </w:tcBorders>
            <w:noWrap/>
            <w:vAlign w:val="top"/>
          </w:tcPr>
          <w:p w14:paraId="74858D90">
            <w:r>
              <w:t xml:space="preserve">1 </w:t>
            </w:r>
          </w:p>
        </w:tc>
      </w:tr>
      <w:tr w14:paraId="7C93580C">
        <w:tblPrEx>
          <w:tblCellMar>
            <w:top w:w="0" w:type="dxa"/>
            <w:left w:w="108" w:type="dxa"/>
            <w:bottom w:w="0" w:type="dxa"/>
            <w:right w:w="108" w:type="dxa"/>
          </w:tblCellMar>
        </w:tblPrEx>
        <w:trPr>
          <w:trHeight w:val="408" w:hRule="atLeast"/>
        </w:trPr>
        <w:tc>
          <w:tcPr>
            <w:tcW w:w="1522" w:type="dxa"/>
            <w:tcBorders>
              <w:top w:val="nil"/>
              <w:left w:val="single" w:color="auto" w:sz="4" w:space="0"/>
              <w:bottom w:val="single" w:color="auto" w:sz="4" w:space="0"/>
              <w:right w:val="single" w:color="auto" w:sz="4" w:space="0"/>
            </w:tcBorders>
            <w:noWrap/>
            <w:vAlign w:val="top"/>
          </w:tcPr>
          <w:p w14:paraId="4E86E8B9">
            <w:r>
              <w:t>05</w:t>
            </w:r>
          </w:p>
        </w:tc>
        <w:tc>
          <w:tcPr>
            <w:tcW w:w="2880" w:type="dxa"/>
            <w:tcBorders>
              <w:top w:val="nil"/>
              <w:left w:val="nil"/>
              <w:bottom w:val="single" w:color="auto" w:sz="4" w:space="0"/>
              <w:right w:val="single" w:color="auto" w:sz="4" w:space="0"/>
            </w:tcBorders>
            <w:noWrap w:val="0"/>
            <w:vAlign w:val="top"/>
          </w:tcPr>
          <w:p w14:paraId="5872A64B">
            <w:r>
              <w:rPr>
                <w:rFonts w:hint="eastAsia"/>
              </w:rPr>
              <w:t>废液单向阀</w:t>
            </w:r>
          </w:p>
        </w:tc>
        <w:tc>
          <w:tcPr>
            <w:tcW w:w="1440" w:type="dxa"/>
            <w:tcBorders>
              <w:top w:val="nil"/>
              <w:left w:val="nil"/>
              <w:bottom w:val="single" w:color="auto" w:sz="4" w:space="0"/>
              <w:right w:val="single" w:color="auto" w:sz="4" w:space="0"/>
            </w:tcBorders>
            <w:noWrap/>
            <w:vAlign w:val="top"/>
          </w:tcPr>
          <w:p w14:paraId="0C181325">
            <w:r>
              <w:t xml:space="preserve">1 </w:t>
            </w:r>
          </w:p>
        </w:tc>
      </w:tr>
      <w:tr w14:paraId="46CB2E1B">
        <w:tblPrEx>
          <w:tblCellMar>
            <w:top w:w="0" w:type="dxa"/>
            <w:left w:w="108" w:type="dxa"/>
            <w:bottom w:w="0" w:type="dxa"/>
            <w:right w:w="108" w:type="dxa"/>
          </w:tblCellMar>
        </w:tblPrEx>
        <w:trPr>
          <w:trHeight w:val="287" w:hRule="atLeast"/>
        </w:trPr>
        <w:tc>
          <w:tcPr>
            <w:tcW w:w="1522" w:type="dxa"/>
            <w:tcBorders>
              <w:top w:val="nil"/>
              <w:left w:val="single" w:color="auto" w:sz="4" w:space="0"/>
              <w:bottom w:val="single" w:color="auto" w:sz="4" w:space="0"/>
              <w:right w:val="single" w:color="auto" w:sz="4" w:space="0"/>
            </w:tcBorders>
            <w:noWrap/>
            <w:vAlign w:val="top"/>
          </w:tcPr>
          <w:p w14:paraId="1CD6C1BA">
            <w:r>
              <w:t>06</w:t>
            </w:r>
          </w:p>
        </w:tc>
        <w:tc>
          <w:tcPr>
            <w:tcW w:w="2880" w:type="dxa"/>
            <w:tcBorders>
              <w:top w:val="nil"/>
              <w:left w:val="nil"/>
              <w:bottom w:val="single" w:color="auto" w:sz="4" w:space="0"/>
              <w:right w:val="single" w:color="auto" w:sz="4" w:space="0"/>
            </w:tcBorders>
            <w:noWrap w:val="0"/>
            <w:vAlign w:val="top"/>
          </w:tcPr>
          <w:p w14:paraId="49782565">
            <w:r>
              <w:rPr>
                <w:rFonts w:hint="eastAsia"/>
              </w:rPr>
              <w:t>鞘液压力点滴瓶</w:t>
            </w:r>
          </w:p>
        </w:tc>
        <w:tc>
          <w:tcPr>
            <w:tcW w:w="1440" w:type="dxa"/>
            <w:tcBorders>
              <w:top w:val="nil"/>
              <w:left w:val="nil"/>
              <w:bottom w:val="single" w:color="auto" w:sz="4" w:space="0"/>
              <w:right w:val="single" w:color="auto" w:sz="4" w:space="0"/>
            </w:tcBorders>
            <w:noWrap/>
            <w:vAlign w:val="top"/>
          </w:tcPr>
          <w:p w14:paraId="6025569E">
            <w:r>
              <w:t xml:space="preserve">1 </w:t>
            </w:r>
          </w:p>
        </w:tc>
      </w:tr>
      <w:tr w14:paraId="05056A63">
        <w:tblPrEx>
          <w:tblCellMar>
            <w:top w:w="0" w:type="dxa"/>
            <w:left w:w="108" w:type="dxa"/>
            <w:bottom w:w="0" w:type="dxa"/>
            <w:right w:w="108" w:type="dxa"/>
          </w:tblCellMar>
        </w:tblPrEx>
        <w:trPr>
          <w:trHeight w:val="393" w:hRule="atLeast"/>
        </w:trPr>
        <w:tc>
          <w:tcPr>
            <w:tcW w:w="1522" w:type="dxa"/>
            <w:tcBorders>
              <w:top w:val="nil"/>
              <w:left w:val="single" w:color="auto" w:sz="4" w:space="0"/>
              <w:bottom w:val="single" w:color="auto" w:sz="4" w:space="0"/>
              <w:right w:val="single" w:color="auto" w:sz="4" w:space="0"/>
            </w:tcBorders>
            <w:noWrap/>
            <w:vAlign w:val="top"/>
          </w:tcPr>
          <w:p w14:paraId="54DBE639">
            <w:r>
              <w:t>07</w:t>
            </w:r>
          </w:p>
        </w:tc>
        <w:tc>
          <w:tcPr>
            <w:tcW w:w="2880" w:type="dxa"/>
            <w:tcBorders>
              <w:top w:val="nil"/>
              <w:left w:val="nil"/>
              <w:bottom w:val="single" w:color="auto" w:sz="4" w:space="0"/>
              <w:right w:val="single" w:color="auto" w:sz="4" w:space="0"/>
            </w:tcBorders>
            <w:noWrap w:val="0"/>
            <w:vAlign w:val="top"/>
          </w:tcPr>
          <w:p w14:paraId="5238BCDF">
            <w:r>
              <w:rPr>
                <w:rFonts w:hint="eastAsia"/>
              </w:rPr>
              <w:t>深度清洗液泵头</w:t>
            </w:r>
          </w:p>
        </w:tc>
        <w:tc>
          <w:tcPr>
            <w:tcW w:w="1440" w:type="dxa"/>
            <w:tcBorders>
              <w:top w:val="nil"/>
              <w:left w:val="nil"/>
              <w:bottom w:val="single" w:color="auto" w:sz="4" w:space="0"/>
              <w:right w:val="single" w:color="auto" w:sz="4" w:space="0"/>
            </w:tcBorders>
            <w:noWrap/>
            <w:vAlign w:val="top"/>
          </w:tcPr>
          <w:p w14:paraId="33FC9D02">
            <w:r>
              <w:t xml:space="preserve">1 </w:t>
            </w:r>
          </w:p>
        </w:tc>
      </w:tr>
      <w:tr w14:paraId="595673B1">
        <w:tblPrEx>
          <w:tblCellMar>
            <w:top w:w="0" w:type="dxa"/>
            <w:left w:w="108" w:type="dxa"/>
            <w:bottom w:w="0" w:type="dxa"/>
            <w:right w:w="108" w:type="dxa"/>
          </w:tblCellMar>
        </w:tblPrEx>
        <w:trPr>
          <w:trHeight w:val="393" w:hRule="atLeast"/>
        </w:trPr>
        <w:tc>
          <w:tcPr>
            <w:tcW w:w="1522" w:type="dxa"/>
            <w:tcBorders>
              <w:top w:val="nil"/>
              <w:left w:val="single" w:color="auto" w:sz="4" w:space="0"/>
              <w:bottom w:val="single" w:color="auto" w:sz="4" w:space="0"/>
              <w:right w:val="single" w:color="auto" w:sz="4" w:space="0"/>
            </w:tcBorders>
            <w:noWrap/>
            <w:vAlign w:val="top"/>
          </w:tcPr>
          <w:p w14:paraId="7DAE4FF0">
            <w:r>
              <w:t>08</w:t>
            </w:r>
          </w:p>
        </w:tc>
        <w:tc>
          <w:tcPr>
            <w:tcW w:w="2880" w:type="dxa"/>
            <w:tcBorders>
              <w:top w:val="nil"/>
              <w:left w:val="nil"/>
              <w:bottom w:val="single" w:color="auto" w:sz="4" w:space="0"/>
              <w:right w:val="single" w:color="auto" w:sz="4" w:space="0"/>
            </w:tcBorders>
            <w:noWrap w:val="0"/>
            <w:vAlign w:val="top"/>
          </w:tcPr>
          <w:p w14:paraId="160777AF">
            <w:r>
              <w:rPr>
                <w:rFonts w:hint="eastAsia"/>
              </w:rPr>
              <w:t>快速接头套件</w:t>
            </w:r>
          </w:p>
        </w:tc>
        <w:tc>
          <w:tcPr>
            <w:tcW w:w="1440" w:type="dxa"/>
            <w:tcBorders>
              <w:top w:val="nil"/>
              <w:left w:val="nil"/>
              <w:bottom w:val="single" w:color="auto" w:sz="4" w:space="0"/>
              <w:right w:val="single" w:color="auto" w:sz="4" w:space="0"/>
            </w:tcBorders>
            <w:noWrap/>
            <w:vAlign w:val="top"/>
          </w:tcPr>
          <w:p w14:paraId="29AF4A9D">
            <w:r>
              <w:t xml:space="preserve">1 </w:t>
            </w:r>
          </w:p>
        </w:tc>
      </w:tr>
      <w:tr w14:paraId="3F458C3B">
        <w:tblPrEx>
          <w:tblCellMar>
            <w:top w:w="0" w:type="dxa"/>
            <w:left w:w="108" w:type="dxa"/>
            <w:bottom w:w="0" w:type="dxa"/>
            <w:right w:w="108" w:type="dxa"/>
          </w:tblCellMar>
        </w:tblPrEx>
        <w:trPr>
          <w:trHeight w:val="393" w:hRule="atLeast"/>
        </w:trPr>
        <w:tc>
          <w:tcPr>
            <w:tcW w:w="1522" w:type="dxa"/>
            <w:tcBorders>
              <w:top w:val="nil"/>
              <w:left w:val="single" w:color="auto" w:sz="4" w:space="0"/>
              <w:bottom w:val="single" w:color="auto" w:sz="4" w:space="0"/>
              <w:right w:val="single" w:color="auto" w:sz="4" w:space="0"/>
            </w:tcBorders>
            <w:noWrap/>
            <w:vAlign w:val="top"/>
          </w:tcPr>
          <w:p w14:paraId="3B51FABF">
            <w:r>
              <w:t>09</w:t>
            </w:r>
          </w:p>
        </w:tc>
        <w:tc>
          <w:tcPr>
            <w:tcW w:w="2880" w:type="dxa"/>
            <w:tcBorders>
              <w:top w:val="nil"/>
              <w:left w:val="nil"/>
              <w:bottom w:val="single" w:color="auto" w:sz="4" w:space="0"/>
              <w:right w:val="single" w:color="auto" w:sz="4" w:space="0"/>
            </w:tcBorders>
            <w:noWrap w:val="0"/>
            <w:vAlign w:val="top"/>
          </w:tcPr>
          <w:p w14:paraId="654185FC">
            <w:r>
              <w:rPr>
                <w:rFonts w:hint="eastAsia"/>
              </w:rPr>
              <w:t>管道接头套件</w:t>
            </w:r>
          </w:p>
        </w:tc>
        <w:tc>
          <w:tcPr>
            <w:tcW w:w="1440" w:type="dxa"/>
            <w:tcBorders>
              <w:top w:val="nil"/>
              <w:left w:val="nil"/>
              <w:bottom w:val="single" w:color="auto" w:sz="4" w:space="0"/>
              <w:right w:val="single" w:color="auto" w:sz="4" w:space="0"/>
            </w:tcBorders>
            <w:noWrap/>
            <w:vAlign w:val="top"/>
          </w:tcPr>
          <w:p w14:paraId="35A5B7FF">
            <w:r>
              <w:t xml:space="preserve">1 </w:t>
            </w:r>
          </w:p>
        </w:tc>
      </w:tr>
      <w:tr w14:paraId="2950B5F4">
        <w:tblPrEx>
          <w:tblCellMar>
            <w:top w:w="0" w:type="dxa"/>
            <w:left w:w="108" w:type="dxa"/>
            <w:bottom w:w="0" w:type="dxa"/>
            <w:right w:w="108" w:type="dxa"/>
          </w:tblCellMar>
        </w:tblPrEx>
        <w:trPr>
          <w:trHeight w:val="393" w:hRule="atLeast"/>
        </w:trPr>
        <w:tc>
          <w:tcPr>
            <w:tcW w:w="1522" w:type="dxa"/>
            <w:tcBorders>
              <w:top w:val="nil"/>
              <w:left w:val="single" w:color="auto" w:sz="4" w:space="0"/>
              <w:bottom w:val="single" w:color="auto" w:sz="4" w:space="0"/>
              <w:right w:val="single" w:color="auto" w:sz="4" w:space="0"/>
            </w:tcBorders>
            <w:noWrap/>
            <w:vAlign w:val="top"/>
          </w:tcPr>
          <w:p w14:paraId="7109075A">
            <w:r>
              <w:t>10</w:t>
            </w:r>
          </w:p>
        </w:tc>
        <w:tc>
          <w:tcPr>
            <w:tcW w:w="2880" w:type="dxa"/>
            <w:tcBorders>
              <w:top w:val="nil"/>
              <w:left w:val="nil"/>
              <w:bottom w:val="single" w:color="auto" w:sz="4" w:space="0"/>
              <w:right w:val="single" w:color="auto" w:sz="4" w:space="0"/>
            </w:tcBorders>
            <w:noWrap w:val="0"/>
            <w:vAlign w:val="top"/>
          </w:tcPr>
          <w:p w14:paraId="65DBDEAC">
            <w:r>
              <w:rPr>
                <w:rFonts w:hint="eastAsia"/>
              </w:rPr>
              <w:t>深度清洗液过滤器</w:t>
            </w:r>
          </w:p>
        </w:tc>
        <w:tc>
          <w:tcPr>
            <w:tcW w:w="1440" w:type="dxa"/>
            <w:tcBorders>
              <w:top w:val="nil"/>
              <w:left w:val="nil"/>
              <w:bottom w:val="single" w:color="auto" w:sz="4" w:space="0"/>
              <w:right w:val="single" w:color="auto" w:sz="4" w:space="0"/>
            </w:tcBorders>
            <w:noWrap/>
            <w:vAlign w:val="top"/>
          </w:tcPr>
          <w:p w14:paraId="1C348CE4">
            <w:r>
              <w:t>1</w:t>
            </w:r>
          </w:p>
        </w:tc>
      </w:tr>
      <w:tr w14:paraId="4CF79845">
        <w:tblPrEx>
          <w:tblCellMar>
            <w:top w:w="0" w:type="dxa"/>
            <w:left w:w="108" w:type="dxa"/>
            <w:bottom w:w="0" w:type="dxa"/>
            <w:right w:w="108" w:type="dxa"/>
          </w:tblCellMar>
        </w:tblPrEx>
        <w:trPr>
          <w:trHeight w:val="393" w:hRule="atLeast"/>
        </w:trPr>
        <w:tc>
          <w:tcPr>
            <w:tcW w:w="1522" w:type="dxa"/>
            <w:tcBorders>
              <w:top w:val="nil"/>
              <w:left w:val="single" w:color="auto" w:sz="4" w:space="0"/>
              <w:bottom w:val="single" w:color="auto" w:sz="4" w:space="0"/>
              <w:right w:val="single" w:color="auto" w:sz="4" w:space="0"/>
            </w:tcBorders>
            <w:noWrap/>
            <w:vAlign w:val="top"/>
          </w:tcPr>
          <w:p w14:paraId="510B9A4B">
            <w:r>
              <w:t>11</w:t>
            </w:r>
          </w:p>
        </w:tc>
        <w:tc>
          <w:tcPr>
            <w:tcW w:w="2880" w:type="dxa"/>
            <w:tcBorders>
              <w:top w:val="nil"/>
              <w:left w:val="nil"/>
              <w:bottom w:val="single" w:color="auto" w:sz="4" w:space="0"/>
              <w:right w:val="single" w:color="auto" w:sz="4" w:space="0"/>
            </w:tcBorders>
            <w:noWrap w:val="0"/>
            <w:vAlign w:val="top"/>
          </w:tcPr>
          <w:p w14:paraId="6D30BBCA">
            <w:r>
              <w:rPr>
                <w:rFonts w:hint="eastAsia"/>
              </w:rPr>
              <w:t>样本针</w:t>
            </w:r>
          </w:p>
        </w:tc>
        <w:tc>
          <w:tcPr>
            <w:tcW w:w="1440" w:type="dxa"/>
            <w:tcBorders>
              <w:top w:val="nil"/>
              <w:left w:val="nil"/>
              <w:bottom w:val="single" w:color="auto" w:sz="4" w:space="0"/>
              <w:right w:val="single" w:color="auto" w:sz="4" w:space="0"/>
            </w:tcBorders>
            <w:noWrap/>
            <w:vAlign w:val="top"/>
          </w:tcPr>
          <w:p w14:paraId="1FA11A58">
            <w:r>
              <w:t>2</w:t>
            </w:r>
          </w:p>
        </w:tc>
      </w:tr>
    </w:tbl>
    <w:p w14:paraId="653E87E4">
      <w:r>
        <w:t xml:space="preserve">         </w:t>
      </w:r>
    </w:p>
    <w:p w14:paraId="232FFA5B">
      <w:pPr>
        <w:rPr>
          <w:rFonts w:hint="default" w:eastAsia="宋体"/>
          <w:sz w:val="20"/>
          <w:lang w:val="en-US" w:eastAsia="zh-CN"/>
        </w:rPr>
      </w:pPr>
      <w:r>
        <w:t xml:space="preserve"> </w:t>
      </w:r>
      <w:r>
        <w:rPr>
          <w:rFonts w:hint="eastAsia"/>
          <w:sz w:val="20"/>
        </w:rPr>
        <w:t>以上耗材提供三个月保质期，三个月内出现任何质量问题提供免费上门更换服务。保养后需通过仪器质控测试，并生成质控通过报告。</w:t>
      </w:r>
      <w:r>
        <w:rPr>
          <w:rFonts w:hint="eastAsia"/>
          <w:sz w:val="20"/>
          <w:lang w:val="en-US" w:eastAsia="zh-CN"/>
        </w:rPr>
        <w:t>以上保养包每年每台设备保养均需更换。</w:t>
      </w:r>
    </w:p>
    <w:p w14:paraId="7EE96C59">
      <w:pPr>
        <w:rPr>
          <w:rFonts w:hint="eastAsia"/>
          <w:sz w:val="20"/>
        </w:rPr>
      </w:pPr>
    </w:p>
    <w:p w14:paraId="2F8D32E4">
      <w:pPr>
        <w:rPr>
          <w:rFonts w:hint="eastAsia"/>
          <w:sz w:val="20"/>
        </w:rPr>
      </w:pPr>
    </w:p>
    <w:p w14:paraId="3280513C">
      <w:pPr>
        <w:rPr>
          <w:rFonts w:hint="eastAsia"/>
          <w:sz w:val="20"/>
        </w:rPr>
      </w:pPr>
    </w:p>
    <w:p w14:paraId="4A8E5703">
      <w:pPr>
        <w:rPr>
          <w:rFonts w:hint="default"/>
          <w:b/>
          <w:bCs/>
          <w:lang w:val="en-US" w:eastAsia="zh-CN"/>
        </w:rPr>
      </w:pPr>
    </w:p>
    <w:p w14:paraId="79588CC0">
      <w:pPr>
        <w:jc w:val="center"/>
        <w:rPr>
          <w:sz w:val="22"/>
          <w:szCs w:val="28"/>
        </w:rPr>
      </w:pPr>
      <w:r>
        <w:rPr>
          <w:rFonts w:hint="eastAsia"/>
          <w:sz w:val="22"/>
          <w:szCs w:val="28"/>
        </w:rPr>
        <w:t>贝克曼Optima XPN-100离心机保养主要内容</w:t>
      </w:r>
    </w:p>
    <w:p w14:paraId="5510FD26">
      <w:pPr>
        <w:pStyle w:val="8"/>
        <w:ind w:left="1080" w:firstLine="440"/>
        <w:rPr>
          <w:sz w:val="22"/>
          <w:szCs w:val="28"/>
        </w:rPr>
      </w:pPr>
    </w:p>
    <w:p w14:paraId="456416A5">
      <w:pPr>
        <w:pStyle w:val="8"/>
        <w:widowControl/>
        <w:numPr>
          <w:ilvl w:val="0"/>
          <w:numId w:val="3"/>
        </w:numPr>
        <w:spacing w:after="200" w:line="276" w:lineRule="auto"/>
        <w:ind w:firstLineChars="0"/>
        <w:contextualSpacing/>
        <w:jc w:val="left"/>
      </w:pPr>
      <w:r>
        <w:rPr>
          <w:rFonts w:hint="eastAsia"/>
        </w:rPr>
        <w:t>除去仪器内外灰尘。</w:t>
      </w:r>
    </w:p>
    <w:p w14:paraId="5B140DB2">
      <w:pPr>
        <w:pStyle w:val="8"/>
        <w:widowControl/>
        <w:numPr>
          <w:ilvl w:val="0"/>
          <w:numId w:val="3"/>
        </w:numPr>
        <w:spacing w:after="200" w:line="276" w:lineRule="auto"/>
        <w:ind w:firstLineChars="0"/>
        <w:contextualSpacing/>
        <w:jc w:val="left"/>
      </w:pPr>
      <w:r>
        <w:rPr>
          <w:rFonts w:hint="eastAsia"/>
        </w:rPr>
        <w:t>更换下表中消耗品。</w:t>
      </w:r>
    </w:p>
    <w:p w14:paraId="2BA690BC">
      <w:pPr>
        <w:pStyle w:val="8"/>
        <w:widowControl/>
        <w:numPr>
          <w:ilvl w:val="0"/>
          <w:numId w:val="3"/>
        </w:numPr>
        <w:spacing w:after="200" w:line="276" w:lineRule="auto"/>
        <w:ind w:firstLineChars="0"/>
        <w:contextualSpacing/>
        <w:jc w:val="left"/>
      </w:pPr>
      <w:r>
        <w:rPr>
          <w:rFonts w:hint="eastAsia"/>
        </w:rPr>
        <w:t>转头外面损伤检查。</w:t>
      </w:r>
    </w:p>
    <w:p w14:paraId="419A8384">
      <w:pPr>
        <w:pStyle w:val="8"/>
        <w:widowControl/>
        <w:numPr>
          <w:ilvl w:val="0"/>
          <w:numId w:val="3"/>
        </w:numPr>
        <w:spacing w:after="200" w:line="276" w:lineRule="auto"/>
        <w:ind w:firstLineChars="0"/>
        <w:contextualSpacing/>
        <w:jc w:val="left"/>
      </w:pPr>
      <w:r>
        <w:rPr>
          <w:rFonts w:hint="eastAsia"/>
        </w:rPr>
        <w:t>测试各主要功能是否正常运行。</w:t>
      </w:r>
    </w:p>
    <w:p w14:paraId="2DB907FD">
      <w:pPr>
        <w:widowControl/>
        <w:spacing w:after="200" w:line="276" w:lineRule="auto"/>
        <w:ind w:left="284"/>
        <w:contextualSpacing/>
        <w:jc w:val="left"/>
      </w:pPr>
      <w:r>
        <w:rPr>
          <w:rFonts w:hint="eastAsia"/>
        </w:rPr>
        <w:t>保养时提供保养品，含以下耗材清单：</w:t>
      </w:r>
    </w:p>
    <w:tbl>
      <w:tblPr>
        <w:tblStyle w:val="5"/>
        <w:tblW w:w="0" w:type="auto"/>
        <w:tblInd w:w="93" w:type="dxa"/>
        <w:tblLayout w:type="fixed"/>
        <w:tblCellMar>
          <w:top w:w="0" w:type="dxa"/>
          <w:left w:w="108" w:type="dxa"/>
          <w:bottom w:w="0" w:type="dxa"/>
          <w:right w:w="108" w:type="dxa"/>
        </w:tblCellMar>
      </w:tblPr>
      <w:tblGrid>
        <w:gridCol w:w="1522"/>
        <w:gridCol w:w="2880"/>
        <w:gridCol w:w="1440"/>
      </w:tblGrid>
      <w:tr w14:paraId="19404E8D">
        <w:tblPrEx>
          <w:tblCellMar>
            <w:top w:w="0" w:type="dxa"/>
            <w:left w:w="108" w:type="dxa"/>
            <w:bottom w:w="0" w:type="dxa"/>
            <w:right w:w="108" w:type="dxa"/>
          </w:tblCellMar>
        </w:tblPrEx>
        <w:trPr>
          <w:trHeight w:val="566" w:hRule="atLeast"/>
        </w:trPr>
        <w:tc>
          <w:tcPr>
            <w:tcW w:w="1522" w:type="dxa"/>
            <w:tcBorders>
              <w:top w:val="single" w:color="auto" w:sz="4" w:space="0"/>
              <w:left w:val="single" w:color="auto" w:sz="4" w:space="0"/>
              <w:bottom w:val="single" w:color="auto" w:sz="4" w:space="0"/>
              <w:right w:val="single" w:color="auto" w:sz="4" w:space="0"/>
            </w:tcBorders>
            <w:noWrap/>
            <w:vAlign w:val="center"/>
          </w:tcPr>
          <w:p w14:paraId="6F9A97DD">
            <w:pPr>
              <w:jc w:val="center"/>
              <w:rPr>
                <w:rFonts w:ascii="华文细黑" w:hAnsi="华文细黑" w:eastAsia="华文细黑" w:cs="Times New Roman"/>
                <w:b/>
                <w:bCs/>
                <w:sz w:val="16"/>
                <w:szCs w:val="16"/>
              </w:rPr>
            </w:pPr>
            <w:r>
              <w:rPr>
                <w:rFonts w:hint="eastAsia" w:ascii="华文细黑" w:hAnsi="华文细黑" w:eastAsia="华文细黑" w:cs="Times New Roman"/>
                <w:b/>
                <w:bCs/>
                <w:sz w:val="16"/>
                <w:szCs w:val="16"/>
              </w:rPr>
              <w:t>序号</w:t>
            </w:r>
          </w:p>
        </w:tc>
        <w:tc>
          <w:tcPr>
            <w:tcW w:w="2880" w:type="dxa"/>
            <w:tcBorders>
              <w:top w:val="single" w:color="auto" w:sz="4" w:space="0"/>
              <w:left w:val="nil"/>
              <w:bottom w:val="single" w:color="auto" w:sz="4" w:space="0"/>
              <w:right w:val="single" w:color="auto" w:sz="4" w:space="0"/>
            </w:tcBorders>
            <w:noWrap/>
            <w:vAlign w:val="center"/>
          </w:tcPr>
          <w:p w14:paraId="6F1D599C">
            <w:pPr>
              <w:jc w:val="center"/>
              <w:rPr>
                <w:rFonts w:hint="eastAsia" w:ascii="华文细黑" w:hAnsi="华文细黑" w:eastAsia="华文细黑" w:cs="Times New Roman"/>
                <w:b/>
                <w:bCs/>
                <w:sz w:val="16"/>
                <w:szCs w:val="16"/>
              </w:rPr>
            </w:pPr>
            <w:r>
              <w:rPr>
                <w:rFonts w:hint="eastAsia" w:ascii="华文细黑" w:hAnsi="华文细黑" w:eastAsia="华文细黑" w:cs="Times New Roman"/>
                <w:b/>
                <w:bCs/>
                <w:sz w:val="16"/>
                <w:szCs w:val="16"/>
              </w:rPr>
              <w:t>产品说明</w:t>
            </w:r>
          </w:p>
        </w:tc>
        <w:tc>
          <w:tcPr>
            <w:tcW w:w="1440" w:type="dxa"/>
            <w:tcBorders>
              <w:top w:val="single" w:color="auto" w:sz="4" w:space="0"/>
              <w:left w:val="nil"/>
              <w:bottom w:val="single" w:color="auto" w:sz="4" w:space="0"/>
              <w:right w:val="single" w:color="auto" w:sz="4" w:space="0"/>
            </w:tcBorders>
            <w:noWrap w:val="0"/>
            <w:vAlign w:val="center"/>
          </w:tcPr>
          <w:p w14:paraId="54C5C681">
            <w:pPr>
              <w:jc w:val="center"/>
              <w:rPr>
                <w:rFonts w:hint="eastAsia" w:ascii="华文细黑" w:hAnsi="华文细黑" w:eastAsia="华文细黑" w:cs="Times New Roman"/>
                <w:b/>
                <w:bCs/>
                <w:sz w:val="16"/>
                <w:szCs w:val="16"/>
              </w:rPr>
            </w:pPr>
            <w:r>
              <w:rPr>
                <w:rFonts w:hint="eastAsia" w:ascii="华文细黑" w:hAnsi="华文细黑" w:eastAsia="华文细黑" w:cs="Times New Roman"/>
                <w:b/>
                <w:bCs/>
                <w:sz w:val="16"/>
                <w:szCs w:val="16"/>
              </w:rPr>
              <w:t>(包装)   数量</w:t>
            </w:r>
          </w:p>
        </w:tc>
      </w:tr>
      <w:tr w14:paraId="7E8766AF">
        <w:tblPrEx>
          <w:tblCellMar>
            <w:top w:w="0" w:type="dxa"/>
            <w:left w:w="108" w:type="dxa"/>
            <w:bottom w:w="0" w:type="dxa"/>
            <w:right w:w="108" w:type="dxa"/>
          </w:tblCellMar>
        </w:tblPrEx>
        <w:trPr>
          <w:trHeight w:val="396" w:hRule="atLeast"/>
        </w:trPr>
        <w:tc>
          <w:tcPr>
            <w:tcW w:w="1522" w:type="dxa"/>
            <w:tcBorders>
              <w:top w:val="nil"/>
              <w:left w:val="single" w:color="auto" w:sz="4" w:space="0"/>
              <w:bottom w:val="single" w:color="auto" w:sz="4" w:space="0"/>
              <w:right w:val="single" w:color="auto" w:sz="4" w:space="0"/>
            </w:tcBorders>
            <w:noWrap/>
            <w:vAlign w:val="top"/>
          </w:tcPr>
          <w:p w14:paraId="44963636">
            <w:pPr>
              <w:rPr>
                <w:rFonts w:hint="eastAsia"/>
              </w:rPr>
            </w:pPr>
            <w:r>
              <w:t>01</w:t>
            </w:r>
          </w:p>
        </w:tc>
        <w:tc>
          <w:tcPr>
            <w:tcW w:w="2880" w:type="dxa"/>
            <w:tcBorders>
              <w:top w:val="nil"/>
              <w:left w:val="nil"/>
              <w:bottom w:val="single" w:color="auto" w:sz="4" w:space="0"/>
              <w:right w:val="single" w:color="auto" w:sz="4" w:space="0"/>
            </w:tcBorders>
            <w:noWrap w:val="0"/>
            <w:vAlign w:val="top"/>
          </w:tcPr>
          <w:p w14:paraId="5C1E077F">
            <w:r>
              <w:rPr>
                <w:rFonts w:hint="eastAsia"/>
              </w:rPr>
              <w:t>马达油</w:t>
            </w:r>
            <w:r>
              <w:t>200mL</w:t>
            </w:r>
          </w:p>
        </w:tc>
        <w:tc>
          <w:tcPr>
            <w:tcW w:w="1440" w:type="dxa"/>
            <w:tcBorders>
              <w:top w:val="nil"/>
              <w:left w:val="nil"/>
              <w:bottom w:val="single" w:color="auto" w:sz="4" w:space="0"/>
              <w:right w:val="single" w:color="auto" w:sz="4" w:space="0"/>
            </w:tcBorders>
            <w:noWrap/>
            <w:vAlign w:val="top"/>
          </w:tcPr>
          <w:p w14:paraId="22459B12">
            <w:r>
              <w:t>1</w:t>
            </w:r>
          </w:p>
        </w:tc>
      </w:tr>
      <w:tr w14:paraId="0F5F440E">
        <w:tblPrEx>
          <w:tblCellMar>
            <w:top w:w="0" w:type="dxa"/>
            <w:left w:w="108" w:type="dxa"/>
            <w:bottom w:w="0" w:type="dxa"/>
            <w:right w:w="108" w:type="dxa"/>
          </w:tblCellMar>
        </w:tblPrEx>
        <w:trPr>
          <w:trHeight w:val="459" w:hRule="atLeast"/>
        </w:trPr>
        <w:tc>
          <w:tcPr>
            <w:tcW w:w="1522" w:type="dxa"/>
            <w:tcBorders>
              <w:top w:val="nil"/>
              <w:left w:val="single" w:color="auto" w:sz="4" w:space="0"/>
              <w:bottom w:val="single" w:color="auto" w:sz="4" w:space="0"/>
              <w:right w:val="single" w:color="auto" w:sz="4" w:space="0"/>
            </w:tcBorders>
            <w:noWrap/>
            <w:vAlign w:val="top"/>
          </w:tcPr>
          <w:p w14:paraId="1567B00B">
            <w:r>
              <w:t>02</w:t>
            </w:r>
          </w:p>
        </w:tc>
        <w:tc>
          <w:tcPr>
            <w:tcW w:w="2880" w:type="dxa"/>
            <w:tcBorders>
              <w:top w:val="nil"/>
              <w:left w:val="nil"/>
              <w:bottom w:val="single" w:color="auto" w:sz="4" w:space="0"/>
              <w:right w:val="single" w:color="auto" w:sz="4" w:space="0"/>
            </w:tcBorders>
            <w:noWrap w:val="0"/>
            <w:vAlign w:val="top"/>
          </w:tcPr>
          <w:p w14:paraId="3BA0CC65">
            <w:r>
              <w:rPr>
                <w:rFonts w:hint="eastAsia"/>
              </w:rPr>
              <w:t>真空泵油</w:t>
            </w:r>
            <w:r>
              <w:t>1L</w:t>
            </w:r>
          </w:p>
        </w:tc>
        <w:tc>
          <w:tcPr>
            <w:tcW w:w="1440" w:type="dxa"/>
            <w:tcBorders>
              <w:top w:val="nil"/>
              <w:left w:val="nil"/>
              <w:bottom w:val="single" w:color="auto" w:sz="4" w:space="0"/>
              <w:right w:val="single" w:color="auto" w:sz="4" w:space="0"/>
            </w:tcBorders>
            <w:noWrap/>
            <w:vAlign w:val="top"/>
          </w:tcPr>
          <w:p w14:paraId="5466AA4D">
            <w:r>
              <w:t xml:space="preserve">1 </w:t>
            </w:r>
          </w:p>
        </w:tc>
      </w:tr>
      <w:tr w14:paraId="72040158">
        <w:tblPrEx>
          <w:tblCellMar>
            <w:top w:w="0" w:type="dxa"/>
            <w:left w:w="108" w:type="dxa"/>
            <w:bottom w:w="0" w:type="dxa"/>
            <w:right w:w="108" w:type="dxa"/>
          </w:tblCellMar>
        </w:tblPrEx>
        <w:trPr>
          <w:trHeight w:val="475" w:hRule="atLeast"/>
        </w:trPr>
        <w:tc>
          <w:tcPr>
            <w:tcW w:w="1522" w:type="dxa"/>
            <w:tcBorders>
              <w:top w:val="nil"/>
              <w:left w:val="single" w:color="auto" w:sz="4" w:space="0"/>
              <w:bottom w:val="single" w:color="auto" w:sz="4" w:space="0"/>
              <w:right w:val="single" w:color="auto" w:sz="4" w:space="0"/>
            </w:tcBorders>
            <w:noWrap/>
            <w:vAlign w:val="top"/>
          </w:tcPr>
          <w:p w14:paraId="1D628B35">
            <w:r>
              <w:t>03</w:t>
            </w:r>
          </w:p>
        </w:tc>
        <w:tc>
          <w:tcPr>
            <w:tcW w:w="2880" w:type="dxa"/>
            <w:tcBorders>
              <w:top w:val="nil"/>
              <w:left w:val="nil"/>
              <w:bottom w:val="single" w:color="auto" w:sz="4" w:space="0"/>
              <w:right w:val="single" w:color="auto" w:sz="4" w:space="0"/>
            </w:tcBorders>
            <w:noWrap w:val="0"/>
            <w:vAlign w:val="top"/>
          </w:tcPr>
          <w:p w14:paraId="251BB1AB">
            <w:r>
              <w:rPr>
                <w:rFonts w:hint="eastAsia"/>
              </w:rPr>
              <w:t>扩散泵油</w:t>
            </w:r>
            <w:r>
              <w:t>100mL</w:t>
            </w:r>
          </w:p>
        </w:tc>
        <w:tc>
          <w:tcPr>
            <w:tcW w:w="1440" w:type="dxa"/>
            <w:tcBorders>
              <w:top w:val="nil"/>
              <w:left w:val="nil"/>
              <w:bottom w:val="single" w:color="auto" w:sz="4" w:space="0"/>
              <w:right w:val="single" w:color="auto" w:sz="4" w:space="0"/>
            </w:tcBorders>
            <w:noWrap/>
            <w:vAlign w:val="top"/>
          </w:tcPr>
          <w:p w14:paraId="30EA72E9">
            <w:r>
              <w:t xml:space="preserve">1 </w:t>
            </w:r>
          </w:p>
        </w:tc>
      </w:tr>
      <w:tr w14:paraId="03953DB5">
        <w:tblPrEx>
          <w:tblCellMar>
            <w:top w:w="0" w:type="dxa"/>
            <w:left w:w="108" w:type="dxa"/>
            <w:bottom w:w="0" w:type="dxa"/>
            <w:right w:w="108" w:type="dxa"/>
          </w:tblCellMar>
        </w:tblPrEx>
        <w:trPr>
          <w:trHeight w:val="411" w:hRule="atLeast"/>
        </w:trPr>
        <w:tc>
          <w:tcPr>
            <w:tcW w:w="1522" w:type="dxa"/>
            <w:tcBorders>
              <w:top w:val="nil"/>
              <w:left w:val="single" w:color="auto" w:sz="4" w:space="0"/>
              <w:bottom w:val="single" w:color="auto" w:sz="4" w:space="0"/>
              <w:right w:val="single" w:color="auto" w:sz="4" w:space="0"/>
            </w:tcBorders>
            <w:noWrap/>
            <w:vAlign w:val="top"/>
          </w:tcPr>
          <w:p w14:paraId="63343993">
            <w:r>
              <w:t>04</w:t>
            </w:r>
          </w:p>
        </w:tc>
        <w:tc>
          <w:tcPr>
            <w:tcW w:w="2880" w:type="dxa"/>
            <w:tcBorders>
              <w:top w:val="nil"/>
              <w:left w:val="nil"/>
              <w:bottom w:val="single" w:color="auto" w:sz="4" w:space="0"/>
              <w:right w:val="single" w:color="auto" w:sz="4" w:space="0"/>
            </w:tcBorders>
            <w:noWrap w:val="0"/>
            <w:vAlign w:val="top"/>
          </w:tcPr>
          <w:p w14:paraId="2A87C508">
            <w:r>
              <w:rPr>
                <w:rFonts w:hint="eastAsia"/>
              </w:rPr>
              <w:t>马达油过滤器</w:t>
            </w:r>
          </w:p>
        </w:tc>
        <w:tc>
          <w:tcPr>
            <w:tcW w:w="1440" w:type="dxa"/>
            <w:tcBorders>
              <w:top w:val="nil"/>
              <w:left w:val="nil"/>
              <w:bottom w:val="single" w:color="auto" w:sz="4" w:space="0"/>
              <w:right w:val="single" w:color="auto" w:sz="4" w:space="0"/>
            </w:tcBorders>
            <w:noWrap/>
            <w:vAlign w:val="top"/>
          </w:tcPr>
          <w:p w14:paraId="24B1E28B">
            <w:r>
              <w:t xml:space="preserve">1 </w:t>
            </w:r>
          </w:p>
        </w:tc>
      </w:tr>
      <w:tr w14:paraId="04D9281F">
        <w:tblPrEx>
          <w:tblCellMar>
            <w:top w:w="0" w:type="dxa"/>
            <w:left w:w="108" w:type="dxa"/>
            <w:bottom w:w="0" w:type="dxa"/>
            <w:right w:w="108" w:type="dxa"/>
          </w:tblCellMar>
        </w:tblPrEx>
        <w:trPr>
          <w:trHeight w:val="408" w:hRule="atLeast"/>
        </w:trPr>
        <w:tc>
          <w:tcPr>
            <w:tcW w:w="1522" w:type="dxa"/>
            <w:tcBorders>
              <w:top w:val="nil"/>
              <w:left w:val="single" w:color="auto" w:sz="4" w:space="0"/>
              <w:bottom w:val="single" w:color="auto" w:sz="4" w:space="0"/>
              <w:right w:val="single" w:color="auto" w:sz="4" w:space="0"/>
            </w:tcBorders>
            <w:noWrap/>
            <w:vAlign w:val="top"/>
          </w:tcPr>
          <w:p w14:paraId="1B8E35C0">
            <w:r>
              <w:t>05</w:t>
            </w:r>
          </w:p>
        </w:tc>
        <w:tc>
          <w:tcPr>
            <w:tcW w:w="2880" w:type="dxa"/>
            <w:tcBorders>
              <w:top w:val="nil"/>
              <w:left w:val="nil"/>
              <w:bottom w:val="single" w:color="auto" w:sz="4" w:space="0"/>
              <w:right w:val="single" w:color="auto" w:sz="4" w:space="0"/>
            </w:tcBorders>
            <w:noWrap w:val="0"/>
            <w:vAlign w:val="top"/>
          </w:tcPr>
          <w:p w14:paraId="4B8C523E">
            <w:r>
              <w:rPr>
                <w:rFonts w:hint="eastAsia"/>
              </w:rPr>
              <w:t>真空泵油过滤器</w:t>
            </w:r>
          </w:p>
        </w:tc>
        <w:tc>
          <w:tcPr>
            <w:tcW w:w="1440" w:type="dxa"/>
            <w:tcBorders>
              <w:top w:val="nil"/>
              <w:left w:val="nil"/>
              <w:bottom w:val="single" w:color="auto" w:sz="4" w:space="0"/>
              <w:right w:val="single" w:color="auto" w:sz="4" w:space="0"/>
            </w:tcBorders>
            <w:noWrap/>
            <w:vAlign w:val="top"/>
          </w:tcPr>
          <w:p w14:paraId="1DD95B91">
            <w:r>
              <w:t xml:space="preserve">1 </w:t>
            </w:r>
          </w:p>
        </w:tc>
      </w:tr>
      <w:tr w14:paraId="32F64400">
        <w:tblPrEx>
          <w:tblCellMar>
            <w:top w:w="0" w:type="dxa"/>
            <w:left w:w="108" w:type="dxa"/>
            <w:bottom w:w="0" w:type="dxa"/>
            <w:right w:w="108" w:type="dxa"/>
          </w:tblCellMar>
        </w:tblPrEx>
        <w:trPr>
          <w:trHeight w:val="287" w:hRule="atLeast"/>
        </w:trPr>
        <w:tc>
          <w:tcPr>
            <w:tcW w:w="1522" w:type="dxa"/>
            <w:tcBorders>
              <w:top w:val="nil"/>
              <w:left w:val="single" w:color="auto" w:sz="4" w:space="0"/>
              <w:bottom w:val="single" w:color="auto" w:sz="4" w:space="0"/>
              <w:right w:val="single" w:color="auto" w:sz="4" w:space="0"/>
            </w:tcBorders>
            <w:noWrap/>
            <w:vAlign w:val="top"/>
          </w:tcPr>
          <w:p w14:paraId="5A39006C">
            <w:r>
              <w:t>06</w:t>
            </w:r>
          </w:p>
        </w:tc>
        <w:tc>
          <w:tcPr>
            <w:tcW w:w="2880" w:type="dxa"/>
            <w:tcBorders>
              <w:top w:val="nil"/>
              <w:left w:val="nil"/>
              <w:bottom w:val="single" w:color="auto" w:sz="4" w:space="0"/>
              <w:right w:val="single" w:color="auto" w:sz="4" w:space="0"/>
            </w:tcBorders>
            <w:noWrap w:val="0"/>
            <w:vAlign w:val="top"/>
          </w:tcPr>
          <w:p w14:paraId="79C21CE5">
            <w:r>
              <w:rPr>
                <w:rFonts w:hint="eastAsia"/>
              </w:rPr>
              <w:t>真空管道</w:t>
            </w:r>
          </w:p>
        </w:tc>
        <w:tc>
          <w:tcPr>
            <w:tcW w:w="1440" w:type="dxa"/>
            <w:tcBorders>
              <w:top w:val="nil"/>
              <w:left w:val="nil"/>
              <w:bottom w:val="single" w:color="auto" w:sz="4" w:space="0"/>
              <w:right w:val="single" w:color="auto" w:sz="4" w:space="0"/>
            </w:tcBorders>
            <w:noWrap/>
            <w:vAlign w:val="top"/>
          </w:tcPr>
          <w:p w14:paraId="398F49BF">
            <w:r>
              <w:t xml:space="preserve">1 </w:t>
            </w:r>
          </w:p>
        </w:tc>
      </w:tr>
    </w:tbl>
    <w:p w14:paraId="15244019">
      <w:r>
        <w:t xml:space="preserve">         </w:t>
      </w:r>
    </w:p>
    <w:p w14:paraId="17A4D7AE">
      <w:r>
        <w:t xml:space="preserve"> </w:t>
      </w:r>
      <w:r>
        <w:rPr>
          <w:rFonts w:hint="eastAsia"/>
          <w:sz w:val="20"/>
        </w:rPr>
        <w:t>以上耗材提供三个月保质期，三个月内出现任何质量问题提供免费上门更换服务。保养后测试运行仪器。</w:t>
      </w:r>
      <w:r>
        <w:rPr>
          <w:rFonts w:hint="eastAsia"/>
          <w:sz w:val="20"/>
          <w:lang w:val="en-US" w:eastAsia="zh-CN"/>
        </w:rPr>
        <w:t>以上保养包每年每台设备保养均需更换。</w:t>
      </w:r>
    </w:p>
    <w:p w14:paraId="4097BB04">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F0716"/>
    <w:multiLevelType w:val="multilevel"/>
    <w:tmpl w:val="298F0716"/>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1D6346"/>
    <w:multiLevelType w:val="multilevel"/>
    <w:tmpl w:val="381D6346"/>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C1503F3"/>
    <w:multiLevelType w:val="singleLevel"/>
    <w:tmpl w:val="6C1503F3"/>
    <w:lvl w:ilvl="0" w:tentative="0">
      <w:start w:val="1"/>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844D5"/>
    <w:rsid w:val="179E2866"/>
    <w:rsid w:val="328075C9"/>
    <w:rsid w:val="71C32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uiPriority w:val="99"/>
    <w:pPr>
      <w:tabs>
        <w:tab w:val="center" w:pos="4153"/>
        <w:tab w:val="right" w:pos="8306"/>
      </w:tabs>
      <w:snapToGrid w:val="0"/>
      <w:spacing w:beforeLines="0" w:afterLines="0"/>
      <w:jc w:val="left"/>
    </w:pPr>
    <w:rPr>
      <w:rFonts w:hint="default"/>
      <w:sz w:val="18"/>
      <w:szCs w:val="24"/>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2087</Words>
  <Characters>2230</Characters>
  <Lines>0</Lines>
  <Paragraphs>0</Paragraphs>
  <TotalTime>0</TotalTime>
  <ScaleCrop>false</ScaleCrop>
  <LinksUpToDate>false</LinksUpToDate>
  <CharactersWithSpaces>2283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2025-05-27T02:58:00Z</dcterms:created>
  <dc:creator>Fairy</dc:creator>
  <cp:lastModifiedBy>Fairy</cp:lastModifiedBy>
  <dcterms:modified xsi:type="dcterms:W3CDTF">2025-07-17T03:11:47Z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15712843DF6E4B639D0717BAF92CA1DC_13</vt:lpwstr>
  </property>
  <property fmtid="{D5CDD505-2E9C-101B-9397-08002B2CF9AE}" pid="4" name="KSOTemplateDocerSaveRecord">
    <vt:lpwstr>eyJoZGlkIjoiMGJlYjZjODdjYTIyNGM5OTE4YWVkNWMzYzkwZWVlYzEiLCJ1c2VySWQiOiIzODE3NDEwNTQifQ==</vt:lpwstr>
  </property>
</Properties>
</file>