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4FE3">
      <w:pPr>
        <w:pStyle w:val="2"/>
        <w:spacing w:before="0" w:after="0" w:line="580" w:lineRule="exact"/>
        <w:rPr>
          <w:b w:val="0"/>
          <w:bCs/>
          <w:sz w:val="44"/>
          <w:szCs w:val="44"/>
        </w:rPr>
      </w:pPr>
      <w:r>
        <w:rPr>
          <w:rFonts w:hint="eastAsia"/>
          <w:b w:val="0"/>
          <w:bCs/>
          <w:sz w:val="44"/>
          <w:szCs w:val="44"/>
        </w:rPr>
        <w:t>2026中山七院紧急医学救援队团体意外伤害保险采购项目公开竞价公告</w:t>
      </w:r>
    </w:p>
    <w:p w14:paraId="7E55ACF8">
      <w:pPr>
        <w:spacing w:line="58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single"/>
        </w:rPr>
        <w:t>2026中山七院紧急医学救援队团体意外伤害保险项目</w:t>
      </w:r>
      <w:r>
        <w:rPr>
          <w:rFonts w:hint="eastAsia" w:cs="仿宋" w:asciiTheme="minorEastAsia" w:hAnsiTheme="minorEastAsia" w:eastAsiaTheme="minorEastAsia"/>
          <w:sz w:val="24"/>
          <w:szCs w:val="24"/>
        </w:rPr>
        <w:t>（项目编号：2026ZZB032）的潜在供应商应在本公告及附件获取竞价文件，并于 202</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23</w:t>
      </w:r>
      <w:r>
        <w:rPr>
          <w:rFonts w:hint="eastAsia" w:cs="仿宋" w:asciiTheme="minorEastAsia" w:hAnsiTheme="minorEastAsia" w:eastAsiaTheme="minorEastAsia"/>
          <w:sz w:val="24"/>
          <w:szCs w:val="24"/>
        </w:rPr>
        <w:t xml:space="preserve">日 </w:t>
      </w:r>
      <w:r>
        <w:rPr>
          <w:rFonts w:cs="仿宋" w:asciiTheme="minorEastAsia" w:hAnsiTheme="minorEastAsia" w:eastAsiaTheme="minorEastAsia"/>
          <w:sz w:val="24"/>
          <w:szCs w:val="24"/>
        </w:rPr>
        <w:t>17</w:t>
      </w:r>
      <w:r>
        <w:rPr>
          <w:rFonts w:hint="eastAsia" w:cs="仿宋" w:asciiTheme="minorEastAsia" w:hAnsiTheme="minorEastAsia" w:eastAsiaTheme="minorEastAsia"/>
          <w:sz w:val="24"/>
          <w:szCs w:val="24"/>
        </w:rPr>
        <w:t>:00（北京时间）前提交应答文件。本项目成交方法采用最低价法。</w:t>
      </w:r>
    </w:p>
    <w:p w14:paraId="040619AA">
      <w:pPr>
        <w:spacing w:line="58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一、采购项目概况</w:t>
      </w:r>
    </w:p>
    <w:tbl>
      <w:tblPr>
        <w:tblStyle w:val="9"/>
        <w:tblpPr w:leftFromText="180" w:rightFromText="180" w:vertAnchor="text" w:horzAnchor="page" w:tblpXSpec="center" w:tblpY="116"/>
        <w:tblW w:w="46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642"/>
        <w:gridCol w:w="1317"/>
        <w:gridCol w:w="1118"/>
        <w:gridCol w:w="1156"/>
        <w:gridCol w:w="2085"/>
      </w:tblGrid>
      <w:tr w14:paraId="191B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58B8594">
            <w:pPr>
              <w:spacing w:line="360" w:lineRule="auto"/>
              <w:jc w:val="center"/>
            </w:pPr>
            <w:r>
              <w:rPr>
                <w:rFonts w:hint="eastAsia" w:ascii="仿宋" w:hAnsi="仿宋" w:eastAsia="仿宋" w:cs="仿宋"/>
                <w:bCs/>
                <w:sz w:val="24"/>
                <w:szCs w:val="24"/>
              </w:rPr>
              <w:t>序号</w:t>
            </w:r>
          </w:p>
        </w:tc>
        <w:tc>
          <w:tcPr>
            <w:tcW w:w="1030" w:type="pct"/>
            <w:vAlign w:val="center"/>
          </w:tcPr>
          <w:p w14:paraId="4E6B167B">
            <w:pPr>
              <w:spacing w:line="360" w:lineRule="auto"/>
              <w:jc w:val="center"/>
            </w:pPr>
            <w:r>
              <w:rPr>
                <w:rFonts w:hint="eastAsia" w:ascii="仿宋" w:hAnsi="仿宋" w:eastAsia="仿宋" w:cs="仿宋"/>
                <w:bCs/>
                <w:sz w:val="24"/>
                <w:szCs w:val="24"/>
              </w:rPr>
              <w:t>项目名称</w:t>
            </w:r>
          </w:p>
        </w:tc>
        <w:tc>
          <w:tcPr>
            <w:tcW w:w="826" w:type="pct"/>
            <w:vAlign w:val="center"/>
          </w:tcPr>
          <w:p w14:paraId="5C81978B">
            <w:pPr>
              <w:spacing w:line="360" w:lineRule="auto"/>
              <w:jc w:val="center"/>
              <w:rPr>
                <w:rFonts w:ascii="仿宋" w:hAnsi="仿宋" w:eastAsia="仿宋" w:cs="仿宋"/>
                <w:bCs/>
                <w:sz w:val="24"/>
                <w:szCs w:val="24"/>
              </w:rPr>
            </w:pPr>
            <w:r>
              <w:rPr>
                <w:rFonts w:hint="eastAsia" w:ascii="仿宋" w:hAnsi="仿宋" w:eastAsia="仿宋" w:cs="仿宋"/>
                <w:bCs/>
                <w:sz w:val="24"/>
                <w:szCs w:val="24"/>
              </w:rPr>
              <w:t>项目内容</w:t>
            </w:r>
          </w:p>
        </w:tc>
        <w:tc>
          <w:tcPr>
            <w:tcW w:w="701" w:type="pct"/>
            <w:vAlign w:val="center"/>
          </w:tcPr>
          <w:p w14:paraId="7D061316">
            <w:pPr>
              <w:spacing w:line="360" w:lineRule="auto"/>
              <w:jc w:val="center"/>
              <w:rPr>
                <w:rFonts w:ascii="仿宋" w:hAnsi="仿宋" w:eastAsia="仿宋" w:cs="仿宋"/>
                <w:bCs/>
                <w:sz w:val="24"/>
                <w:szCs w:val="24"/>
              </w:rPr>
            </w:pPr>
            <w:r>
              <w:rPr>
                <w:rFonts w:hint="eastAsia" w:ascii="仿宋" w:hAnsi="仿宋" w:eastAsia="仿宋" w:cs="仿宋"/>
                <w:bCs/>
                <w:sz w:val="24"/>
                <w:szCs w:val="24"/>
              </w:rPr>
              <w:t>数量</w:t>
            </w:r>
          </w:p>
        </w:tc>
        <w:tc>
          <w:tcPr>
            <w:tcW w:w="725" w:type="pct"/>
            <w:vAlign w:val="center"/>
          </w:tcPr>
          <w:p w14:paraId="1D2A191D">
            <w:pPr>
              <w:spacing w:line="360" w:lineRule="auto"/>
              <w:jc w:val="center"/>
              <w:rPr>
                <w:rFonts w:ascii="仿宋" w:hAnsi="仿宋" w:eastAsia="仿宋" w:cs="仿宋"/>
                <w:bCs/>
                <w:sz w:val="24"/>
                <w:szCs w:val="24"/>
              </w:rPr>
            </w:pPr>
            <w:r>
              <w:rPr>
                <w:rFonts w:hint="eastAsia" w:ascii="仿宋" w:hAnsi="仿宋" w:eastAsia="仿宋" w:cs="仿宋"/>
                <w:bCs/>
                <w:sz w:val="24"/>
                <w:szCs w:val="24"/>
              </w:rPr>
              <w:t>单位</w:t>
            </w:r>
          </w:p>
        </w:tc>
        <w:tc>
          <w:tcPr>
            <w:tcW w:w="1307" w:type="pct"/>
            <w:vAlign w:val="center"/>
          </w:tcPr>
          <w:p w14:paraId="39BB7741">
            <w:pPr>
              <w:spacing w:line="360" w:lineRule="auto"/>
              <w:jc w:val="center"/>
              <w:rPr>
                <w:rFonts w:ascii="仿宋" w:hAnsi="仿宋" w:eastAsia="仿宋" w:cs="仿宋"/>
                <w:bCs/>
                <w:sz w:val="24"/>
                <w:szCs w:val="24"/>
              </w:rPr>
            </w:pPr>
            <w:r>
              <w:rPr>
                <w:rFonts w:hint="eastAsia" w:ascii="仿宋" w:hAnsi="仿宋" w:eastAsia="仿宋" w:cs="仿宋"/>
                <w:bCs/>
                <w:sz w:val="24"/>
                <w:szCs w:val="24"/>
                <w:lang w:val="en-US" w:eastAsia="zh-CN"/>
              </w:rPr>
              <w:t>支付上限</w:t>
            </w:r>
            <w:r>
              <w:rPr>
                <w:rFonts w:hint="eastAsia" w:ascii="仿宋" w:hAnsi="仿宋" w:eastAsia="仿宋" w:cs="仿宋"/>
                <w:bCs/>
                <w:sz w:val="24"/>
                <w:szCs w:val="24"/>
              </w:rPr>
              <w:t>（元）</w:t>
            </w:r>
          </w:p>
        </w:tc>
      </w:tr>
      <w:tr w14:paraId="49B9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33E193B8">
            <w:pPr>
              <w:jc w:val="center"/>
            </w:pPr>
            <w:r>
              <w:rPr>
                <w:rFonts w:hint="eastAsia"/>
              </w:rPr>
              <w:t>1</w:t>
            </w:r>
          </w:p>
        </w:tc>
        <w:tc>
          <w:tcPr>
            <w:tcW w:w="1030" w:type="pct"/>
            <w:vAlign w:val="center"/>
          </w:tcPr>
          <w:p w14:paraId="206051B2">
            <w:pPr>
              <w:jc w:val="center"/>
              <w:rPr>
                <w:rFonts w:hAnsi="宋体"/>
                <w:szCs w:val="21"/>
              </w:rPr>
            </w:pPr>
            <w:r>
              <w:rPr>
                <w:rFonts w:hint="eastAsia" w:cs="仿宋" w:asciiTheme="minorEastAsia" w:hAnsiTheme="minorEastAsia" w:eastAsiaTheme="minorEastAsia"/>
                <w:sz w:val="24"/>
                <w:szCs w:val="24"/>
                <w:u w:val="single"/>
              </w:rPr>
              <w:t>2026中山七院紧急医学救援队团体意外伤害保险项目</w:t>
            </w:r>
          </w:p>
        </w:tc>
        <w:tc>
          <w:tcPr>
            <w:tcW w:w="826" w:type="pct"/>
            <w:vAlign w:val="center"/>
          </w:tcPr>
          <w:p w14:paraId="3B1F62F6">
            <w:pPr>
              <w:jc w:val="center"/>
              <w:rPr>
                <w:rFonts w:hint="eastAsia" w:hAnsi="宋体" w:eastAsiaTheme="minorEastAsia"/>
                <w:szCs w:val="21"/>
                <w:lang w:eastAsia="zh-CN"/>
              </w:rPr>
            </w:pPr>
            <w:r>
              <w:rPr>
                <w:rFonts w:hint="eastAsia" w:cs="仿宋" w:asciiTheme="minorEastAsia" w:hAnsiTheme="minorEastAsia" w:eastAsiaTheme="minorEastAsia"/>
                <w:sz w:val="24"/>
                <w:szCs w:val="24"/>
                <w:u w:val="single"/>
              </w:rPr>
              <w:t>2026中山七院紧急医学救援队团体意外伤害保险</w:t>
            </w:r>
            <w:r>
              <w:rPr>
                <w:rFonts w:hint="eastAsia" w:cs="仿宋" w:asciiTheme="minorEastAsia" w:hAnsiTheme="minorEastAsia" w:eastAsiaTheme="minorEastAsia"/>
                <w:sz w:val="24"/>
                <w:szCs w:val="24"/>
                <w:u w:val="single"/>
                <w:lang w:eastAsia="zh-CN"/>
              </w:rPr>
              <w:t>（</w:t>
            </w:r>
            <w:r>
              <w:rPr>
                <w:rFonts w:hint="eastAsia" w:cs="仿宋" w:asciiTheme="minorEastAsia" w:hAnsiTheme="minorEastAsia" w:eastAsiaTheme="minorEastAsia"/>
                <w:sz w:val="24"/>
                <w:szCs w:val="24"/>
                <w:u w:val="single"/>
                <w:lang w:val="en-US" w:eastAsia="zh-CN"/>
              </w:rPr>
              <w:t>投保人数约117人</w:t>
            </w:r>
            <w:r>
              <w:rPr>
                <w:rFonts w:hint="eastAsia" w:cs="仿宋" w:asciiTheme="minorEastAsia" w:hAnsiTheme="minorEastAsia" w:eastAsiaTheme="minorEastAsia"/>
                <w:sz w:val="24"/>
                <w:szCs w:val="24"/>
                <w:u w:val="single"/>
                <w:lang w:eastAsia="zh-CN"/>
              </w:rPr>
              <w:t>）</w:t>
            </w:r>
          </w:p>
        </w:tc>
        <w:tc>
          <w:tcPr>
            <w:tcW w:w="701" w:type="pct"/>
            <w:vAlign w:val="center"/>
          </w:tcPr>
          <w:p w14:paraId="3ABDDCB4">
            <w:pPr>
              <w:jc w:val="center"/>
              <w:rPr>
                <w:rFonts w:hint="eastAsia" w:hAnsi="宋体" w:eastAsia="宋体"/>
                <w:szCs w:val="21"/>
                <w:lang w:val="en-US" w:eastAsia="zh-CN"/>
              </w:rPr>
            </w:pPr>
            <w:r>
              <w:rPr>
                <w:rFonts w:hint="eastAsia" w:hAnsi="宋体"/>
                <w:szCs w:val="21"/>
                <w:lang w:val="en-US" w:eastAsia="zh-CN"/>
              </w:rPr>
              <w:t>1</w:t>
            </w:r>
          </w:p>
        </w:tc>
        <w:tc>
          <w:tcPr>
            <w:tcW w:w="725" w:type="pct"/>
            <w:vAlign w:val="center"/>
          </w:tcPr>
          <w:p w14:paraId="3CCDBC37">
            <w:pPr>
              <w:jc w:val="center"/>
              <w:rPr>
                <w:rFonts w:hint="eastAsia" w:hAnsi="宋体" w:eastAsia="宋体"/>
                <w:szCs w:val="21"/>
                <w:lang w:val="en-US" w:eastAsia="zh-CN"/>
              </w:rPr>
            </w:pPr>
            <w:r>
              <w:rPr>
                <w:rFonts w:hint="eastAsia" w:hAnsi="宋体"/>
                <w:szCs w:val="21"/>
                <w:lang w:val="en-US" w:eastAsia="zh-CN"/>
              </w:rPr>
              <w:t>项</w:t>
            </w:r>
          </w:p>
        </w:tc>
        <w:tc>
          <w:tcPr>
            <w:tcW w:w="1307" w:type="pct"/>
            <w:vAlign w:val="center"/>
          </w:tcPr>
          <w:p w14:paraId="111168F8">
            <w:pPr>
              <w:jc w:val="center"/>
              <w:rPr>
                <w:rFonts w:hAnsi="宋体"/>
                <w:szCs w:val="21"/>
              </w:rPr>
            </w:pPr>
            <w:r>
              <w:rPr>
                <w:rFonts w:hint="eastAsia"/>
                <w:lang w:val="en-US" w:eastAsia="zh-CN"/>
              </w:rPr>
              <w:t>78480</w:t>
            </w:r>
          </w:p>
        </w:tc>
      </w:tr>
    </w:tbl>
    <w:p w14:paraId="785CC491">
      <w:pPr>
        <w:spacing w:line="360" w:lineRule="auto"/>
        <w:ind w:firstLine="482" w:firstLineChars="200"/>
        <w:rPr>
          <w:rFonts w:cs="仿宋" w:asciiTheme="minorEastAsia" w:hAnsiTheme="minorEastAsia" w:eastAsiaTheme="minorEastAsia"/>
          <w:bCs/>
          <w:sz w:val="24"/>
          <w:szCs w:val="24"/>
        </w:rPr>
      </w:pPr>
      <w:r>
        <w:rPr>
          <w:rFonts w:hint="eastAsia" w:ascii="宋体" w:hAnsi="宋体" w:cs="宋体"/>
          <w:b/>
          <w:bCs/>
          <w:color w:val="FF0000"/>
          <w:kern w:val="0"/>
          <w:sz w:val="24"/>
          <w:szCs w:val="24"/>
          <w:highlight w:val="none"/>
          <w:lang w:val="en-US" w:eastAsia="zh-CN" w:bidi="ar-SA"/>
        </w:rPr>
        <w:t>本</w:t>
      </w:r>
      <w:r>
        <w:rPr>
          <w:rFonts w:hint="eastAsia" w:ascii="宋体" w:hAnsi="宋体" w:eastAsia="宋体" w:cs="宋体"/>
          <w:b/>
          <w:bCs/>
          <w:color w:val="FF0000"/>
          <w:kern w:val="0"/>
          <w:sz w:val="24"/>
          <w:szCs w:val="24"/>
          <w:highlight w:val="none"/>
          <w:lang w:val="en-US" w:eastAsia="zh-CN" w:bidi="ar-SA"/>
        </w:rPr>
        <w:t>项目预算78480元，投标总价不可超过预算限额，否则视为未实质性响应，作废标处理。</w:t>
      </w:r>
      <w:r>
        <w:rPr>
          <w:rFonts w:hint="eastAsia" w:cs="仿宋" w:asciiTheme="minorEastAsia" w:hAnsiTheme="minorEastAsia" w:eastAsiaTheme="minorEastAsia"/>
          <w:bCs/>
          <w:sz w:val="24"/>
          <w:szCs w:val="24"/>
        </w:rPr>
        <w:br w:type="textWrapping"/>
      </w:r>
      <w:r>
        <w:rPr>
          <w:rFonts w:hint="eastAsia" w:cs="仿宋" w:asciiTheme="minorEastAsia" w:hAnsiTheme="minorEastAsia" w:eastAsiaTheme="minorEastAsia"/>
          <w:bCs/>
          <w:sz w:val="24"/>
          <w:szCs w:val="24"/>
        </w:rPr>
        <w:t>注：以上请各投标人按货物清单报价，并统计出合计总价（少报、多报或未按顺序报价的，视为未实质性响应，作废标处理）。</w:t>
      </w:r>
    </w:p>
    <w:p w14:paraId="73806D0C">
      <w:pPr>
        <w:spacing w:line="580" w:lineRule="exact"/>
        <w:ind w:firstLine="640" w:firstLineChars="200"/>
        <w:rPr>
          <w:rFonts w:ascii="黑体" w:hAnsi="黑体" w:eastAsia="黑体" w:cs="仿宋"/>
          <w:color w:val="000000"/>
          <w:sz w:val="32"/>
          <w:szCs w:val="32"/>
        </w:rPr>
      </w:pPr>
      <w:r>
        <w:rPr>
          <w:rFonts w:hint="eastAsia" w:ascii="黑体" w:hAnsi="黑体" w:eastAsia="黑体" w:cs="黑体"/>
          <w:sz w:val="32"/>
          <w:szCs w:val="32"/>
        </w:rPr>
        <w:t>二、</w:t>
      </w:r>
      <w:r>
        <w:rPr>
          <w:rFonts w:hint="eastAsia" w:ascii="黑体" w:hAnsi="黑体" w:eastAsia="黑体" w:cs="仿宋"/>
          <w:color w:val="000000"/>
          <w:sz w:val="32"/>
          <w:szCs w:val="32"/>
        </w:rPr>
        <w:t>★技术需求（</w:t>
      </w:r>
      <w:r>
        <w:rPr>
          <w:rFonts w:hint="eastAsia" w:ascii="黑体" w:hAnsi="黑体" w:eastAsia="黑体" w:cs="仿宋"/>
          <w:b/>
          <w:bCs/>
          <w:color w:val="FF0000"/>
          <w:sz w:val="32"/>
          <w:szCs w:val="32"/>
        </w:rPr>
        <w:t>“★”号条款为实质性条款，有任何一条负偏离则导致无效投标</w:t>
      </w:r>
      <w:r>
        <w:rPr>
          <w:rFonts w:hint="eastAsia" w:ascii="黑体" w:hAnsi="黑体" w:eastAsia="黑体" w:cs="仿宋"/>
          <w:color w:val="000000"/>
          <w:sz w:val="32"/>
          <w:szCs w:val="32"/>
        </w:rPr>
        <w:t>）</w:t>
      </w:r>
    </w:p>
    <w:tbl>
      <w:tblPr>
        <w:tblStyle w:val="9"/>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6958"/>
      </w:tblGrid>
      <w:tr w14:paraId="1E0B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0" w:type="pct"/>
            <w:vAlign w:val="center"/>
          </w:tcPr>
          <w:p w14:paraId="2A0DD41E">
            <w:pPr>
              <w:jc w:val="center"/>
              <w:rPr>
                <w:szCs w:val="21"/>
              </w:rPr>
            </w:pPr>
            <w:r>
              <w:rPr>
                <w:rFonts w:hint="eastAsia"/>
                <w:szCs w:val="21"/>
              </w:rPr>
              <w:t>序号</w:t>
            </w:r>
          </w:p>
        </w:tc>
        <w:tc>
          <w:tcPr>
            <w:tcW w:w="4179" w:type="pct"/>
            <w:vAlign w:val="center"/>
          </w:tcPr>
          <w:p w14:paraId="57D1B2DB">
            <w:pPr>
              <w:widowControl/>
              <w:jc w:val="center"/>
              <w:rPr>
                <w:szCs w:val="21"/>
              </w:rPr>
            </w:pPr>
            <w:r>
              <w:rPr>
                <w:rFonts w:hint="eastAsia" w:ascii="宋体" w:hAnsi="宋体" w:eastAsia="宋体" w:cs="宋体"/>
                <w:color w:val="auto"/>
                <w:kern w:val="0"/>
                <w:sz w:val="24"/>
                <w:highlight w:val="none"/>
              </w:rPr>
              <w:t>项目内容（责任概述）</w:t>
            </w:r>
          </w:p>
        </w:tc>
      </w:tr>
      <w:tr w14:paraId="6359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0" w:type="pct"/>
            <w:shd w:val="clear" w:color="auto" w:fill="auto"/>
            <w:vAlign w:val="top"/>
          </w:tcPr>
          <w:p w14:paraId="1B78E16E">
            <w:pPr>
              <w:spacing w:line="360" w:lineRule="auto"/>
              <w:jc w:val="center"/>
              <w:rPr>
                <w:rFonts w:hint="eastAsia" w:asciiTheme="majorEastAsia" w:hAnsiTheme="majorEastAsia" w:eastAsiaTheme="majorEastAsia" w:cstheme="majorEastAsia"/>
                <w:color w:val="030303"/>
                <w:spacing w:val="-6"/>
                <w:kern w:val="2"/>
                <w:sz w:val="20"/>
                <w:szCs w:val="20"/>
                <w:lang w:val="en-US" w:eastAsia="zh-CN" w:bidi="ar-SA"/>
              </w:rPr>
            </w:pPr>
            <w:r>
              <w:rPr>
                <w:rFonts w:hint="eastAsia" w:ascii="仿宋" w:hAnsi="仿宋" w:eastAsia="仿宋" w:cs="仿宋"/>
                <w:bCs/>
                <w:sz w:val="24"/>
                <w:szCs w:val="24"/>
              </w:rPr>
              <w:t>1</w:t>
            </w:r>
          </w:p>
        </w:tc>
        <w:tc>
          <w:tcPr>
            <w:tcW w:w="4179" w:type="pct"/>
            <w:shd w:val="clear" w:color="auto" w:fill="auto"/>
            <w:vAlign w:val="center"/>
          </w:tcPr>
          <w:p w14:paraId="15E297C4">
            <w:pPr>
              <w:widowControl/>
              <w:jc w:val="center"/>
              <w:rPr>
                <w:rFonts w:hint="eastAsia" w:ascii="宋体" w:hAnsi="宋体" w:eastAsia="宋体" w:cs="宋体"/>
                <w:color w:val="auto"/>
                <w:kern w:val="0"/>
                <w:sz w:val="21"/>
                <w:szCs w:val="24"/>
                <w:highlight w:val="none"/>
              </w:rPr>
            </w:pPr>
            <w:r>
              <w:rPr>
                <w:rFonts w:hint="eastAsia" w:ascii="宋体" w:hAnsi="宋体" w:eastAsia="宋体" w:cs="宋体"/>
                <w:bCs/>
                <w:color w:val="auto"/>
                <w:kern w:val="0"/>
                <w:sz w:val="21"/>
                <w:szCs w:val="24"/>
                <w:highlight w:val="none"/>
                <w:shd w:val="clear" w:color="auto" w:fill="FFFFFF"/>
              </w:rPr>
              <w:t>意外身故：</w:t>
            </w:r>
          </w:p>
          <w:p w14:paraId="6C0CF701">
            <w:pPr>
              <w:widowControl/>
              <w:jc w:val="center"/>
              <w:rPr>
                <w:rFonts w:hint="eastAsia" w:asciiTheme="majorEastAsia" w:hAnsiTheme="majorEastAsia" w:eastAsiaTheme="majorEastAsia" w:cstheme="majorEastAsia"/>
                <w:color w:val="030303"/>
                <w:spacing w:val="-6"/>
                <w:kern w:val="2"/>
                <w:sz w:val="21"/>
                <w:szCs w:val="21"/>
                <w:lang w:val="en-US" w:eastAsia="zh-CN" w:bidi="ar-SA"/>
              </w:rPr>
            </w:pPr>
            <w:r>
              <w:rPr>
                <w:rFonts w:hint="eastAsia" w:ascii="宋体" w:hAnsi="宋体" w:eastAsia="宋体" w:cs="宋体"/>
                <w:bCs/>
                <w:color w:val="auto"/>
                <w:kern w:val="0"/>
                <w:sz w:val="21"/>
                <w:szCs w:val="24"/>
                <w:highlight w:val="none"/>
                <w:shd w:val="clear" w:color="auto" w:fill="FFFFFF"/>
              </w:rPr>
              <w:t>因意外伤害导致身故按照保险金额给付每人保险金额100万</w:t>
            </w:r>
          </w:p>
        </w:tc>
      </w:tr>
      <w:tr w14:paraId="77B3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0" w:type="pct"/>
            <w:shd w:val="clear" w:color="auto" w:fill="auto"/>
            <w:vAlign w:val="top"/>
          </w:tcPr>
          <w:p w14:paraId="2D94007E">
            <w:pPr>
              <w:spacing w:line="360" w:lineRule="auto"/>
              <w:jc w:val="center"/>
              <w:rPr>
                <w:rFonts w:hint="eastAsia" w:asciiTheme="majorEastAsia" w:hAnsiTheme="majorEastAsia" w:eastAsiaTheme="majorEastAsia" w:cstheme="majorEastAsia"/>
                <w:color w:val="030303"/>
                <w:spacing w:val="-6"/>
                <w:sz w:val="20"/>
                <w:szCs w:val="20"/>
              </w:rPr>
            </w:pPr>
            <w:r>
              <w:rPr>
                <w:rFonts w:hint="eastAsia" w:ascii="仿宋" w:hAnsi="仿宋" w:eastAsia="仿宋" w:cs="仿宋"/>
                <w:bCs/>
                <w:sz w:val="24"/>
                <w:szCs w:val="24"/>
              </w:rPr>
              <w:t>2</w:t>
            </w:r>
          </w:p>
        </w:tc>
        <w:tc>
          <w:tcPr>
            <w:tcW w:w="4179" w:type="pct"/>
            <w:shd w:val="clear" w:color="auto" w:fill="auto"/>
            <w:vAlign w:val="center"/>
          </w:tcPr>
          <w:p w14:paraId="075673CE">
            <w:pPr>
              <w:widowControl/>
              <w:jc w:val="center"/>
              <w:rPr>
                <w:rFonts w:hint="eastAsia" w:ascii="宋体" w:hAnsi="宋体" w:eastAsia="宋体" w:cs="宋体"/>
                <w:color w:val="auto"/>
                <w:kern w:val="0"/>
                <w:sz w:val="21"/>
                <w:szCs w:val="24"/>
                <w:highlight w:val="none"/>
              </w:rPr>
            </w:pPr>
            <w:r>
              <w:rPr>
                <w:rFonts w:hint="eastAsia" w:ascii="宋体" w:hAnsi="宋体" w:eastAsia="宋体" w:cs="宋体"/>
                <w:bCs/>
                <w:color w:val="auto"/>
                <w:kern w:val="0"/>
                <w:sz w:val="21"/>
                <w:szCs w:val="24"/>
                <w:highlight w:val="none"/>
                <w:shd w:val="clear" w:color="auto" w:fill="FFFFFF"/>
              </w:rPr>
              <w:t>意外残疾：</w:t>
            </w:r>
          </w:p>
          <w:p w14:paraId="64F3D65C">
            <w:pPr>
              <w:widowControl/>
              <w:jc w:val="center"/>
              <w:rPr>
                <w:rFonts w:hint="eastAsia" w:asciiTheme="majorEastAsia" w:hAnsiTheme="majorEastAsia" w:eastAsiaTheme="majorEastAsia" w:cstheme="majorEastAsia"/>
                <w:color w:val="030303"/>
                <w:spacing w:val="-6"/>
                <w:sz w:val="21"/>
                <w:szCs w:val="21"/>
              </w:rPr>
            </w:pPr>
            <w:r>
              <w:rPr>
                <w:rFonts w:hint="eastAsia" w:ascii="宋体" w:hAnsi="宋体" w:eastAsia="宋体" w:cs="宋体"/>
                <w:bCs/>
                <w:color w:val="auto"/>
                <w:kern w:val="0"/>
                <w:sz w:val="21"/>
                <w:szCs w:val="24"/>
                <w:highlight w:val="none"/>
                <w:shd w:val="clear" w:color="auto" w:fill="FFFFFF"/>
              </w:rPr>
              <w:t>因意外伤害导致残疾按保险金额给付每人保险金额100万</w:t>
            </w:r>
          </w:p>
        </w:tc>
      </w:tr>
      <w:tr w14:paraId="21A0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0" w:type="pct"/>
            <w:shd w:val="clear" w:color="auto" w:fill="auto"/>
            <w:vAlign w:val="top"/>
          </w:tcPr>
          <w:p w14:paraId="0B754734">
            <w:pPr>
              <w:spacing w:line="360" w:lineRule="auto"/>
              <w:jc w:val="center"/>
              <w:rPr>
                <w:rFonts w:hint="eastAsia" w:asciiTheme="majorEastAsia" w:hAnsiTheme="majorEastAsia" w:eastAsiaTheme="majorEastAsia" w:cstheme="majorEastAsia"/>
                <w:color w:val="030303"/>
                <w:spacing w:val="-6"/>
                <w:sz w:val="20"/>
                <w:szCs w:val="20"/>
              </w:rPr>
            </w:pPr>
            <w:r>
              <w:rPr>
                <w:rFonts w:hint="eastAsia" w:ascii="仿宋" w:hAnsi="仿宋" w:eastAsia="仿宋" w:cs="仿宋"/>
                <w:bCs/>
                <w:sz w:val="24"/>
                <w:szCs w:val="24"/>
              </w:rPr>
              <w:t>3</w:t>
            </w:r>
          </w:p>
        </w:tc>
        <w:tc>
          <w:tcPr>
            <w:tcW w:w="4179" w:type="pct"/>
            <w:shd w:val="clear" w:color="auto" w:fill="auto"/>
            <w:vAlign w:val="center"/>
          </w:tcPr>
          <w:p w14:paraId="0E28B370">
            <w:pPr>
              <w:widowControl/>
              <w:jc w:val="center"/>
              <w:rPr>
                <w:rFonts w:hint="eastAsia" w:asciiTheme="majorEastAsia" w:hAnsiTheme="majorEastAsia" w:eastAsiaTheme="majorEastAsia" w:cstheme="majorEastAsia"/>
                <w:color w:val="030303"/>
                <w:spacing w:val="-6"/>
                <w:sz w:val="21"/>
                <w:szCs w:val="21"/>
              </w:rPr>
            </w:pPr>
            <w:r>
              <w:rPr>
                <w:rFonts w:hint="eastAsia" w:ascii="宋体" w:hAnsi="宋体" w:eastAsia="宋体" w:cs="宋体"/>
                <w:bCs/>
                <w:color w:val="auto"/>
                <w:kern w:val="0"/>
                <w:sz w:val="21"/>
                <w:szCs w:val="24"/>
                <w:highlight w:val="none"/>
                <w:shd w:val="clear" w:color="auto" w:fill="FFFFFF"/>
              </w:rPr>
              <w:t>意外医疗：因意外伤害所支出的门诊、急诊医疗费用，约定每次免赔额为</w:t>
            </w:r>
            <w:r>
              <w:rPr>
                <w:rFonts w:hint="eastAsia" w:ascii="宋体" w:hAnsi="宋体" w:eastAsia="宋体" w:cs="宋体"/>
                <w:bCs/>
                <w:color w:val="auto"/>
                <w:kern w:val="0"/>
                <w:sz w:val="21"/>
                <w:szCs w:val="24"/>
                <w:highlight w:val="none"/>
                <w:shd w:val="clear" w:color="auto" w:fill="FFFFFF"/>
                <w:lang w:val="en-US" w:eastAsia="zh-CN"/>
              </w:rPr>
              <w:t>10</w:t>
            </w:r>
            <w:r>
              <w:rPr>
                <w:rFonts w:hint="eastAsia" w:ascii="宋体" w:hAnsi="宋体" w:eastAsia="宋体" w:cs="宋体"/>
                <w:bCs/>
                <w:color w:val="auto"/>
                <w:kern w:val="0"/>
                <w:sz w:val="21"/>
                <w:szCs w:val="24"/>
                <w:highlight w:val="none"/>
                <w:shd w:val="clear" w:color="auto" w:fill="FFFFFF"/>
              </w:rPr>
              <w:t>0元</w:t>
            </w:r>
            <w:r>
              <w:rPr>
                <w:rFonts w:hint="eastAsia" w:ascii="宋体" w:hAnsi="宋体" w:eastAsia="宋体" w:cs="宋体"/>
                <w:bCs/>
                <w:color w:val="auto"/>
                <w:kern w:val="0"/>
                <w:sz w:val="21"/>
                <w:szCs w:val="24"/>
                <w:highlight w:val="none"/>
                <w:shd w:val="clear" w:color="auto" w:fill="FFFFFF"/>
                <w:lang w:val="en-US" w:eastAsia="zh-CN"/>
              </w:rPr>
              <w:t>及以下</w:t>
            </w:r>
            <w:r>
              <w:rPr>
                <w:rFonts w:hint="eastAsia" w:ascii="宋体" w:hAnsi="宋体" w:eastAsia="宋体" w:cs="宋体"/>
                <w:bCs/>
                <w:color w:val="auto"/>
                <w:kern w:val="0"/>
                <w:sz w:val="21"/>
                <w:szCs w:val="24"/>
                <w:highlight w:val="none"/>
                <w:shd w:val="clear" w:color="auto" w:fill="FFFFFF"/>
              </w:rPr>
              <w:t>，给付比例100%，上限</w:t>
            </w:r>
            <w:r>
              <w:rPr>
                <w:rFonts w:hint="eastAsia" w:ascii="宋体" w:hAnsi="宋体" w:eastAsia="宋体" w:cs="宋体"/>
                <w:bCs/>
                <w:color w:val="auto"/>
                <w:kern w:val="0"/>
                <w:sz w:val="21"/>
                <w:szCs w:val="24"/>
                <w:highlight w:val="none"/>
                <w:shd w:val="clear" w:color="auto" w:fill="FFFFFF"/>
                <w:lang w:val="en-US" w:eastAsia="zh-CN"/>
              </w:rPr>
              <w:t>不低于5</w:t>
            </w:r>
            <w:r>
              <w:rPr>
                <w:rFonts w:hint="eastAsia" w:ascii="宋体" w:hAnsi="宋体" w:eastAsia="宋体" w:cs="宋体"/>
                <w:bCs/>
                <w:color w:val="auto"/>
                <w:kern w:val="0"/>
                <w:sz w:val="21"/>
                <w:szCs w:val="24"/>
                <w:highlight w:val="none"/>
                <w:shd w:val="clear" w:color="auto" w:fill="FFFFFF"/>
              </w:rPr>
              <w:t>万元</w:t>
            </w:r>
          </w:p>
        </w:tc>
      </w:tr>
      <w:tr w14:paraId="60D5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0" w:type="pct"/>
            <w:shd w:val="clear" w:color="auto" w:fill="auto"/>
            <w:vAlign w:val="top"/>
          </w:tcPr>
          <w:p w14:paraId="1ED46732">
            <w:pPr>
              <w:spacing w:line="360" w:lineRule="auto"/>
              <w:jc w:val="center"/>
              <w:rPr>
                <w:rFonts w:hint="eastAsia" w:asciiTheme="majorEastAsia" w:hAnsiTheme="majorEastAsia" w:eastAsiaTheme="majorEastAsia" w:cstheme="majorEastAsia"/>
                <w:color w:val="030303"/>
                <w:spacing w:val="-6"/>
                <w:sz w:val="20"/>
                <w:szCs w:val="20"/>
              </w:rPr>
            </w:pPr>
            <w:r>
              <w:rPr>
                <w:rFonts w:hint="eastAsia" w:ascii="仿宋" w:hAnsi="仿宋" w:eastAsia="仿宋" w:cs="仿宋"/>
                <w:bCs/>
                <w:sz w:val="24"/>
                <w:szCs w:val="24"/>
                <w:lang w:val="en-US" w:eastAsia="zh-CN"/>
              </w:rPr>
              <w:t>4</w:t>
            </w:r>
          </w:p>
        </w:tc>
        <w:tc>
          <w:tcPr>
            <w:tcW w:w="4179" w:type="pct"/>
            <w:shd w:val="clear" w:color="auto" w:fill="auto"/>
            <w:vAlign w:val="center"/>
          </w:tcPr>
          <w:p w14:paraId="23C64464">
            <w:pPr>
              <w:widowControl/>
              <w:jc w:val="center"/>
              <w:rPr>
                <w:rFonts w:hint="eastAsia" w:asciiTheme="majorEastAsia" w:hAnsiTheme="majorEastAsia" w:eastAsiaTheme="majorEastAsia" w:cstheme="majorEastAsia"/>
                <w:color w:val="030303"/>
                <w:spacing w:val="-6"/>
                <w:sz w:val="21"/>
                <w:szCs w:val="21"/>
              </w:rPr>
            </w:pPr>
            <w:r>
              <w:rPr>
                <w:rFonts w:hint="eastAsia" w:ascii="宋体" w:hAnsi="宋体" w:eastAsia="宋体" w:cs="宋体"/>
                <w:bCs/>
                <w:color w:val="auto"/>
                <w:kern w:val="0"/>
                <w:sz w:val="21"/>
                <w:szCs w:val="24"/>
                <w:highlight w:val="none"/>
                <w:shd w:val="clear" w:color="auto" w:fill="FFFFFF"/>
              </w:rPr>
              <w:t>住院津贴：因意外伤害住院，每天补贴</w:t>
            </w:r>
            <w:r>
              <w:rPr>
                <w:rFonts w:hint="eastAsia" w:ascii="宋体" w:hAnsi="宋体" w:eastAsia="宋体" w:cs="宋体"/>
                <w:bCs/>
                <w:color w:val="auto"/>
                <w:kern w:val="0"/>
                <w:sz w:val="21"/>
                <w:szCs w:val="24"/>
                <w:highlight w:val="none"/>
                <w:shd w:val="clear" w:color="auto" w:fill="FFFFFF"/>
                <w:lang w:val="en-US" w:eastAsia="zh-CN"/>
              </w:rPr>
              <w:t>不少于100</w:t>
            </w:r>
            <w:r>
              <w:rPr>
                <w:rFonts w:hint="eastAsia" w:ascii="宋体" w:hAnsi="宋体" w:eastAsia="宋体" w:cs="宋体"/>
                <w:bCs/>
                <w:color w:val="auto"/>
                <w:kern w:val="0"/>
                <w:sz w:val="21"/>
                <w:szCs w:val="24"/>
                <w:highlight w:val="none"/>
                <w:shd w:val="clear" w:color="auto" w:fill="FFFFFF"/>
              </w:rPr>
              <w:t>元，每次以90天为限，每年以180天为限</w:t>
            </w:r>
          </w:p>
        </w:tc>
      </w:tr>
      <w:tr w14:paraId="694C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0" w:type="pct"/>
            <w:shd w:val="clear" w:color="auto" w:fill="auto"/>
            <w:vAlign w:val="top"/>
          </w:tcPr>
          <w:p w14:paraId="4B129EBE">
            <w:pPr>
              <w:spacing w:line="360" w:lineRule="auto"/>
              <w:jc w:val="center"/>
              <w:rPr>
                <w:rFonts w:hint="eastAsia" w:asciiTheme="majorEastAsia" w:hAnsiTheme="majorEastAsia" w:eastAsiaTheme="majorEastAsia" w:cstheme="majorEastAsia"/>
                <w:color w:val="030303"/>
                <w:spacing w:val="-6"/>
                <w:sz w:val="20"/>
                <w:szCs w:val="20"/>
              </w:rPr>
            </w:pPr>
            <w:r>
              <w:rPr>
                <w:rFonts w:hint="eastAsia" w:ascii="仿宋" w:hAnsi="仿宋" w:eastAsia="仿宋" w:cs="仿宋"/>
                <w:bCs/>
                <w:sz w:val="24"/>
                <w:szCs w:val="24"/>
                <w:lang w:val="en-US" w:eastAsia="zh-CN"/>
              </w:rPr>
              <w:t>5</w:t>
            </w:r>
          </w:p>
        </w:tc>
        <w:tc>
          <w:tcPr>
            <w:tcW w:w="4179" w:type="pct"/>
            <w:shd w:val="clear" w:color="auto" w:fill="auto"/>
            <w:vAlign w:val="center"/>
          </w:tcPr>
          <w:p w14:paraId="23AF4E92">
            <w:pPr>
              <w:widowControl/>
              <w:jc w:val="center"/>
              <w:rPr>
                <w:rFonts w:hint="eastAsia" w:asciiTheme="majorEastAsia" w:hAnsiTheme="majorEastAsia" w:eastAsiaTheme="majorEastAsia" w:cstheme="majorEastAsia"/>
                <w:color w:val="030303"/>
                <w:spacing w:val="-6"/>
                <w:sz w:val="21"/>
                <w:szCs w:val="21"/>
              </w:rPr>
            </w:pPr>
            <w:r>
              <w:rPr>
                <w:rFonts w:hint="eastAsia" w:ascii="宋体" w:hAnsi="宋体" w:eastAsia="宋体" w:cs="宋体"/>
                <w:bCs/>
                <w:color w:val="auto"/>
                <w:kern w:val="0"/>
                <w:sz w:val="21"/>
                <w:szCs w:val="24"/>
                <w:highlight w:val="none"/>
                <w:shd w:val="clear" w:color="auto" w:fill="FFFFFF"/>
                <w:lang w:val="en-US" w:eastAsia="zh-CN"/>
              </w:rPr>
              <w:t>猝死：被保险人自突发急性症状出现之日起24小时内（含24小时）因该症状直接导致身故的，约定按50万元猝死保险金额承担给付责任。</w:t>
            </w:r>
          </w:p>
        </w:tc>
      </w:tr>
    </w:tbl>
    <w:p w14:paraId="5B8CC338">
      <w:pPr>
        <w:spacing w:line="360" w:lineRule="auto"/>
        <w:ind w:firstLine="480" w:firstLineChars="200"/>
        <w:rPr>
          <w:rFonts w:hint="eastAsia" w:cs="仿宋" w:asciiTheme="minorEastAsia" w:hAnsiTheme="minorEastAsia" w:eastAsiaTheme="minorEastAsia"/>
          <w:bCs/>
          <w:sz w:val="24"/>
          <w:szCs w:val="24"/>
          <w:lang w:val="en-US" w:eastAsia="zh-CN"/>
        </w:rPr>
      </w:pPr>
      <w:r>
        <w:rPr>
          <w:rFonts w:hint="eastAsia" w:cs="仿宋" w:asciiTheme="minorEastAsia" w:hAnsiTheme="minorEastAsia" w:eastAsiaTheme="minorEastAsia"/>
          <w:bCs/>
          <w:sz w:val="24"/>
          <w:szCs w:val="24"/>
          <w:lang w:val="en-US" w:eastAsia="zh-CN"/>
        </w:rPr>
        <w:t>保障范围：本保险项下保障责任需涵盖被保险人员执行紧急医学救援、应急医疗保障及相关外出任务的全过程（含往返途中及任务期间），不受其日常工作岗位或常规工作地点限制。凡因前述任务直接导致的意外身故、伤残、医疗费用及住院津贴，均属本保险赔付范围。</w:t>
      </w:r>
    </w:p>
    <w:p w14:paraId="0F38D934">
      <w:pPr>
        <w:spacing w:line="360" w:lineRule="auto"/>
        <w:ind w:firstLine="480" w:firstLineChars="200"/>
        <w:rPr>
          <w:rFonts w:hint="eastAsia" w:cs="仿宋" w:asciiTheme="minorEastAsia" w:hAnsiTheme="minorEastAsia" w:eastAsiaTheme="minorEastAsia"/>
          <w:bCs/>
          <w:sz w:val="24"/>
          <w:szCs w:val="24"/>
          <w:lang w:val="en-US" w:eastAsia="zh-CN"/>
        </w:rPr>
      </w:pPr>
      <w:r>
        <w:rPr>
          <w:rFonts w:hint="eastAsia" w:cs="仿宋" w:asciiTheme="minorEastAsia" w:hAnsiTheme="minorEastAsia" w:eastAsiaTheme="minorEastAsia"/>
          <w:bCs/>
          <w:sz w:val="24"/>
          <w:szCs w:val="24"/>
          <w:lang w:val="en-US" w:eastAsia="zh-CN"/>
        </w:rPr>
        <w:t>理赔时效：保险公司在收到完整理赔材料后，对于保险责任明确、材料齐全的理赔案件，应在10个工作日内完成核定并出具结论。对于情形复杂的理赔案件，应在《保险法》规定的30日内完成核定。核定属于保险责任的，在与被保险人达成赔付协议后，应在5个工作日内支付保险金。</w:t>
      </w:r>
    </w:p>
    <w:p w14:paraId="4AC64EF2">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三、★供应商资格要求</w:t>
      </w:r>
    </w:p>
    <w:p w14:paraId="36022D5D">
      <w:p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1.投标人必须是法人单位或省级分公司或市级分公司（提供投标人的《营业执照》复印件，原件备查）；如果参与投标的供应商为分公司则须提供分公司营业执照，并同时提供总公司营业执照。不接受同一集团（或总公司）两家或以上分公司同时参与本项目投标，也不接受集团（或总公司）与分公司同时参与本项目投标，如出现上述情形，该两家或以上供应商的投标文件均按无效投标处理）。</w:t>
      </w:r>
    </w:p>
    <w:p w14:paraId="570CF386">
      <w:p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2.投标人必须具备中国保险监督管理委员会核发的《保险公司法人许可证》或《保险许可证》或《经营保险业务许可证》（须提供许可证扫描件，原件备查）。</w:t>
      </w:r>
    </w:p>
    <w:p w14:paraId="1262F437">
      <w:p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3.投标人承诺参与本项目投标前三年内，在经营活动中没有重大违法记录；参与本项目政府采购活动时不存在被有关部门禁止参与政府采购活动且在有效期内的情况；投标人具备《中华人民共和国政府采购法》第二十二条第一款的条件；投标人未被列入失信被执行人、重大税收违法案件当事人名单、政府采购严重违法失信行为记录名单；投标人不围标、不串标（由供应商在《承诺函》中作出声明，《承诺函》需包含上述几条）。</w:t>
      </w:r>
    </w:p>
    <w:p w14:paraId="1FBC4F3F">
      <w:p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4.本项目不接受联合体投标，不允许转标和分标。</w:t>
      </w:r>
    </w:p>
    <w:p w14:paraId="2A268DBA">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四、评标定标方法</w:t>
      </w:r>
    </w:p>
    <w:p w14:paraId="026BB4DB">
      <w:pPr>
        <w:spacing w:line="360" w:lineRule="auto"/>
        <w:ind w:firstLine="480" w:firstLineChars="200"/>
        <w:rPr>
          <w:rFonts w:ascii="黑体" w:hAnsi="黑体" w:eastAsia="黑体" w:cs="仿宋"/>
          <w:color w:val="000000"/>
          <w:sz w:val="32"/>
          <w:szCs w:val="32"/>
        </w:rPr>
      </w:pPr>
      <w:r>
        <w:rPr>
          <w:rFonts w:hint="eastAsia" w:ascii="宋体" w:hAnsi="宋体" w:cs="宋体"/>
          <w:color w:val="333333"/>
          <w:kern w:val="0"/>
          <w:sz w:val="24"/>
          <w:szCs w:val="24"/>
        </w:rPr>
        <w:t>本项目成交方法采用最低价法，完全满足公开竞价文件的实质性要求，按照报价由低到高的顺序，确定中标候选供应商顺序。原则上最低报价的1家为中标供应商。当最低报价出现有二家或以上供应商时，由采购人自主选择1家报价最低的供应商为中标人。如中标供应商提供产品无法满足采购人要求的，采购人可按中标候选供应商顺序依次选择下一家中标候选供应商替代原中标供应商。</w:t>
      </w:r>
    </w:p>
    <w:p w14:paraId="272EE5C5">
      <w:pPr>
        <w:spacing w:line="580" w:lineRule="exact"/>
        <w:ind w:firstLine="640" w:firstLineChars="200"/>
        <w:rPr>
          <w:rFonts w:ascii="黑体" w:hAnsi="黑体" w:eastAsia="黑体" w:cs="黑体"/>
          <w:b/>
          <w:sz w:val="32"/>
          <w:szCs w:val="32"/>
        </w:rPr>
      </w:pPr>
      <w:r>
        <w:rPr>
          <w:rFonts w:hint="eastAsia" w:ascii="黑体" w:hAnsi="黑体" w:eastAsia="黑体" w:cs="黑体"/>
          <w:sz w:val="32"/>
          <w:szCs w:val="32"/>
        </w:rPr>
        <w:t>五、</w:t>
      </w:r>
      <w:r>
        <w:rPr>
          <w:rFonts w:hint="eastAsia" w:ascii="黑体" w:hAnsi="黑体" w:eastAsia="黑体" w:cs="仿宋"/>
          <w:color w:val="000000"/>
          <w:sz w:val="32"/>
          <w:szCs w:val="32"/>
        </w:rPr>
        <w:t>★商务需求（</w:t>
      </w:r>
      <w:r>
        <w:rPr>
          <w:rFonts w:hint="eastAsia" w:ascii="黑体" w:hAnsi="黑体" w:eastAsia="黑体" w:cs="仿宋"/>
          <w:b/>
          <w:bCs/>
          <w:color w:val="FF0000"/>
          <w:sz w:val="32"/>
          <w:szCs w:val="32"/>
        </w:rPr>
        <w:t>“★”号条款为实质性条款，有任何一条负偏离则导致无效投标</w:t>
      </w:r>
      <w:r>
        <w:rPr>
          <w:rFonts w:hint="eastAsia" w:ascii="黑体" w:hAnsi="黑体" w:eastAsia="黑体" w:cs="仿宋"/>
          <w:color w:val="000000"/>
          <w:sz w:val="32"/>
          <w:szCs w:val="32"/>
        </w:rPr>
        <w:t>）</w:t>
      </w:r>
    </w:p>
    <w:p w14:paraId="1601D6BB">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一）服务期：合同签订且采购人按年度（12个月）付费后，付费次日前生成保单，保险期间为12个月（自合同签订后转账成功日起）。本项目服务期满后，采购人可根据成交供应商履约情况确定合同期限是否延长，合同期限最长不超过三年，合同一年一签。</w:t>
      </w:r>
    </w:p>
    <w:p w14:paraId="43549C7A">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（二）服务对象：中山大学附属第七医院紧急医学救援队成员（</w:t>
      </w:r>
      <w:r>
        <w:rPr>
          <w:rFonts w:hint="eastAsia" w:cs="仿宋" w:asciiTheme="minorEastAsia" w:hAnsiTheme="minorEastAsia" w:eastAsiaTheme="minorEastAsia"/>
          <w:sz w:val="24"/>
          <w:szCs w:val="24"/>
          <w:lang w:val="en-US" w:eastAsia="zh-CN"/>
        </w:rPr>
        <w:t>约</w:t>
      </w:r>
      <w:r>
        <w:rPr>
          <w:rFonts w:hint="default" w:cs="仿宋" w:asciiTheme="minorEastAsia" w:hAnsiTheme="minorEastAsia" w:eastAsiaTheme="minorEastAsia"/>
          <w:sz w:val="24"/>
          <w:szCs w:val="24"/>
          <w:lang w:val="en-US" w:eastAsia="zh-CN"/>
        </w:rPr>
        <w:t>117人）。</w:t>
      </w:r>
    </w:p>
    <w:p w14:paraId="150119FA">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（三）报价要求：</w:t>
      </w:r>
    </w:p>
    <w:p w14:paraId="2672899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1.本项目预算金额：人民币：78480元，响应报价超过预算金额的视为无效响应。</w:t>
      </w:r>
    </w:p>
    <w:p w14:paraId="4CA4AB2B">
      <w:pPr>
        <w:numPr>
          <w:ilvl w:val="0"/>
          <w:numId w:val="0"/>
        </w:numPr>
        <w:spacing w:line="360" w:lineRule="auto"/>
        <w:rPr>
          <w:rFonts w:hint="eastAsia" w:ascii="宋体" w:hAnsi="宋体" w:eastAsia="宋体" w:cs="宋体"/>
          <w:sz w:val="24"/>
          <w:szCs w:val="24"/>
          <w:lang w:eastAsia="zh-CN"/>
        </w:rPr>
      </w:pPr>
      <w:r>
        <w:rPr>
          <w:rFonts w:hint="default" w:cs="仿宋" w:asciiTheme="minorEastAsia" w:hAnsiTheme="minorEastAsia" w:eastAsiaTheme="minorEastAsia"/>
          <w:sz w:val="24"/>
          <w:szCs w:val="24"/>
          <w:lang w:val="en-US" w:eastAsia="zh-CN"/>
        </w:rPr>
        <w:t>2.</w:t>
      </w:r>
      <w:r>
        <w:rPr>
          <w:rFonts w:ascii="宋体" w:hAnsi="宋体" w:eastAsia="宋体" w:cs="宋体"/>
          <w:sz w:val="24"/>
          <w:szCs w:val="24"/>
        </w:rPr>
        <w:t>本项目服务费采用单价合同方式。投标供应商应根据采购文件要求，对各项服务内容报出单价（包括但不限于服务成本、法定税费、企业利润等）。合同结算金额按实际</w:t>
      </w:r>
      <w:r>
        <w:rPr>
          <w:rFonts w:hint="eastAsia" w:ascii="宋体" w:hAnsi="宋体" w:eastAsia="宋体" w:cs="宋体"/>
          <w:sz w:val="24"/>
          <w:szCs w:val="24"/>
          <w:lang w:val="en-US" w:eastAsia="zh-CN"/>
        </w:rPr>
        <w:t>参保人数</w:t>
      </w:r>
      <w:r>
        <w:rPr>
          <w:rFonts w:ascii="宋体" w:hAnsi="宋体" w:eastAsia="宋体" w:cs="宋体"/>
          <w:sz w:val="24"/>
          <w:szCs w:val="24"/>
        </w:rPr>
        <w:t>乘以中标单价计算。最终结算金额不超过本项目预算</w:t>
      </w:r>
      <w:r>
        <w:rPr>
          <w:rFonts w:hint="eastAsia" w:ascii="宋体" w:hAnsi="宋体" w:eastAsia="宋体" w:cs="宋体"/>
          <w:sz w:val="24"/>
          <w:szCs w:val="24"/>
          <w:lang w:val="en-US" w:eastAsia="zh-CN"/>
        </w:rPr>
        <w:t>金额。</w:t>
      </w:r>
    </w:p>
    <w:p w14:paraId="0656DB88">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3.投标供应商应当根据本企业的成本自行决定报价，但不得以低于其企业成本的报价投标。</w:t>
      </w:r>
    </w:p>
    <w:p w14:paraId="2C9DCB20">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4.投标供应商的报价不得超过项目预算金额。</w:t>
      </w:r>
    </w:p>
    <w:p w14:paraId="65BC77B0">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5.投标供应商的报价，应当是本项目采购范围和采购文件及合同条款上所列的各项内容中所述的全部，不得以任何理由予以重复。</w:t>
      </w:r>
    </w:p>
    <w:p w14:paraId="7F6B8E3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6.除非采购人通过修改采购文件予以更正，否则，投标供应商应毫无例外地按响应文件所列的清单中项目和数量填报综合单价或合价。投标供应商未填综合单价或合价的项目，在实施后，将不得以支付，并视作该项费用已包括在其它有价款的综合单价或合价内。</w:t>
      </w:r>
    </w:p>
    <w:p w14:paraId="5C033286">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7.投标供应商应充分了解项目情况，任何因忽视或误解项目情况而导致的索赔或服务期限延长申请将不获批准。</w:t>
      </w:r>
    </w:p>
    <w:p w14:paraId="7DB97AB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8.投标供应商不得期望通过索赔等方式获取补偿，否则，除可能遭到拒绝外，还可能将被作为不良行为记录在案，并可能影响其以后参加政府采购的项目投标。各投标供应商在报价时，应充分考虑报价的风险。</w:t>
      </w:r>
    </w:p>
    <w:p w14:paraId="39FDC58B">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（四）付款方式：</w:t>
      </w:r>
      <w:r>
        <w:rPr>
          <w:rFonts w:hint="default" w:cs="仿宋" w:asciiTheme="minorEastAsia" w:hAnsiTheme="minorEastAsia" w:eastAsiaTheme="minorEastAsia"/>
          <w:sz w:val="24"/>
          <w:szCs w:val="24"/>
          <w:lang w:val="en-US" w:eastAsia="zh-CN"/>
        </w:rPr>
        <w:br w:type="textWrapping"/>
      </w:r>
      <w:r>
        <w:rPr>
          <w:rFonts w:hint="eastAsia" w:cs="仿宋" w:asciiTheme="minorEastAsia" w:hAnsiTheme="minorEastAsia" w:eastAsiaTheme="minorEastAsia"/>
          <w:sz w:val="24"/>
          <w:szCs w:val="24"/>
          <w:lang w:val="en-US" w:eastAsia="zh-CN"/>
        </w:rPr>
        <w:t>1.该项目支付上限为78480元</w:t>
      </w:r>
      <w:r>
        <w:rPr>
          <w:rFonts w:hint="eastAsia"/>
          <w:lang w:val="en-US" w:eastAsia="zh-CN"/>
        </w:rPr>
        <w:t>，</w:t>
      </w:r>
      <w:r>
        <w:rPr>
          <w:rFonts w:hint="eastAsia" w:cs="仿宋" w:asciiTheme="minorEastAsia" w:hAnsiTheme="minorEastAsia" w:eastAsiaTheme="minorEastAsia"/>
          <w:sz w:val="24"/>
          <w:szCs w:val="24"/>
          <w:lang w:val="en-US" w:eastAsia="zh-CN"/>
        </w:rPr>
        <w:t>合同结算金额按实际参保人数乘以中标单价计算。</w:t>
      </w:r>
      <w:r>
        <w:rPr>
          <w:rFonts w:hint="default" w:cs="仿宋" w:asciiTheme="minorEastAsia" w:hAnsiTheme="minorEastAsia" w:eastAsiaTheme="minorEastAsia"/>
          <w:sz w:val="24"/>
          <w:szCs w:val="24"/>
          <w:lang w:val="en-US" w:eastAsia="zh-CN"/>
        </w:rPr>
        <w:br w:type="textWrapping"/>
      </w:r>
      <w:r>
        <w:rPr>
          <w:rFonts w:hint="eastAsia" w:cs="仿宋" w:asciiTheme="minorEastAsia" w:hAnsiTheme="minorEastAsia" w:eastAsiaTheme="minorEastAsia"/>
          <w:sz w:val="24"/>
          <w:szCs w:val="24"/>
          <w:lang w:val="en-US" w:eastAsia="zh-CN"/>
        </w:rPr>
        <w:t>2.采购人收到相关缴费通知书、投保单后10个工作日内向中标人付款，付款次日前保险服务生效(生成保单)</w:t>
      </w:r>
    </w:p>
    <w:p w14:paraId="47EA73AB">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（五）售后服务要求：</w:t>
      </w:r>
    </w:p>
    <w:p w14:paraId="67222194">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1.投保成功后，中标供应商短信通知被保险人紧急医学救援队伍人员（</w:t>
      </w:r>
      <w:r>
        <w:rPr>
          <w:rFonts w:hint="eastAsia" w:cs="仿宋" w:asciiTheme="minorEastAsia" w:hAnsiTheme="minorEastAsia" w:eastAsiaTheme="minorEastAsia"/>
          <w:sz w:val="24"/>
          <w:szCs w:val="24"/>
          <w:lang w:val="en-US" w:eastAsia="zh-CN"/>
        </w:rPr>
        <w:t>约</w:t>
      </w:r>
      <w:r>
        <w:rPr>
          <w:rFonts w:hint="default" w:cs="仿宋" w:asciiTheme="minorEastAsia" w:hAnsiTheme="minorEastAsia" w:eastAsiaTheme="minorEastAsia"/>
          <w:sz w:val="24"/>
          <w:szCs w:val="24"/>
          <w:lang w:val="en-US" w:eastAsia="zh-CN"/>
        </w:rPr>
        <w:t>117人）有关保险内容及权利。</w:t>
      </w:r>
    </w:p>
    <w:p w14:paraId="77081ED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2.允许服务期间内，因采购人紧急医学救援队伍人员调整提出被保险人员变更。采购人告知人员调整日起，中标供应商须5个工作日内完成被保险人调整。</w:t>
      </w:r>
    </w:p>
    <w:p w14:paraId="504DDA4B">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w:t>
      </w:r>
      <w:r>
        <w:rPr>
          <w:rFonts w:hint="eastAsia" w:cs="仿宋" w:asciiTheme="minorEastAsia" w:hAnsiTheme="minorEastAsia" w:eastAsiaTheme="minorEastAsia"/>
          <w:sz w:val="24"/>
          <w:szCs w:val="24"/>
          <w:lang w:val="en-US" w:eastAsia="zh-CN"/>
        </w:rPr>
        <w:t>六</w:t>
      </w:r>
      <w:r>
        <w:rPr>
          <w:rFonts w:hint="default" w:cs="仿宋" w:asciiTheme="minorEastAsia" w:hAnsiTheme="minorEastAsia" w:eastAsiaTheme="minorEastAsia"/>
          <w:sz w:val="24"/>
          <w:szCs w:val="24"/>
          <w:lang w:val="en-US" w:eastAsia="zh-CN"/>
        </w:rPr>
        <w:t>）违约责任：</w:t>
      </w:r>
    </w:p>
    <w:p w14:paraId="00089F0F">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因中标供应商原因导致逾期提供服务的，每逾期1天中标供应商向采购人偿付总价款1%的违约金，违约金上限为总款价。中标供应商应保证所供服务达到国家标准或行业标准。</w:t>
      </w:r>
    </w:p>
    <w:p w14:paraId="0A0DC2B2">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六、投标人需提供的资料</w:t>
      </w:r>
    </w:p>
    <w:p w14:paraId="04ECCAD2">
      <w:pPr>
        <w:widowControl/>
        <w:shd w:val="clear" w:color="auto" w:fill="FFFFFF"/>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1、法定代表人</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负责人</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rPr>
        <w:t>证明书原件（</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rPr>
        <w:t>）</w:t>
      </w:r>
    </w:p>
    <w:p w14:paraId="30749A20">
      <w:pPr>
        <w:widowControl/>
        <w:shd w:val="clear" w:color="auto" w:fill="FFFFFF"/>
        <w:spacing w:line="360" w:lineRule="auto"/>
        <w:ind w:firstLine="480" w:firstLineChars="200"/>
        <w:jc w:val="left"/>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2、投标文件签署授权委托书原件</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lang w:eastAsia="zh-CN"/>
        </w:rPr>
        <w:t>）</w:t>
      </w:r>
    </w:p>
    <w:p w14:paraId="409B3315">
      <w:pPr>
        <w:widowControl/>
        <w:shd w:val="clear" w:color="auto" w:fill="FFFFFF"/>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3、企业营业执照复印件</w:t>
      </w:r>
    </w:p>
    <w:p w14:paraId="3910AFC0">
      <w:pPr>
        <w:widowControl/>
        <w:shd w:val="clear" w:color="auto" w:fill="FFFFFF"/>
        <w:spacing w:line="360" w:lineRule="auto"/>
        <w:ind w:firstLine="480"/>
        <w:jc w:val="left"/>
        <w:rPr>
          <w:rFonts w:ascii="宋体" w:hAnsi="宋体" w:cs="宋体"/>
          <w:color w:val="2C436F"/>
          <w:kern w:val="0"/>
          <w:sz w:val="17"/>
          <w:szCs w:val="17"/>
        </w:rPr>
      </w:pPr>
      <w:r>
        <w:rPr>
          <w:rFonts w:hint="eastAsia" w:ascii="宋体" w:hAnsi="宋体" w:cs="宋体"/>
          <w:color w:val="333333"/>
          <w:kern w:val="0"/>
          <w:sz w:val="24"/>
          <w:szCs w:val="24"/>
        </w:rPr>
        <w:t>4、报价表（</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rPr>
        <w:t>）</w:t>
      </w:r>
    </w:p>
    <w:p w14:paraId="10F40379">
      <w:pPr>
        <w:widowControl/>
        <w:shd w:val="clear" w:color="auto" w:fill="FFFFFF"/>
        <w:spacing w:line="360" w:lineRule="auto"/>
        <w:ind w:firstLine="480"/>
        <w:jc w:val="left"/>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5、</w:t>
      </w: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lang w:eastAsia="zh-CN"/>
        </w:rPr>
        <w:t>）</w:t>
      </w:r>
    </w:p>
    <w:p w14:paraId="27BA6DC6">
      <w:pPr>
        <w:widowControl/>
        <w:shd w:val="clear" w:color="auto" w:fill="FFFFFF"/>
        <w:spacing w:line="360" w:lineRule="auto"/>
        <w:ind w:firstLine="480"/>
        <w:jc w:val="left"/>
        <w:rPr>
          <w:rFonts w:ascii="宋体" w:hAnsi="宋体" w:cs="宋体"/>
          <w:color w:val="333333"/>
          <w:kern w:val="0"/>
          <w:sz w:val="24"/>
          <w:szCs w:val="24"/>
        </w:rPr>
      </w:pPr>
      <w:r>
        <w:rPr>
          <w:rFonts w:hint="eastAsia" w:ascii="宋体" w:hAnsi="宋体" w:cs="宋体"/>
          <w:color w:val="333333"/>
          <w:kern w:val="0"/>
          <w:sz w:val="24"/>
          <w:szCs w:val="24"/>
        </w:rPr>
        <w:t>6、技术条款偏离情况表（</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rPr>
        <w:t>）</w:t>
      </w:r>
    </w:p>
    <w:p w14:paraId="0E6ABC9E">
      <w:pPr>
        <w:widowControl/>
        <w:shd w:val="clear" w:color="auto" w:fill="FFFFFF"/>
        <w:spacing w:line="360" w:lineRule="auto"/>
        <w:ind w:firstLine="480"/>
        <w:jc w:val="left"/>
        <w:rPr>
          <w:rFonts w:ascii="宋体" w:hAnsi="宋体" w:cs="宋体"/>
          <w:color w:val="2C436F"/>
          <w:kern w:val="0"/>
          <w:sz w:val="17"/>
          <w:szCs w:val="17"/>
        </w:rPr>
      </w:pPr>
      <w:r>
        <w:rPr>
          <w:rFonts w:hint="eastAsia" w:ascii="宋体" w:hAnsi="宋体" w:cs="宋体"/>
          <w:color w:val="333333"/>
          <w:kern w:val="0"/>
          <w:sz w:val="24"/>
          <w:szCs w:val="24"/>
        </w:rPr>
        <w:t>7、商务条款偏离情况表（</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rPr>
        <w:t>）</w:t>
      </w:r>
    </w:p>
    <w:p w14:paraId="2F9A4AF7">
      <w:pPr>
        <w:widowControl/>
        <w:shd w:val="clear" w:color="auto" w:fill="FFFFFF"/>
        <w:spacing w:line="360" w:lineRule="auto"/>
        <w:ind w:firstLine="480"/>
        <w:jc w:val="left"/>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8、投标人提供《诚信承诺函》承诺：本公司参与本项目投标前三年内，在经营活动中没有重大违法记录；参与本项目政府采购活动时不存在被有关部门禁止参与政府采购活动且在有效期内的情况；本公司具备《中华人民共和国政府采购法》第二十二条第一款的条件；本公司未被列入失信被执行人、重大税收违法案件当事人名单、政府采购严重违法失信行为记录名单；本公司不围标、不串标。</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格式自拟</w:t>
      </w:r>
      <w:r>
        <w:rPr>
          <w:rFonts w:hint="eastAsia" w:ascii="宋体" w:hAnsi="宋体" w:cs="宋体"/>
          <w:color w:val="333333"/>
          <w:kern w:val="0"/>
          <w:sz w:val="24"/>
          <w:szCs w:val="24"/>
          <w:lang w:eastAsia="zh-CN"/>
        </w:rPr>
        <w:t>）</w:t>
      </w:r>
    </w:p>
    <w:p w14:paraId="708CCBB4">
      <w:pPr>
        <w:widowControl/>
        <w:shd w:val="clear" w:color="auto" w:fill="FFFFFF"/>
        <w:spacing w:line="360" w:lineRule="auto"/>
        <w:ind w:left="477" w:leftChars="227"/>
        <w:jc w:val="left"/>
        <w:rPr>
          <w:rFonts w:ascii="宋体" w:hAnsi="宋体" w:cs="宋体"/>
          <w:b/>
          <w:color w:val="333333"/>
          <w:kern w:val="0"/>
          <w:sz w:val="24"/>
          <w:szCs w:val="24"/>
        </w:rPr>
      </w:pPr>
      <w:r>
        <w:rPr>
          <w:rFonts w:hint="eastAsia" w:ascii="宋体" w:hAnsi="宋体" w:cs="宋体"/>
          <w:b/>
          <w:color w:val="333333"/>
          <w:kern w:val="0"/>
          <w:sz w:val="24"/>
          <w:szCs w:val="24"/>
        </w:rPr>
        <w:t>注：以上提交的资料均需加盖投标人公章。</w:t>
      </w:r>
    </w:p>
    <w:p w14:paraId="4AFD126D">
      <w:pPr>
        <w:widowControl/>
        <w:shd w:val="clear" w:color="auto" w:fill="FFFFFF"/>
        <w:spacing w:line="360" w:lineRule="auto"/>
        <w:ind w:left="477" w:leftChars="227"/>
        <w:jc w:val="left"/>
        <w:rPr>
          <w:rFonts w:ascii="宋体" w:hAnsi="宋体" w:cs="宋体"/>
          <w:color w:val="2C436F"/>
          <w:kern w:val="0"/>
          <w:sz w:val="17"/>
          <w:szCs w:val="17"/>
        </w:rPr>
      </w:pPr>
      <w:r>
        <w:rPr>
          <w:rFonts w:hint="eastAsia" w:ascii="宋体" w:hAnsi="宋体" w:cs="宋体"/>
          <w:color w:val="333333"/>
          <w:kern w:val="0"/>
          <w:sz w:val="24"/>
          <w:szCs w:val="24"/>
        </w:rPr>
        <w:t>投标文件递交截止时间：</w:t>
      </w:r>
      <w:r>
        <w:rPr>
          <w:rFonts w:hint="eastAsia" w:ascii="宋体" w:hAnsi="宋体" w:cs="宋体"/>
          <w:color w:val="333333"/>
          <w:kern w:val="0"/>
          <w:sz w:val="24"/>
          <w:szCs w:val="24"/>
          <w:lang w:val="en-US" w:eastAsia="zh-CN"/>
        </w:rPr>
        <w:t>2026</w:t>
      </w:r>
      <w:r>
        <w:rPr>
          <w:rFonts w:hint="eastAsia" w:ascii="宋体" w:hAnsi="宋体" w:cs="宋体"/>
          <w:color w:val="333333"/>
          <w:kern w:val="0"/>
          <w:sz w:val="24"/>
          <w:szCs w:val="24"/>
        </w:rPr>
        <w:t>年</w:t>
      </w:r>
      <w:r>
        <w:rPr>
          <w:rFonts w:hint="eastAsia" w:ascii="宋体" w:hAnsi="宋体" w:cs="宋体"/>
          <w:color w:val="333333"/>
          <w:kern w:val="0"/>
          <w:sz w:val="24"/>
          <w:szCs w:val="24"/>
          <w:lang w:val="en-US" w:eastAsia="zh-CN"/>
        </w:rPr>
        <w:t>6</w:t>
      </w:r>
      <w:r>
        <w:rPr>
          <w:rFonts w:hint="eastAsia" w:ascii="宋体" w:hAnsi="宋体" w:cs="宋体"/>
          <w:color w:val="333333"/>
          <w:kern w:val="0"/>
          <w:sz w:val="24"/>
          <w:szCs w:val="24"/>
        </w:rPr>
        <w:t>月</w:t>
      </w:r>
      <w:r>
        <w:rPr>
          <w:rFonts w:hint="eastAsia" w:ascii="宋体" w:hAnsi="宋体" w:cs="宋体"/>
          <w:color w:val="333333"/>
          <w:kern w:val="0"/>
          <w:sz w:val="24"/>
          <w:szCs w:val="24"/>
          <w:lang w:val="en-US" w:eastAsia="zh-CN"/>
        </w:rPr>
        <w:t>23</w:t>
      </w:r>
      <w:r>
        <w:rPr>
          <w:rFonts w:hint="eastAsia" w:ascii="宋体" w:hAnsi="宋体" w:cs="宋体"/>
          <w:color w:val="333333"/>
          <w:kern w:val="0"/>
          <w:sz w:val="24"/>
          <w:szCs w:val="24"/>
        </w:rPr>
        <w:t>日</w:t>
      </w:r>
      <w:r>
        <w:rPr>
          <w:rFonts w:hint="eastAsia" w:ascii="宋体" w:hAnsi="宋体" w:cs="宋体"/>
          <w:color w:val="333333"/>
          <w:kern w:val="0"/>
          <w:sz w:val="24"/>
          <w:szCs w:val="24"/>
          <w:highlight w:val="yellow"/>
        </w:rPr>
        <w:t>17:00</w:t>
      </w:r>
      <w:r>
        <w:rPr>
          <w:rFonts w:hint="eastAsia" w:ascii="宋体" w:hAnsi="宋体" w:cs="宋体"/>
          <w:color w:val="333333"/>
          <w:kern w:val="0"/>
          <w:sz w:val="24"/>
          <w:szCs w:val="24"/>
        </w:rPr>
        <w:t>。</w:t>
      </w:r>
    </w:p>
    <w:p w14:paraId="21D5F62B">
      <w:pPr>
        <w:widowControl/>
        <w:shd w:val="clear" w:color="auto" w:fill="FFFFFF"/>
        <w:spacing w:line="360" w:lineRule="auto"/>
        <w:ind w:firstLine="480"/>
        <w:jc w:val="left"/>
        <w:rPr>
          <w:rFonts w:ascii="宋体" w:hAnsi="宋体" w:cs="宋体"/>
          <w:kern w:val="0"/>
          <w:sz w:val="24"/>
          <w:szCs w:val="24"/>
        </w:rPr>
      </w:pPr>
      <w:r>
        <w:rPr>
          <w:rFonts w:hint="eastAsia" w:ascii="宋体" w:hAnsi="宋体" w:cs="宋体"/>
          <w:kern w:val="0"/>
          <w:sz w:val="24"/>
          <w:szCs w:val="24"/>
        </w:rPr>
        <w:t>上述资料</w:t>
      </w:r>
      <w:r>
        <w:rPr>
          <w:rFonts w:hint="eastAsia" w:ascii="宋体" w:hAnsi="宋体" w:cs="宋体"/>
          <w:b/>
          <w:kern w:val="0"/>
          <w:sz w:val="24"/>
          <w:szCs w:val="24"/>
        </w:rPr>
        <w:t>（一正二副）</w:t>
      </w:r>
      <w:r>
        <w:rPr>
          <w:rFonts w:hint="eastAsia" w:ascii="宋体" w:hAnsi="宋体" w:cs="宋体"/>
          <w:kern w:val="0"/>
          <w:sz w:val="24"/>
          <w:szCs w:val="24"/>
        </w:rPr>
        <w:t>装订成册后，用文件袋密封并在封套的封口处加盖单位公章后投递至地址：深圳市光明区新湖街道圳园路628号中山大学附属第七医院行政楼1</w:t>
      </w:r>
      <w:r>
        <w:rPr>
          <w:rFonts w:ascii="宋体" w:hAnsi="宋体" w:cs="宋体"/>
          <w:kern w:val="0"/>
          <w:sz w:val="24"/>
          <w:szCs w:val="24"/>
        </w:rPr>
        <w:t>09</w:t>
      </w:r>
      <w:r>
        <w:rPr>
          <w:rFonts w:hint="eastAsia" w:ascii="宋体" w:hAnsi="宋体" w:cs="宋体"/>
          <w:kern w:val="0"/>
          <w:sz w:val="24"/>
          <w:szCs w:val="24"/>
        </w:rPr>
        <w:t>办公室</w:t>
      </w:r>
    </w:p>
    <w:p w14:paraId="2948D503">
      <w:pPr>
        <w:widowControl/>
        <w:shd w:val="clear" w:color="auto" w:fill="FFFFFF"/>
        <w:spacing w:line="360" w:lineRule="auto"/>
        <w:ind w:firstLine="480"/>
        <w:jc w:val="left"/>
        <w:rPr>
          <w:rFonts w:hint="default" w:ascii="宋体" w:hAnsi="宋体" w:eastAsia="宋体" w:cs="宋体"/>
          <w:kern w:val="0"/>
          <w:sz w:val="24"/>
          <w:szCs w:val="24"/>
          <w:lang w:val="en-US" w:eastAsia="zh-CN"/>
        </w:rPr>
      </w:pPr>
      <w:r>
        <w:rPr>
          <w:rFonts w:hint="eastAsia" w:ascii="宋体" w:hAnsi="宋体" w:cs="宋体"/>
          <w:kern w:val="0"/>
          <w:sz w:val="24"/>
          <w:szCs w:val="24"/>
        </w:rPr>
        <w:t>联系人：</w:t>
      </w:r>
      <w:r>
        <w:rPr>
          <w:rFonts w:hint="eastAsia" w:ascii="宋体" w:hAnsi="宋体" w:cs="宋体"/>
          <w:kern w:val="0"/>
          <w:sz w:val="24"/>
          <w:szCs w:val="24"/>
          <w:lang w:val="en-US" w:eastAsia="zh-CN"/>
        </w:rPr>
        <w:t>向</w:t>
      </w:r>
      <w:r>
        <w:rPr>
          <w:rFonts w:hint="eastAsia" w:ascii="宋体" w:hAnsi="宋体" w:cs="宋体"/>
          <w:kern w:val="0"/>
          <w:sz w:val="24"/>
          <w:szCs w:val="24"/>
        </w:rPr>
        <w:t>老师   0755-8120</w:t>
      </w:r>
      <w:r>
        <w:rPr>
          <w:rFonts w:hint="eastAsia" w:ascii="宋体" w:hAnsi="宋体" w:cs="宋体"/>
          <w:kern w:val="0"/>
          <w:sz w:val="24"/>
          <w:szCs w:val="24"/>
          <w:lang w:val="en-US" w:eastAsia="zh-CN"/>
        </w:rPr>
        <w:t>6234</w:t>
      </w:r>
    </w:p>
    <w:p w14:paraId="415195BC">
      <w:pPr>
        <w:widowControl/>
        <w:shd w:val="clear" w:color="auto" w:fill="FFFFFF"/>
        <w:spacing w:line="360" w:lineRule="auto"/>
        <w:ind w:firstLine="480"/>
        <w:jc w:val="left"/>
        <w:rPr>
          <w:rFonts w:ascii="黑体" w:hAnsi="黑体" w:eastAsia="黑体" w:cs="仿宋"/>
          <w:color w:val="000000"/>
          <w:sz w:val="32"/>
          <w:szCs w:val="32"/>
        </w:rPr>
      </w:pPr>
      <w:r>
        <w:rPr>
          <w:rFonts w:hint="eastAsia" w:ascii="黑体" w:hAnsi="黑体" w:eastAsia="黑体" w:cs="仿宋"/>
          <w:color w:val="000000"/>
          <w:sz w:val="32"/>
          <w:szCs w:val="32"/>
        </w:rPr>
        <w:t>七、开标时间及地址：</w:t>
      </w:r>
    </w:p>
    <w:p w14:paraId="4A361745">
      <w:pPr>
        <w:spacing w:line="58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2026</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24</w:t>
      </w:r>
      <w:r>
        <w:rPr>
          <w:rFonts w:hint="eastAsia" w:cs="仿宋" w:asciiTheme="minorEastAsia" w:hAnsiTheme="minorEastAsia" w:eastAsiaTheme="minorEastAsia"/>
          <w:sz w:val="24"/>
          <w:szCs w:val="24"/>
        </w:rPr>
        <w:t>日，深圳市光明区新湖街道圳园路628号中山大学附属第七医院行政楼。（投标人无需到场）</w:t>
      </w:r>
    </w:p>
    <w:p w14:paraId="28A43518">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八、其他补充事宜</w:t>
      </w:r>
    </w:p>
    <w:p w14:paraId="623EFAF1">
      <w:pPr>
        <w:spacing w:line="580" w:lineRule="exact"/>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w:t>
      </w:r>
      <w:r>
        <w:rPr>
          <w:rFonts w:hint="eastAsia" w:cs="仿宋" w:asciiTheme="minorEastAsia" w:hAnsiTheme="minorEastAsia" w:eastAsiaTheme="minorEastAsia"/>
          <w:sz w:val="24"/>
          <w:szCs w:val="24"/>
        </w:rPr>
        <w:t>报名如不足3家，采购人可延长报名时间、依法重新组织公开竞价。</w:t>
      </w:r>
    </w:p>
    <w:p w14:paraId="04E47D91">
      <w:pPr>
        <w:spacing w:line="58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2、</w:t>
      </w:r>
      <w:r>
        <w:rPr>
          <w:rFonts w:hint="eastAsia" w:cs="仿宋" w:asciiTheme="minorEastAsia" w:hAnsiTheme="minorEastAsia" w:eastAsiaTheme="minorEastAsia"/>
          <w:sz w:val="24"/>
          <w:szCs w:val="24"/>
        </w:rPr>
        <w:t>质疑材料现场提交、邮寄地址：深圳市光明区新湖街道圳园路628号中山大学附属第七医院行政楼。投标人应在法定质疑期内一次性提出针对同一采购程序环节的质疑。</w:t>
      </w:r>
    </w:p>
    <w:p w14:paraId="299CA7DE">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九、凡对本次公示内容提出询问，请按以下方式联系</w:t>
      </w:r>
    </w:p>
    <w:p w14:paraId="757394F8">
      <w:pPr>
        <w:spacing w:line="58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lang w:val="en-US" w:eastAsia="zh-CN"/>
        </w:rPr>
        <w:t>向</w:t>
      </w:r>
      <w:r>
        <w:rPr>
          <w:rFonts w:hint="eastAsia" w:cs="仿宋" w:asciiTheme="minorEastAsia" w:hAnsiTheme="minorEastAsia" w:eastAsiaTheme="minorEastAsia"/>
          <w:sz w:val="24"/>
          <w:szCs w:val="24"/>
        </w:rPr>
        <w:t>老师</w:t>
      </w:r>
    </w:p>
    <w:p w14:paraId="62050938">
      <w:pPr>
        <w:spacing w:line="580" w:lineRule="exact"/>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电话：0755-8</w:t>
      </w:r>
      <w:r>
        <w:rPr>
          <w:rFonts w:cs="仿宋" w:asciiTheme="minorEastAsia" w:hAnsiTheme="minorEastAsia" w:eastAsiaTheme="minorEastAsia"/>
          <w:sz w:val="24"/>
          <w:szCs w:val="24"/>
        </w:rPr>
        <w:t>120</w:t>
      </w:r>
      <w:r>
        <w:rPr>
          <w:rFonts w:hint="eastAsia" w:cs="仿宋" w:asciiTheme="minorEastAsia" w:hAnsiTheme="minorEastAsia" w:eastAsiaTheme="minorEastAsia"/>
          <w:sz w:val="24"/>
          <w:szCs w:val="24"/>
          <w:lang w:val="en-US" w:eastAsia="zh-CN"/>
        </w:rPr>
        <w:t>6234</w:t>
      </w:r>
    </w:p>
    <w:p w14:paraId="2FB1E3C0">
      <w:pPr>
        <w:spacing w:line="580" w:lineRule="exact"/>
        <w:ind w:firstLine="480" w:firstLineChars="200"/>
        <w:rPr>
          <w:rFonts w:cs="仿宋" w:asciiTheme="minorEastAsia" w:hAnsiTheme="minorEastAsia" w:eastAsiaTheme="minorEastAsia"/>
          <w:sz w:val="24"/>
          <w:szCs w:val="24"/>
        </w:rPr>
      </w:pPr>
    </w:p>
    <w:p w14:paraId="05F08966">
      <w:pPr>
        <w:spacing w:line="580" w:lineRule="exact"/>
        <w:ind w:firstLine="480" w:firstLineChars="200"/>
        <w:jc w:val="right"/>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中山大学附属第七医院采购</w:t>
      </w:r>
      <w:r>
        <w:rPr>
          <w:rFonts w:hint="eastAsia" w:cs="仿宋" w:asciiTheme="minorEastAsia" w:hAnsiTheme="minorEastAsia" w:eastAsiaTheme="minorEastAsia"/>
          <w:sz w:val="24"/>
          <w:szCs w:val="24"/>
          <w:lang w:val="en-US" w:eastAsia="zh-CN"/>
        </w:rPr>
        <w:t>与招投标办公室</w:t>
      </w:r>
    </w:p>
    <w:p w14:paraId="253A9F6C">
      <w:pPr>
        <w:spacing w:line="580" w:lineRule="exact"/>
        <w:ind w:firstLine="480" w:firstLineChars="200"/>
        <w:jc w:val="right"/>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w:t>
      </w:r>
      <w:r>
        <w:rPr>
          <w:rFonts w:cs="仿宋" w:asciiTheme="minorEastAsia" w:hAnsiTheme="minorEastAsia" w:eastAsiaTheme="minorEastAsia"/>
          <w:sz w:val="24"/>
          <w:szCs w:val="24"/>
        </w:rPr>
        <w:t>02</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月</w:t>
      </w:r>
      <w:bookmarkStart w:id="0" w:name="_GoBack"/>
      <w:bookmarkEnd w:id="0"/>
      <w:r>
        <w:rPr>
          <w:rFonts w:hint="eastAsia" w:cs="仿宋" w:asciiTheme="minorEastAsia" w:hAnsiTheme="minorEastAsia" w:eastAsiaTheme="minorEastAsia"/>
          <w:sz w:val="24"/>
          <w:szCs w:val="24"/>
          <w:lang w:val="en-US" w:eastAsia="zh-CN"/>
        </w:rPr>
        <w:t>18</w:t>
      </w:r>
      <w:r>
        <w:rPr>
          <w:rFonts w:hint="eastAsia" w:cs="仿宋" w:asciiTheme="minorEastAsia" w:hAnsiTheme="minorEastAsia" w:eastAsiaTheme="minorEastAsia"/>
          <w:sz w:val="24"/>
          <w:szCs w:val="24"/>
        </w:rPr>
        <w:t>日</w:t>
      </w:r>
    </w:p>
    <w:p w14:paraId="2E99200B">
      <w:pPr>
        <w:spacing w:line="580" w:lineRule="exact"/>
        <w:ind w:firstLine="480" w:firstLineChars="200"/>
        <w:jc w:val="both"/>
        <w:rPr>
          <w:rFonts w:hint="eastAsia" w:cs="仿宋" w:asciiTheme="minorEastAsia" w:hAnsiTheme="minorEastAsia" w:eastAsiaTheme="minorEastAsia"/>
          <w:sz w:val="24"/>
          <w:szCs w:val="24"/>
        </w:rPr>
      </w:pPr>
    </w:p>
    <w:p w14:paraId="58C21C87">
      <w:pPr>
        <w:spacing w:line="580" w:lineRule="exact"/>
        <w:jc w:val="left"/>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附件：</w:t>
      </w:r>
    </w:p>
    <w:p w14:paraId="52C6BA54">
      <w:pPr>
        <w:spacing w:line="580" w:lineRule="exact"/>
        <w:ind w:firstLine="480" w:firstLineChars="200"/>
        <w:jc w:val="both"/>
        <w:rPr>
          <w:rFonts w:hint="eastAsia" w:cs="仿宋" w:asciiTheme="minorEastAsia" w:hAnsiTheme="minorEastAsia" w:eastAsiaTheme="minorEastAsia"/>
          <w:sz w:val="24"/>
          <w:szCs w:val="24"/>
        </w:rPr>
      </w:pPr>
    </w:p>
    <w:p w14:paraId="5EB9E773">
      <w:pPr>
        <w:spacing w:line="580" w:lineRule="exact"/>
        <w:ind w:firstLine="480" w:firstLineChars="200"/>
        <w:jc w:val="both"/>
        <w:rPr>
          <w:rFonts w:hint="eastAsia" w:cs="仿宋" w:asciiTheme="minorEastAsia" w:hAnsiTheme="minorEastAsia" w:eastAsiaTheme="minorEastAsia"/>
          <w:sz w:val="24"/>
          <w:szCs w:val="24"/>
        </w:rPr>
      </w:pPr>
    </w:p>
    <w:p w14:paraId="61E943F1">
      <w:pPr>
        <w:spacing w:line="580" w:lineRule="exact"/>
        <w:ind w:firstLine="480" w:firstLineChars="200"/>
        <w:jc w:val="both"/>
        <w:rPr>
          <w:rFonts w:hint="eastAsia" w:cs="仿宋" w:asciiTheme="minorEastAsia" w:hAnsiTheme="minorEastAsia" w:eastAsiaTheme="minorEastAsia"/>
          <w:sz w:val="24"/>
          <w:szCs w:val="24"/>
        </w:rPr>
      </w:pPr>
    </w:p>
    <w:p w14:paraId="74E9F1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74DC4"/>
    <w:rsid w:val="00016815"/>
    <w:rsid w:val="00074DC4"/>
    <w:rsid w:val="001147CD"/>
    <w:rsid w:val="001A65BB"/>
    <w:rsid w:val="001A75DA"/>
    <w:rsid w:val="001C4710"/>
    <w:rsid w:val="001D0EC8"/>
    <w:rsid w:val="0023017C"/>
    <w:rsid w:val="00247BD2"/>
    <w:rsid w:val="00254A9D"/>
    <w:rsid w:val="0027120A"/>
    <w:rsid w:val="0030610F"/>
    <w:rsid w:val="004A09C8"/>
    <w:rsid w:val="004A40BB"/>
    <w:rsid w:val="00506C1E"/>
    <w:rsid w:val="00525128"/>
    <w:rsid w:val="00576211"/>
    <w:rsid w:val="00615E33"/>
    <w:rsid w:val="00635FDC"/>
    <w:rsid w:val="00645679"/>
    <w:rsid w:val="00647F0D"/>
    <w:rsid w:val="00697359"/>
    <w:rsid w:val="006A5E92"/>
    <w:rsid w:val="00713EFE"/>
    <w:rsid w:val="00717E53"/>
    <w:rsid w:val="007A2A0E"/>
    <w:rsid w:val="007B5F22"/>
    <w:rsid w:val="00857651"/>
    <w:rsid w:val="00857EEF"/>
    <w:rsid w:val="008D3025"/>
    <w:rsid w:val="008E277E"/>
    <w:rsid w:val="00A10885"/>
    <w:rsid w:val="00A35394"/>
    <w:rsid w:val="00A6219E"/>
    <w:rsid w:val="00B33B00"/>
    <w:rsid w:val="00BE1545"/>
    <w:rsid w:val="00C10775"/>
    <w:rsid w:val="00CF1107"/>
    <w:rsid w:val="00D47E37"/>
    <w:rsid w:val="00DC4969"/>
    <w:rsid w:val="00DD3BC8"/>
    <w:rsid w:val="00E25776"/>
    <w:rsid w:val="00E305F1"/>
    <w:rsid w:val="00E428D2"/>
    <w:rsid w:val="00E5346D"/>
    <w:rsid w:val="00E71091"/>
    <w:rsid w:val="00E86CF2"/>
    <w:rsid w:val="00E9280B"/>
    <w:rsid w:val="00F0040A"/>
    <w:rsid w:val="00F150EB"/>
    <w:rsid w:val="00FC2D67"/>
    <w:rsid w:val="00FF3B2B"/>
    <w:rsid w:val="014D20B0"/>
    <w:rsid w:val="0237612B"/>
    <w:rsid w:val="02C24E60"/>
    <w:rsid w:val="03E77D65"/>
    <w:rsid w:val="040C6A6B"/>
    <w:rsid w:val="06344057"/>
    <w:rsid w:val="072B545A"/>
    <w:rsid w:val="076D5A73"/>
    <w:rsid w:val="0790350F"/>
    <w:rsid w:val="0ABB4D47"/>
    <w:rsid w:val="0ECE3CAC"/>
    <w:rsid w:val="11CA634F"/>
    <w:rsid w:val="11D949F0"/>
    <w:rsid w:val="1241363F"/>
    <w:rsid w:val="15643653"/>
    <w:rsid w:val="15FC5B9C"/>
    <w:rsid w:val="199F0791"/>
    <w:rsid w:val="1A296EC5"/>
    <w:rsid w:val="1AA372B9"/>
    <w:rsid w:val="1B4E219D"/>
    <w:rsid w:val="1B9238A2"/>
    <w:rsid w:val="1BD9576E"/>
    <w:rsid w:val="1C957AEB"/>
    <w:rsid w:val="1DAD49C3"/>
    <w:rsid w:val="1E0A3BC4"/>
    <w:rsid w:val="1F334D3F"/>
    <w:rsid w:val="20DD6BEC"/>
    <w:rsid w:val="23857832"/>
    <w:rsid w:val="26103FCA"/>
    <w:rsid w:val="2618405A"/>
    <w:rsid w:val="26235823"/>
    <w:rsid w:val="274E4B21"/>
    <w:rsid w:val="286F4F4F"/>
    <w:rsid w:val="2ABC12C1"/>
    <w:rsid w:val="2B602B5B"/>
    <w:rsid w:val="2E761285"/>
    <w:rsid w:val="2E84707B"/>
    <w:rsid w:val="32E77BD8"/>
    <w:rsid w:val="35E1701B"/>
    <w:rsid w:val="3638073B"/>
    <w:rsid w:val="36B345CC"/>
    <w:rsid w:val="38300C36"/>
    <w:rsid w:val="38926838"/>
    <w:rsid w:val="39161217"/>
    <w:rsid w:val="3CD07975"/>
    <w:rsid w:val="3D7529B0"/>
    <w:rsid w:val="3DF97023"/>
    <w:rsid w:val="3ECA6D2C"/>
    <w:rsid w:val="3F461BCA"/>
    <w:rsid w:val="3F7E7279"/>
    <w:rsid w:val="3FF9053C"/>
    <w:rsid w:val="41335058"/>
    <w:rsid w:val="41B01BE8"/>
    <w:rsid w:val="41C537DA"/>
    <w:rsid w:val="44FD59C0"/>
    <w:rsid w:val="456A6B72"/>
    <w:rsid w:val="456A706A"/>
    <w:rsid w:val="459E05CA"/>
    <w:rsid w:val="47394A4E"/>
    <w:rsid w:val="47A67974"/>
    <w:rsid w:val="49A60395"/>
    <w:rsid w:val="49DF0B35"/>
    <w:rsid w:val="4AAC3789"/>
    <w:rsid w:val="4DC67E79"/>
    <w:rsid w:val="4E442F4C"/>
    <w:rsid w:val="4F1576CF"/>
    <w:rsid w:val="4F443F90"/>
    <w:rsid w:val="50761C5F"/>
    <w:rsid w:val="51425D58"/>
    <w:rsid w:val="518B5CBD"/>
    <w:rsid w:val="51B573C7"/>
    <w:rsid w:val="54260108"/>
    <w:rsid w:val="54BB170E"/>
    <w:rsid w:val="55050666"/>
    <w:rsid w:val="55764176"/>
    <w:rsid w:val="5A276988"/>
    <w:rsid w:val="5AE71B6C"/>
    <w:rsid w:val="5C7D0887"/>
    <w:rsid w:val="5CA37385"/>
    <w:rsid w:val="5DB50481"/>
    <w:rsid w:val="5DEE4A27"/>
    <w:rsid w:val="5E9D36BD"/>
    <w:rsid w:val="60A801D1"/>
    <w:rsid w:val="617B03EF"/>
    <w:rsid w:val="61ED7BB9"/>
    <w:rsid w:val="63E02C32"/>
    <w:rsid w:val="65A3665C"/>
    <w:rsid w:val="674F6B14"/>
    <w:rsid w:val="692073C4"/>
    <w:rsid w:val="6B6E578F"/>
    <w:rsid w:val="6BE75F78"/>
    <w:rsid w:val="6CD504C6"/>
    <w:rsid w:val="703674CE"/>
    <w:rsid w:val="71CD480E"/>
    <w:rsid w:val="72264D1E"/>
    <w:rsid w:val="74CB5BC5"/>
    <w:rsid w:val="785030F6"/>
    <w:rsid w:val="795671AB"/>
    <w:rsid w:val="7B362A78"/>
    <w:rsid w:val="7DDA20C3"/>
    <w:rsid w:val="7E002EC9"/>
    <w:rsid w:val="7E6165AB"/>
    <w:rsid w:val="7E736BE6"/>
    <w:rsid w:val="7EED5B43"/>
    <w:rsid w:val="7F497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3"/>
    <w:next w:val="4"/>
    <w:link w:val="14"/>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5"/>
    <w:qFormat/>
    <w:uiPriority w:val="9"/>
    <w:pPr>
      <w:keepNext/>
      <w:keepLines/>
      <w:spacing w:before="280" w:after="290" w:line="376" w:lineRule="auto"/>
      <w:outlineLvl w:val="3"/>
    </w:pPr>
    <w:rPr>
      <w:rFonts w:ascii="Cambria" w:hAnsi="Cambria"/>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next w:val="6"/>
    <w:unhideWhenUsed/>
    <w:qFormat/>
    <w:uiPriority w:val="0"/>
    <w:rPr>
      <w:rFonts w:ascii="宋体" w:hAnsi="Courier New"/>
      <w:szCs w:val="21"/>
    </w:rPr>
  </w:style>
  <w:style w:type="paragraph" w:customStyle="1" w:styleId="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character" w:customStyle="1" w:styleId="14">
    <w:name w:val="标题 2 字符"/>
    <w:basedOn w:val="11"/>
    <w:link w:val="2"/>
    <w:qFormat/>
    <w:uiPriority w:val="0"/>
    <w:rPr>
      <w:rFonts w:ascii="宋体" w:hAnsi="宋体" w:eastAsia="宋体" w:cs="Times New Roman"/>
      <w:b/>
      <w:kern w:val="0"/>
      <w:sz w:val="24"/>
      <w:szCs w:val="20"/>
    </w:rPr>
  </w:style>
  <w:style w:type="character" w:customStyle="1" w:styleId="15">
    <w:name w:val="标题 4 字符"/>
    <w:basedOn w:val="11"/>
    <w:link w:val="4"/>
    <w:qFormat/>
    <w:uiPriority w:val="9"/>
    <w:rPr>
      <w:rFonts w:ascii="Cambria" w:hAnsi="Cambria" w:eastAsia="宋体" w:cs="Times New Roman"/>
      <w:b/>
      <w:bCs/>
      <w:sz w:val="28"/>
      <w:szCs w:val="28"/>
    </w:rPr>
  </w:style>
  <w:style w:type="character" w:customStyle="1" w:styleId="16">
    <w:name w:val="标题 3 字符"/>
    <w:basedOn w:val="11"/>
    <w:link w:val="3"/>
    <w:semiHidden/>
    <w:qFormat/>
    <w:uiPriority w:val="9"/>
    <w:rPr>
      <w:rFonts w:ascii="Calibri" w:hAnsi="Calibri" w:eastAsia="宋体" w:cs="Times New Roman"/>
      <w:b/>
      <w:bCs/>
      <w:sz w:val="32"/>
      <w:szCs w:val="32"/>
    </w:rPr>
  </w:style>
  <w:style w:type="paragraph" w:customStyle="1" w:styleId="17">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3142</Words>
  <Characters>3271</Characters>
  <Lines>25</Lines>
  <Paragraphs>7</Paragraphs>
  <TotalTime>3</TotalTime>
  <ScaleCrop>false</ScaleCrop>
  <LinksUpToDate>false</LinksUpToDate>
  <CharactersWithSpaces>3276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2022-04-13T03:48:00Z</dcterms:created>
  <dc:creator>admin</dc:creator>
  <cp:lastModifiedBy>风</cp:lastModifiedBy>
  <dcterms:modified xsi:type="dcterms:W3CDTF">2026-06-18T00:55:15Z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eyJoZGlkIjoiMTAxM2ZlOGZjOTg5NWU2NDUxYjhmYjY2NTMxMDRjNGMiLCJ1c2VySWQiOiI2NjA4OTgyNTgifQ==</vt:lpwstr>
  </property>
  <property fmtid="{D5CDD505-2E9C-101B-9397-08002B2CF9AE}" pid="3" name="KSOProductBuildVer">
    <vt:lpwstr>2052-12.1.0.26895</vt:lpwstr>
  </property>
  <property fmtid="{D5CDD505-2E9C-101B-9397-08002B2CF9AE}" pid="4" name="ICV">
    <vt:lpwstr>46AAF9F94EC44AEE8521FA1A95277D9E_12</vt:lpwstr>
  </property>
</Properties>
</file>