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AF7B">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一、</w:t>
      </w:r>
      <w:bookmarkStart w:id="0" w:name="_Hlk72092499"/>
      <w:r>
        <w:rPr>
          <w:rFonts w:hint="eastAsia" w:ascii="宋体" w:hAnsi="宋体" w:eastAsia="宋体" w:cs="宋体"/>
          <w:b w:val="0"/>
          <w:bCs/>
          <w:kern w:val="2"/>
          <w:sz w:val="24"/>
          <w:szCs w:val="32"/>
          <w:lang w:val="en-US" w:eastAsia="zh-CN" w:bidi="ar-SA"/>
        </w:rPr>
        <w:t>法定代表人（负责人）证明书</w:t>
      </w:r>
      <w:bookmarkEnd w:id="0"/>
      <w:r>
        <w:rPr>
          <w:rFonts w:hint="eastAsia" w:ascii="宋体" w:hAnsi="宋体" w:cs="Arial"/>
          <w:b/>
          <w:bCs/>
          <w:color w:val="FF0000"/>
          <w:szCs w:val="21"/>
          <w:lang w:val="en-US" w:eastAsia="zh-CN"/>
        </w:rPr>
        <w:t>（加盖公章）</w:t>
      </w:r>
    </w:p>
    <w:p w14:paraId="566965CC">
      <w:pPr>
        <w:rPr>
          <w:rFonts w:hint="eastAsia" w:ascii="宋体" w:hAnsi="宋体" w:eastAsia="宋体" w:cs="宋体"/>
          <w:sz w:val="24"/>
        </w:rPr>
      </w:pPr>
    </w:p>
    <w:p w14:paraId="13618B91">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姓名</w:t>
      </w:r>
      <w:r>
        <w:rPr>
          <w:rFonts w:hint="eastAsia" w:ascii="宋体" w:hAnsi="宋体" w:eastAsia="宋体" w:cs="宋体"/>
          <w:szCs w:val="21"/>
          <w:u w:val="none"/>
          <w:lang w:eastAsia="zh-CN"/>
        </w:rPr>
        <w:t>）</w:t>
      </w:r>
      <w:r>
        <w:rPr>
          <w:rFonts w:hint="eastAsia" w:ascii="宋体" w:hAnsi="宋体" w:eastAsia="宋体" w:cs="宋体"/>
          <w:szCs w:val="21"/>
        </w:rPr>
        <w:t>，现任我单位</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职务，为法定代表人（负责人），</w:t>
      </w:r>
      <w:r>
        <w:rPr>
          <w:rFonts w:hint="eastAsia" w:ascii="宋体" w:hAnsi="宋体" w:eastAsia="宋体" w:cs="宋体"/>
          <w:szCs w:val="21"/>
          <w:lang w:val="en-US" w:eastAsia="zh-CN"/>
        </w:rPr>
        <w:t>身份证件</w:t>
      </w:r>
      <w:r>
        <w:rPr>
          <w:rFonts w:hint="eastAsia" w:ascii="宋体" w:hAnsi="宋体" w:eastAsia="宋体" w:cs="宋体"/>
          <w:szCs w:val="21"/>
        </w:rPr>
        <w:t>号</w:t>
      </w:r>
      <w:r>
        <w:rPr>
          <w:rFonts w:hint="eastAsia" w:ascii="宋体" w:hAnsi="宋体" w:eastAsia="宋体" w:cs="宋体"/>
          <w:szCs w:val="21"/>
          <w:lang w:val="en-US" w:eastAsia="zh-CN"/>
        </w:rPr>
        <w:t>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w:t>
      </w:r>
    </w:p>
    <w:p w14:paraId="42E6F54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特此证明。</w:t>
      </w:r>
    </w:p>
    <w:p w14:paraId="6AC79EB4">
      <w:pPr>
        <w:spacing w:before="78" w:beforeLines="25" w:after="78" w:afterLines="25"/>
        <w:ind w:left="5460" w:leftChars="2600" w:firstLine="0" w:firstLineChars="0"/>
        <w:rPr>
          <w:color w:val="FF0000"/>
          <w:szCs w:val="21"/>
          <w:u w:val="single"/>
        </w:rPr>
      </w:pPr>
      <w:r>
        <w:rPr>
          <w:rFonts w:hint="eastAsia" w:ascii="宋体" w:hAnsi="宋体" w:cs="宋体"/>
          <w:szCs w:val="21"/>
          <w:lang w:val="en-US" w:eastAsia="zh-CN"/>
        </w:rPr>
        <w:t xml:space="preserve">                                             </w:t>
      </w:r>
      <w:r>
        <w:rPr>
          <w:rFonts w:hint="eastAsia"/>
          <w:color w:val="FF0000"/>
          <w:szCs w:val="21"/>
        </w:rPr>
        <w:t>投标人名称：</w:t>
      </w:r>
      <w:r>
        <w:rPr>
          <w:rFonts w:hint="eastAsia"/>
          <w:color w:val="FF0000"/>
          <w:szCs w:val="21"/>
          <w:u w:val="single"/>
        </w:rPr>
        <w:t>（公章）</w:t>
      </w:r>
    </w:p>
    <w:p w14:paraId="49551FCF">
      <w:pPr>
        <w:spacing w:line="360" w:lineRule="auto"/>
        <w:ind w:firstLine="420" w:firstLineChars="200"/>
        <w:jc w:val="left"/>
        <w:rPr>
          <w:rFonts w:ascii="宋体" w:hAnsi="宋体"/>
          <w:sz w:val="24"/>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14:paraId="559D833E">
      <w:pPr>
        <w:spacing w:line="360" w:lineRule="auto"/>
        <w:ind w:firstLine="420" w:firstLineChars="200"/>
        <w:rPr>
          <w:rFonts w:hint="default" w:ascii="宋体" w:hAnsi="宋体" w:eastAsia="宋体" w:cs="宋体"/>
          <w:szCs w:val="21"/>
          <w:lang w:val="en-US" w:eastAsia="zh-CN"/>
        </w:rPr>
      </w:pPr>
    </w:p>
    <w:p w14:paraId="206828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2E7B3C0C">
      <w:pPr>
        <w:numPr>
          <w:ilvl w:val="0"/>
          <w:numId w:val="1"/>
        </w:num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本证明书要</w:t>
      </w:r>
      <w:r>
        <w:rPr>
          <w:rFonts w:hint="eastAsia" w:ascii="宋体" w:hAnsi="宋体" w:eastAsia="宋体" w:cs="宋体"/>
          <w:color w:val="auto"/>
          <w:szCs w:val="21"/>
          <w:lang w:val="en-US" w:eastAsia="zh-CN"/>
        </w:rPr>
        <w:t>提</w:t>
      </w:r>
      <w:r>
        <w:rPr>
          <w:rFonts w:hint="eastAsia" w:ascii="宋体" w:hAnsi="宋体" w:eastAsia="宋体" w:cs="宋体"/>
          <w:color w:val="auto"/>
          <w:szCs w:val="21"/>
        </w:rPr>
        <w:t>供法定代表人（负责人）</w:t>
      </w:r>
      <w:r>
        <w:rPr>
          <w:rFonts w:hint="eastAsia" w:ascii="宋体" w:hAnsi="宋体" w:eastAsia="宋体" w:cs="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5D1EEA9">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color w:val="auto"/>
          <w:szCs w:val="21"/>
        </w:rPr>
        <w:t>本项目投标授权代表为法定代表人（负责人）的，无需提供《投标文件签署授权委托书》。</w:t>
      </w:r>
    </w:p>
    <w:p w14:paraId="7B4FA91A">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szCs w:val="21"/>
        </w:rPr>
        <w:t>内容必须填写真实、清楚，涂改无效，不得转让、买卖。</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D0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19484E7">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76F92BC">
            <w:pPr>
              <w:widowControl w:val="0"/>
              <w:spacing w:line="360" w:lineRule="auto"/>
              <w:jc w:val="center"/>
              <w:rPr>
                <w:rFonts w:hint="eastAsia" w:ascii="宋体" w:hAnsi="宋体" w:eastAsia="宋体" w:cs="宋体"/>
                <w:b/>
                <w:bCs/>
                <w:kern w:val="2"/>
                <w:sz w:val="24"/>
                <w:szCs w:val="24"/>
                <w:lang w:val="en-US" w:eastAsia="zh-CN" w:bidi="ar-SA"/>
              </w:rPr>
            </w:pPr>
          </w:p>
          <w:p w14:paraId="738DD610">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4A4E9D45">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43C789A3">
            <w:pPr>
              <w:widowControl w:val="0"/>
              <w:spacing w:line="360" w:lineRule="auto"/>
              <w:jc w:val="center"/>
              <w:rPr>
                <w:rFonts w:hint="eastAsia" w:ascii="宋体" w:hAnsi="宋体" w:eastAsia="宋体" w:cs="宋体"/>
                <w:b/>
                <w:bCs/>
                <w:kern w:val="2"/>
                <w:sz w:val="24"/>
                <w:szCs w:val="24"/>
                <w:lang w:val="en-US" w:eastAsia="zh-CN" w:bidi="ar-SA"/>
              </w:rPr>
            </w:pPr>
          </w:p>
          <w:p w14:paraId="5869CFDF">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6D2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098E2D73">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677FCB39">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814916C">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4340E2A9">
      <w:pPr>
        <w:spacing w:line="360" w:lineRule="auto"/>
        <w:ind w:firstLine="422" w:firstLineChars="200"/>
        <w:rPr>
          <w:rFonts w:hint="eastAsia" w:ascii="宋体" w:hAnsi="宋体" w:eastAsia="宋体" w:cs="宋体"/>
          <w:b/>
          <w:bCs/>
          <w:color w:val="FF0000"/>
          <w:sz w:val="24"/>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0BBC610"/>
    <w:p w14:paraId="2C898A58"/>
    <w:p w14:paraId="1FBCD4A6"/>
    <w:p w14:paraId="11694199"/>
    <w:p w14:paraId="61746D4C"/>
    <w:p w14:paraId="51DD922C"/>
    <w:p w14:paraId="71DA80EF"/>
    <w:p w14:paraId="32CFC4E5"/>
    <w:p w14:paraId="6AF2D31D"/>
    <w:p w14:paraId="5CA05721"/>
    <w:p w14:paraId="16F79CA9"/>
    <w:p w14:paraId="6030217C"/>
    <w:p w14:paraId="442B4268"/>
    <w:p w14:paraId="070A605C"/>
    <w:p w14:paraId="3C395A47"/>
    <w:p w14:paraId="63EA6D06"/>
    <w:p w14:paraId="5DBCA12E"/>
    <w:p w14:paraId="5FA6FC7F"/>
    <w:p w14:paraId="1265DE4D"/>
    <w:p w14:paraId="552290F4"/>
    <w:p w14:paraId="5B161A56"/>
    <w:p w14:paraId="57AFB66B"/>
    <w:p w14:paraId="720266B9"/>
    <w:p w14:paraId="1E232032"/>
    <w:p w14:paraId="6560D2B2"/>
    <w:p w14:paraId="2C648D14"/>
    <w:p w14:paraId="69425ACF"/>
    <w:p w14:paraId="714A98AE"/>
    <w:p w14:paraId="6BE9AC2C"/>
    <w:p w14:paraId="0DBB9D64"/>
    <w:p w14:paraId="15F107CD"/>
    <w:p w14:paraId="6F70C5EE">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二、投标文件签署授权委托书</w:t>
      </w:r>
      <w:r>
        <w:rPr>
          <w:rFonts w:hint="eastAsia" w:ascii="宋体" w:hAnsi="宋体" w:cs="Arial"/>
          <w:b/>
          <w:bCs/>
          <w:color w:val="FF0000"/>
          <w:szCs w:val="21"/>
          <w:lang w:val="en-US" w:eastAsia="zh-CN"/>
        </w:rPr>
        <w:t>（加盖公章）</w:t>
      </w:r>
    </w:p>
    <w:p w14:paraId="21F97E47">
      <w:pPr>
        <w:spacing w:line="360" w:lineRule="auto"/>
        <w:ind w:firstLine="420" w:firstLineChars="200"/>
        <w:rPr>
          <w:rFonts w:hint="eastAsia" w:ascii="宋体" w:hAnsi="宋体" w:eastAsia="宋体" w:cs="宋体"/>
          <w:szCs w:val="21"/>
        </w:rPr>
      </w:pPr>
    </w:p>
    <w:p w14:paraId="4DC8793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（姓名）为我单位签署本项目已递交的投标文件的法定代表人（负责人）的授权委托代理人，代理人全权代表我所签署的本项目已递交的投标文件内容我均承认。</w:t>
      </w:r>
    </w:p>
    <w:p w14:paraId="76B5301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代理人无转委托权，特此委托。</w:t>
      </w:r>
    </w:p>
    <w:p w14:paraId="5A80296F">
      <w:pPr>
        <w:spacing w:line="360" w:lineRule="auto"/>
        <w:ind w:firstLine="420" w:firstLineChars="200"/>
        <w:rPr>
          <w:rFonts w:hint="eastAsia" w:ascii="宋体" w:hAnsi="宋体" w:eastAsia="宋体" w:cs="宋体"/>
          <w:szCs w:val="21"/>
        </w:rPr>
      </w:pPr>
    </w:p>
    <w:p w14:paraId="51EA356C">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代理人</w:t>
      </w:r>
      <w:r>
        <w:rPr>
          <w:rFonts w:hint="eastAsia" w:ascii="宋体" w:hAnsi="宋体" w:eastAsia="宋体" w:cs="宋体"/>
          <w:szCs w:val="21"/>
          <w:lang w:eastAsia="zh-CN"/>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1FDD288A">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身份</w:t>
      </w:r>
      <w:r>
        <w:rPr>
          <w:rFonts w:hint="eastAsia" w:ascii="宋体" w:hAnsi="宋体" w:eastAsia="宋体" w:cs="宋体"/>
          <w:szCs w:val="21"/>
          <w:lang w:val="en-US" w:eastAsia="zh-CN"/>
        </w:rPr>
        <w:t>证件号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E48170">
      <w:pPr>
        <w:spacing w:line="360" w:lineRule="auto"/>
        <w:ind w:firstLine="420" w:firstLineChars="200"/>
        <w:rPr>
          <w:rFonts w:hint="eastAsia" w:ascii="宋体" w:hAnsi="宋体" w:eastAsia="宋体" w:cs="宋体"/>
          <w:szCs w:val="21"/>
          <w:u w:val="none"/>
          <w:lang w:val="en-US" w:eastAsia="zh-CN"/>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lang w:eastAsia="zh-CN"/>
        </w:rPr>
        <w:t>，</w:t>
      </w:r>
      <w:r>
        <w:rPr>
          <w:rFonts w:hint="eastAsia" w:ascii="宋体" w:hAnsi="宋体" w:eastAsia="宋体" w:cs="宋体"/>
          <w:szCs w:val="21"/>
        </w:rPr>
        <w:t>手机：</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电子邮箱：</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9142E4">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lang w:eastAsia="zh-CN"/>
        </w:rPr>
        <w:t>。</w:t>
      </w:r>
    </w:p>
    <w:p w14:paraId="6DD332A1">
      <w:pPr>
        <w:spacing w:line="360" w:lineRule="auto"/>
        <w:ind w:firstLine="420" w:firstLineChars="200"/>
        <w:rPr>
          <w:rFonts w:hint="eastAsia" w:ascii="宋体" w:hAnsi="宋体" w:eastAsia="宋体" w:cs="宋体"/>
          <w:color w:val="FF0000"/>
          <w:szCs w:val="21"/>
          <w:u w:val="single"/>
        </w:rPr>
      </w:pPr>
      <w:r>
        <w:rPr>
          <w:rFonts w:hint="eastAsia" w:ascii="宋体" w:hAnsi="宋体" w:cs="宋体"/>
          <w:color w:val="FF0000"/>
          <w:szCs w:val="21"/>
          <w:lang w:val="en-US" w:eastAsia="zh-CN"/>
        </w:rPr>
        <w:t>法定代表人（负责人）签字：</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p>
    <w:p w14:paraId="2FCC9990">
      <w:pPr>
        <w:spacing w:line="360" w:lineRule="auto"/>
        <w:ind w:firstLine="420" w:firstLineChars="200"/>
        <w:rPr>
          <w:rFonts w:hint="default" w:ascii="宋体" w:hAnsi="宋体" w:eastAsia="宋体" w:cs="宋体"/>
          <w:color w:val="FF0000"/>
          <w:szCs w:val="21"/>
          <w:u w:val="single"/>
          <w:lang w:val="en-US" w:eastAsia="zh-CN"/>
        </w:rPr>
      </w:pPr>
      <w:r>
        <w:rPr>
          <w:rFonts w:hint="eastAsia" w:ascii="宋体" w:hAnsi="宋体" w:eastAsia="宋体" w:cs="宋体"/>
          <w:color w:val="FF0000"/>
          <w:szCs w:val="21"/>
          <w:u w:val="none"/>
        </w:rPr>
        <w:t>投标人名称：</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none"/>
        </w:rPr>
        <w:t>（公章）</w:t>
      </w:r>
    </w:p>
    <w:p w14:paraId="7C8D45FB">
      <w:pPr>
        <w:spacing w:line="360" w:lineRule="auto"/>
        <w:ind w:firstLine="422" w:firstLineChars="200"/>
        <w:rPr>
          <w:rFonts w:hint="eastAsia" w:ascii="宋体" w:hAnsi="宋体" w:eastAsia="宋体" w:cs="宋体"/>
          <w:b/>
          <w:color w:val="FF0000"/>
          <w:szCs w:val="21"/>
        </w:rPr>
      </w:pP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4AC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5E9F7E1">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B63B3F1">
            <w:pPr>
              <w:widowControl w:val="0"/>
              <w:spacing w:line="360" w:lineRule="auto"/>
              <w:jc w:val="center"/>
              <w:rPr>
                <w:rFonts w:hint="eastAsia" w:ascii="宋体" w:hAnsi="宋体" w:eastAsia="宋体" w:cs="宋体"/>
                <w:b/>
                <w:bCs/>
                <w:kern w:val="2"/>
                <w:sz w:val="24"/>
                <w:szCs w:val="24"/>
                <w:lang w:val="en-US" w:eastAsia="zh-CN" w:bidi="ar-SA"/>
              </w:rPr>
            </w:pPr>
          </w:p>
          <w:p w14:paraId="3B4A5F2D">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10F22847">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7860F027">
            <w:pPr>
              <w:widowControl w:val="0"/>
              <w:spacing w:line="360" w:lineRule="auto"/>
              <w:jc w:val="center"/>
              <w:rPr>
                <w:rFonts w:hint="eastAsia" w:ascii="宋体" w:hAnsi="宋体" w:eastAsia="宋体" w:cs="宋体"/>
                <w:b/>
                <w:bCs/>
                <w:kern w:val="2"/>
                <w:sz w:val="24"/>
                <w:szCs w:val="24"/>
                <w:lang w:val="en-US" w:eastAsia="zh-CN" w:bidi="ar-SA"/>
              </w:rPr>
            </w:pPr>
          </w:p>
          <w:p w14:paraId="4AEC3542">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081C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2710DD0C">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1491D19A">
      <w:pPr>
        <w:spacing w:line="360" w:lineRule="auto"/>
        <w:ind w:firstLine="422" w:firstLineChars="200"/>
        <w:rPr>
          <w:rFonts w:hint="eastAsia" w:ascii="宋体" w:hAnsi="宋体" w:eastAsia="宋体" w:cs="宋体"/>
          <w:b/>
          <w:color w:val="FF0000"/>
          <w:szCs w:val="21"/>
        </w:rPr>
      </w:pPr>
    </w:p>
    <w:p w14:paraId="2F21E19C">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附：</w:t>
      </w:r>
      <w:r>
        <w:rPr>
          <w:rFonts w:hint="eastAsia" w:ascii="宋体" w:hAnsi="宋体" w:eastAsia="宋体" w:cs="宋体"/>
          <w:b/>
          <w:color w:val="auto"/>
          <w:szCs w:val="21"/>
          <w:lang w:val="en-US" w:eastAsia="zh-CN"/>
        </w:rPr>
        <w:t>1.</w:t>
      </w:r>
      <w:r>
        <w:rPr>
          <w:rFonts w:hint="eastAsia" w:ascii="宋体" w:hAnsi="宋体" w:eastAsia="宋体" w:cs="宋体"/>
          <w:b/>
          <w:color w:val="auto"/>
          <w:szCs w:val="21"/>
        </w:rPr>
        <w:t>请提供代理人身份证扫描件（正反两面）；港澳台居民可提供来往通行证扫描件；非中国国籍管辖范围人员，可提供公安部门认可的身份证明材料扫描件。</w:t>
      </w:r>
    </w:p>
    <w:p w14:paraId="77ED3A8B">
      <w:pPr>
        <w:spacing w:line="360" w:lineRule="auto"/>
        <w:ind w:firstLine="422" w:firstLineChars="200"/>
        <w:rPr>
          <w:rFonts w:hint="eastAsia" w:ascii="宋体" w:hAnsi="宋体" w:eastAsia="宋体" w:cs="宋体"/>
          <w:b/>
          <w:color w:val="auto"/>
          <w:sz w:val="21"/>
          <w:szCs w:val="21"/>
        </w:rPr>
      </w:pPr>
      <w:bookmarkStart w:id="1" w:name="OLE_LINK3"/>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788D07B">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2B4E6B80">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7A28454">
      <w:pPr>
        <w:spacing w:line="360" w:lineRule="auto"/>
        <w:ind w:firstLine="422" w:firstLineChars="200"/>
        <w:rPr>
          <w:rFonts w:hint="eastAsia" w:ascii="宋体" w:hAnsi="宋体" w:eastAsia="宋体" w:cs="宋体"/>
          <w:b/>
          <w:color w:val="FF0000"/>
          <w:sz w:val="21"/>
          <w:szCs w:val="21"/>
        </w:rPr>
      </w:pPr>
    </w:p>
    <w:p w14:paraId="0BCC1C40">
      <w:pPr>
        <w:spacing w:line="360" w:lineRule="auto"/>
        <w:ind w:firstLine="422" w:firstLineChars="200"/>
        <w:rPr>
          <w:rFonts w:hint="eastAsia" w:ascii="宋体" w:hAnsi="宋体" w:eastAsia="宋体" w:cs="宋体"/>
          <w:b/>
          <w:color w:val="FF0000"/>
          <w:sz w:val="21"/>
          <w:szCs w:val="21"/>
        </w:rPr>
      </w:pPr>
    </w:p>
    <w:p w14:paraId="659A80F0">
      <w:pPr>
        <w:spacing w:line="360" w:lineRule="auto"/>
        <w:ind w:firstLine="422" w:firstLineChars="200"/>
        <w:rPr>
          <w:rFonts w:hint="eastAsia" w:ascii="宋体" w:hAnsi="宋体" w:eastAsia="宋体" w:cs="宋体"/>
          <w:b/>
          <w:color w:val="FF0000"/>
          <w:sz w:val="21"/>
          <w:szCs w:val="21"/>
        </w:rPr>
      </w:pPr>
    </w:p>
    <w:p w14:paraId="1833AEB6">
      <w:pPr>
        <w:spacing w:line="360" w:lineRule="auto"/>
        <w:ind w:firstLine="422" w:firstLineChars="200"/>
        <w:rPr>
          <w:rFonts w:hint="eastAsia" w:ascii="宋体" w:hAnsi="宋体" w:eastAsia="宋体" w:cs="宋体"/>
          <w:b/>
          <w:color w:val="FF0000"/>
          <w:sz w:val="21"/>
          <w:szCs w:val="21"/>
        </w:rPr>
      </w:pPr>
    </w:p>
    <w:p w14:paraId="58E47AAD">
      <w:pPr>
        <w:spacing w:line="360" w:lineRule="auto"/>
        <w:ind w:firstLine="422" w:firstLineChars="200"/>
        <w:rPr>
          <w:rFonts w:hint="eastAsia" w:ascii="宋体" w:hAnsi="宋体" w:eastAsia="宋体" w:cs="宋体"/>
          <w:b/>
          <w:color w:val="FF0000"/>
          <w:sz w:val="21"/>
          <w:szCs w:val="21"/>
        </w:rPr>
      </w:pPr>
    </w:p>
    <w:p w14:paraId="703CF5CF">
      <w:pPr>
        <w:spacing w:line="360" w:lineRule="auto"/>
        <w:ind w:firstLine="422" w:firstLineChars="200"/>
        <w:rPr>
          <w:rFonts w:hint="eastAsia" w:ascii="宋体" w:hAnsi="宋体" w:eastAsia="宋体" w:cs="宋体"/>
          <w:b/>
          <w:color w:val="FF0000"/>
          <w:sz w:val="21"/>
          <w:szCs w:val="21"/>
        </w:rPr>
      </w:pPr>
    </w:p>
    <w:p w14:paraId="2E38F72F">
      <w:pPr>
        <w:spacing w:line="360" w:lineRule="auto"/>
        <w:ind w:firstLine="422" w:firstLineChars="200"/>
        <w:rPr>
          <w:rFonts w:hint="eastAsia" w:ascii="宋体" w:hAnsi="宋体" w:eastAsia="宋体" w:cs="宋体"/>
          <w:b/>
          <w:color w:val="FF0000"/>
          <w:sz w:val="21"/>
          <w:szCs w:val="21"/>
        </w:rPr>
      </w:pPr>
    </w:p>
    <w:p w14:paraId="7BB7601F">
      <w:pPr>
        <w:spacing w:line="360" w:lineRule="auto"/>
        <w:ind w:firstLine="422" w:firstLineChars="200"/>
        <w:rPr>
          <w:rFonts w:hint="eastAsia" w:ascii="宋体" w:hAnsi="宋体" w:eastAsia="宋体" w:cs="宋体"/>
          <w:b/>
          <w:color w:val="FF0000"/>
          <w:sz w:val="21"/>
          <w:szCs w:val="21"/>
        </w:rPr>
      </w:pPr>
    </w:p>
    <w:p w14:paraId="551CF8C4">
      <w:pPr>
        <w:spacing w:line="360" w:lineRule="auto"/>
        <w:ind w:firstLine="422" w:firstLineChars="200"/>
        <w:rPr>
          <w:rFonts w:hint="eastAsia" w:ascii="宋体" w:hAnsi="宋体" w:eastAsia="宋体" w:cs="宋体"/>
          <w:b/>
          <w:color w:val="FF0000"/>
          <w:sz w:val="21"/>
          <w:szCs w:val="21"/>
        </w:rPr>
      </w:pPr>
    </w:p>
    <w:p w14:paraId="7907D675">
      <w:pPr>
        <w:spacing w:line="360" w:lineRule="auto"/>
        <w:ind w:firstLine="422" w:firstLineChars="200"/>
        <w:rPr>
          <w:rFonts w:hint="eastAsia" w:ascii="宋体" w:hAnsi="宋体" w:eastAsia="宋体" w:cs="宋体"/>
          <w:b/>
          <w:color w:val="FF0000"/>
          <w:sz w:val="21"/>
          <w:szCs w:val="21"/>
        </w:rPr>
      </w:pPr>
    </w:p>
    <w:p w14:paraId="41357582">
      <w:pPr>
        <w:spacing w:line="360" w:lineRule="auto"/>
        <w:ind w:firstLine="422" w:firstLineChars="200"/>
        <w:rPr>
          <w:rFonts w:hint="eastAsia" w:ascii="宋体" w:hAnsi="宋体" w:eastAsia="宋体" w:cs="宋体"/>
          <w:b/>
          <w:color w:val="FF0000"/>
          <w:sz w:val="21"/>
          <w:szCs w:val="21"/>
        </w:rPr>
      </w:pPr>
    </w:p>
    <w:p w14:paraId="7204F79B">
      <w:pPr>
        <w:spacing w:line="360" w:lineRule="auto"/>
        <w:ind w:firstLine="422" w:firstLineChars="200"/>
        <w:rPr>
          <w:rFonts w:hint="eastAsia" w:ascii="宋体" w:hAnsi="宋体" w:eastAsia="宋体" w:cs="宋体"/>
          <w:b/>
          <w:color w:val="FF0000"/>
          <w:sz w:val="21"/>
          <w:szCs w:val="21"/>
        </w:rPr>
      </w:pPr>
    </w:p>
    <w:p w14:paraId="419F1A4C">
      <w:pPr>
        <w:spacing w:line="360" w:lineRule="auto"/>
        <w:ind w:firstLine="422" w:firstLineChars="200"/>
        <w:rPr>
          <w:rFonts w:hint="eastAsia" w:ascii="宋体" w:hAnsi="宋体" w:eastAsia="宋体" w:cs="宋体"/>
          <w:b/>
          <w:color w:val="FF0000"/>
          <w:sz w:val="21"/>
          <w:szCs w:val="21"/>
        </w:rPr>
      </w:pPr>
    </w:p>
    <w:p w14:paraId="64BDFF4C">
      <w:pPr>
        <w:spacing w:line="360" w:lineRule="auto"/>
        <w:ind w:firstLine="422" w:firstLineChars="200"/>
        <w:rPr>
          <w:rFonts w:hint="eastAsia" w:ascii="宋体" w:hAnsi="宋体" w:eastAsia="宋体" w:cs="宋体"/>
          <w:b/>
          <w:color w:val="FF0000"/>
          <w:sz w:val="21"/>
          <w:szCs w:val="21"/>
        </w:rPr>
      </w:pPr>
    </w:p>
    <w:p w14:paraId="37E935AB">
      <w:pPr>
        <w:spacing w:line="360" w:lineRule="auto"/>
        <w:ind w:firstLine="422" w:firstLineChars="200"/>
        <w:rPr>
          <w:rFonts w:hint="eastAsia" w:ascii="宋体" w:hAnsi="宋体" w:eastAsia="宋体" w:cs="宋体"/>
          <w:b/>
          <w:color w:val="FF0000"/>
          <w:sz w:val="21"/>
          <w:szCs w:val="21"/>
        </w:rPr>
      </w:pPr>
    </w:p>
    <w:p w14:paraId="2036AAF3">
      <w:pPr>
        <w:spacing w:line="360" w:lineRule="auto"/>
        <w:ind w:firstLine="422" w:firstLineChars="200"/>
        <w:rPr>
          <w:rFonts w:hint="eastAsia" w:ascii="宋体" w:hAnsi="宋体" w:eastAsia="宋体" w:cs="宋体"/>
          <w:b/>
          <w:color w:val="FF0000"/>
          <w:sz w:val="21"/>
          <w:szCs w:val="21"/>
        </w:rPr>
      </w:pPr>
    </w:p>
    <w:p w14:paraId="37E12E14">
      <w:pPr>
        <w:spacing w:line="360" w:lineRule="auto"/>
        <w:ind w:firstLine="422" w:firstLineChars="200"/>
        <w:rPr>
          <w:rFonts w:hint="eastAsia" w:ascii="宋体" w:hAnsi="宋体" w:eastAsia="宋体" w:cs="宋体"/>
          <w:b/>
          <w:color w:val="FF0000"/>
          <w:sz w:val="21"/>
          <w:szCs w:val="21"/>
        </w:rPr>
      </w:pPr>
    </w:p>
    <w:p w14:paraId="19ABEC98">
      <w:pPr>
        <w:spacing w:line="360" w:lineRule="auto"/>
        <w:ind w:firstLine="422" w:firstLineChars="200"/>
        <w:rPr>
          <w:rFonts w:hint="eastAsia" w:ascii="宋体" w:hAnsi="宋体" w:eastAsia="宋体" w:cs="宋体"/>
          <w:b/>
          <w:color w:val="FF0000"/>
          <w:sz w:val="21"/>
          <w:szCs w:val="21"/>
        </w:rPr>
      </w:pPr>
    </w:p>
    <w:p w14:paraId="25F124C2">
      <w:pPr>
        <w:spacing w:line="360" w:lineRule="auto"/>
        <w:ind w:firstLine="422" w:firstLineChars="200"/>
        <w:rPr>
          <w:rFonts w:hint="eastAsia" w:ascii="宋体" w:hAnsi="宋体" w:eastAsia="宋体" w:cs="宋体"/>
          <w:b/>
          <w:color w:val="FF0000"/>
          <w:sz w:val="21"/>
          <w:szCs w:val="21"/>
        </w:rPr>
      </w:pPr>
    </w:p>
    <w:p w14:paraId="4FE36F2B">
      <w:pPr>
        <w:spacing w:line="360" w:lineRule="auto"/>
        <w:ind w:firstLine="422" w:firstLineChars="200"/>
        <w:rPr>
          <w:rFonts w:hint="eastAsia" w:ascii="宋体" w:hAnsi="宋体" w:eastAsia="宋体" w:cs="宋体"/>
          <w:b/>
          <w:color w:val="FF0000"/>
          <w:sz w:val="21"/>
          <w:szCs w:val="21"/>
        </w:rPr>
      </w:pPr>
    </w:p>
    <w:p w14:paraId="49B3D725">
      <w:pPr>
        <w:numPr>
          <w:ilvl w:val="0"/>
          <w:numId w:val="0"/>
        </w:numPr>
        <w:rPr>
          <w:rFonts w:hint="default" w:ascii="宋体" w:hAnsi="宋体" w:cs="宋体"/>
          <w:color w:val="333333"/>
          <w:kern w:val="0"/>
          <w:sz w:val="24"/>
          <w:szCs w:val="24"/>
          <w:lang w:val="en-US"/>
        </w:rPr>
      </w:pPr>
      <w:r>
        <w:rPr>
          <w:rFonts w:hint="eastAsia" w:ascii="宋体" w:hAnsi="宋体" w:cs="宋体"/>
          <w:color w:val="333333"/>
          <w:kern w:val="0"/>
          <w:sz w:val="24"/>
          <w:szCs w:val="24"/>
          <w:lang w:val="en-US" w:eastAsia="zh-CN"/>
        </w:rPr>
        <w:t>三、企业营业执照复印件</w:t>
      </w:r>
      <w:r>
        <w:rPr>
          <w:rFonts w:hint="eastAsia" w:ascii="宋体" w:hAnsi="宋体" w:cs="Arial"/>
          <w:b/>
          <w:bCs/>
          <w:color w:val="FF0000"/>
          <w:szCs w:val="21"/>
          <w:lang w:val="en-US" w:eastAsia="zh-CN"/>
        </w:rPr>
        <w:t>（加盖公章）</w:t>
      </w:r>
    </w:p>
    <w:p w14:paraId="46C60535">
      <w:pPr>
        <w:spacing w:line="360" w:lineRule="auto"/>
        <w:ind w:firstLine="422" w:firstLineChars="200"/>
        <w:rPr>
          <w:rFonts w:hint="eastAsia" w:ascii="宋体" w:hAnsi="宋体" w:eastAsia="宋体" w:cs="宋体"/>
          <w:b/>
          <w:color w:val="FF0000"/>
          <w:sz w:val="21"/>
          <w:szCs w:val="21"/>
        </w:rPr>
      </w:pPr>
    </w:p>
    <w:p w14:paraId="2D24E561">
      <w:pPr>
        <w:spacing w:line="360" w:lineRule="auto"/>
        <w:rPr>
          <w:rFonts w:hint="eastAsia" w:ascii="宋体" w:hAnsi="宋体" w:eastAsia="宋体" w:cs="宋体"/>
          <w:b/>
          <w:color w:val="FF0000"/>
          <w:sz w:val="21"/>
          <w:szCs w:val="21"/>
          <w:lang w:val="en-US" w:eastAsia="zh-CN"/>
        </w:rPr>
      </w:pPr>
    </w:p>
    <w:p w14:paraId="3DF7F39E">
      <w:pPr>
        <w:spacing w:line="360" w:lineRule="auto"/>
        <w:ind w:firstLine="422" w:firstLineChars="200"/>
        <w:rPr>
          <w:rFonts w:hint="eastAsia" w:ascii="宋体" w:hAnsi="宋体" w:eastAsia="宋体" w:cs="宋体"/>
          <w:b/>
          <w:color w:val="FF0000"/>
          <w:sz w:val="21"/>
          <w:szCs w:val="21"/>
        </w:rPr>
      </w:pPr>
    </w:p>
    <w:p w14:paraId="3B70B6DB">
      <w:pPr>
        <w:spacing w:line="360" w:lineRule="auto"/>
        <w:ind w:firstLine="422" w:firstLineChars="200"/>
        <w:rPr>
          <w:rFonts w:hint="eastAsia" w:ascii="宋体" w:hAnsi="宋体" w:eastAsia="宋体" w:cs="宋体"/>
          <w:b/>
          <w:color w:val="FF0000"/>
          <w:sz w:val="21"/>
          <w:szCs w:val="21"/>
        </w:rPr>
      </w:pPr>
    </w:p>
    <w:p w14:paraId="1CBF01F8">
      <w:pPr>
        <w:spacing w:line="360" w:lineRule="auto"/>
        <w:ind w:firstLine="422" w:firstLineChars="200"/>
        <w:rPr>
          <w:rFonts w:hint="eastAsia" w:ascii="宋体" w:hAnsi="宋体" w:eastAsia="宋体" w:cs="宋体"/>
          <w:b/>
          <w:color w:val="FF0000"/>
          <w:sz w:val="21"/>
          <w:szCs w:val="21"/>
        </w:rPr>
      </w:pPr>
    </w:p>
    <w:p w14:paraId="2899C76C">
      <w:pPr>
        <w:spacing w:line="360" w:lineRule="auto"/>
        <w:ind w:firstLine="422" w:firstLineChars="200"/>
        <w:rPr>
          <w:rFonts w:hint="eastAsia" w:ascii="宋体" w:hAnsi="宋体" w:eastAsia="宋体" w:cs="宋体"/>
          <w:b/>
          <w:color w:val="FF0000"/>
          <w:sz w:val="21"/>
          <w:szCs w:val="21"/>
        </w:rPr>
      </w:pPr>
    </w:p>
    <w:p w14:paraId="24E2C1A4">
      <w:pPr>
        <w:spacing w:line="360" w:lineRule="auto"/>
        <w:ind w:firstLine="422" w:firstLineChars="200"/>
        <w:rPr>
          <w:rFonts w:hint="eastAsia" w:ascii="宋体" w:hAnsi="宋体" w:eastAsia="宋体" w:cs="宋体"/>
          <w:b/>
          <w:color w:val="FF0000"/>
          <w:sz w:val="21"/>
          <w:szCs w:val="21"/>
        </w:rPr>
      </w:pPr>
    </w:p>
    <w:p w14:paraId="064E969A">
      <w:pPr>
        <w:spacing w:line="360" w:lineRule="auto"/>
        <w:rPr>
          <w:rFonts w:hint="eastAsia" w:ascii="宋体" w:hAnsi="宋体" w:eastAsia="宋体" w:cs="宋体"/>
          <w:b/>
          <w:color w:val="FF0000"/>
          <w:sz w:val="21"/>
          <w:szCs w:val="21"/>
        </w:rPr>
      </w:pPr>
    </w:p>
    <w:p w14:paraId="42D82ADA">
      <w:pPr>
        <w:spacing w:line="360" w:lineRule="auto"/>
        <w:rPr>
          <w:rFonts w:hint="eastAsia" w:ascii="宋体" w:hAnsi="宋体" w:eastAsia="宋体" w:cs="宋体"/>
          <w:b/>
          <w:color w:val="FF0000"/>
          <w:sz w:val="21"/>
          <w:szCs w:val="21"/>
        </w:rPr>
      </w:pPr>
    </w:p>
    <w:p w14:paraId="6CC65CAC">
      <w:pPr>
        <w:spacing w:line="360" w:lineRule="auto"/>
        <w:rPr>
          <w:rFonts w:hint="eastAsia" w:ascii="宋体" w:hAnsi="宋体" w:eastAsia="宋体" w:cs="宋体"/>
          <w:b/>
          <w:color w:val="FF0000"/>
          <w:sz w:val="21"/>
          <w:szCs w:val="21"/>
        </w:rPr>
      </w:pPr>
    </w:p>
    <w:p w14:paraId="11AF16DF">
      <w:pPr>
        <w:spacing w:line="360" w:lineRule="auto"/>
        <w:rPr>
          <w:rFonts w:hint="eastAsia" w:ascii="宋体" w:hAnsi="宋体" w:eastAsia="宋体" w:cs="宋体"/>
          <w:b/>
          <w:color w:val="FF0000"/>
          <w:sz w:val="21"/>
          <w:szCs w:val="21"/>
        </w:rPr>
      </w:pPr>
    </w:p>
    <w:p w14:paraId="472EA27C">
      <w:pPr>
        <w:spacing w:line="360" w:lineRule="auto"/>
        <w:rPr>
          <w:rFonts w:hint="eastAsia" w:ascii="宋体" w:hAnsi="宋体" w:eastAsia="宋体" w:cs="宋体"/>
          <w:b/>
          <w:color w:val="FF0000"/>
          <w:sz w:val="21"/>
          <w:szCs w:val="21"/>
        </w:rPr>
      </w:pPr>
    </w:p>
    <w:p w14:paraId="7D58B6FD">
      <w:pPr>
        <w:spacing w:line="360" w:lineRule="auto"/>
        <w:rPr>
          <w:rFonts w:hint="eastAsia" w:ascii="宋体" w:hAnsi="宋体" w:eastAsia="宋体" w:cs="宋体"/>
          <w:b/>
          <w:color w:val="FF0000"/>
          <w:sz w:val="21"/>
          <w:szCs w:val="21"/>
        </w:rPr>
      </w:pPr>
    </w:p>
    <w:p w14:paraId="3095DB19">
      <w:pPr>
        <w:spacing w:line="360" w:lineRule="auto"/>
        <w:rPr>
          <w:rFonts w:hint="eastAsia" w:ascii="宋体" w:hAnsi="宋体" w:eastAsia="宋体" w:cs="宋体"/>
          <w:b/>
          <w:color w:val="FF0000"/>
          <w:sz w:val="21"/>
          <w:szCs w:val="21"/>
        </w:rPr>
      </w:pPr>
    </w:p>
    <w:p w14:paraId="3BF48A22">
      <w:pPr>
        <w:spacing w:line="360" w:lineRule="auto"/>
        <w:rPr>
          <w:rFonts w:hint="eastAsia" w:ascii="宋体" w:hAnsi="宋体" w:eastAsia="宋体" w:cs="宋体"/>
          <w:b/>
          <w:color w:val="FF0000"/>
          <w:sz w:val="21"/>
          <w:szCs w:val="21"/>
        </w:rPr>
      </w:pPr>
    </w:p>
    <w:p w14:paraId="58B7C5AC">
      <w:pPr>
        <w:spacing w:line="360" w:lineRule="auto"/>
        <w:rPr>
          <w:rFonts w:hint="eastAsia" w:ascii="宋体" w:hAnsi="宋体" w:eastAsia="宋体" w:cs="宋体"/>
          <w:b/>
          <w:color w:val="FF0000"/>
          <w:sz w:val="21"/>
          <w:szCs w:val="21"/>
        </w:rPr>
      </w:pPr>
    </w:p>
    <w:p w14:paraId="68B0893A">
      <w:pPr>
        <w:spacing w:line="360" w:lineRule="auto"/>
        <w:rPr>
          <w:rFonts w:hint="eastAsia" w:ascii="宋体" w:hAnsi="宋体" w:eastAsia="宋体" w:cs="宋体"/>
          <w:b/>
          <w:color w:val="FF0000"/>
          <w:sz w:val="21"/>
          <w:szCs w:val="21"/>
        </w:rPr>
      </w:pPr>
    </w:p>
    <w:p w14:paraId="561DA4D7">
      <w:pPr>
        <w:spacing w:line="360" w:lineRule="auto"/>
        <w:rPr>
          <w:rFonts w:hint="eastAsia" w:ascii="宋体" w:hAnsi="宋体" w:eastAsia="宋体" w:cs="宋体"/>
          <w:b/>
          <w:color w:val="FF0000"/>
          <w:sz w:val="21"/>
          <w:szCs w:val="21"/>
        </w:rPr>
      </w:pPr>
    </w:p>
    <w:p w14:paraId="06E00335">
      <w:pPr>
        <w:spacing w:line="360" w:lineRule="auto"/>
        <w:rPr>
          <w:rFonts w:hint="eastAsia" w:ascii="宋体" w:hAnsi="宋体" w:eastAsia="宋体" w:cs="宋体"/>
          <w:b/>
          <w:color w:val="FF0000"/>
          <w:sz w:val="21"/>
          <w:szCs w:val="21"/>
        </w:rPr>
      </w:pPr>
    </w:p>
    <w:p w14:paraId="700C407B">
      <w:pPr>
        <w:spacing w:line="360" w:lineRule="auto"/>
        <w:rPr>
          <w:rFonts w:hint="eastAsia" w:ascii="宋体" w:hAnsi="宋体" w:eastAsia="宋体" w:cs="宋体"/>
          <w:b/>
          <w:color w:val="FF0000"/>
          <w:sz w:val="21"/>
          <w:szCs w:val="21"/>
        </w:rPr>
      </w:pPr>
    </w:p>
    <w:p w14:paraId="13A2FC2E">
      <w:pPr>
        <w:spacing w:line="360" w:lineRule="auto"/>
        <w:rPr>
          <w:rFonts w:hint="eastAsia" w:ascii="宋体" w:hAnsi="宋体" w:eastAsia="宋体" w:cs="宋体"/>
          <w:b/>
          <w:color w:val="FF0000"/>
          <w:sz w:val="21"/>
          <w:szCs w:val="21"/>
        </w:rPr>
      </w:pPr>
    </w:p>
    <w:p w14:paraId="5CFB5FAF">
      <w:pPr>
        <w:spacing w:line="360" w:lineRule="auto"/>
        <w:rPr>
          <w:rFonts w:hint="eastAsia" w:ascii="宋体" w:hAnsi="宋体" w:eastAsia="宋体" w:cs="宋体"/>
          <w:b/>
          <w:color w:val="FF0000"/>
          <w:sz w:val="21"/>
          <w:szCs w:val="21"/>
        </w:rPr>
      </w:pPr>
    </w:p>
    <w:p w14:paraId="7B9AF879">
      <w:pPr>
        <w:spacing w:line="360" w:lineRule="auto"/>
        <w:rPr>
          <w:rFonts w:hint="eastAsia" w:ascii="宋体" w:hAnsi="宋体" w:eastAsia="宋体" w:cs="宋体"/>
          <w:b/>
          <w:color w:val="FF0000"/>
          <w:sz w:val="21"/>
          <w:szCs w:val="21"/>
        </w:rPr>
      </w:pPr>
    </w:p>
    <w:p w14:paraId="41067E5F">
      <w:pPr>
        <w:spacing w:line="360" w:lineRule="auto"/>
        <w:rPr>
          <w:rFonts w:hint="eastAsia" w:ascii="宋体" w:hAnsi="宋体" w:eastAsia="宋体" w:cs="宋体"/>
          <w:b/>
          <w:color w:val="FF0000"/>
          <w:sz w:val="21"/>
          <w:szCs w:val="21"/>
        </w:rPr>
      </w:pPr>
    </w:p>
    <w:p w14:paraId="68F1CE37">
      <w:pPr>
        <w:spacing w:line="360" w:lineRule="auto"/>
        <w:rPr>
          <w:rFonts w:hint="eastAsia" w:ascii="宋体" w:hAnsi="宋体" w:eastAsia="宋体" w:cs="宋体"/>
          <w:b/>
          <w:color w:val="FF0000"/>
          <w:sz w:val="21"/>
          <w:szCs w:val="21"/>
        </w:rPr>
      </w:pPr>
    </w:p>
    <w:p w14:paraId="6E4431F5">
      <w:pPr>
        <w:spacing w:line="360" w:lineRule="auto"/>
        <w:rPr>
          <w:rFonts w:hint="eastAsia" w:ascii="宋体" w:hAnsi="宋体" w:eastAsia="宋体" w:cs="宋体"/>
          <w:b/>
          <w:color w:val="FF0000"/>
          <w:sz w:val="21"/>
          <w:szCs w:val="21"/>
        </w:rPr>
      </w:pPr>
    </w:p>
    <w:p w14:paraId="0AD8BE59">
      <w:pPr>
        <w:spacing w:line="360" w:lineRule="auto"/>
        <w:rPr>
          <w:rFonts w:hint="eastAsia" w:ascii="宋体" w:hAnsi="宋体" w:eastAsia="宋体" w:cs="宋体"/>
          <w:b/>
          <w:color w:val="FF0000"/>
          <w:sz w:val="21"/>
          <w:szCs w:val="21"/>
        </w:rPr>
      </w:pPr>
    </w:p>
    <w:p w14:paraId="76A40EB1">
      <w:pPr>
        <w:spacing w:line="360" w:lineRule="auto"/>
        <w:rPr>
          <w:rFonts w:hint="eastAsia" w:ascii="宋体" w:hAnsi="宋体" w:eastAsia="宋体" w:cs="宋体"/>
          <w:b/>
          <w:color w:val="FF0000"/>
          <w:sz w:val="21"/>
          <w:szCs w:val="21"/>
        </w:rPr>
      </w:pPr>
    </w:p>
    <w:p w14:paraId="326B24BC">
      <w:pPr>
        <w:spacing w:line="360" w:lineRule="auto"/>
        <w:rPr>
          <w:rFonts w:hint="eastAsia" w:ascii="宋体" w:hAnsi="宋体" w:eastAsia="宋体" w:cs="宋体"/>
          <w:b/>
          <w:color w:val="FF0000"/>
          <w:sz w:val="21"/>
          <w:szCs w:val="21"/>
        </w:rPr>
      </w:pPr>
    </w:p>
    <w:bookmarkEnd w:id="1"/>
    <w:p w14:paraId="4549B1D9">
      <w:pPr>
        <w:numPr>
          <w:ilvl w:val="0"/>
          <w:numId w:val="0"/>
        </w:numPr>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四、报价表</w:t>
      </w:r>
      <w:r>
        <w:rPr>
          <w:rFonts w:hint="eastAsia" w:ascii="宋体" w:hAnsi="宋体" w:cs="Arial"/>
          <w:b/>
          <w:bCs/>
          <w:color w:val="FF0000"/>
          <w:szCs w:val="21"/>
          <w:lang w:val="en-US" w:eastAsia="zh-CN"/>
        </w:rPr>
        <w:t>（加盖公章）</w:t>
      </w:r>
    </w:p>
    <w:tbl>
      <w:tblPr>
        <w:tblStyle w:val="6"/>
        <w:tblpPr w:leftFromText="180" w:rightFromText="180" w:vertAnchor="text" w:horzAnchor="page" w:tblpX="670" w:tblpY="303"/>
        <w:tblOverlap w:val="never"/>
        <w:tblW w:w="11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50"/>
        <w:gridCol w:w="900"/>
        <w:gridCol w:w="990"/>
        <w:gridCol w:w="1500"/>
        <w:gridCol w:w="1324"/>
        <w:gridCol w:w="1984"/>
      </w:tblGrid>
      <w:tr w14:paraId="24B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09" w:type="dxa"/>
            <w:vAlign w:val="center"/>
          </w:tcPr>
          <w:p w14:paraId="2C71E510">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序号</w:t>
            </w:r>
          </w:p>
        </w:tc>
        <w:tc>
          <w:tcPr>
            <w:tcW w:w="3650" w:type="dxa"/>
            <w:vAlign w:val="center"/>
          </w:tcPr>
          <w:p w14:paraId="501821F1">
            <w:pPr>
              <w:spacing w:line="360" w:lineRule="auto"/>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项目</w:t>
            </w:r>
            <w:r>
              <w:rPr>
                <w:rFonts w:hint="eastAsia" w:ascii="仿宋" w:hAnsi="仿宋" w:eastAsia="仿宋" w:cs="仿宋"/>
                <w:bCs/>
                <w:kern w:val="0"/>
                <w:sz w:val="24"/>
                <w:szCs w:val="24"/>
              </w:rPr>
              <w:t>名称</w:t>
            </w:r>
          </w:p>
        </w:tc>
        <w:tc>
          <w:tcPr>
            <w:tcW w:w="900" w:type="dxa"/>
            <w:vAlign w:val="center"/>
          </w:tcPr>
          <w:p w14:paraId="1DF4E1B7">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数量</w:t>
            </w:r>
          </w:p>
        </w:tc>
        <w:tc>
          <w:tcPr>
            <w:tcW w:w="990" w:type="dxa"/>
            <w:vAlign w:val="center"/>
          </w:tcPr>
          <w:p w14:paraId="399FF8A4">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单位</w:t>
            </w:r>
          </w:p>
        </w:tc>
        <w:tc>
          <w:tcPr>
            <w:tcW w:w="1500" w:type="dxa"/>
          </w:tcPr>
          <w:p w14:paraId="66F33398">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单价（元）</w:t>
            </w:r>
          </w:p>
        </w:tc>
        <w:tc>
          <w:tcPr>
            <w:tcW w:w="1324" w:type="dxa"/>
            <w:vAlign w:val="center"/>
          </w:tcPr>
          <w:p w14:paraId="1983F646">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总价（元）</w:t>
            </w:r>
          </w:p>
        </w:tc>
        <w:tc>
          <w:tcPr>
            <w:tcW w:w="1984" w:type="dxa"/>
          </w:tcPr>
          <w:p w14:paraId="772AC112">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最高限价（元）</w:t>
            </w:r>
          </w:p>
        </w:tc>
      </w:tr>
      <w:tr w14:paraId="077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9" w:type="dxa"/>
            <w:vAlign w:val="center"/>
          </w:tcPr>
          <w:p w14:paraId="0FFAD8F0">
            <w:pPr>
              <w:widowControl/>
              <w:jc w:val="center"/>
              <w:textAlignment w:val="center"/>
              <w:rPr>
                <w:rFonts w:ascii="宋体" w:hAnsi="宋体" w:cs="宋体"/>
                <w:color w:val="333333"/>
                <w:kern w:val="0"/>
                <w:sz w:val="24"/>
                <w:szCs w:val="24"/>
              </w:rPr>
            </w:pPr>
            <w:r>
              <w:rPr>
                <w:rFonts w:hint="eastAsia" w:ascii="宋体" w:hAnsi="宋体" w:cs="宋体"/>
                <w:color w:val="333333"/>
                <w:kern w:val="0"/>
                <w:sz w:val="24"/>
                <w:szCs w:val="24"/>
              </w:rPr>
              <w:t>1</w:t>
            </w:r>
          </w:p>
        </w:tc>
        <w:tc>
          <w:tcPr>
            <w:tcW w:w="3650" w:type="dxa"/>
            <w:vAlign w:val="center"/>
          </w:tcPr>
          <w:p w14:paraId="5397B3F2">
            <w:p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202</w:t>
            </w:r>
            <w:r>
              <w:rPr>
                <w:rFonts w:hint="eastAsia" w:ascii="宋体" w:hAnsi="宋体" w:cs="宋体"/>
                <w:color w:val="333333"/>
                <w:kern w:val="0"/>
                <w:sz w:val="24"/>
                <w:szCs w:val="24"/>
                <w:lang w:val="en-US" w:eastAsia="zh-CN"/>
              </w:rPr>
              <w:t>6</w:t>
            </w:r>
            <w:r>
              <w:rPr>
                <w:rFonts w:hint="eastAsia" w:ascii="宋体" w:hAnsi="宋体" w:cs="宋体"/>
                <w:color w:val="333333"/>
                <w:kern w:val="0"/>
                <w:sz w:val="24"/>
                <w:szCs w:val="24"/>
              </w:rPr>
              <w:t>年消防检测及消防评估</w:t>
            </w:r>
          </w:p>
        </w:tc>
        <w:tc>
          <w:tcPr>
            <w:tcW w:w="900" w:type="dxa"/>
            <w:vAlign w:val="center"/>
          </w:tcPr>
          <w:p w14:paraId="611E007B">
            <w:pPr>
              <w:spacing w:line="360" w:lineRule="auto"/>
              <w:jc w:val="center"/>
              <w:rPr>
                <w:rFonts w:hint="default" w:eastAsiaTheme="minorEastAsia"/>
                <w:color w:val="000000"/>
                <w:kern w:val="0"/>
                <w:sz w:val="22"/>
                <w:szCs w:val="22"/>
                <w:lang w:val="en-US" w:eastAsia="zh-CN"/>
              </w:rPr>
            </w:pPr>
            <w:r>
              <w:rPr>
                <w:rFonts w:hint="eastAsia" w:ascii="仿宋" w:hAnsi="仿宋" w:eastAsia="仿宋" w:cs="仿宋"/>
                <w:bCs/>
                <w:sz w:val="24"/>
                <w:szCs w:val="24"/>
                <w:lang w:val="en-US" w:eastAsia="zh-CN"/>
              </w:rPr>
              <w:t>1</w:t>
            </w:r>
          </w:p>
        </w:tc>
        <w:tc>
          <w:tcPr>
            <w:tcW w:w="990" w:type="dxa"/>
            <w:vAlign w:val="center"/>
          </w:tcPr>
          <w:p w14:paraId="1CB43C13">
            <w:pPr>
              <w:spacing w:line="360" w:lineRule="auto"/>
              <w:jc w:val="center"/>
              <w:rPr>
                <w:rFonts w:hint="default" w:eastAsiaTheme="minorEastAsia"/>
                <w:color w:val="000000"/>
                <w:kern w:val="0"/>
                <w:sz w:val="22"/>
                <w:szCs w:val="22"/>
                <w:lang w:val="en-US" w:eastAsia="zh-CN"/>
              </w:rPr>
            </w:pPr>
            <w:r>
              <w:rPr>
                <w:rFonts w:hint="eastAsia"/>
                <w:color w:val="000000"/>
                <w:kern w:val="0"/>
                <w:sz w:val="22"/>
                <w:szCs w:val="22"/>
                <w:lang w:val="en-US" w:eastAsia="zh-CN"/>
              </w:rPr>
              <w:t>项</w:t>
            </w:r>
          </w:p>
        </w:tc>
        <w:tc>
          <w:tcPr>
            <w:tcW w:w="1500" w:type="dxa"/>
            <w:vAlign w:val="center"/>
          </w:tcPr>
          <w:p w14:paraId="6C5DAB02">
            <w:pPr>
              <w:jc w:val="center"/>
              <w:rPr>
                <w:color w:val="000000"/>
                <w:kern w:val="0"/>
                <w:sz w:val="22"/>
                <w:szCs w:val="22"/>
              </w:rPr>
            </w:pPr>
          </w:p>
        </w:tc>
        <w:tc>
          <w:tcPr>
            <w:tcW w:w="1324" w:type="dxa"/>
            <w:vAlign w:val="center"/>
          </w:tcPr>
          <w:p w14:paraId="38A6C1F2">
            <w:pPr>
              <w:rPr>
                <w:color w:val="000000"/>
                <w:kern w:val="0"/>
                <w:sz w:val="22"/>
                <w:szCs w:val="22"/>
              </w:rPr>
            </w:pPr>
          </w:p>
        </w:tc>
        <w:tc>
          <w:tcPr>
            <w:tcW w:w="1984" w:type="dxa"/>
            <w:vAlign w:val="center"/>
          </w:tcPr>
          <w:p w14:paraId="2A23090E">
            <w:pPr>
              <w:jc w:val="center"/>
              <w:rPr>
                <w:rFonts w:hint="default" w:ascii="仿宋" w:hAnsi="仿宋" w:eastAsia="仿宋" w:cs="仿宋"/>
                <w:bCs/>
                <w:kern w:val="0"/>
                <w:sz w:val="24"/>
                <w:szCs w:val="24"/>
                <w:lang w:val="en-US" w:eastAsia="zh-CN"/>
              </w:rPr>
            </w:pPr>
            <w:r>
              <w:rPr>
                <w:rFonts w:hint="eastAsia" w:ascii="宋体" w:hAnsi="宋体" w:eastAsia="宋体" w:cs="宋体"/>
                <w:szCs w:val="21"/>
                <w:lang w:val="en-US" w:eastAsia="zh-CN"/>
              </w:rPr>
              <w:t>39595</w:t>
            </w:r>
          </w:p>
        </w:tc>
      </w:tr>
      <w:tr w14:paraId="451C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6BD6762">
            <w:pPr>
              <w:widowControl/>
              <w:jc w:val="center"/>
              <w:textAlignment w:val="center"/>
              <w:rPr>
                <w:rFonts w:ascii="仿宋" w:hAnsi="仿宋" w:eastAsia="仿宋" w:cs="仿宋"/>
                <w:bCs/>
                <w:kern w:val="0"/>
                <w:sz w:val="24"/>
                <w:szCs w:val="24"/>
              </w:rPr>
            </w:pPr>
          </w:p>
        </w:tc>
        <w:tc>
          <w:tcPr>
            <w:tcW w:w="10348" w:type="dxa"/>
            <w:gridSpan w:val="6"/>
            <w:vAlign w:val="center"/>
          </w:tcPr>
          <w:p w14:paraId="3C54CBDD">
            <w:pPr>
              <w:widowControl/>
              <w:jc w:val="center"/>
              <w:textAlignment w:val="center"/>
              <w:rPr>
                <w:rFonts w:ascii="仿宋" w:hAnsi="仿宋" w:eastAsia="仿宋" w:cs="仿宋"/>
                <w:bCs/>
                <w:kern w:val="0"/>
                <w:sz w:val="24"/>
                <w:szCs w:val="24"/>
              </w:rPr>
            </w:pPr>
            <w:r>
              <w:rPr>
                <w:rFonts w:hint="eastAsia" w:ascii="仿宋" w:hAnsi="仿宋" w:eastAsia="仿宋" w:cs="仿宋"/>
                <w:bCs/>
                <w:kern w:val="0"/>
                <w:sz w:val="24"/>
                <w:szCs w:val="24"/>
              </w:rPr>
              <w:t>合计：人民币   万  仟  佰  元  角   分（</w:t>
            </w:r>
            <w:r>
              <w:rPr>
                <w:rFonts w:hint="eastAsia" w:ascii="宋体" w:hAnsi="宋体" w:cs="宋体"/>
                <w:bCs/>
                <w:kern w:val="0"/>
                <w:sz w:val="24"/>
                <w:szCs w:val="24"/>
              </w:rPr>
              <w:t>￥</w:t>
            </w:r>
            <w:r>
              <w:rPr>
                <w:rFonts w:hint="eastAsia" w:ascii="仿宋" w:hAnsi="仿宋" w:eastAsia="仿宋" w:cs="仿宋"/>
                <w:bCs/>
                <w:kern w:val="0"/>
                <w:sz w:val="24"/>
                <w:szCs w:val="24"/>
              </w:rPr>
              <w:t xml:space="preserve">      ）</w:t>
            </w:r>
          </w:p>
        </w:tc>
      </w:tr>
    </w:tbl>
    <w:p w14:paraId="012326E5">
      <w:pPr>
        <w:widowControl w:val="0"/>
        <w:numPr>
          <w:ilvl w:val="0"/>
          <w:numId w:val="0"/>
        </w:numPr>
        <w:jc w:val="both"/>
        <w:rPr>
          <w:rFonts w:hint="eastAsia" w:ascii="宋体" w:hAnsi="宋体" w:cs="宋体"/>
          <w:color w:val="333333"/>
          <w:kern w:val="0"/>
          <w:sz w:val="24"/>
          <w:szCs w:val="24"/>
          <w:lang w:val="en-US" w:eastAsia="zh-CN"/>
        </w:rPr>
      </w:pPr>
    </w:p>
    <w:p w14:paraId="775CB1ED">
      <w:pPr>
        <w:spacing w:line="360" w:lineRule="auto"/>
        <w:rPr>
          <w:rFonts w:cs="仿宋" w:asciiTheme="minorEastAsia" w:hAnsiTheme="minorEastAsia" w:eastAsiaTheme="minorEastAsia"/>
          <w:bCs/>
          <w:sz w:val="24"/>
          <w:szCs w:val="24"/>
        </w:rPr>
      </w:pPr>
      <w:r>
        <w:rPr>
          <w:rFonts w:hint="eastAsia" w:cs="仿宋" w:asciiTheme="minorEastAsia" w:hAnsiTheme="minorEastAsia" w:eastAsiaTheme="minorEastAsia"/>
          <w:bCs/>
          <w:sz w:val="24"/>
          <w:szCs w:val="24"/>
        </w:rPr>
        <w:t>注：</w:t>
      </w:r>
    </w:p>
    <w:p w14:paraId="07D45C12">
      <w:pPr>
        <w:spacing w:line="360" w:lineRule="auto"/>
        <w:rPr>
          <w:rFonts w:cs="仿宋" w:asciiTheme="minorEastAsia" w:hAnsiTheme="minorEastAsia" w:eastAsiaTheme="minorEastAsia"/>
          <w:bCs/>
          <w:sz w:val="24"/>
          <w:szCs w:val="24"/>
        </w:rPr>
      </w:pPr>
      <w:r>
        <w:rPr>
          <w:rFonts w:cs="仿宋" w:asciiTheme="minorEastAsia" w:hAnsiTheme="minorEastAsia" w:eastAsiaTheme="minorEastAsia"/>
          <w:bCs/>
          <w:sz w:val="24"/>
          <w:szCs w:val="24"/>
        </w:rPr>
        <w:t>1</w:t>
      </w:r>
      <w:r>
        <w:rPr>
          <w:rFonts w:hint="eastAsia" w:cs="仿宋" w:asciiTheme="minorEastAsia" w:hAnsiTheme="minorEastAsia" w:eastAsiaTheme="minorEastAsia"/>
          <w:bCs/>
          <w:sz w:val="24"/>
          <w:szCs w:val="24"/>
        </w:rPr>
        <w:t>、以上请各投标人按清单报价，并统计出合计总价</w:t>
      </w:r>
      <w:r>
        <w:rPr>
          <w:rFonts w:hint="eastAsia" w:cs="仿宋" w:asciiTheme="minorEastAsia" w:hAnsiTheme="minorEastAsia"/>
          <w:bCs/>
          <w:sz w:val="24"/>
          <w:szCs w:val="24"/>
          <w:lang w:eastAsia="zh-CN"/>
        </w:rPr>
        <w:t>，</w:t>
      </w:r>
      <w:r>
        <w:rPr>
          <w:rFonts w:hint="eastAsia" w:cs="仿宋" w:asciiTheme="minorEastAsia" w:hAnsiTheme="minorEastAsia"/>
          <w:bCs/>
          <w:sz w:val="24"/>
          <w:szCs w:val="24"/>
          <w:lang w:val="en-US" w:eastAsia="zh-CN"/>
        </w:rPr>
        <w:t>合计总价</w:t>
      </w:r>
      <w:r>
        <w:rPr>
          <w:rFonts w:hint="eastAsia" w:cs="仿宋" w:asciiTheme="minorEastAsia" w:hAnsiTheme="minorEastAsia" w:eastAsiaTheme="minorEastAsia"/>
          <w:bCs/>
          <w:sz w:val="24"/>
          <w:szCs w:val="24"/>
        </w:rPr>
        <w:t>不可超过最高限价（</w:t>
      </w:r>
      <w:r>
        <w:rPr>
          <w:rFonts w:hint="eastAsia" w:cs="仿宋" w:asciiTheme="minorEastAsia" w:hAnsiTheme="minorEastAsia" w:eastAsiaTheme="minorEastAsia"/>
          <w:b/>
          <w:bCs w:val="0"/>
          <w:color w:val="FF0000"/>
          <w:sz w:val="24"/>
          <w:szCs w:val="24"/>
        </w:rPr>
        <w:t>少报、多报或未按顺序报价的，视为未实质性响应，作废标处理）</w:t>
      </w:r>
      <w:r>
        <w:rPr>
          <w:rFonts w:hint="eastAsia" w:cs="仿宋" w:asciiTheme="minorEastAsia" w:hAnsiTheme="minorEastAsia" w:eastAsiaTheme="minorEastAsia"/>
          <w:bCs/>
          <w:sz w:val="24"/>
          <w:szCs w:val="24"/>
        </w:rPr>
        <w:t>。</w:t>
      </w:r>
    </w:p>
    <w:p w14:paraId="15507B1D">
      <w:pPr>
        <w:widowControl w:val="0"/>
        <w:numPr>
          <w:ilvl w:val="0"/>
          <w:numId w:val="0"/>
        </w:numPr>
        <w:jc w:val="both"/>
        <w:rPr>
          <w:rFonts w:hint="eastAsia" w:ascii="宋体" w:hAnsi="宋体" w:cs="宋体"/>
          <w:color w:val="333333"/>
          <w:kern w:val="0"/>
          <w:sz w:val="24"/>
          <w:szCs w:val="24"/>
          <w:lang w:val="en-US" w:eastAsia="zh-CN"/>
        </w:rPr>
      </w:pPr>
    </w:p>
    <w:p w14:paraId="49977E3F">
      <w:pPr>
        <w:widowControl w:val="0"/>
        <w:numPr>
          <w:ilvl w:val="0"/>
          <w:numId w:val="0"/>
        </w:numPr>
        <w:jc w:val="both"/>
        <w:rPr>
          <w:rFonts w:hint="eastAsia" w:ascii="宋体" w:hAnsi="宋体" w:cs="宋体"/>
          <w:color w:val="333333"/>
          <w:kern w:val="0"/>
          <w:sz w:val="24"/>
          <w:szCs w:val="24"/>
          <w:lang w:val="en-US" w:eastAsia="zh-CN"/>
        </w:rPr>
      </w:pPr>
    </w:p>
    <w:p w14:paraId="468EB04F">
      <w:pPr>
        <w:widowControl w:val="0"/>
        <w:numPr>
          <w:ilvl w:val="0"/>
          <w:numId w:val="0"/>
        </w:numPr>
        <w:jc w:val="both"/>
        <w:rPr>
          <w:rFonts w:hint="eastAsia" w:ascii="宋体" w:hAnsi="宋体" w:cs="宋体"/>
          <w:color w:val="333333"/>
          <w:kern w:val="0"/>
          <w:sz w:val="24"/>
          <w:szCs w:val="24"/>
          <w:lang w:val="en-US" w:eastAsia="zh-CN"/>
        </w:rPr>
      </w:pPr>
    </w:p>
    <w:p w14:paraId="47264277">
      <w:pPr>
        <w:widowControl w:val="0"/>
        <w:numPr>
          <w:ilvl w:val="0"/>
          <w:numId w:val="0"/>
        </w:numPr>
        <w:jc w:val="both"/>
        <w:rPr>
          <w:rFonts w:hint="eastAsia" w:ascii="宋体" w:hAnsi="宋体" w:cs="宋体"/>
          <w:color w:val="333333"/>
          <w:kern w:val="0"/>
          <w:sz w:val="24"/>
          <w:szCs w:val="24"/>
          <w:lang w:val="en-US" w:eastAsia="zh-CN"/>
        </w:rPr>
      </w:pPr>
    </w:p>
    <w:p w14:paraId="592467D3">
      <w:pPr>
        <w:widowControl w:val="0"/>
        <w:numPr>
          <w:ilvl w:val="0"/>
          <w:numId w:val="0"/>
        </w:numPr>
        <w:jc w:val="both"/>
        <w:rPr>
          <w:rFonts w:hint="eastAsia" w:ascii="宋体" w:hAnsi="宋体" w:cs="宋体"/>
          <w:color w:val="333333"/>
          <w:kern w:val="0"/>
          <w:sz w:val="24"/>
          <w:szCs w:val="24"/>
          <w:lang w:val="en-US" w:eastAsia="zh-CN"/>
        </w:rPr>
      </w:pPr>
    </w:p>
    <w:p w14:paraId="4DFF6B16">
      <w:pPr>
        <w:widowControl w:val="0"/>
        <w:numPr>
          <w:ilvl w:val="0"/>
          <w:numId w:val="0"/>
        </w:numPr>
        <w:jc w:val="both"/>
        <w:rPr>
          <w:rFonts w:hint="eastAsia" w:ascii="宋体" w:hAnsi="宋体" w:cs="宋体"/>
          <w:color w:val="333333"/>
          <w:kern w:val="0"/>
          <w:sz w:val="24"/>
          <w:szCs w:val="24"/>
          <w:lang w:val="en-US" w:eastAsia="zh-CN"/>
        </w:rPr>
      </w:pPr>
    </w:p>
    <w:p w14:paraId="2DA6B89C">
      <w:pPr>
        <w:widowControl w:val="0"/>
        <w:numPr>
          <w:ilvl w:val="0"/>
          <w:numId w:val="0"/>
        </w:numPr>
        <w:jc w:val="both"/>
        <w:rPr>
          <w:rFonts w:hint="eastAsia" w:ascii="宋体" w:hAnsi="宋体" w:cs="宋体"/>
          <w:color w:val="333333"/>
          <w:kern w:val="0"/>
          <w:sz w:val="24"/>
          <w:szCs w:val="24"/>
          <w:lang w:val="en-US" w:eastAsia="zh-CN"/>
        </w:rPr>
      </w:pPr>
    </w:p>
    <w:p w14:paraId="0BBD2D62">
      <w:pPr>
        <w:widowControl w:val="0"/>
        <w:numPr>
          <w:ilvl w:val="0"/>
          <w:numId w:val="0"/>
        </w:numPr>
        <w:jc w:val="both"/>
        <w:rPr>
          <w:rFonts w:hint="eastAsia" w:ascii="宋体" w:hAnsi="宋体" w:cs="宋体"/>
          <w:color w:val="333333"/>
          <w:kern w:val="0"/>
          <w:sz w:val="24"/>
          <w:szCs w:val="24"/>
          <w:lang w:val="en-US" w:eastAsia="zh-CN"/>
        </w:rPr>
      </w:pPr>
    </w:p>
    <w:p w14:paraId="35BAB205">
      <w:pPr>
        <w:widowControl w:val="0"/>
        <w:numPr>
          <w:ilvl w:val="0"/>
          <w:numId w:val="0"/>
        </w:numPr>
        <w:jc w:val="both"/>
        <w:rPr>
          <w:rFonts w:hint="eastAsia" w:ascii="宋体" w:hAnsi="宋体" w:cs="宋体"/>
          <w:color w:val="333333"/>
          <w:kern w:val="0"/>
          <w:sz w:val="24"/>
          <w:szCs w:val="24"/>
          <w:lang w:val="en-US" w:eastAsia="zh-CN"/>
        </w:rPr>
      </w:pPr>
    </w:p>
    <w:p w14:paraId="0FC7B460">
      <w:pPr>
        <w:widowControl w:val="0"/>
        <w:numPr>
          <w:ilvl w:val="0"/>
          <w:numId w:val="0"/>
        </w:numPr>
        <w:jc w:val="both"/>
        <w:rPr>
          <w:rFonts w:hint="eastAsia" w:ascii="宋体" w:hAnsi="宋体" w:cs="宋体"/>
          <w:color w:val="333333"/>
          <w:kern w:val="0"/>
          <w:sz w:val="24"/>
          <w:szCs w:val="24"/>
          <w:lang w:val="en-US" w:eastAsia="zh-CN"/>
        </w:rPr>
      </w:pPr>
    </w:p>
    <w:p w14:paraId="58058555">
      <w:pPr>
        <w:widowControl w:val="0"/>
        <w:numPr>
          <w:ilvl w:val="0"/>
          <w:numId w:val="0"/>
        </w:numPr>
        <w:jc w:val="both"/>
        <w:rPr>
          <w:rFonts w:hint="eastAsia" w:ascii="宋体" w:hAnsi="宋体" w:cs="宋体"/>
          <w:color w:val="333333"/>
          <w:kern w:val="0"/>
          <w:sz w:val="24"/>
          <w:szCs w:val="24"/>
          <w:lang w:val="en-US" w:eastAsia="zh-CN"/>
        </w:rPr>
      </w:pPr>
    </w:p>
    <w:p w14:paraId="76C6C804">
      <w:pPr>
        <w:widowControl w:val="0"/>
        <w:numPr>
          <w:ilvl w:val="0"/>
          <w:numId w:val="0"/>
        </w:numPr>
        <w:jc w:val="both"/>
        <w:rPr>
          <w:rFonts w:hint="eastAsia" w:ascii="宋体" w:hAnsi="宋体" w:cs="宋体"/>
          <w:color w:val="333333"/>
          <w:kern w:val="0"/>
          <w:sz w:val="24"/>
          <w:szCs w:val="24"/>
          <w:lang w:val="en-US" w:eastAsia="zh-CN"/>
        </w:rPr>
      </w:pPr>
    </w:p>
    <w:p w14:paraId="0B158A27">
      <w:pPr>
        <w:widowControl w:val="0"/>
        <w:numPr>
          <w:ilvl w:val="0"/>
          <w:numId w:val="0"/>
        </w:numPr>
        <w:jc w:val="both"/>
        <w:rPr>
          <w:rFonts w:hint="eastAsia" w:ascii="宋体" w:hAnsi="宋体" w:cs="宋体"/>
          <w:color w:val="333333"/>
          <w:kern w:val="0"/>
          <w:sz w:val="24"/>
          <w:szCs w:val="24"/>
          <w:lang w:val="en-US" w:eastAsia="zh-CN"/>
        </w:rPr>
      </w:pPr>
    </w:p>
    <w:p w14:paraId="4D7427FB">
      <w:pPr>
        <w:widowControl w:val="0"/>
        <w:numPr>
          <w:ilvl w:val="0"/>
          <w:numId w:val="0"/>
        </w:numPr>
        <w:jc w:val="both"/>
        <w:rPr>
          <w:rFonts w:hint="eastAsia" w:ascii="宋体" w:hAnsi="宋体" w:cs="宋体"/>
          <w:color w:val="333333"/>
          <w:kern w:val="0"/>
          <w:sz w:val="24"/>
          <w:szCs w:val="24"/>
          <w:lang w:val="en-US" w:eastAsia="zh-CN"/>
        </w:rPr>
      </w:pPr>
    </w:p>
    <w:p w14:paraId="63BCC9C5">
      <w:pPr>
        <w:widowControl w:val="0"/>
        <w:numPr>
          <w:ilvl w:val="0"/>
          <w:numId w:val="0"/>
        </w:numPr>
        <w:jc w:val="both"/>
        <w:rPr>
          <w:rFonts w:hint="eastAsia" w:ascii="宋体" w:hAnsi="宋体" w:cs="宋体"/>
          <w:color w:val="333333"/>
          <w:kern w:val="0"/>
          <w:sz w:val="24"/>
          <w:szCs w:val="24"/>
          <w:lang w:val="en-US" w:eastAsia="zh-CN"/>
        </w:rPr>
      </w:pPr>
    </w:p>
    <w:p w14:paraId="4A30048C">
      <w:pPr>
        <w:widowControl w:val="0"/>
        <w:numPr>
          <w:ilvl w:val="0"/>
          <w:numId w:val="0"/>
        </w:numPr>
        <w:jc w:val="both"/>
        <w:rPr>
          <w:rFonts w:hint="eastAsia" w:ascii="宋体" w:hAnsi="宋体" w:cs="宋体"/>
          <w:color w:val="333333"/>
          <w:kern w:val="0"/>
          <w:sz w:val="24"/>
          <w:szCs w:val="24"/>
          <w:lang w:val="en-US" w:eastAsia="zh-CN"/>
        </w:rPr>
      </w:pPr>
    </w:p>
    <w:p w14:paraId="53CB7EE7">
      <w:pPr>
        <w:widowControl w:val="0"/>
        <w:numPr>
          <w:ilvl w:val="0"/>
          <w:numId w:val="0"/>
        </w:numPr>
        <w:jc w:val="both"/>
        <w:rPr>
          <w:rFonts w:hint="eastAsia" w:ascii="宋体" w:hAnsi="宋体" w:cs="宋体"/>
          <w:color w:val="333333"/>
          <w:kern w:val="0"/>
          <w:sz w:val="24"/>
          <w:szCs w:val="24"/>
          <w:lang w:val="en-US" w:eastAsia="zh-CN"/>
        </w:rPr>
      </w:pPr>
    </w:p>
    <w:p w14:paraId="0C03E60B">
      <w:pPr>
        <w:widowControl w:val="0"/>
        <w:numPr>
          <w:ilvl w:val="0"/>
          <w:numId w:val="0"/>
        </w:numPr>
        <w:jc w:val="both"/>
        <w:rPr>
          <w:rFonts w:hint="eastAsia" w:ascii="宋体" w:hAnsi="宋体" w:cs="宋体"/>
          <w:color w:val="333333"/>
          <w:kern w:val="0"/>
          <w:sz w:val="24"/>
          <w:szCs w:val="24"/>
          <w:lang w:val="en-US" w:eastAsia="zh-CN"/>
        </w:rPr>
      </w:pPr>
    </w:p>
    <w:p w14:paraId="2D406439">
      <w:pPr>
        <w:widowControl w:val="0"/>
        <w:numPr>
          <w:ilvl w:val="0"/>
          <w:numId w:val="0"/>
        </w:numPr>
        <w:jc w:val="both"/>
        <w:rPr>
          <w:rFonts w:hint="eastAsia" w:ascii="宋体" w:hAnsi="宋体" w:cs="宋体"/>
          <w:color w:val="333333"/>
          <w:kern w:val="0"/>
          <w:sz w:val="24"/>
          <w:szCs w:val="24"/>
          <w:lang w:val="en-US" w:eastAsia="zh-CN"/>
        </w:rPr>
      </w:pPr>
    </w:p>
    <w:p w14:paraId="02308E07">
      <w:pPr>
        <w:widowControl w:val="0"/>
        <w:numPr>
          <w:ilvl w:val="0"/>
          <w:numId w:val="0"/>
        </w:numPr>
        <w:jc w:val="both"/>
        <w:rPr>
          <w:rFonts w:hint="eastAsia" w:ascii="宋体" w:hAnsi="宋体" w:cs="宋体"/>
          <w:color w:val="333333"/>
          <w:kern w:val="0"/>
          <w:sz w:val="24"/>
          <w:szCs w:val="24"/>
          <w:lang w:val="en-US" w:eastAsia="zh-CN"/>
        </w:rPr>
      </w:pPr>
    </w:p>
    <w:p w14:paraId="7499C63B">
      <w:pPr>
        <w:widowControl w:val="0"/>
        <w:numPr>
          <w:ilvl w:val="0"/>
          <w:numId w:val="0"/>
        </w:numPr>
        <w:jc w:val="both"/>
        <w:rPr>
          <w:rFonts w:hint="eastAsia" w:ascii="宋体" w:hAnsi="宋体" w:cs="宋体"/>
          <w:color w:val="333333"/>
          <w:kern w:val="0"/>
          <w:sz w:val="24"/>
          <w:szCs w:val="24"/>
          <w:lang w:val="en-US" w:eastAsia="zh-CN"/>
        </w:rPr>
      </w:pPr>
    </w:p>
    <w:p w14:paraId="5314B24A">
      <w:pPr>
        <w:widowControl w:val="0"/>
        <w:numPr>
          <w:ilvl w:val="0"/>
          <w:numId w:val="0"/>
        </w:numPr>
        <w:jc w:val="both"/>
        <w:rPr>
          <w:rFonts w:hint="eastAsia" w:ascii="宋体" w:hAnsi="宋体" w:cs="宋体"/>
          <w:color w:val="333333"/>
          <w:kern w:val="0"/>
          <w:sz w:val="24"/>
          <w:szCs w:val="24"/>
          <w:lang w:val="en-US" w:eastAsia="zh-CN"/>
        </w:rPr>
      </w:pPr>
    </w:p>
    <w:p w14:paraId="66B32304">
      <w:pPr>
        <w:widowControl w:val="0"/>
        <w:numPr>
          <w:ilvl w:val="0"/>
          <w:numId w:val="0"/>
        </w:numPr>
        <w:jc w:val="both"/>
        <w:rPr>
          <w:rFonts w:hint="eastAsia" w:ascii="宋体" w:hAnsi="宋体" w:cs="宋体"/>
          <w:color w:val="333333"/>
          <w:kern w:val="0"/>
          <w:sz w:val="24"/>
          <w:szCs w:val="24"/>
          <w:lang w:val="en-US" w:eastAsia="zh-CN"/>
        </w:rPr>
      </w:pPr>
    </w:p>
    <w:p w14:paraId="5FDDB320">
      <w:pPr>
        <w:widowControl w:val="0"/>
        <w:numPr>
          <w:ilvl w:val="0"/>
          <w:numId w:val="0"/>
        </w:numPr>
        <w:jc w:val="both"/>
        <w:rPr>
          <w:rFonts w:hint="eastAsia" w:ascii="宋体" w:hAnsi="宋体" w:cs="宋体"/>
          <w:color w:val="333333"/>
          <w:kern w:val="0"/>
          <w:sz w:val="24"/>
          <w:szCs w:val="24"/>
          <w:lang w:val="en-US" w:eastAsia="zh-CN"/>
        </w:rPr>
      </w:pPr>
    </w:p>
    <w:p w14:paraId="33460C04">
      <w:pPr>
        <w:widowControl w:val="0"/>
        <w:numPr>
          <w:ilvl w:val="0"/>
          <w:numId w:val="0"/>
        </w:numPr>
        <w:jc w:val="both"/>
        <w:rPr>
          <w:rFonts w:hint="eastAsia" w:ascii="宋体" w:hAnsi="宋体" w:cs="宋体"/>
          <w:color w:val="333333"/>
          <w:kern w:val="0"/>
          <w:sz w:val="24"/>
          <w:szCs w:val="24"/>
          <w:lang w:val="en-US" w:eastAsia="zh-CN"/>
        </w:rPr>
      </w:pPr>
    </w:p>
    <w:p w14:paraId="693876D0">
      <w:pPr>
        <w:widowControl w:val="0"/>
        <w:numPr>
          <w:ilvl w:val="0"/>
          <w:numId w:val="0"/>
        </w:numPr>
        <w:jc w:val="both"/>
        <w:rPr>
          <w:rFonts w:hint="eastAsia" w:ascii="宋体" w:hAnsi="宋体" w:cs="宋体"/>
          <w:color w:val="333333"/>
          <w:kern w:val="0"/>
          <w:sz w:val="24"/>
          <w:szCs w:val="24"/>
          <w:lang w:val="en-US" w:eastAsia="zh-CN"/>
        </w:rPr>
      </w:pPr>
    </w:p>
    <w:p w14:paraId="37F44E0E">
      <w:pPr>
        <w:widowControl w:val="0"/>
        <w:numPr>
          <w:ilvl w:val="0"/>
          <w:numId w:val="0"/>
        </w:numPr>
        <w:jc w:val="both"/>
        <w:rPr>
          <w:rFonts w:hint="eastAsia" w:ascii="宋体" w:hAnsi="宋体" w:cs="宋体"/>
          <w:color w:val="333333"/>
          <w:kern w:val="0"/>
          <w:sz w:val="24"/>
          <w:szCs w:val="24"/>
          <w:lang w:val="en-US" w:eastAsia="zh-CN"/>
        </w:rPr>
      </w:pPr>
    </w:p>
    <w:p w14:paraId="1784FF19">
      <w:pPr>
        <w:widowControl w:val="0"/>
        <w:numPr>
          <w:ilvl w:val="0"/>
          <w:numId w:val="0"/>
        </w:numPr>
        <w:jc w:val="both"/>
        <w:rPr>
          <w:rFonts w:hint="eastAsia" w:ascii="宋体" w:hAnsi="宋体" w:cs="宋体"/>
          <w:color w:val="333333"/>
          <w:kern w:val="0"/>
          <w:sz w:val="24"/>
          <w:szCs w:val="24"/>
          <w:lang w:val="en-US" w:eastAsia="zh-CN"/>
        </w:rPr>
      </w:pPr>
    </w:p>
    <w:p w14:paraId="789F8A22">
      <w:pPr>
        <w:widowControl w:val="0"/>
        <w:numPr>
          <w:ilvl w:val="0"/>
          <w:numId w:val="0"/>
        </w:numPr>
        <w:jc w:val="both"/>
        <w:rPr>
          <w:rFonts w:hint="eastAsia" w:ascii="宋体" w:hAnsi="宋体" w:cs="宋体"/>
          <w:color w:val="333333"/>
          <w:kern w:val="0"/>
          <w:sz w:val="24"/>
          <w:szCs w:val="24"/>
          <w:lang w:val="en-US" w:eastAsia="zh-CN"/>
        </w:rPr>
      </w:pPr>
    </w:p>
    <w:p w14:paraId="196ACCEA">
      <w:pPr>
        <w:widowControl w:val="0"/>
        <w:numPr>
          <w:ilvl w:val="0"/>
          <w:numId w:val="0"/>
        </w:numPr>
        <w:jc w:val="both"/>
        <w:rPr>
          <w:rFonts w:hint="eastAsia" w:ascii="宋体" w:hAnsi="宋体" w:cs="宋体"/>
          <w:color w:val="333333"/>
          <w:kern w:val="0"/>
          <w:sz w:val="24"/>
          <w:szCs w:val="24"/>
          <w:lang w:val="en-US" w:eastAsia="zh-CN"/>
        </w:rPr>
      </w:pPr>
    </w:p>
    <w:p w14:paraId="38E73FA0">
      <w:pPr>
        <w:widowControl w:val="0"/>
        <w:numPr>
          <w:ilvl w:val="0"/>
          <w:numId w:val="0"/>
        </w:numPr>
        <w:jc w:val="both"/>
        <w:rPr>
          <w:rFonts w:hint="eastAsia" w:ascii="宋体" w:hAnsi="宋体" w:cs="宋体"/>
          <w:color w:val="333333"/>
          <w:kern w:val="0"/>
          <w:sz w:val="24"/>
          <w:szCs w:val="24"/>
          <w:lang w:val="en-US" w:eastAsia="zh-CN"/>
        </w:rPr>
      </w:pPr>
    </w:p>
    <w:p w14:paraId="77F9E3B5">
      <w:pPr>
        <w:widowControl w:val="0"/>
        <w:numPr>
          <w:ilvl w:val="0"/>
          <w:numId w:val="0"/>
        </w:numPr>
        <w:jc w:val="both"/>
        <w:rPr>
          <w:rFonts w:hint="eastAsia" w:ascii="宋体" w:hAnsi="宋体" w:cs="宋体"/>
          <w:color w:val="333333"/>
          <w:kern w:val="0"/>
          <w:sz w:val="24"/>
          <w:szCs w:val="24"/>
          <w:lang w:val="en-US" w:eastAsia="zh-CN"/>
        </w:rPr>
      </w:pPr>
    </w:p>
    <w:p w14:paraId="672135BF">
      <w:pPr>
        <w:widowControl w:val="0"/>
        <w:numPr>
          <w:ilvl w:val="0"/>
          <w:numId w:val="2"/>
        </w:numPr>
        <w:jc w:val="both"/>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供应商</w:t>
      </w:r>
      <w:r>
        <w:rPr>
          <w:rFonts w:hint="eastAsia" w:ascii="宋体" w:hAnsi="宋体" w:cs="宋体"/>
          <w:color w:val="333333"/>
          <w:kern w:val="0"/>
          <w:sz w:val="24"/>
          <w:szCs w:val="24"/>
        </w:rPr>
        <w:t>简介及联系方式</w:t>
      </w:r>
    </w:p>
    <w:p w14:paraId="2BAE8DCE">
      <w:pPr>
        <w:snapToGrid w:val="0"/>
        <w:rPr>
          <w:rFonts w:hint="eastAsia" w:ascii="宋体" w:hAnsi="宋体" w:eastAsia="宋体" w:cs="Arial"/>
          <w:b/>
          <w:bCs/>
          <w:szCs w:val="21"/>
          <w:lang w:eastAsia="zh-CN"/>
        </w:rPr>
      </w:pPr>
      <w:r>
        <w:rPr>
          <w:rFonts w:hint="eastAsia" w:ascii="宋体" w:hAnsi="宋体" w:cs="Arial"/>
          <w:b/>
          <w:bCs/>
          <w:szCs w:val="21"/>
        </w:rPr>
        <w:t>供应商基本情况表</w:t>
      </w:r>
      <w:r>
        <w:rPr>
          <w:rFonts w:hint="eastAsia" w:ascii="宋体" w:hAnsi="宋体" w:cs="Arial"/>
          <w:b/>
          <w:bCs/>
          <w:szCs w:val="21"/>
          <w:lang w:eastAsia="zh-CN"/>
        </w:rPr>
        <w:t>（</w:t>
      </w:r>
      <w:r>
        <w:rPr>
          <w:rFonts w:hint="eastAsia" w:ascii="宋体" w:hAnsi="宋体" w:cs="Arial"/>
          <w:b/>
          <w:bCs/>
          <w:color w:val="FF0000"/>
          <w:szCs w:val="21"/>
          <w:lang w:val="en-US" w:eastAsia="zh-CN"/>
        </w:rPr>
        <w:t>本表必须提供并加盖公章</w:t>
      </w:r>
      <w:r>
        <w:rPr>
          <w:rFonts w:hint="eastAsia" w:ascii="宋体" w:hAnsi="宋体" w:cs="Arial"/>
          <w:b/>
          <w:bCs/>
          <w:szCs w:val="21"/>
          <w:lang w:eastAsia="zh-CN"/>
        </w:rPr>
        <w:t>）</w:t>
      </w:r>
    </w:p>
    <w:p w14:paraId="6BAB5A7E">
      <w:pPr>
        <w:spacing w:before="145" w:line="221" w:lineRule="auto"/>
        <w:ind w:left="2778"/>
        <w:outlineLvl w:val="0"/>
        <w:rPr>
          <w:rFonts w:ascii="宋体" w:hAnsi="宋体" w:eastAsia="宋体" w:cs="宋体"/>
          <w:sz w:val="43"/>
          <w:szCs w:val="43"/>
        </w:rPr>
      </w:pPr>
      <w:r>
        <w:rPr>
          <w:rFonts w:ascii="宋体" w:hAnsi="宋体" w:eastAsia="宋体" w:cs="宋体"/>
          <w:b/>
          <w:bCs/>
          <w:spacing w:val="4"/>
          <w:sz w:val="43"/>
          <w:szCs w:val="43"/>
        </w:rPr>
        <w:t>供应商基本情况表</w:t>
      </w:r>
    </w:p>
    <w:p w14:paraId="71B81721">
      <w:pPr>
        <w:spacing w:before="220" w:line="198" w:lineRule="auto"/>
        <w:ind w:left="126"/>
        <w:rPr>
          <w:rFonts w:ascii="微软雅黑" w:hAnsi="微软雅黑" w:eastAsia="微软雅黑" w:cs="微软雅黑"/>
          <w:spacing w:val="4"/>
          <w:sz w:val="28"/>
          <w:szCs w:val="28"/>
        </w:rPr>
      </w:pPr>
      <w:r>
        <w:rPr>
          <w:rFonts w:ascii="微软雅黑" w:hAnsi="微软雅黑" w:eastAsia="微软雅黑" w:cs="微软雅黑"/>
          <w:sz w:val="28"/>
          <w:szCs w:val="28"/>
        </w:rPr>
        <w:t>填表单位</w:t>
      </w:r>
      <w:r>
        <w:rPr>
          <w:rFonts w:hint="eastAsia" w:ascii="微软雅黑" w:hAnsi="微软雅黑" w:eastAsia="微软雅黑" w:cs="微软雅黑"/>
          <w:sz w:val="28"/>
          <w:szCs w:val="28"/>
          <w:lang w:eastAsia="zh-CN"/>
        </w:rPr>
        <w:t>：</w:t>
      </w:r>
      <w:r>
        <w:rPr>
          <w:rFonts w:hint="eastAsia" w:ascii="微软雅黑" w:hAnsi="微软雅黑" w:eastAsia="微软雅黑" w:cs="微软雅黑"/>
          <w:color w:val="FF0000"/>
          <w:sz w:val="28"/>
          <w:szCs w:val="28"/>
          <w:lang w:eastAsia="zh-CN"/>
        </w:rPr>
        <w:t>（</w:t>
      </w:r>
      <w:r>
        <w:rPr>
          <w:rFonts w:hint="eastAsia" w:ascii="微软雅黑" w:hAnsi="微软雅黑" w:eastAsia="微软雅黑" w:cs="微软雅黑"/>
          <w:color w:val="FF0000"/>
          <w:sz w:val="28"/>
          <w:szCs w:val="28"/>
          <w:lang w:val="en-US" w:eastAsia="zh-CN"/>
        </w:rPr>
        <w:t>加盖单位公章</w:t>
      </w:r>
      <w:r>
        <w:rPr>
          <w:rFonts w:hint="eastAsia" w:ascii="微软雅黑" w:hAnsi="微软雅黑" w:eastAsia="微软雅黑" w:cs="微软雅黑"/>
          <w:color w:val="FF0000"/>
          <w:sz w:val="28"/>
          <w:szCs w:val="28"/>
          <w:lang w:eastAsia="zh-CN"/>
        </w:rPr>
        <w:t>）</w:t>
      </w:r>
      <w:r>
        <w:rPr>
          <w:rFonts w:ascii="微软雅黑" w:hAnsi="微软雅黑" w:eastAsia="微软雅黑" w:cs="微软雅黑"/>
          <w:color w:val="FF0000"/>
          <w:spacing w:val="4"/>
          <w:sz w:val="28"/>
          <w:szCs w:val="28"/>
        </w:rPr>
        <w:t xml:space="preserve"> </w:t>
      </w:r>
      <w:r>
        <w:rPr>
          <w:rFonts w:ascii="微软雅黑" w:hAnsi="微软雅黑" w:eastAsia="微软雅黑" w:cs="微软雅黑"/>
          <w:spacing w:val="4"/>
          <w:sz w:val="28"/>
          <w:szCs w:val="28"/>
        </w:rPr>
        <w:t xml:space="preserve">   </w:t>
      </w:r>
    </w:p>
    <w:p w14:paraId="40993800">
      <w:pPr>
        <w:spacing w:before="220" w:line="198" w:lineRule="auto"/>
        <w:ind w:left="126"/>
        <w:rPr>
          <w:rFonts w:ascii="微软雅黑" w:hAnsi="微软雅黑" w:eastAsia="微软雅黑" w:cs="微软雅黑"/>
          <w:sz w:val="28"/>
          <w:szCs w:val="28"/>
        </w:rPr>
      </w:pPr>
      <w:r>
        <w:rPr>
          <w:rFonts w:ascii="微软雅黑" w:hAnsi="微软雅黑" w:eastAsia="微软雅黑" w:cs="微软雅黑"/>
          <w:sz w:val="28"/>
          <w:szCs w:val="28"/>
        </w:rPr>
        <w:t>填表日期：</w:t>
      </w:r>
      <w:r>
        <w:rPr>
          <w:rFonts w:ascii="微软雅黑" w:hAnsi="微软雅黑" w:eastAsia="微软雅黑" w:cs="微软雅黑"/>
          <w:spacing w:val="13"/>
          <w:sz w:val="28"/>
          <w:szCs w:val="28"/>
        </w:rPr>
        <w:t xml:space="preserve">      </w:t>
      </w:r>
      <w:r>
        <w:rPr>
          <w:rFonts w:ascii="微软雅黑" w:hAnsi="微软雅黑" w:eastAsia="微软雅黑" w:cs="微软雅黑"/>
          <w:sz w:val="28"/>
          <w:szCs w:val="28"/>
        </w:rPr>
        <w:t>年     月     日</w:t>
      </w:r>
    </w:p>
    <w:p w14:paraId="482B1CB6">
      <w:pPr>
        <w:spacing w:line="75" w:lineRule="exact"/>
      </w:pPr>
    </w:p>
    <w:tbl>
      <w:tblPr>
        <w:tblStyle w:val="11"/>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2056"/>
        <w:gridCol w:w="960"/>
        <w:gridCol w:w="326"/>
        <w:gridCol w:w="1294"/>
        <w:gridCol w:w="1404"/>
        <w:gridCol w:w="1489"/>
      </w:tblGrid>
      <w:tr w14:paraId="1428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top"/>
          </w:tcPr>
          <w:p w14:paraId="0E490B5F">
            <w:pPr>
              <w:pStyle w:val="10"/>
              <w:spacing w:before="180" w:line="203" w:lineRule="auto"/>
              <w:ind w:left="359"/>
              <w:rPr>
                <w:rFonts w:hint="eastAsia" w:ascii="微软雅黑" w:hAnsi="微软雅黑" w:eastAsia="微软雅黑" w:cs="微软雅黑"/>
                <w:sz w:val="24"/>
                <w:szCs w:val="24"/>
              </w:rPr>
            </w:pPr>
            <w:r>
              <w:rPr>
                <w:rFonts w:hint="eastAsia" w:ascii="微软雅黑" w:hAnsi="微软雅黑" w:eastAsia="微软雅黑" w:cs="微软雅黑"/>
                <w:spacing w:val="-4"/>
                <w:sz w:val="24"/>
                <w:szCs w:val="24"/>
              </w:rPr>
              <w:t>采购人</w:t>
            </w:r>
          </w:p>
        </w:tc>
        <w:tc>
          <w:tcPr>
            <w:tcW w:w="3016" w:type="dxa"/>
            <w:gridSpan w:val="2"/>
            <w:vAlign w:val="top"/>
          </w:tcPr>
          <w:p w14:paraId="18B09EE1">
            <w:pPr>
              <w:rPr>
                <w:rFonts w:hint="default" w:ascii="微软雅黑" w:hAnsi="微软雅黑" w:eastAsia="微软雅黑" w:cs="微软雅黑"/>
                <w:sz w:val="24"/>
                <w:szCs w:val="24"/>
                <w:lang w:val="en-US" w:eastAsia="zh-CN"/>
              </w:rPr>
            </w:pPr>
            <w:r>
              <w:rPr>
                <w:rFonts w:hint="eastAsia" w:ascii="微软雅黑" w:hAnsi="微软雅黑" w:eastAsia="微软雅黑" w:cs="微软雅黑"/>
                <w:spacing w:val="-4"/>
                <w:sz w:val="21"/>
                <w:szCs w:val="21"/>
                <w:lang w:val="en-US" w:eastAsia="zh-CN"/>
              </w:rPr>
              <w:t>中山大学附属第七医院（深圳）</w:t>
            </w:r>
          </w:p>
        </w:tc>
        <w:tc>
          <w:tcPr>
            <w:tcW w:w="1620" w:type="dxa"/>
            <w:gridSpan w:val="2"/>
            <w:vAlign w:val="top"/>
          </w:tcPr>
          <w:p w14:paraId="75034EC6">
            <w:pPr>
              <w:pStyle w:val="10"/>
              <w:spacing w:before="181" w:line="201" w:lineRule="auto"/>
              <w:ind w:left="527"/>
            </w:pPr>
            <w:r>
              <w:rPr>
                <w:spacing w:val="-3"/>
              </w:rPr>
              <w:t>项目名称</w:t>
            </w:r>
          </w:p>
        </w:tc>
        <w:tc>
          <w:tcPr>
            <w:tcW w:w="2893" w:type="dxa"/>
            <w:gridSpan w:val="2"/>
            <w:vAlign w:val="top"/>
          </w:tcPr>
          <w:p w14:paraId="70CF61AA">
            <w:pPr>
              <w:rPr>
                <w:rFonts w:ascii="Arial"/>
                <w:sz w:val="21"/>
              </w:rPr>
            </w:pPr>
          </w:p>
        </w:tc>
      </w:tr>
      <w:tr w14:paraId="2692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top"/>
          </w:tcPr>
          <w:p w14:paraId="372A5019">
            <w:pPr>
              <w:pStyle w:val="10"/>
              <w:spacing w:before="40" w:line="191" w:lineRule="auto"/>
              <w:ind w:left="126" w:right="105" w:firstLine="111"/>
            </w:pPr>
            <w:r>
              <w:rPr>
                <w:spacing w:val="-4"/>
              </w:rPr>
              <w:t>投标（响</w:t>
            </w:r>
            <w:r>
              <w:t xml:space="preserve">  </w:t>
            </w:r>
            <w:r>
              <w:rPr>
                <w:spacing w:val="-5"/>
              </w:rPr>
              <w:t>应）供应商</w:t>
            </w:r>
          </w:p>
        </w:tc>
        <w:tc>
          <w:tcPr>
            <w:tcW w:w="3016" w:type="dxa"/>
            <w:gridSpan w:val="2"/>
            <w:vAlign w:val="top"/>
          </w:tcPr>
          <w:p w14:paraId="384B153B">
            <w:pPr>
              <w:rPr>
                <w:rFonts w:ascii="Arial"/>
                <w:sz w:val="21"/>
              </w:rPr>
            </w:pPr>
          </w:p>
        </w:tc>
        <w:tc>
          <w:tcPr>
            <w:tcW w:w="1620" w:type="dxa"/>
            <w:gridSpan w:val="2"/>
            <w:vAlign w:val="top"/>
          </w:tcPr>
          <w:p w14:paraId="5EE32108">
            <w:pPr>
              <w:pStyle w:val="10"/>
              <w:spacing w:before="40" w:line="191" w:lineRule="auto"/>
              <w:ind w:left="527" w:right="152" w:hanging="362"/>
            </w:pPr>
            <w:r>
              <w:rPr>
                <w:spacing w:val="-2"/>
              </w:rPr>
              <w:t>供应商统一社会</w:t>
            </w:r>
            <w:r>
              <w:t xml:space="preserve"> </w:t>
            </w:r>
            <w:r>
              <w:rPr>
                <w:spacing w:val="-3"/>
              </w:rPr>
              <w:t>信用代码</w:t>
            </w:r>
          </w:p>
        </w:tc>
        <w:tc>
          <w:tcPr>
            <w:tcW w:w="2893" w:type="dxa"/>
            <w:gridSpan w:val="2"/>
            <w:vAlign w:val="top"/>
          </w:tcPr>
          <w:p w14:paraId="1DDF98B1">
            <w:pPr>
              <w:rPr>
                <w:rFonts w:ascii="Arial"/>
                <w:sz w:val="21"/>
              </w:rPr>
            </w:pPr>
          </w:p>
        </w:tc>
      </w:tr>
      <w:tr w14:paraId="2AAA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CE55911">
            <w:pPr>
              <w:pStyle w:val="10"/>
              <w:spacing w:before="175" w:line="198" w:lineRule="auto"/>
              <w:ind w:left="2683"/>
            </w:pPr>
            <w:r>
              <w:rPr>
                <w:b/>
                <w:bCs/>
              </w:rPr>
              <w:t>投标（响应）供应商相关人员情况</w:t>
            </w:r>
          </w:p>
        </w:tc>
      </w:tr>
      <w:tr w14:paraId="27965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3FA38312">
            <w:pPr>
              <w:pStyle w:val="10"/>
              <w:spacing w:before="217" w:line="202" w:lineRule="auto"/>
              <w:ind w:left="145"/>
            </w:pPr>
            <w:r>
              <w:rPr>
                <w:spacing w:val="-5"/>
              </w:rPr>
              <w:t>序号</w:t>
            </w:r>
          </w:p>
        </w:tc>
        <w:tc>
          <w:tcPr>
            <w:tcW w:w="2732" w:type="dxa"/>
            <w:gridSpan w:val="2"/>
            <w:vAlign w:val="top"/>
          </w:tcPr>
          <w:p w14:paraId="4F3BD2C3">
            <w:pPr>
              <w:pStyle w:val="10"/>
              <w:spacing w:before="213" w:line="202" w:lineRule="auto"/>
              <w:ind w:left="916"/>
            </w:pPr>
            <w:r>
              <w:rPr>
                <w:spacing w:val="-6"/>
              </w:rPr>
              <w:t>职务</w:t>
            </w:r>
          </w:p>
        </w:tc>
        <w:tc>
          <w:tcPr>
            <w:tcW w:w="960" w:type="dxa"/>
            <w:vAlign w:val="top"/>
          </w:tcPr>
          <w:p w14:paraId="783AF3F3">
            <w:pPr>
              <w:pStyle w:val="10"/>
              <w:spacing w:before="213" w:line="203" w:lineRule="auto"/>
              <w:ind w:left="245"/>
            </w:pPr>
            <w:r>
              <w:rPr>
                <w:spacing w:val="-4"/>
              </w:rPr>
              <w:t>姓名</w:t>
            </w:r>
          </w:p>
        </w:tc>
        <w:tc>
          <w:tcPr>
            <w:tcW w:w="1620" w:type="dxa"/>
            <w:gridSpan w:val="2"/>
            <w:vAlign w:val="top"/>
          </w:tcPr>
          <w:p w14:paraId="3FB9C412">
            <w:pPr>
              <w:pStyle w:val="10"/>
              <w:spacing w:before="214" w:line="203" w:lineRule="auto"/>
              <w:ind w:left="410"/>
            </w:pPr>
            <w:r>
              <w:rPr>
                <w:spacing w:val="-3"/>
              </w:rPr>
              <w:t>身份证号码</w:t>
            </w:r>
          </w:p>
        </w:tc>
        <w:tc>
          <w:tcPr>
            <w:tcW w:w="1404" w:type="dxa"/>
            <w:vAlign w:val="top"/>
          </w:tcPr>
          <w:p w14:paraId="3FB60CB3">
            <w:pPr>
              <w:pStyle w:val="10"/>
              <w:spacing w:before="39" w:line="191" w:lineRule="auto"/>
              <w:ind w:left="288" w:right="266" w:firstLine="5"/>
            </w:pPr>
            <w:r>
              <w:rPr>
                <w:spacing w:val="-7"/>
              </w:rPr>
              <w:t>劳动合同</w:t>
            </w:r>
            <w:r>
              <w:t xml:space="preserve"> </w:t>
            </w:r>
            <w:r>
              <w:rPr>
                <w:spacing w:val="-6"/>
              </w:rPr>
              <w:t>关系单位</w:t>
            </w:r>
          </w:p>
        </w:tc>
        <w:tc>
          <w:tcPr>
            <w:tcW w:w="1489" w:type="dxa"/>
            <w:vAlign w:val="top"/>
          </w:tcPr>
          <w:p w14:paraId="6713370C">
            <w:pPr>
              <w:pStyle w:val="10"/>
              <w:spacing w:before="39" w:line="191" w:lineRule="auto"/>
              <w:ind w:left="271" w:right="262" w:firstLine="8"/>
            </w:pPr>
            <w:r>
              <w:rPr>
                <w:spacing w:val="-5"/>
              </w:rPr>
              <w:t>缴纳社会</w:t>
            </w:r>
            <w:r>
              <w:t xml:space="preserve"> </w:t>
            </w:r>
            <w:r>
              <w:rPr>
                <w:spacing w:val="-3"/>
              </w:rPr>
              <w:t>保险单位</w:t>
            </w:r>
          </w:p>
        </w:tc>
      </w:tr>
      <w:tr w14:paraId="4100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top"/>
          </w:tcPr>
          <w:p w14:paraId="59CE5787">
            <w:pPr>
              <w:spacing w:line="252" w:lineRule="auto"/>
              <w:rPr>
                <w:rFonts w:ascii="Arial"/>
                <w:sz w:val="21"/>
              </w:rPr>
            </w:pPr>
          </w:p>
          <w:p w14:paraId="1D7837B9">
            <w:pPr>
              <w:pStyle w:val="10"/>
              <w:spacing w:before="103" w:line="169" w:lineRule="auto"/>
              <w:ind w:left="321"/>
            </w:pPr>
            <w:r>
              <w:t>1</w:t>
            </w:r>
          </w:p>
        </w:tc>
        <w:tc>
          <w:tcPr>
            <w:tcW w:w="2732" w:type="dxa"/>
            <w:gridSpan w:val="2"/>
            <w:vAlign w:val="top"/>
          </w:tcPr>
          <w:p w14:paraId="55EC78C5">
            <w:pPr>
              <w:pStyle w:val="10"/>
              <w:spacing w:before="174" w:line="235" w:lineRule="auto"/>
              <w:ind w:left="240" w:right="116" w:hanging="101"/>
              <w:jc w:val="left"/>
              <w:rPr>
                <w:sz w:val="22"/>
                <w:szCs w:val="22"/>
              </w:rPr>
            </w:pPr>
            <w:r>
              <w:rPr>
                <w:spacing w:val="-6"/>
                <w:sz w:val="22"/>
                <w:szCs w:val="22"/>
              </w:rPr>
              <w:t>法定代表人/单位负责 人/主要经营负责人</w:t>
            </w:r>
          </w:p>
        </w:tc>
        <w:tc>
          <w:tcPr>
            <w:tcW w:w="960" w:type="dxa"/>
            <w:vAlign w:val="top"/>
          </w:tcPr>
          <w:p w14:paraId="37F60C62">
            <w:pPr>
              <w:rPr>
                <w:rFonts w:ascii="Arial"/>
                <w:sz w:val="21"/>
              </w:rPr>
            </w:pPr>
          </w:p>
        </w:tc>
        <w:tc>
          <w:tcPr>
            <w:tcW w:w="1620" w:type="dxa"/>
            <w:gridSpan w:val="2"/>
            <w:vAlign w:val="top"/>
          </w:tcPr>
          <w:p w14:paraId="0CD760D7">
            <w:pPr>
              <w:rPr>
                <w:rFonts w:ascii="Arial"/>
                <w:sz w:val="21"/>
              </w:rPr>
            </w:pPr>
          </w:p>
        </w:tc>
        <w:tc>
          <w:tcPr>
            <w:tcW w:w="1404" w:type="dxa"/>
            <w:vAlign w:val="top"/>
          </w:tcPr>
          <w:p w14:paraId="28DF1DAD">
            <w:pPr>
              <w:rPr>
                <w:rFonts w:ascii="Arial"/>
                <w:sz w:val="21"/>
              </w:rPr>
            </w:pPr>
          </w:p>
        </w:tc>
        <w:tc>
          <w:tcPr>
            <w:tcW w:w="1489" w:type="dxa"/>
            <w:vAlign w:val="top"/>
          </w:tcPr>
          <w:p w14:paraId="2B84E992">
            <w:pPr>
              <w:rPr>
                <w:rFonts w:ascii="Arial"/>
                <w:sz w:val="21"/>
              </w:rPr>
            </w:pPr>
          </w:p>
        </w:tc>
      </w:tr>
      <w:tr w14:paraId="1232E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0F5D129B">
            <w:pPr>
              <w:pStyle w:val="10"/>
              <w:spacing w:before="211" w:line="168" w:lineRule="auto"/>
              <w:ind w:left="322"/>
            </w:pPr>
            <w:r>
              <w:t>2</w:t>
            </w:r>
          </w:p>
        </w:tc>
        <w:tc>
          <w:tcPr>
            <w:tcW w:w="2732" w:type="dxa"/>
            <w:gridSpan w:val="2"/>
            <w:vAlign w:val="top"/>
          </w:tcPr>
          <w:p w14:paraId="4AC4DCAE">
            <w:pPr>
              <w:pStyle w:val="10"/>
              <w:spacing w:before="190" w:line="202" w:lineRule="auto"/>
              <w:jc w:val="left"/>
              <w:rPr>
                <w:sz w:val="22"/>
                <w:szCs w:val="22"/>
              </w:rPr>
            </w:pPr>
            <w:r>
              <w:rPr>
                <w:spacing w:val="-2"/>
                <w:sz w:val="22"/>
                <w:szCs w:val="22"/>
              </w:rPr>
              <w:t>项目投标授权代表人</w:t>
            </w:r>
          </w:p>
        </w:tc>
        <w:tc>
          <w:tcPr>
            <w:tcW w:w="960" w:type="dxa"/>
            <w:vAlign w:val="top"/>
          </w:tcPr>
          <w:p w14:paraId="03F3AB8F">
            <w:pPr>
              <w:rPr>
                <w:rFonts w:ascii="Arial"/>
                <w:sz w:val="21"/>
              </w:rPr>
            </w:pPr>
          </w:p>
        </w:tc>
        <w:tc>
          <w:tcPr>
            <w:tcW w:w="1620" w:type="dxa"/>
            <w:gridSpan w:val="2"/>
            <w:vAlign w:val="top"/>
          </w:tcPr>
          <w:p w14:paraId="04D93F5B">
            <w:pPr>
              <w:rPr>
                <w:rFonts w:ascii="Arial"/>
                <w:sz w:val="21"/>
              </w:rPr>
            </w:pPr>
          </w:p>
        </w:tc>
        <w:tc>
          <w:tcPr>
            <w:tcW w:w="1404" w:type="dxa"/>
            <w:vAlign w:val="top"/>
          </w:tcPr>
          <w:p w14:paraId="6587A5DD">
            <w:pPr>
              <w:rPr>
                <w:rFonts w:ascii="Arial"/>
                <w:sz w:val="21"/>
              </w:rPr>
            </w:pPr>
          </w:p>
        </w:tc>
        <w:tc>
          <w:tcPr>
            <w:tcW w:w="1489" w:type="dxa"/>
            <w:vAlign w:val="top"/>
          </w:tcPr>
          <w:p w14:paraId="68994733">
            <w:pPr>
              <w:rPr>
                <w:rFonts w:ascii="Arial"/>
                <w:sz w:val="21"/>
              </w:rPr>
            </w:pPr>
          </w:p>
        </w:tc>
      </w:tr>
      <w:tr w14:paraId="7EFE9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20D77B9">
            <w:pPr>
              <w:pStyle w:val="10"/>
              <w:spacing w:before="210" w:line="167" w:lineRule="auto"/>
              <w:ind w:left="321"/>
            </w:pPr>
            <w:r>
              <w:t>3</w:t>
            </w:r>
          </w:p>
        </w:tc>
        <w:tc>
          <w:tcPr>
            <w:tcW w:w="2732" w:type="dxa"/>
            <w:gridSpan w:val="2"/>
            <w:vAlign w:val="top"/>
          </w:tcPr>
          <w:p w14:paraId="28ABBA2C">
            <w:pPr>
              <w:pStyle w:val="10"/>
              <w:spacing w:before="178" w:line="201" w:lineRule="auto"/>
              <w:jc w:val="left"/>
              <w:rPr>
                <w:rFonts w:hint="eastAsia" w:eastAsia="微软雅黑"/>
                <w:lang w:eastAsia="zh-CN"/>
              </w:rPr>
            </w:pPr>
            <w:r>
              <w:rPr>
                <w:spacing w:val="-3"/>
              </w:rPr>
              <w:t>项目负责人</w:t>
            </w:r>
          </w:p>
        </w:tc>
        <w:tc>
          <w:tcPr>
            <w:tcW w:w="960" w:type="dxa"/>
            <w:vAlign w:val="top"/>
          </w:tcPr>
          <w:p w14:paraId="4DD8EDB8">
            <w:pPr>
              <w:rPr>
                <w:rFonts w:ascii="Arial"/>
                <w:sz w:val="21"/>
              </w:rPr>
            </w:pPr>
          </w:p>
        </w:tc>
        <w:tc>
          <w:tcPr>
            <w:tcW w:w="1620" w:type="dxa"/>
            <w:gridSpan w:val="2"/>
            <w:vAlign w:val="top"/>
          </w:tcPr>
          <w:p w14:paraId="07AC74AB">
            <w:pPr>
              <w:rPr>
                <w:rFonts w:ascii="Arial"/>
                <w:sz w:val="21"/>
              </w:rPr>
            </w:pPr>
          </w:p>
        </w:tc>
        <w:tc>
          <w:tcPr>
            <w:tcW w:w="1404" w:type="dxa"/>
            <w:vAlign w:val="top"/>
          </w:tcPr>
          <w:p w14:paraId="3457652D">
            <w:pPr>
              <w:rPr>
                <w:rFonts w:ascii="Arial"/>
                <w:sz w:val="21"/>
              </w:rPr>
            </w:pPr>
          </w:p>
        </w:tc>
        <w:tc>
          <w:tcPr>
            <w:tcW w:w="1489" w:type="dxa"/>
            <w:vAlign w:val="top"/>
          </w:tcPr>
          <w:p w14:paraId="3F6E6F00">
            <w:pPr>
              <w:rPr>
                <w:rFonts w:ascii="Arial"/>
                <w:sz w:val="21"/>
              </w:rPr>
            </w:pPr>
          </w:p>
        </w:tc>
      </w:tr>
      <w:tr w14:paraId="420A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47B3FD6F">
            <w:pPr>
              <w:pStyle w:val="10"/>
              <w:spacing w:before="210" w:line="168" w:lineRule="auto"/>
              <w:ind w:left="314"/>
            </w:pPr>
            <w:r>
              <w:t>4</w:t>
            </w:r>
          </w:p>
        </w:tc>
        <w:tc>
          <w:tcPr>
            <w:tcW w:w="2732" w:type="dxa"/>
            <w:gridSpan w:val="2"/>
            <w:vAlign w:val="top"/>
          </w:tcPr>
          <w:p w14:paraId="31BB09F1">
            <w:pPr>
              <w:pStyle w:val="10"/>
              <w:spacing w:before="176" w:line="202" w:lineRule="auto"/>
              <w:jc w:val="left"/>
            </w:pPr>
            <w:r>
              <w:rPr>
                <w:spacing w:val="-4"/>
              </w:rPr>
              <w:t>主要技术人员</w:t>
            </w:r>
          </w:p>
        </w:tc>
        <w:tc>
          <w:tcPr>
            <w:tcW w:w="960" w:type="dxa"/>
            <w:vAlign w:val="top"/>
          </w:tcPr>
          <w:p w14:paraId="7D508D0E">
            <w:pPr>
              <w:rPr>
                <w:rFonts w:ascii="Arial"/>
                <w:sz w:val="21"/>
              </w:rPr>
            </w:pPr>
          </w:p>
        </w:tc>
        <w:tc>
          <w:tcPr>
            <w:tcW w:w="1620" w:type="dxa"/>
            <w:gridSpan w:val="2"/>
            <w:vAlign w:val="top"/>
          </w:tcPr>
          <w:p w14:paraId="16DE5090">
            <w:pPr>
              <w:rPr>
                <w:rFonts w:ascii="Arial"/>
                <w:sz w:val="21"/>
              </w:rPr>
            </w:pPr>
          </w:p>
        </w:tc>
        <w:tc>
          <w:tcPr>
            <w:tcW w:w="1404" w:type="dxa"/>
            <w:vAlign w:val="top"/>
          </w:tcPr>
          <w:p w14:paraId="16161799">
            <w:pPr>
              <w:rPr>
                <w:rFonts w:ascii="Arial"/>
                <w:sz w:val="21"/>
              </w:rPr>
            </w:pPr>
          </w:p>
        </w:tc>
        <w:tc>
          <w:tcPr>
            <w:tcW w:w="1489" w:type="dxa"/>
            <w:vAlign w:val="top"/>
          </w:tcPr>
          <w:p w14:paraId="1428417D">
            <w:pPr>
              <w:rPr>
                <w:rFonts w:ascii="Arial"/>
                <w:sz w:val="21"/>
              </w:rPr>
            </w:pPr>
          </w:p>
        </w:tc>
      </w:tr>
      <w:tr w14:paraId="0745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FF407B">
            <w:pPr>
              <w:pStyle w:val="10"/>
              <w:spacing w:before="215" w:line="165" w:lineRule="auto"/>
              <w:ind w:left="325"/>
            </w:pPr>
            <w:r>
              <w:t>5</w:t>
            </w:r>
          </w:p>
        </w:tc>
        <w:tc>
          <w:tcPr>
            <w:tcW w:w="2732" w:type="dxa"/>
            <w:gridSpan w:val="2"/>
            <w:vAlign w:val="top"/>
          </w:tcPr>
          <w:p w14:paraId="3AC1BD82">
            <w:pPr>
              <w:pStyle w:val="10"/>
              <w:spacing w:before="178" w:line="202" w:lineRule="auto"/>
              <w:jc w:val="left"/>
            </w:pPr>
            <w:r>
              <w:rPr>
                <w:spacing w:val="-2"/>
              </w:rPr>
              <w:t>投标文件编制人员</w:t>
            </w:r>
          </w:p>
        </w:tc>
        <w:tc>
          <w:tcPr>
            <w:tcW w:w="960" w:type="dxa"/>
            <w:vAlign w:val="top"/>
          </w:tcPr>
          <w:p w14:paraId="34231461">
            <w:pPr>
              <w:rPr>
                <w:rFonts w:ascii="Arial"/>
                <w:sz w:val="21"/>
              </w:rPr>
            </w:pPr>
          </w:p>
        </w:tc>
        <w:tc>
          <w:tcPr>
            <w:tcW w:w="1620" w:type="dxa"/>
            <w:gridSpan w:val="2"/>
            <w:vAlign w:val="top"/>
          </w:tcPr>
          <w:p w14:paraId="16809EBE">
            <w:pPr>
              <w:rPr>
                <w:rFonts w:ascii="Arial"/>
                <w:sz w:val="21"/>
              </w:rPr>
            </w:pPr>
          </w:p>
        </w:tc>
        <w:tc>
          <w:tcPr>
            <w:tcW w:w="1404" w:type="dxa"/>
            <w:vAlign w:val="top"/>
          </w:tcPr>
          <w:p w14:paraId="36D7DCA2">
            <w:pPr>
              <w:rPr>
                <w:rFonts w:ascii="Arial"/>
                <w:sz w:val="21"/>
              </w:rPr>
            </w:pPr>
          </w:p>
        </w:tc>
        <w:tc>
          <w:tcPr>
            <w:tcW w:w="1489" w:type="dxa"/>
            <w:vAlign w:val="top"/>
          </w:tcPr>
          <w:p w14:paraId="1AECB3C0">
            <w:pPr>
              <w:rPr>
                <w:rFonts w:ascii="Arial"/>
                <w:sz w:val="21"/>
              </w:rPr>
            </w:pPr>
          </w:p>
        </w:tc>
      </w:tr>
      <w:tr w14:paraId="5909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6CA26DC7">
            <w:pPr>
              <w:pStyle w:val="10"/>
              <w:spacing w:before="178" w:line="198" w:lineRule="auto"/>
              <w:ind w:left="120"/>
            </w:pPr>
            <w:r>
              <w:rPr>
                <w:b/>
                <w:bCs/>
                <w:spacing w:val="-1"/>
              </w:rPr>
              <w:t>说明：同一职务有多人担任（如主要技术人员</w:t>
            </w:r>
            <w:r>
              <w:rPr>
                <w:b/>
                <w:bCs/>
                <w:spacing w:val="-42"/>
                <w:w w:val="95"/>
              </w:rPr>
              <w:t>），</w:t>
            </w:r>
            <w:r>
              <w:rPr>
                <w:b/>
                <w:bCs/>
                <w:spacing w:val="-1"/>
              </w:rPr>
              <w:t>应分行填写。</w:t>
            </w:r>
          </w:p>
        </w:tc>
      </w:tr>
      <w:tr w14:paraId="2684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D89A24E">
            <w:pPr>
              <w:pStyle w:val="10"/>
              <w:spacing w:before="177" w:line="198" w:lineRule="auto"/>
              <w:ind w:left="2683"/>
            </w:pPr>
            <w:r>
              <w:rPr>
                <w:b/>
                <w:bCs/>
              </w:rPr>
              <w:t>投标（响应）供应商关联关系情况</w:t>
            </w:r>
          </w:p>
        </w:tc>
      </w:tr>
      <w:tr w14:paraId="44E55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0C57A29">
            <w:pPr>
              <w:pStyle w:val="10"/>
              <w:spacing w:before="178" w:line="202" w:lineRule="auto"/>
              <w:ind w:left="145"/>
            </w:pPr>
            <w:r>
              <w:rPr>
                <w:spacing w:val="-5"/>
              </w:rPr>
              <w:t>序号</w:t>
            </w:r>
          </w:p>
        </w:tc>
        <w:tc>
          <w:tcPr>
            <w:tcW w:w="2732" w:type="dxa"/>
            <w:gridSpan w:val="2"/>
            <w:vAlign w:val="top"/>
          </w:tcPr>
          <w:p w14:paraId="1F791490">
            <w:pPr>
              <w:pStyle w:val="10"/>
              <w:spacing w:before="177" w:line="202" w:lineRule="auto"/>
              <w:ind w:left="436"/>
            </w:pPr>
            <w:r>
              <w:rPr>
                <w:spacing w:val="-3"/>
              </w:rPr>
              <w:t>关联关系类型</w:t>
            </w:r>
          </w:p>
        </w:tc>
        <w:tc>
          <w:tcPr>
            <w:tcW w:w="1286" w:type="dxa"/>
            <w:gridSpan w:val="2"/>
            <w:vAlign w:val="top"/>
          </w:tcPr>
          <w:p w14:paraId="21836B40">
            <w:pPr>
              <w:pStyle w:val="10"/>
              <w:spacing w:before="177" w:line="203" w:lineRule="auto"/>
              <w:ind w:left="166"/>
            </w:pPr>
            <w:r>
              <w:rPr>
                <w:spacing w:val="-3"/>
              </w:rPr>
              <w:t>关联主体名称</w:t>
            </w:r>
          </w:p>
        </w:tc>
        <w:tc>
          <w:tcPr>
            <w:tcW w:w="4187" w:type="dxa"/>
            <w:gridSpan w:val="3"/>
            <w:vAlign w:val="top"/>
          </w:tcPr>
          <w:p w14:paraId="71687DAA">
            <w:pPr>
              <w:pStyle w:val="10"/>
              <w:spacing w:before="177" w:line="204" w:lineRule="auto"/>
              <w:ind w:left="1862"/>
            </w:pPr>
            <w:r>
              <w:rPr>
                <w:spacing w:val="-4"/>
              </w:rPr>
              <w:t>备注</w:t>
            </w:r>
          </w:p>
        </w:tc>
      </w:tr>
      <w:tr w14:paraId="629D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2A283AE">
            <w:pPr>
              <w:spacing w:line="290" w:lineRule="auto"/>
              <w:rPr>
                <w:rFonts w:ascii="Arial"/>
                <w:sz w:val="21"/>
              </w:rPr>
            </w:pPr>
          </w:p>
          <w:p w14:paraId="65FA206F">
            <w:pPr>
              <w:spacing w:line="290" w:lineRule="auto"/>
              <w:rPr>
                <w:rFonts w:ascii="Arial"/>
                <w:sz w:val="21"/>
              </w:rPr>
            </w:pPr>
          </w:p>
          <w:p w14:paraId="27B99222">
            <w:pPr>
              <w:pStyle w:val="10"/>
              <w:spacing w:before="103" w:line="169" w:lineRule="auto"/>
              <w:ind w:left="321"/>
            </w:pPr>
            <w:r>
              <w:t>1</w:t>
            </w:r>
          </w:p>
        </w:tc>
        <w:tc>
          <w:tcPr>
            <w:tcW w:w="2732" w:type="dxa"/>
            <w:gridSpan w:val="2"/>
            <w:vAlign w:val="top"/>
          </w:tcPr>
          <w:p w14:paraId="6F6D060A">
            <w:pPr>
              <w:spacing w:line="274" w:lineRule="auto"/>
              <w:rPr>
                <w:rFonts w:ascii="Arial"/>
                <w:sz w:val="21"/>
              </w:rPr>
            </w:pPr>
          </w:p>
          <w:p w14:paraId="6A705F90">
            <w:pPr>
              <w:spacing w:line="274" w:lineRule="auto"/>
              <w:rPr>
                <w:rFonts w:ascii="Arial"/>
                <w:sz w:val="21"/>
              </w:rPr>
            </w:pPr>
          </w:p>
          <w:p w14:paraId="0CD1B40C">
            <w:pPr>
              <w:pStyle w:val="10"/>
              <w:spacing w:before="103" w:line="203" w:lineRule="auto"/>
              <w:ind w:left="671"/>
            </w:pPr>
            <w:r>
              <w:rPr>
                <w:spacing w:val="-3"/>
              </w:rPr>
              <w:t>控股股东</w:t>
            </w:r>
          </w:p>
        </w:tc>
        <w:tc>
          <w:tcPr>
            <w:tcW w:w="1286" w:type="dxa"/>
            <w:gridSpan w:val="2"/>
            <w:vAlign w:val="top"/>
          </w:tcPr>
          <w:p w14:paraId="77270D0F">
            <w:pPr>
              <w:rPr>
                <w:rFonts w:ascii="Arial"/>
                <w:sz w:val="21"/>
              </w:rPr>
            </w:pPr>
          </w:p>
        </w:tc>
        <w:tc>
          <w:tcPr>
            <w:tcW w:w="4187" w:type="dxa"/>
            <w:gridSpan w:val="3"/>
            <w:vAlign w:val="top"/>
          </w:tcPr>
          <w:p w14:paraId="47C93701">
            <w:pPr>
              <w:pStyle w:val="10"/>
              <w:spacing w:before="27" w:line="200" w:lineRule="auto"/>
              <w:ind w:left="98" w:right="116" w:firstLine="19"/>
              <w:jc w:val="both"/>
              <w:rPr>
                <w:sz w:val="18"/>
                <w:szCs w:val="18"/>
              </w:rPr>
            </w:pPr>
            <w:r>
              <w:rPr>
                <w:spacing w:val="-1"/>
                <w:sz w:val="18"/>
                <w:szCs w:val="18"/>
              </w:rPr>
              <w:t>指出资额（或持有股份）占投标（响应）供应商资</w:t>
            </w:r>
            <w:r>
              <w:rPr>
                <w:spacing w:val="9"/>
                <w:sz w:val="18"/>
                <w:szCs w:val="18"/>
              </w:rPr>
              <w:t xml:space="preserve"> </w:t>
            </w:r>
            <w:r>
              <w:rPr>
                <w:spacing w:val="-8"/>
                <w:sz w:val="18"/>
                <w:szCs w:val="18"/>
              </w:rPr>
              <w:t>本总额（或股本总额）50%以上的股东，以及出资额</w:t>
            </w:r>
            <w:r>
              <w:rPr>
                <w:spacing w:val="7"/>
                <w:sz w:val="18"/>
                <w:szCs w:val="18"/>
              </w:rPr>
              <w:t xml:space="preserve"> </w:t>
            </w:r>
            <w:r>
              <w:rPr>
                <w:spacing w:val="-5"/>
                <w:sz w:val="18"/>
                <w:szCs w:val="18"/>
              </w:rPr>
              <w:t>（或持有股份）的比例虽然不足</w:t>
            </w:r>
            <w:r>
              <w:rPr>
                <w:spacing w:val="15"/>
                <w:sz w:val="18"/>
                <w:szCs w:val="18"/>
              </w:rPr>
              <w:t xml:space="preserve"> </w:t>
            </w:r>
            <w:r>
              <w:rPr>
                <w:spacing w:val="-5"/>
                <w:sz w:val="18"/>
                <w:szCs w:val="18"/>
              </w:rPr>
              <w:t>50%，但依</w:t>
            </w:r>
            <w:r>
              <w:rPr>
                <w:spacing w:val="-6"/>
                <w:sz w:val="18"/>
                <w:szCs w:val="18"/>
              </w:rPr>
              <w:t>其出资</w:t>
            </w:r>
            <w:r>
              <w:rPr>
                <w:sz w:val="18"/>
                <w:szCs w:val="18"/>
              </w:rPr>
              <w:t xml:space="preserve">  </w:t>
            </w:r>
            <w:r>
              <w:rPr>
                <w:spacing w:val="-9"/>
                <w:sz w:val="18"/>
                <w:szCs w:val="18"/>
              </w:rPr>
              <w:t>额（或持有股份）所享有的表决权已足以对投标（响</w:t>
            </w:r>
            <w:r>
              <w:rPr>
                <w:spacing w:val="18"/>
                <w:w w:val="101"/>
                <w:sz w:val="18"/>
                <w:szCs w:val="18"/>
              </w:rPr>
              <w:t xml:space="preserve"> </w:t>
            </w:r>
            <w:r>
              <w:rPr>
                <w:sz w:val="18"/>
                <w:szCs w:val="18"/>
              </w:rPr>
              <w:t>应）供应商股东会（或股东大会）的决议产生重要</w:t>
            </w:r>
            <w:r>
              <w:rPr>
                <w:spacing w:val="6"/>
                <w:sz w:val="18"/>
                <w:szCs w:val="18"/>
              </w:rPr>
              <w:t xml:space="preserve"> </w:t>
            </w:r>
            <w:r>
              <w:rPr>
                <w:spacing w:val="-2"/>
                <w:sz w:val="18"/>
                <w:szCs w:val="18"/>
              </w:rPr>
              <w:t>影响的股东。</w:t>
            </w:r>
          </w:p>
        </w:tc>
      </w:tr>
      <w:tr w14:paraId="6A77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20B320D9">
            <w:pPr>
              <w:pStyle w:val="10"/>
              <w:spacing w:before="251" w:line="168" w:lineRule="auto"/>
              <w:ind w:left="322"/>
            </w:pPr>
            <w:r>
              <w:t>2</w:t>
            </w:r>
          </w:p>
        </w:tc>
        <w:tc>
          <w:tcPr>
            <w:tcW w:w="2732" w:type="dxa"/>
            <w:gridSpan w:val="2"/>
            <w:vAlign w:val="top"/>
          </w:tcPr>
          <w:p w14:paraId="290EC4EA">
            <w:pPr>
              <w:pStyle w:val="10"/>
              <w:spacing w:before="217" w:line="203" w:lineRule="auto"/>
              <w:ind w:left="678"/>
            </w:pPr>
            <w:r>
              <w:rPr>
                <w:spacing w:val="-5"/>
              </w:rPr>
              <w:t>管理关系</w:t>
            </w:r>
          </w:p>
        </w:tc>
        <w:tc>
          <w:tcPr>
            <w:tcW w:w="1286" w:type="dxa"/>
            <w:gridSpan w:val="2"/>
            <w:vAlign w:val="top"/>
          </w:tcPr>
          <w:p w14:paraId="35C71CCC">
            <w:pPr>
              <w:rPr>
                <w:rFonts w:ascii="Arial"/>
                <w:sz w:val="21"/>
              </w:rPr>
            </w:pPr>
          </w:p>
        </w:tc>
        <w:tc>
          <w:tcPr>
            <w:tcW w:w="4187" w:type="dxa"/>
            <w:gridSpan w:val="3"/>
            <w:vAlign w:val="top"/>
          </w:tcPr>
          <w:p w14:paraId="247DDB6B">
            <w:pPr>
              <w:pStyle w:val="10"/>
              <w:spacing w:before="43" w:line="190" w:lineRule="auto"/>
              <w:ind w:left="120" w:right="24"/>
            </w:pPr>
            <w:r>
              <w:rPr>
                <w:spacing w:val="-8"/>
              </w:rPr>
              <w:t>指对投标（响应）供应商不具有出资持</w:t>
            </w:r>
            <w:r>
              <w:rPr>
                <w:spacing w:val="4"/>
              </w:rPr>
              <w:t xml:space="preserve">  </w:t>
            </w:r>
            <w:r>
              <w:rPr>
                <w:spacing w:val="-3"/>
              </w:rPr>
              <w:t>股关系，但对其存在管理关系的主体。</w:t>
            </w:r>
          </w:p>
        </w:tc>
      </w:tr>
      <w:tr w14:paraId="5EC62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4D9435A1">
            <w:pPr>
              <w:pStyle w:val="10"/>
              <w:spacing w:before="42" w:line="180" w:lineRule="auto"/>
              <w:ind w:left="120"/>
            </w:pPr>
            <w:r>
              <w:rPr>
                <w:b/>
                <w:bCs/>
                <w:spacing w:val="-1"/>
              </w:rPr>
              <w:t>说明：同一关联关系类型有多个主体的，应分行填写。</w:t>
            </w:r>
          </w:p>
        </w:tc>
      </w:tr>
    </w:tbl>
    <w:p w14:paraId="38232306">
      <w:pPr>
        <w:snapToGrid w:val="0"/>
        <w:rPr>
          <w:rFonts w:ascii="宋体" w:cs="Arial"/>
          <w:bCs/>
          <w:szCs w:val="21"/>
        </w:rPr>
      </w:pPr>
    </w:p>
    <w:p w14:paraId="75956FBF">
      <w:pPr>
        <w:widowControl w:val="0"/>
        <w:numPr>
          <w:ilvl w:val="0"/>
          <w:numId w:val="0"/>
        </w:numPr>
        <w:jc w:val="both"/>
        <w:rPr>
          <w:rFonts w:hint="eastAsia" w:ascii="宋体" w:hAnsi="宋体" w:eastAsia="宋体" w:cs="宋体"/>
          <w:b/>
          <w:color w:val="FF0000"/>
          <w:sz w:val="21"/>
          <w:szCs w:val="21"/>
        </w:rPr>
      </w:pPr>
      <w:r>
        <w:rPr>
          <w:rFonts w:hint="eastAsia" w:ascii="宋体" w:hAnsi="宋体" w:eastAsia="宋体" w:cs="宋体"/>
          <w:b/>
          <w:color w:val="FF0000"/>
          <w:sz w:val="21"/>
          <w:szCs w:val="21"/>
          <w:lang w:val="en-US" w:eastAsia="zh-CN"/>
        </w:rPr>
        <w:t>不同投标供应商的法定代表人、主要经营负责人、投标授权代表人、项目负责人、主要技术人员是否为同一人、属同一单位或者在同一单位缴纳社会保险的；不同投标供应商是否存在单位负责人为同一人或直接控股、管理关系。</w:t>
      </w:r>
      <w:r>
        <w:rPr>
          <w:rFonts w:hint="eastAsia" w:ascii="宋体" w:hAnsi="宋体" w:eastAsia="宋体" w:cs="宋体"/>
          <w:b/>
          <w:color w:val="FF0000"/>
          <w:sz w:val="21"/>
          <w:szCs w:val="21"/>
        </w:rPr>
        <w:t>如存在上述情形，供应商资格审查不通过，不得参与本次采购活动。</w:t>
      </w:r>
    </w:p>
    <w:p w14:paraId="2D30A51A">
      <w:pPr>
        <w:widowControl w:val="0"/>
        <w:numPr>
          <w:ilvl w:val="0"/>
          <w:numId w:val="0"/>
        </w:numPr>
        <w:jc w:val="both"/>
        <w:rPr>
          <w:rFonts w:hint="eastAsia" w:ascii="宋体" w:hAnsi="宋体" w:eastAsia="宋体" w:cs="宋体"/>
          <w:b/>
          <w:color w:val="FF0000"/>
          <w:sz w:val="21"/>
          <w:szCs w:val="21"/>
        </w:rPr>
      </w:pPr>
    </w:p>
    <w:p w14:paraId="68C220D0">
      <w:pPr>
        <w:widowControl w:val="0"/>
        <w:numPr>
          <w:ilvl w:val="0"/>
          <w:numId w:val="0"/>
        </w:numPr>
        <w:jc w:val="both"/>
        <w:rPr>
          <w:rFonts w:hint="eastAsia" w:ascii="宋体" w:hAnsi="宋体" w:eastAsia="宋体" w:cs="宋体"/>
          <w:b/>
          <w:color w:val="FF0000"/>
          <w:sz w:val="21"/>
          <w:szCs w:val="21"/>
        </w:rPr>
      </w:pPr>
    </w:p>
    <w:p w14:paraId="52761A60">
      <w:pPr>
        <w:spacing w:before="145" w:line="221" w:lineRule="auto"/>
        <w:outlineLvl w:val="0"/>
        <w:rPr>
          <w:rFonts w:hint="eastAsia"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w:t>
      </w:r>
    </w:p>
    <w:p w14:paraId="2BC9EC8D">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联系人职务：</w:t>
      </w:r>
    </w:p>
    <w:p w14:paraId="4BF6E42B">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联系方式：</w:t>
      </w:r>
    </w:p>
    <w:p w14:paraId="0B992B1F">
      <w:pPr>
        <w:widowControl w:val="0"/>
        <w:numPr>
          <w:ilvl w:val="0"/>
          <w:numId w:val="0"/>
        </w:numPr>
        <w:jc w:val="both"/>
        <w:rPr>
          <w:rFonts w:hint="default" w:ascii="宋体" w:hAnsi="宋体" w:cs="宋体"/>
          <w:color w:val="333333"/>
          <w:kern w:val="0"/>
          <w:sz w:val="24"/>
          <w:szCs w:val="24"/>
          <w:lang w:val="en-US" w:eastAsia="zh-CN"/>
        </w:rPr>
      </w:pPr>
    </w:p>
    <w:p w14:paraId="7030BCE3">
      <w:pPr>
        <w:widowControl w:val="0"/>
        <w:numPr>
          <w:ilvl w:val="0"/>
          <w:numId w:val="0"/>
        </w:numPr>
        <w:jc w:val="both"/>
        <w:rPr>
          <w:rFonts w:hint="default" w:ascii="宋体" w:hAnsi="宋体" w:cs="宋体"/>
          <w:color w:val="333333"/>
          <w:kern w:val="0"/>
          <w:sz w:val="24"/>
          <w:szCs w:val="24"/>
          <w:lang w:val="en-US" w:eastAsia="zh-CN"/>
        </w:rPr>
      </w:pPr>
    </w:p>
    <w:p w14:paraId="32D4936A">
      <w:pPr>
        <w:widowControl w:val="0"/>
        <w:numPr>
          <w:ilvl w:val="0"/>
          <w:numId w:val="0"/>
        </w:numPr>
        <w:jc w:val="both"/>
        <w:rPr>
          <w:rFonts w:hint="default" w:ascii="宋体" w:hAnsi="宋体" w:cs="宋体"/>
          <w:color w:val="333333"/>
          <w:kern w:val="0"/>
          <w:sz w:val="24"/>
          <w:szCs w:val="24"/>
          <w:lang w:val="en-US" w:eastAsia="zh-CN"/>
        </w:rPr>
      </w:pPr>
    </w:p>
    <w:p w14:paraId="4F7A936B">
      <w:pPr>
        <w:pStyle w:val="8"/>
        <w:rPr>
          <w:rFonts w:hint="default" w:ascii="宋体" w:hAnsi="宋体" w:cs="宋体"/>
          <w:color w:val="333333"/>
          <w:kern w:val="0"/>
          <w:sz w:val="24"/>
          <w:szCs w:val="24"/>
          <w:lang w:val="en-US" w:eastAsia="zh-CN"/>
        </w:rPr>
      </w:pPr>
    </w:p>
    <w:p w14:paraId="498417B0">
      <w:pPr>
        <w:widowControl w:val="0"/>
        <w:numPr>
          <w:ilvl w:val="0"/>
          <w:numId w:val="0"/>
        </w:numPr>
        <w:jc w:val="both"/>
        <w:rPr>
          <w:rFonts w:hint="default" w:ascii="宋体" w:hAnsi="宋体" w:cs="宋体"/>
          <w:color w:val="333333"/>
          <w:kern w:val="0"/>
          <w:sz w:val="24"/>
          <w:szCs w:val="24"/>
          <w:lang w:val="en-US" w:eastAsia="zh-CN"/>
        </w:rPr>
      </w:pPr>
    </w:p>
    <w:p w14:paraId="5BEC9E33">
      <w:pPr>
        <w:widowControl w:val="0"/>
        <w:numPr>
          <w:ilvl w:val="0"/>
          <w:numId w:val="0"/>
        </w:numPr>
        <w:jc w:val="both"/>
        <w:rPr>
          <w:rFonts w:hint="default" w:ascii="宋体" w:hAnsi="宋体" w:cs="宋体"/>
          <w:color w:val="333333"/>
          <w:kern w:val="0"/>
          <w:sz w:val="24"/>
          <w:szCs w:val="24"/>
          <w:lang w:val="en-US" w:eastAsia="zh-CN"/>
        </w:rPr>
      </w:pPr>
    </w:p>
    <w:p w14:paraId="05FC2258">
      <w:pPr>
        <w:widowControl w:val="0"/>
        <w:numPr>
          <w:ilvl w:val="0"/>
          <w:numId w:val="2"/>
        </w:numPr>
        <w:jc w:val="both"/>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技术条款偏离情况表(</w:t>
      </w:r>
      <w:r>
        <w:rPr>
          <w:rFonts w:hint="eastAsia" w:ascii="宋体" w:hAnsi="宋体" w:cs="宋体"/>
          <w:b/>
          <w:bCs/>
          <w:color w:val="FF0000"/>
          <w:kern w:val="0"/>
          <w:sz w:val="24"/>
          <w:szCs w:val="24"/>
        </w:rPr>
        <w:t>所有技术条款均为★实质性条款，有任何一条负偏离将导致无效投标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p w14:paraId="2CD0B7C2">
      <w:pPr>
        <w:widowControl w:val="0"/>
        <w:numPr>
          <w:ilvl w:val="0"/>
          <w:numId w:val="0"/>
        </w:numPr>
        <w:jc w:val="both"/>
        <w:rPr>
          <w:rFonts w:hint="eastAsia" w:ascii="宋体" w:hAnsi="宋体" w:cs="宋体"/>
          <w:color w:val="333333"/>
          <w:kern w:val="0"/>
          <w:sz w:val="24"/>
          <w:szCs w:val="24"/>
        </w:rPr>
      </w:pPr>
    </w:p>
    <w:tbl>
      <w:tblPr>
        <w:tblStyle w:val="5"/>
        <w:tblW w:w="5228" w:type="pct"/>
        <w:tblInd w:w="-394" w:type="dxa"/>
        <w:tblLayout w:type="autofit"/>
        <w:tblCellMar>
          <w:top w:w="0" w:type="dxa"/>
          <w:left w:w="108" w:type="dxa"/>
          <w:bottom w:w="0" w:type="dxa"/>
          <w:right w:w="108" w:type="dxa"/>
        </w:tblCellMar>
      </w:tblPr>
      <w:tblGrid>
        <w:gridCol w:w="770"/>
        <w:gridCol w:w="1267"/>
        <w:gridCol w:w="3062"/>
        <w:gridCol w:w="2596"/>
        <w:gridCol w:w="1216"/>
      </w:tblGrid>
      <w:tr w14:paraId="618D1CF9">
        <w:tblPrEx>
          <w:tblCellMar>
            <w:top w:w="0" w:type="dxa"/>
            <w:left w:w="108" w:type="dxa"/>
            <w:bottom w:w="0" w:type="dxa"/>
            <w:right w:w="108" w:type="dxa"/>
          </w:tblCellMar>
        </w:tblPrEx>
        <w:trPr>
          <w:trHeight w:val="453" w:hRule="atLeast"/>
        </w:trPr>
        <w:tc>
          <w:tcPr>
            <w:tcW w:w="432" w:type="pct"/>
            <w:tcBorders>
              <w:top w:val="single" w:color="auto" w:sz="8" w:space="0"/>
              <w:left w:val="single" w:color="auto" w:sz="8" w:space="0"/>
              <w:bottom w:val="single" w:color="auto" w:sz="8" w:space="0"/>
              <w:right w:val="single" w:color="auto" w:sz="8" w:space="0"/>
            </w:tcBorders>
            <w:noWrap w:val="0"/>
            <w:vAlign w:val="center"/>
          </w:tcPr>
          <w:p w14:paraId="62D50EAB">
            <w:pPr>
              <w:widowControl/>
              <w:jc w:val="center"/>
              <w:rPr>
                <w:rFonts w:hint="eastAsia" w:ascii="宋体" w:hAnsi="宋体" w:cs="宋体" w:eastAsiaTheme="minorEastAsia"/>
                <w:kern w:val="0"/>
                <w:szCs w:val="21"/>
                <w:lang w:val="en-US" w:eastAsia="zh-CN"/>
              </w:rPr>
            </w:pPr>
            <w:r>
              <w:rPr>
                <w:rFonts w:hint="eastAsia" w:ascii="宋体" w:hAnsi="宋体" w:cs="宋体"/>
                <w:kern w:val="0"/>
                <w:szCs w:val="21"/>
                <w:lang w:val="en-US" w:eastAsia="zh-CN"/>
              </w:rPr>
              <w:t>序号</w:t>
            </w:r>
          </w:p>
        </w:tc>
        <w:tc>
          <w:tcPr>
            <w:tcW w:w="710" w:type="pct"/>
            <w:tcBorders>
              <w:top w:val="single" w:color="auto" w:sz="8" w:space="0"/>
              <w:left w:val="single" w:color="auto" w:sz="8" w:space="0"/>
              <w:bottom w:val="single" w:color="auto" w:sz="8" w:space="0"/>
              <w:right w:val="single" w:color="auto" w:sz="8" w:space="0"/>
            </w:tcBorders>
            <w:noWrap w:val="0"/>
            <w:vAlign w:val="center"/>
          </w:tcPr>
          <w:p w14:paraId="763EC97A">
            <w:pPr>
              <w:widowControl/>
              <w:jc w:val="center"/>
              <w:rPr>
                <w:rFonts w:ascii="宋体" w:hAnsi="宋体" w:cs="宋体"/>
                <w:kern w:val="0"/>
                <w:szCs w:val="21"/>
              </w:rPr>
            </w:pPr>
            <w:r>
              <w:rPr>
                <w:rFonts w:hint="eastAsia" w:ascii="宋体" w:hAnsi="宋体" w:cs="宋体"/>
                <w:kern w:val="0"/>
                <w:szCs w:val="21"/>
              </w:rPr>
              <w:t>需求名称</w:t>
            </w:r>
          </w:p>
        </w:tc>
        <w:tc>
          <w:tcPr>
            <w:tcW w:w="1717" w:type="pct"/>
            <w:tcBorders>
              <w:top w:val="single" w:color="auto" w:sz="8" w:space="0"/>
              <w:left w:val="nil"/>
              <w:bottom w:val="single" w:color="auto" w:sz="8" w:space="0"/>
              <w:right w:val="single" w:color="auto" w:sz="8" w:space="0"/>
            </w:tcBorders>
            <w:noWrap w:val="0"/>
            <w:vAlign w:val="center"/>
          </w:tcPr>
          <w:p w14:paraId="34919F80">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招标技术条款</w:t>
            </w:r>
          </w:p>
        </w:tc>
        <w:tc>
          <w:tcPr>
            <w:tcW w:w="1456" w:type="pct"/>
            <w:tcBorders>
              <w:top w:val="single" w:color="auto" w:sz="8" w:space="0"/>
              <w:left w:val="nil"/>
              <w:bottom w:val="single" w:color="auto" w:sz="8" w:space="0"/>
              <w:right w:val="single" w:color="auto" w:sz="8" w:space="0"/>
            </w:tcBorders>
            <w:noWrap w:val="0"/>
            <w:vAlign w:val="center"/>
          </w:tcPr>
          <w:p w14:paraId="019BA2DB">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投标技术条款</w:t>
            </w:r>
          </w:p>
        </w:tc>
        <w:tc>
          <w:tcPr>
            <w:tcW w:w="682" w:type="pct"/>
            <w:tcBorders>
              <w:top w:val="single" w:color="auto" w:sz="8" w:space="0"/>
              <w:left w:val="nil"/>
              <w:bottom w:val="single" w:color="auto" w:sz="8" w:space="0"/>
              <w:right w:val="single" w:color="auto" w:sz="8" w:space="0"/>
            </w:tcBorders>
            <w:noWrap w:val="0"/>
            <w:vAlign w:val="center"/>
          </w:tcPr>
          <w:p w14:paraId="58C8FDD7">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偏离情况</w:t>
            </w:r>
          </w:p>
        </w:tc>
      </w:tr>
      <w:tr w14:paraId="18268D70">
        <w:tblPrEx>
          <w:tblCellMar>
            <w:top w:w="0" w:type="dxa"/>
            <w:left w:w="108" w:type="dxa"/>
            <w:bottom w:w="0" w:type="dxa"/>
            <w:right w:w="108" w:type="dxa"/>
          </w:tblCellMar>
        </w:tblPrEx>
        <w:trPr>
          <w:trHeight w:val="1511" w:hRule="atLeast"/>
        </w:trPr>
        <w:tc>
          <w:tcPr>
            <w:tcW w:w="432" w:type="pct"/>
            <w:tcBorders>
              <w:top w:val="nil"/>
              <w:left w:val="single" w:color="auto" w:sz="8" w:space="0"/>
              <w:bottom w:val="single" w:color="000000" w:sz="8" w:space="0"/>
              <w:right w:val="single" w:color="auto" w:sz="8" w:space="0"/>
            </w:tcBorders>
            <w:noWrap w:val="0"/>
            <w:vAlign w:val="top"/>
          </w:tcPr>
          <w:p w14:paraId="52F894ED">
            <w:pPr>
              <w:spacing w:line="360" w:lineRule="auto"/>
              <w:jc w:val="center"/>
              <w:rPr>
                <w:rFonts w:hint="eastAsia" w:ascii="仿宋" w:hAnsi="仿宋" w:eastAsia="仿宋" w:cs="仿宋"/>
                <w:bCs/>
                <w:sz w:val="24"/>
                <w:szCs w:val="24"/>
              </w:rPr>
            </w:pPr>
            <w:r>
              <w:rPr>
                <w:rFonts w:hint="eastAsia" w:ascii="仿宋" w:hAnsi="仿宋" w:eastAsia="仿宋" w:cs="仿宋"/>
                <w:bCs/>
                <w:sz w:val="24"/>
                <w:szCs w:val="24"/>
              </w:rPr>
              <w:t>1</w:t>
            </w:r>
          </w:p>
        </w:tc>
        <w:tc>
          <w:tcPr>
            <w:tcW w:w="710" w:type="pct"/>
            <w:tcBorders>
              <w:top w:val="nil"/>
              <w:left w:val="single" w:color="auto" w:sz="8" w:space="0"/>
              <w:bottom w:val="single" w:color="000000" w:sz="8" w:space="0"/>
              <w:right w:val="single" w:color="auto" w:sz="8" w:space="0"/>
            </w:tcBorders>
            <w:noWrap w:val="0"/>
            <w:vAlign w:val="top"/>
          </w:tcPr>
          <w:p w14:paraId="1A011A25">
            <w:pPr>
              <w:numPr>
                <w:ilvl w:val="0"/>
                <w:numId w:val="3"/>
              </w:numPr>
              <w:spacing w:line="520" w:lineRule="exact"/>
              <w:ind w:firstLine="422" w:firstLineChars="200"/>
              <w:rPr>
                <w:rFonts w:hint="eastAsia" w:ascii="宋体" w:hAnsi="宋体" w:eastAsia="宋体" w:cs="宋体"/>
                <w:szCs w:val="21"/>
                <w:highlight w:val="yellow"/>
              </w:rPr>
            </w:pPr>
            <w:r>
              <w:rPr>
                <w:rFonts w:hint="eastAsia" w:ascii="宋体" w:hAnsi="宋体" w:eastAsia="宋体" w:cs="宋体"/>
                <w:b/>
                <w:bCs/>
                <w:szCs w:val="21"/>
                <w:highlight w:val="yellow"/>
              </w:rPr>
              <w:t>建筑消防设施检测：</w:t>
            </w:r>
            <w:r>
              <w:rPr>
                <w:rFonts w:hint="eastAsia" w:ascii="宋体" w:hAnsi="宋体" w:eastAsia="宋体" w:cs="宋体"/>
                <w:szCs w:val="21"/>
                <w:highlight w:val="yellow"/>
              </w:rPr>
              <w:t>对我院的</w:t>
            </w:r>
            <w:r>
              <w:rPr>
                <w:rFonts w:hint="eastAsia" w:ascii="宋体" w:hAnsi="宋体" w:eastAsia="宋体" w:cs="宋体"/>
                <w:szCs w:val="21"/>
                <w:highlight w:val="yellow"/>
                <w:lang w:val="en-US" w:eastAsia="zh-CN"/>
              </w:rPr>
              <w:t>一期</w:t>
            </w:r>
            <w:r>
              <w:rPr>
                <w:rFonts w:hint="eastAsia" w:ascii="宋体" w:hAnsi="宋体" w:eastAsia="宋体" w:cs="宋体"/>
                <w:szCs w:val="21"/>
                <w:highlight w:val="yellow"/>
              </w:rPr>
              <w:t>建筑</w:t>
            </w:r>
            <w:r>
              <w:rPr>
                <w:rFonts w:hint="eastAsia" w:ascii="宋体" w:hAnsi="宋体" w:eastAsia="宋体" w:cs="宋体"/>
                <w:szCs w:val="21"/>
                <w:highlight w:val="yellow"/>
                <w:lang w:val="en-US" w:eastAsia="zh-CN"/>
              </w:rPr>
              <w:t>的</w:t>
            </w:r>
            <w:r>
              <w:rPr>
                <w:rFonts w:hint="eastAsia" w:ascii="宋体" w:hAnsi="宋体" w:eastAsia="宋体" w:cs="宋体"/>
                <w:szCs w:val="21"/>
                <w:highlight w:val="yellow"/>
              </w:rPr>
              <w:t>消防设施进行检查测试。</w:t>
            </w:r>
          </w:p>
          <w:p w14:paraId="26C691D6">
            <w:pPr>
              <w:spacing w:line="360" w:lineRule="auto"/>
              <w:jc w:val="center"/>
              <w:rPr>
                <w:rFonts w:hint="eastAsia" w:ascii="宋体" w:hAnsi="宋体" w:eastAsia="宋体" w:cs="宋体"/>
                <w:b w:val="0"/>
                <w:bCs w:val="0"/>
                <w:kern w:val="0"/>
                <w:sz w:val="21"/>
                <w:szCs w:val="21"/>
                <w:lang w:val="en-US" w:eastAsia="zh-CN" w:bidi="ar-SA"/>
              </w:rPr>
            </w:pPr>
          </w:p>
        </w:tc>
        <w:tc>
          <w:tcPr>
            <w:tcW w:w="1717" w:type="pct"/>
            <w:tcBorders>
              <w:top w:val="nil"/>
              <w:left w:val="nil"/>
              <w:bottom w:val="single" w:color="auto" w:sz="8" w:space="0"/>
              <w:right w:val="single" w:color="auto" w:sz="8" w:space="0"/>
            </w:tcBorders>
            <w:shd w:val="clear" w:color="auto" w:fill="auto"/>
            <w:noWrap w:val="0"/>
            <w:vAlign w:val="center"/>
          </w:tcPr>
          <w:p w14:paraId="40167FA7">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1.消防检测内容包括但不限于：火灾自动报警、消防供水、室内消火栓、自动喷水(雾)灭火、防排烟及通风空调系统、防火门、防火卷帘挡烟垂壁、气体灭火系统、消防法消防检测新规定、消防检测实物工具等。</w:t>
            </w:r>
          </w:p>
          <w:p w14:paraId="301F88F9">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2.检测消防火灾自动报警系统线路的绝缘电阻、接地电阻、系统的接地、管线的安装及其保护状况。</w:t>
            </w:r>
          </w:p>
          <w:p w14:paraId="73A4959B">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3.检测火灾探测器和手动报警按钮的设置状况、安装质量、保护半径及与周围遮挡物的距离等，并按100%的比例抽检其报警功能。</w:t>
            </w:r>
          </w:p>
          <w:p w14:paraId="207B95B1">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4.检测消防火灾报警控制器安装质量、柜内配线、保护接地的设置、主备电源的设置及其转换功能，并对控制器的各项功能测试。</w:t>
            </w:r>
          </w:p>
          <w:p w14:paraId="119CF6A0">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5.检测消防火灾应急广播音响功能，手动选层和自动广播、遥控开启和强行切换功能。</w:t>
            </w:r>
          </w:p>
          <w:p w14:paraId="7F0049D4">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6.检测消防控制室的设置位置及明显标志、室内防火阀及无关管线的设置、双回路电源的设置和切换功能。</w:t>
            </w:r>
          </w:p>
          <w:p w14:paraId="681BA5C3">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7.检测消防火灾应急照明疏散指示标志的设置、照度、转换时间和图形符号。</w:t>
            </w:r>
          </w:p>
          <w:p w14:paraId="3A6A5892">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8.检测消防设备安装质量、柜内配线、手、自动控制及屏面接受消防设备的信号反馈功能。</w:t>
            </w:r>
          </w:p>
          <w:p w14:paraId="54F511CE">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9.检测电梯迫降功能、消防电梯的使用功能，切断非消防电源功能和着火层的灯光显示功能。</w:t>
            </w:r>
          </w:p>
          <w:p w14:paraId="44289675">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10.检测消防控制室、各消防设备间及消火栓按钮处消防通讯功能。</w:t>
            </w:r>
          </w:p>
          <w:p w14:paraId="239E804D">
            <w:pPr>
              <w:widowControl/>
              <w:jc w:val="left"/>
              <w:rPr>
                <w:rFonts w:hint="eastAsia" w:ascii="宋体" w:hAnsi="宋体" w:eastAsia="宋体" w:cs="宋体"/>
                <w:bCs/>
                <w:szCs w:val="21"/>
                <w:lang w:val="en-US" w:eastAsia="zh-CN"/>
              </w:rPr>
            </w:pPr>
            <w:r>
              <w:rPr>
                <w:rFonts w:hint="eastAsia" w:ascii="宋体" w:hAnsi="宋体" w:eastAsia="宋体" w:cs="宋体"/>
                <w:bCs/>
                <w:szCs w:val="21"/>
                <w:lang w:val="en-US" w:eastAsia="zh-CN"/>
              </w:rPr>
              <w:t>11.检测所有与防火有关材料的耐火等级、燃烧性能是否符合要求。</w:t>
            </w:r>
          </w:p>
          <w:p w14:paraId="32E45CF1">
            <w:pPr>
              <w:widowControl/>
              <w:jc w:val="left"/>
              <w:rPr>
                <w:rFonts w:hint="eastAsia" w:ascii="宋体" w:hAnsi="宋体" w:eastAsia="宋体" w:cs="宋体"/>
                <w:bCs/>
                <w:szCs w:val="21"/>
              </w:rPr>
            </w:pPr>
            <w:r>
              <w:rPr>
                <w:rFonts w:hint="eastAsia" w:ascii="宋体" w:hAnsi="宋体" w:eastAsia="宋体" w:cs="宋体"/>
                <w:bCs/>
                <w:szCs w:val="21"/>
              </w:rPr>
              <w:t>12.检测所有消防材料设备的型式认证、检验报告、合格证，是否在有效期内。</w:t>
            </w:r>
          </w:p>
          <w:p w14:paraId="432D96B5">
            <w:pPr>
              <w:jc w:val="center"/>
              <w:rPr>
                <w:rFonts w:hint="eastAsia" w:asciiTheme="minorHAnsi" w:hAnsiTheme="minorHAnsi" w:eastAsiaTheme="minorEastAsia" w:cstheme="minorBidi"/>
                <w:kern w:val="2"/>
                <w:sz w:val="21"/>
                <w:szCs w:val="21"/>
                <w:lang w:val="en-US" w:eastAsia="zh-CN" w:bidi="ar-SA"/>
              </w:rPr>
            </w:pPr>
          </w:p>
        </w:tc>
        <w:tc>
          <w:tcPr>
            <w:tcW w:w="1456" w:type="pct"/>
            <w:tcBorders>
              <w:top w:val="nil"/>
              <w:left w:val="nil"/>
              <w:bottom w:val="single" w:color="auto" w:sz="8" w:space="0"/>
              <w:right w:val="single" w:color="auto" w:sz="8" w:space="0"/>
            </w:tcBorders>
            <w:noWrap w:val="0"/>
            <w:vAlign w:val="top"/>
          </w:tcPr>
          <w:p w14:paraId="0259FF62">
            <w:pPr>
              <w:spacing w:line="360" w:lineRule="auto"/>
              <w:jc w:val="center"/>
              <w:rPr>
                <w:rFonts w:hint="eastAsia" w:ascii="宋体" w:hAnsi="宋体" w:eastAsia="宋体" w:cs="宋体"/>
                <w:b w:val="0"/>
                <w:bCs w:val="0"/>
                <w:color w:val="000000"/>
                <w:kern w:val="0"/>
                <w:sz w:val="21"/>
                <w:szCs w:val="21"/>
              </w:rPr>
            </w:pPr>
          </w:p>
        </w:tc>
        <w:tc>
          <w:tcPr>
            <w:tcW w:w="682" w:type="pct"/>
            <w:tcBorders>
              <w:top w:val="nil"/>
              <w:left w:val="nil"/>
              <w:bottom w:val="single" w:color="auto" w:sz="8" w:space="0"/>
              <w:right w:val="single" w:color="auto" w:sz="8" w:space="0"/>
            </w:tcBorders>
            <w:noWrap w:val="0"/>
            <w:vAlign w:val="center"/>
          </w:tcPr>
          <w:p w14:paraId="2EFB9D2D">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0443C985">
        <w:tblPrEx>
          <w:tblCellMar>
            <w:top w:w="0" w:type="dxa"/>
            <w:left w:w="108" w:type="dxa"/>
            <w:bottom w:w="0" w:type="dxa"/>
            <w:right w:w="108" w:type="dxa"/>
          </w:tblCellMar>
        </w:tblPrEx>
        <w:trPr>
          <w:trHeight w:val="1511" w:hRule="atLeast"/>
        </w:trPr>
        <w:tc>
          <w:tcPr>
            <w:tcW w:w="432" w:type="pct"/>
            <w:tcBorders>
              <w:top w:val="nil"/>
              <w:left w:val="single" w:color="auto" w:sz="8" w:space="0"/>
              <w:bottom w:val="single" w:color="000000" w:sz="8" w:space="0"/>
              <w:right w:val="single" w:color="auto" w:sz="8" w:space="0"/>
            </w:tcBorders>
            <w:noWrap w:val="0"/>
            <w:vAlign w:val="top"/>
          </w:tcPr>
          <w:p w14:paraId="53E579C5">
            <w:pPr>
              <w:spacing w:line="360" w:lineRule="auto"/>
              <w:jc w:val="center"/>
              <w:rPr>
                <w:rFonts w:hint="eastAsia" w:ascii="宋体" w:hAnsi="宋体" w:eastAsia="宋体" w:cs="宋体"/>
                <w:b w:val="0"/>
                <w:bCs w:val="0"/>
                <w:kern w:val="0"/>
                <w:sz w:val="21"/>
                <w:szCs w:val="21"/>
                <w:lang w:val="en-US" w:eastAsia="zh-CN" w:bidi="ar-SA"/>
              </w:rPr>
            </w:pPr>
            <w:r>
              <w:rPr>
                <w:rFonts w:hint="eastAsia" w:ascii="仿宋" w:hAnsi="仿宋" w:eastAsia="仿宋" w:cs="仿宋"/>
                <w:bCs/>
                <w:sz w:val="24"/>
                <w:szCs w:val="24"/>
              </w:rPr>
              <w:t>2</w:t>
            </w:r>
          </w:p>
        </w:tc>
        <w:tc>
          <w:tcPr>
            <w:tcW w:w="710" w:type="pct"/>
            <w:tcBorders>
              <w:top w:val="nil"/>
              <w:left w:val="single" w:color="auto" w:sz="8" w:space="0"/>
              <w:bottom w:val="single" w:color="000000" w:sz="8" w:space="0"/>
              <w:right w:val="single" w:color="auto" w:sz="8" w:space="0"/>
            </w:tcBorders>
            <w:noWrap w:val="0"/>
            <w:vAlign w:val="top"/>
          </w:tcPr>
          <w:p w14:paraId="3869DEF1">
            <w:pPr>
              <w:widowControl/>
              <w:ind w:firstLine="422" w:firstLineChars="200"/>
              <w:jc w:val="left"/>
              <w:rPr>
                <w:rFonts w:hint="eastAsia" w:ascii="宋体" w:hAnsi="宋体" w:eastAsia="宋体" w:cs="宋体"/>
                <w:szCs w:val="21"/>
                <w:highlight w:val="yellow"/>
              </w:rPr>
            </w:pPr>
            <w:r>
              <w:rPr>
                <w:rFonts w:hint="eastAsia" w:ascii="宋体" w:hAnsi="宋体" w:eastAsia="宋体" w:cs="宋体"/>
                <w:b/>
                <w:bCs/>
                <w:color w:val="000000"/>
                <w:kern w:val="0"/>
                <w:szCs w:val="21"/>
                <w:highlight w:val="yellow"/>
                <w:lang w:val="en-US" w:eastAsia="zh-CN" w:bidi="ar"/>
              </w:rPr>
              <w:t>二、</w:t>
            </w:r>
            <w:r>
              <w:rPr>
                <w:rFonts w:hint="eastAsia" w:ascii="宋体" w:hAnsi="宋体" w:eastAsia="宋体" w:cs="宋体"/>
                <w:b/>
                <w:bCs/>
                <w:color w:val="000000"/>
                <w:kern w:val="0"/>
                <w:szCs w:val="21"/>
                <w:highlight w:val="yellow"/>
                <w:lang w:bidi="ar"/>
              </w:rPr>
              <w:t xml:space="preserve">具体检测内容 </w:t>
            </w:r>
          </w:p>
          <w:p w14:paraId="29DAD0DE">
            <w:pPr>
              <w:spacing w:line="360" w:lineRule="auto"/>
              <w:jc w:val="center"/>
              <w:rPr>
                <w:rFonts w:hint="eastAsia" w:ascii="宋体" w:hAnsi="宋体" w:eastAsia="宋体" w:cs="宋体"/>
                <w:b w:val="0"/>
                <w:bCs w:val="0"/>
                <w:kern w:val="0"/>
                <w:sz w:val="21"/>
                <w:szCs w:val="21"/>
                <w:lang w:val="en-US" w:eastAsia="zh-CN" w:bidi="ar-SA"/>
              </w:rPr>
            </w:pPr>
          </w:p>
        </w:tc>
        <w:tc>
          <w:tcPr>
            <w:tcW w:w="1717" w:type="pct"/>
            <w:tcBorders>
              <w:top w:val="nil"/>
              <w:left w:val="nil"/>
              <w:bottom w:val="single" w:color="auto" w:sz="8" w:space="0"/>
              <w:right w:val="single" w:color="auto" w:sz="8" w:space="0"/>
            </w:tcBorders>
            <w:noWrap w:val="0"/>
            <w:vAlign w:val="center"/>
          </w:tcPr>
          <w:p w14:paraId="71AB34B5">
            <w:pPr>
              <w:widowControl/>
              <w:jc w:val="left"/>
              <w:rPr>
                <w:rFonts w:hint="eastAsia" w:ascii="宋体" w:hAnsi="宋体" w:eastAsia="宋体" w:cs="宋体"/>
                <w:szCs w:val="21"/>
                <w:highlight w:val="none"/>
              </w:rPr>
            </w:pPr>
            <w:r>
              <w:rPr>
                <w:rFonts w:hint="eastAsia" w:ascii="宋体" w:hAnsi="宋体" w:eastAsia="宋体" w:cs="宋体"/>
                <w:color w:val="000000"/>
                <w:kern w:val="0"/>
                <w:szCs w:val="21"/>
                <w:lang w:bidi="ar"/>
              </w:rPr>
              <w:t>1)、火灾自动报警系统：检测火灾自动报警系统线路的绝缘电阻、接地电阻、系统的接地、管线的安装及其保护状况（每个回路检测）；检测火灾探测器和手动报警按钮的设置状况、安装质量、保护半径及与周围遮挡物的距离等，进行模拟响应测试，并按比例抽检；检测火灾报警控制器的安装质量、柜内配线、 保护接地的设置、主备电源的设置及其转换功能，并对控制器的各项功能测试（100%检测）；检测消防设备控制柜的安装质量、柜内配线、手、自动控制及屏面接受消防设备的信号反馈功能（100%检测）；检测消防控制室、各消防设备间及消火栓按钮处的消防通讯功能；检测消防控制室的设置位置及明显标志、室内防火阀及无关管线的设置、双回路电源的设置和切换功能；检测火灾应急广播的音响功能，手动选层和自动广播、遥控开启和强行切换等功能；检测电梯的迫降功能、消防电梯的使用功能（100%检测），切断非消防电源功能和着火层的灯光显示功能；检测火灾应急照明和疏散指示标志的设置、照度、转</w:t>
            </w:r>
            <w:r>
              <w:rPr>
                <w:rFonts w:hint="eastAsia" w:ascii="宋体" w:hAnsi="宋体" w:eastAsia="宋体" w:cs="宋体"/>
                <w:color w:val="000000"/>
                <w:kern w:val="0"/>
                <w:szCs w:val="21"/>
                <w:highlight w:val="none"/>
                <w:lang w:bidi="ar"/>
              </w:rPr>
              <w:t xml:space="preserve">换时间和图形符号。 </w:t>
            </w:r>
          </w:p>
          <w:p w14:paraId="5F26D4C8">
            <w:pPr>
              <w:widowControl/>
              <w:jc w:val="left"/>
              <w:rPr>
                <w:rFonts w:hint="eastAsia" w:ascii="宋体" w:hAnsi="宋体" w:eastAsia="宋体" w:cs="宋体"/>
                <w:szCs w:val="21"/>
                <w:highlight w:val="none"/>
              </w:rPr>
            </w:pPr>
            <w:r>
              <w:rPr>
                <w:rFonts w:hint="eastAsia" w:ascii="宋体" w:hAnsi="宋体" w:eastAsia="宋体" w:cs="宋体"/>
                <w:color w:val="000000"/>
                <w:kern w:val="0"/>
                <w:szCs w:val="21"/>
                <w:highlight w:val="none"/>
                <w:lang w:eastAsia="zh-CN" w:bidi="ar"/>
              </w:rPr>
              <w:t>组成</w:t>
            </w:r>
            <w:r>
              <w:rPr>
                <w:rFonts w:hint="eastAsia" w:ascii="宋体" w:hAnsi="宋体" w:eastAsia="宋体" w:cs="宋体"/>
                <w:color w:val="000000"/>
                <w:kern w:val="0"/>
                <w:szCs w:val="21"/>
                <w:highlight w:val="none"/>
                <w:lang w:bidi="ar"/>
              </w:rPr>
              <w:t xml:space="preserve">：火灾自动报警系统（应急广播、消防电梯、事故照明及疏散指示灯） </w:t>
            </w:r>
          </w:p>
          <w:p w14:paraId="13A30D72">
            <w:pPr>
              <w:widowControl/>
              <w:jc w:val="left"/>
              <w:rPr>
                <w:rFonts w:hint="eastAsia" w:ascii="宋体" w:hAnsi="宋体" w:eastAsia="宋体" w:cs="宋体"/>
                <w:szCs w:val="21"/>
                <w:highlight w:val="none"/>
              </w:rPr>
            </w:pPr>
            <w:r>
              <w:rPr>
                <w:rFonts w:hint="eastAsia" w:ascii="宋体" w:hAnsi="宋体" w:eastAsia="宋体" w:cs="宋体"/>
                <w:color w:val="000000"/>
                <w:kern w:val="0"/>
                <w:szCs w:val="21"/>
                <w:highlight w:val="none"/>
                <w:lang w:bidi="ar"/>
              </w:rPr>
              <w:t xml:space="preserve">系统组成：电源、火灾报警控制器、火灾报警触发装置、消防联动控制设备、消防通讯设备、火灾应急广播、消防电梯、火灾应急照明及疏散指示装置等。 </w:t>
            </w:r>
          </w:p>
          <w:p w14:paraId="71A0CFE8">
            <w:pPr>
              <w:widowControl/>
              <w:jc w:val="left"/>
              <w:rPr>
                <w:rFonts w:hint="eastAsia"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电源：</w:t>
            </w:r>
          </w:p>
          <w:p w14:paraId="6DBDE15C">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交流电源：规范要求火灾报警控制器主电源采用专用消防电源，或采用单独的供电回路，不能与日常用电合用（包括控制室监控电源、空调电源），要求双电供电，设置自动转换装置。主电源容量要求：火灾报警控制器在百分之二十的报警部位（10≤报警点≤32）处于正常报警状态条件下，连续正常工作4 小时，还有电压稳定度、负载稳定度不大于 5%等要求。主电源不应采用漏电保护开关保护；不能采用插头连接。除主电源供电外，还要有直流备用电源。 </w:t>
            </w:r>
          </w:p>
          <w:p w14:paraId="04565B66">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消防控制室及火灾报警控制器 </w:t>
            </w:r>
          </w:p>
          <w:p w14:paraId="7D83648E">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消防控制室：规范要求消防控制室的标志应齐全。消防控制室入口处应有明显标志（塑料、金属）；控制器主电源要有明显标志；保护接地要设明显标志；控制器及消防控制设备外接导线端部应有明显标志；不同电压等级、不同电流类别的端子应有明显标志；消防联动控制盘面应有明显标志。火灾报警控制器：控制器柜内导线要求布线美观，绑扎成束，导线编号、端子压接导线小于 2 根。火灾自动报警系统应设专用接地干线，应采用铜芯绝缘导线，其芯线截面积不小于25</w:t>
            </w:r>
            <w:r>
              <w:rPr>
                <w:rFonts w:hint="eastAsia" w:ascii="宋体" w:hAnsi="宋体" w:eastAsia="宋体" w:cs="宋体"/>
                <w:szCs w:val="21"/>
                <w:lang w:val="en-US" w:eastAsia="zh-CN"/>
              </w:rPr>
              <w:t>mm²</w:t>
            </w:r>
            <w:r>
              <w:rPr>
                <w:rFonts w:hint="eastAsia" w:ascii="宋体" w:hAnsi="宋体" w:eastAsia="宋体" w:cs="宋体"/>
                <w:color w:val="000000"/>
                <w:kern w:val="0"/>
                <w:szCs w:val="21"/>
                <w:lang w:bidi="ar"/>
              </w:rPr>
              <w:t>,消防控制室接地板的接地线也应选用铜芯绝缘导线，其芯线截面积不小于4</w:t>
            </w:r>
            <w:r>
              <w:rPr>
                <w:rFonts w:hint="eastAsia" w:ascii="宋体" w:hAnsi="宋体" w:eastAsia="宋体" w:cs="宋体"/>
                <w:szCs w:val="21"/>
                <w:lang w:val="en-US" w:eastAsia="zh-CN"/>
              </w:rPr>
              <w:t>mm²</w:t>
            </w:r>
            <w:r>
              <w:rPr>
                <w:rFonts w:hint="eastAsia" w:ascii="宋体" w:hAnsi="宋体" w:eastAsia="宋体" w:cs="宋体"/>
                <w:color w:val="000000"/>
                <w:kern w:val="0"/>
                <w:szCs w:val="21"/>
                <w:lang w:bidi="ar"/>
              </w:rPr>
              <w:t xml:space="preserve">。控制器主要功能：消音功能，复位功能，故障报警功能，火灾报警功能，二次火警功能，火灾优先功能，自检功能，显示记忆功能，屏蔽功能等。 </w:t>
            </w:r>
          </w:p>
          <w:p w14:paraId="1E8B2AD4">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消防联动控制设备 </w:t>
            </w:r>
          </w:p>
          <w:p w14:paraId="620AB006">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消防联动控制设备电源容量试验和控制器试验。 </w:t>
            </w:r>
          </w:p>
          <w:p w14:paraId="3D960682">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火灾探测器和手动报警按钮（火灾触发装置）</w:t>
            </w:r>
            <w:r>
              <w:rPr>
                <w:rFonts w:hint="eastAsia" w:ascii="宋体" w:hAnsi="宋体" w:eastAsia="宋体" w:cs="宋体"/>
                <w:color w:val="000000"/>
                <w:kern w:val="0"/>
                <w:sz w:val="21"/>
                <w:szCs w:val="21"/>
                <w:lang w:val="en-US" w:eastAsia="zh-CN" w:bidi="ar"/>
              </w:rPr>
              <w:t>共有以下设备：</w:t>
            </w:r>
            <w:r>
              <w:rPr>
                <w:rFonts w:hint="eastAsia" w:ascii="宋体" w:hAnsi="宋体" w:eastAsia="宋体" w:cs="宋体"/>
                <w:color w:val="000000"/>
                <w:kern w:val="0"/>
                <w:szCs w:val="21"/>
                <w:lang w:bidi="ar"/>
              </w:rPr>
              <w:t xml:space="preserve"> </w:t>
            </w:r>
          </w:p>
          <w:p w14:paraId="50278D23">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消防通讯、应急广播、消防电梯、火灾应急照明及疏散指示装置 </w:t>
            </w:r>
          </w:p>
          <w:p w14:paraId="66E7CDC0">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消防通讯：消防控制室应设置消防专用电话总机。设备间（泵房、风机房、空调机房、配电室、分控室等）应设专用电话分机，手动报警按钮、消火栓按钮等处宜插孔电话。要求语言清晰，通话可靠。 </w:t>
            </w:r>
          </w:p>
          <w:p w14:paraId="605EA8A2">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应急广播：控制中心报警系统应设置火灾应急广播，集中报警系统宜设置火灾应急广播，未设置火灾应急广播的火灾自动报警系统应设置火灾警报装置。扬声器功率不小于 3 瓦，任何部位距离不大于 25 米，声压级高于背景 15 分贝。也可与日常公共广播系统合用，平时用于广播、背景音乐等，火警时消防消防控制室应能强制转入应急广播状态，即相应楼层或防火分区的扬声器和公共广播扩音机（功放机）强制转入应急广播状态。 </w:t>
            </w:r>
          </w:p>
          <w:p w14:paraId="6CDD53FA">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消防电梯：普通电梯要求在火警时能强制降于首层，打开轿厢门，不作为疏散用。而消防电梯除要求在控制室和首层都能强制降于首层外，还要求有消防操作功能，即不能外呼，轿厢内可操作，设专用电话，有排水设施等。消防控制室应能控制电梯全部停于首层并接收其反馈信号。 </w:t>
            </w:r>
          </w:p>
          <w:p w14:paraId="4DC58847">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应急照明及疏散指示：规范要求，应急照明和疏散指示连续供电工作时间不少于 20 分钟。应急照明度不低于 0.5LX，地下室不低于 5LX，疏散指示照度不小于 0.5LX。消防控制室应能切断有关部位的非消防电源，并接通火灾应急照明及疏散指示装置。</w:t>
            </w:r>
          </w:p>
          <w:p w14:paraId="476ADDAF">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 </w:t>
            </w:r>
          </w:p>
          <w:p w14:paraId="12A9291C">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2)、消防供水及消火栓系统：检查消防水源的性质、进水管的条数和直径及消防水池的设置状况；检查消防水池的容积、水位指示器和补水设施、保证消防用水和防冻措施等；检查消防水箱的设置、容积、防冻措施、补水及单向阀的状况等；检测各种消防供水泵的性能、管道、手自动控制、启动时间，主备泵和主备电源转换功能等；检测水泵接合器的设置、标志及输送消防水的功能等。检查室内消火栓的安装、组件、规格及其间距等；检测屋顶消火栓的设置、陈冻措施及其充实水柱长度等；检查室内消火栓管网的设置、管径、颜色、保证消防用水及其连接形状；检测室内消火栓的首层和最不利点的静压、动压及其充实水柱长度（按每个供水分区最不利点及首层均进行出水测试）；检查手动启泵按钮的设置及其功能。 </w:t>
            </w:r>
          </w:p>
          <w:p w14:paraId="1330F3FC">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室外消火栓系统：较为常见的采用市政供水。</w:t>
            </w:r>
          </w:p>
          <w:p w14:paraId="3DE2862D">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地下式室外消火栓井盖及附近应有标志，平时注意维护阀门、接口，保持清洁、干燥，启闭灵活。</w:t>
            </w:r>
          </w:p>
          <w:p w14:paraId="1A3EF041">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室内消火栓系统：分为市政供水系统和临时高压给水系统（设消火栓泵） </w:t>
            </w:r>
          </w:p>
          <w:p w14:paraId="1811740B">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组成：市政供水系统由消火栓箱、管网、水源构成。临时高压给水系统由消火栓箱、消火栓启泵按钮、管网、水泵、水源构成。 </w:t>
            </w:r>
          </w:p>
          <w:p w14:paraId="354455F0">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消火栓管网进水管不少于两根，应为独立的两根，当有一根需要检修时不影响系统管网的供水。管网应布置呈环状。消火栓启泵按钮要有保护措施；报警要准确，设有报警系统的要显示部位；并能联动消火栓泵，当消火栓泵启动后应有红色指示灯指示。消火栓栓口静水压力：不低于 0.07MPa，不高于 0.8MPa；出水压力：不大于 0.50MPa，最主要是充实水柱长度不小于 7m（高规 10m）。 </w:t>
            </w:r>
          </w:p>
          <w:p w14:paraId="3E845057">
            <w:pPr>
              <w:pStyle w:val="3"/>
              <w:rPr>
                <w:rFonts w:hint="eastAsia" w:ascii="宋体" w:hAnsi="宋体" w:eastAsia="宋体" w:cs="宋体"/>
                <w:szCs w:val="21"/>
              </w:rPr>
            </w:pPr>
          </w:p>
          <w:p w14:paraId="50F47737">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3)、自动喷水灭火系统：检查管网的安装、连接、设置喷头数量及末端管径等；检查水流指示器和信号阀的安装及其功能；检测报警阀组的安装、阀门的状态、各组件及其功能（100%检测）；检测喷淋头安装、外观、保护间距和保护面积及与邻近障碍物的距离等；对报警阀组进行功能试验；对自动喷淋水（雾）系统进行功能试验。 </w:t>
            </w:r>
          </w:p>
          <w:p w14:paraId="3DB8E0BE">
            <w:pPr>
              <w:widowControl/>
              <w:jc w:val="left"/>
              <w:rPr>
                <w:rFonts w:hint="eastAsia" w:ascii="宋体" w:hAnsi="宋体" w:eastAsia="宋体" w:cs="宋体"/>
                <w:szCs w:val="21"/>
              </w:rPr>
            </w:pPr>
            <w:r>
              <w:rPr>
                <w:rFonts w:hint="eastAsia" w:ascii="宋体" w:hAnsi="宋体" w:eastAsia="宋体" w:cs="宋体"/>
                <w:color w:val="000000"/>
                <w:kern w:val="0"/>
                <w:szCs w:val="21"/>
                <w:lang w:eastAsia="zh-CN" w:bidi="ar"/>
              </w:rPr>
              <w:t>组成</w:t>
            </w:r>
            <w:r>
              <w:rPr>
                <w:rFonts w:hint="eastAsia" w:ascii="宋体" w:hAnsi="宋体" w:eastAsia="宋体" w:cs="宋体"/>
                <w:color w:val="000000"/>
                <w:kern w:val="0"/>
                <w:szCs w:val="21"/>
                <w:lang w:bidi="ar"/>
              </w:rPr>
              <w:t xml:space="preserve">：喷头、管网、水流指示器、末端试水装置、检修阀、报警阀组、水泵、水源。 </w:t>
            </w:r>
          </w:p>
          <w:p w14:paraId="5B09C6F6">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喷头：在装设通透性吊顶的场所，喷头应布置在顶板下，距顶板的距离不小于 75mm，不大于 150mm。喷头距梁、通风管道距离要符合规范要求，高于底边0.14m，</w:t>
            </w:r>
            <w:r>
              <w:rPr>
                <w:rFonts w:hint="eastAsia" w:ascii="宋体" w:hAnsi="宋体" w:eastAsia="宋体" w:cs="宋体"/>
                <w:color w:val="000000"/>
                <w:kern w:val="0"/>
                <w:sz w:val="21"/>
                <w:szCs w:val="21"/>
                <w:lang w:val="en-US" w:eastAsia="zh-CN" w:bidi="ar"/>
              </w:rPr>
              <w:t>宽0.6m≤水平距离≤长0.9m，高于底边 0.35m，宽1.2m≤水平距离≤长1.5m，</w:t>
            </w:r>
            <w:r>
              <w:rPr>
                <w:rFonts w:hint="eastAsia" w:ascii="宋体" w:hAnsi="宋体" w:eastAsia="宋体" w:cs="宋体"/>
                <w:color w:val="000000"/>
                <w:kern w:val="0"/>
                <w:szCs w:val="21"/>
                <w:lang w:bidi="ar"/>
              </w:rPr>
              <w:t xml:space="preserve">当通风管道宽度大于 1.2m，应增设喷头。如果喷头安装位置较低时也可增加集热挡水板。 </w:t>
            </w:r>
          </w:p>
          <w:p w14:paraId="2699C027">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排水设施：湿式报警阀处应设有排水设施。试水管管径应为 25mm，最好将泄水管直接引至水池、地漏，以便随时进行放水试验。 </w:t>
            </w:r>
          </w:p>
          <w:p w14:paraId="7CC996B6">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水流指示器：水流指示器一般与检修阀相邻设置，距离不小于 300mm，应设在便于维修的场所（同检修阀）。 </w:t>
            </w:r>
          </w:p>
          <w:p w14:paraId="090808D1">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报警阀组（湿式）：水力警铃是利用水流的冲击发出声响的报警装置，应设在有人值班或公共场所（或附近），通过水力达到报警目的。压力开关是一种利用水压推动微动开关将水压转换成电信号的装置。稳压系统：喷淋系统的稳压非常重要的，是决定报警阀动作与否的关键所在。 </w:t>
            </w:r>
          </w:p>
          <w:p w14:paraId="7E24962D">
            <w:pPr>
              <w:pStyle w:val="3"/>
              <w:rPr>
                <w:rFonts w:hint="eastAsia" w:ascii="宋体" w:hAnsi="宋体" w:eastAsia="宋体" w:cs="宋体"/>
                <w:szCs w:val="21"/>
              </w:rPr>
            </w:pPr>
          </w:p>
          <w:p w14:paraId="004985F1">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4)、气体灭火系统：检查气体灭火系统的贮瓶间的设备、组件、灭火剂输送管道、喷咀及防护区的设置和安装状况；对气体灭火系统模似联动试验、查看先发声、后发光的报警程序，查看切断火场电源、自动启动、延时启动量、防火阀和排风机、喷射过程、气体释放指示灯等的动作是否正常。 </w:t>
            </w:r>
          </w:p>
          <w:p w14:paraId="2204581A">
            <w:pPr>
              <w:pStyle w:val="3"/>
              <w:rPr>
                <w:rFonts w:hint="eastAsia" w:ascii="宋体" w:hAnsi="宋体" w:eastAsia="宋体" w:cs="宋体"/>
                <w:szCs w:val="21"/>
              </w:rPr>
            </w:pPr>
          </w:p>
          <w:p w14:paraId="2DB9721F">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5)、防排烟系统、防火卷帘门、防火门：检测排烟系统风机、风道、防火阀、送风口、主备电源设置状况及其功能；检查通风空调系统的管道和防火阀的设置状况；对各个系统进行手动、自动及联动功能试验；检查正压送风系统的风管、风机、送风口设置状况并测量其风速和正压送风值；检测防火卷帘、防火门外观、安装、传动机构、动作程序及其手动和联动功能进行检测。 </w:t>
            </w:r>
          </w:p>
          <w:p w14:paraId="552E9D9B">
            <w:pPr>
              <w:widowControl/>
              <w:jc w:val="left"/>
              <w:rPr>
                <w:rFonts w:hint="eastAsia" w:ascii="宋体" w:hAnsi="宋体" w:eastAsia="宋体" w:cs="宋体"/>
                <w:szCs w:val="21"/>
              </w:rPr>
            </w:pPr>
            <w:r>
              <w:rPr>
                <w:rFonts w:hint="eastAsia" w:ascii="宋体" w:hAnsi="宋体" w:eastAsia="宋体" w:cs="宋体"/>
                <w:color w:val="000000"/>
                <w:kern w:val="0"/>
                <w:szCs w:val="21"/>
                <w:lang w:eastAsia="zh-CN" w:bidi="ar"/>
              </w:rPr>
              <w:t>组成</w:t>
            </w:r>
            <w:r>
              <w:rPr>
                <w:rFonts w:hint="eastAsia" w:ascii="宋体" w:hAnsi="宋体" w:eastAsia="宋体" w:cs="宋体"/>
                <w:color w:val="000000"/>
                <w:kern w:val="0"/>
                <w:szCs w:val="21"/>
                <w:lang w:bidi="ar"/>
              </w:rPr>
              <w:t xml:space="preserve">：防排烟及通风空调系统 </w:t>
            </w:r>
          </w:p>
          <w:p w14:paraId="47D90021">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分三部分：正压送风系统、机械排烟系统、通风空调系统 </w:t>
            </w:r>
          </w:p>
          <w:p w14:paraId="1B86B6AE">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（1）、正压送风系统 </w:t>
            </w:r>
          </w:p>
          <w:p w14:paraId="3988F7B8">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正压送风系统由送风机、送风管道、送风口及相关阀体等组成。要求楼梯间正压值：40Pa≤正压值≤50Pa，前室正压值：25Pa≤正压值≤30Pa </w:t>
            </w:r>
          </w:p>
          <w:p w14:paraId="488EB057">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(2)、机械排烟系统 </w:t>
            </w:r>
          </w:p>
          <w:p w14:paraId="2C332863">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一般设置在走道、中庭、（前室）、地下车库、地下室等。火灾中对人员造成最大伤害的是烟气，历次火灾中因烟气导致人员窒息的比例也是最高的，因此机械排烟系统是不容忽视的。 </w:t>
            </w:r>
          </w:p>
          <w:p w14:paraId="49DE0360">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机械排烟系统由排烟机、排烟防火阀、排烟管道、排烟口（排烟阀）等组成。 </w:t>
            </w:r>
          </w:p>
          <w:p w14:paraId="02A68C3C">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(3)、通风空调系统 </w:t>
            </w:r>
          </w:p>
          <w:p w14:paraId="19F721D8">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主要是防火阀（70℃）。火灾和烟气的横向及纵向蔓延主要是通过防火墙的孔洞蔓延。当有火警时，相应的空调送风系统应联动关闭，也就是切断非消防电源功能，并有正确的反馈信号传送到控制室。 </w:t>
            </w:r>
          </w:p>
          <w:p w14:paraId="45225D24">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(4)、防火卷帘、防火门 </w:t>
            </w:r>
          </w:p>
          <w:p w14:paraId="7998710E">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防火卷帘分钢质防火卷帘、双层无机布（基）防火卷帘联动控制功能：分为两种：作为防火分隔的卷帘，可直接降至底位（有的设延时），作为疏散通道上的防火卷帘可分两步降底：感烟探测器动作后，卷帘下降至距地面 1.8m，感温探测器动作后卷帘下降到底，卷帘关闭信号应传送至消防控制室。 </w:t>
            </w:r>
          </w:p>
          <w:p w14:paraId="3116D733">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防火门：电动防火门、普通防火门 </w:t>
            </w:r>
          </w:p>
          <w:p w14:paraId="0C372B32">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建筑的通道、走廊等处设常开防火门，门任一侧探测器报警后，防火门机构释放，防火门自动关闭，其反馈信号应传送到消防控制室。</w:t>
            </w:r>
          </w:p>
          <w:p w14:paraId="35A27911">
            <w:pPr>
              <w:jc w:val="center"/>
              <w:rPr>
                <w:rFonts w:hint="eastAsia" w:ascii="宋体" w:hAnsi="宋体" w:eastAsia="宋体" w:cs="宋体"/>
                <w:b w:val="0"/>
                <w:bCs w:val="0"/>
                <w:sz w:val="21"/>
                <w:szCs w:val="21"/>
              </w:rPr>
            </w:pPr>
          </w:p>
        </w:tc>
        <w:tc>
          <w:tcPr>
            <w:tcW w:w="1456" w:type="pct"/>
            <w:tcBorders>
              <w:top w:val="nil"/>
              <w:left w:val="nil"/>
              <w:bottom w:val="single" w:color="auto" w:sz="8" w:space="0"/>
              <w:right w:val="single" w:color="auto" w:sz="8" w:space="0"/>
            </w:tcBorders>
            <w:noWrap w:val="0"/>
            <w:vAlign w:val="top"/>
          </w:tcPr>
          <w:p w14:paraId="56289C7C">
            <w:pPr>
              <w:spacing w:line="360" w:lineRule="auto"/>
              <w:jc w:val="center"/>
              <w:rPr>
                <w:rFonts w:hint="eastAsia" w:ascii="宋体" w:hAnsi="宋体" w:eastAsia="宋体" w:cs="宋体"/>
                <w:b w:val="0"/>
                <w:bCs w:val="0"/>
                <w:color w:val="000000"/>
                <w:kern w:val="0"/>
                <w:sz w:val="21"/>
                <w:szCs w:val="21"/>
              </w:rPr>
            </w:pPr>
          </w:p>
        </w:tc>
        <w:tc>
          <w:tcPr>
            <w:tcW w:w="682" w:type="pct"/>
            <w:tcBorders>
              <w:top w:val="nil"/>
              <w:left w:val="nil"/>
              <w:bottom w:val="single" w:color="auto" w:sz="8" w:space="0"/>
              <w:right w:val="single" w:color="auto" w:sz="8" w:space="0"/>
            </w:tcBorders>
            <w:noWrap w:val="0"/>
            <w:vAlign w:val="center"/>
          </w:tcPr>
          <w:p w14:paraId="0CE3EC02">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7A654999">
        <w:tblPrEx>
          <w:tblCellMar>
            <w:top w:w="0" w:type="dxa"/>
            <w:left w:w="108" w:type="dxa"/>
            <w:bottom w:w="0" w:type="dxa"/>
            <w:right w:w="108" w:type="dxa"/>
          </w:tblCellMar>
        </w:tblPrEx>
        <w:trPr>
          <w:trHeight w:val="1511" w:hRule="atLeast"/>
        </w:trPr>
        <w:tc>
          <w:tcPr>
            <w:tcW w:w="432" w:type="pct"/>
            <w:tcBorders>
              <w:top w:val="nil"/>
              <w:left w:val="single" w:color="auto" w:sz="8" w:space="0"/>
              <w:bottom w:val="single" w:color="000000" w:sz="8" w:space="0"/>
              <w:right w:val="single" w:color="auto" w:sz="8" w:space="0"/>
            </w:tcBorders>
            <w:noWrap w:val="0"/>
            <w:vAlign w:val="top"/>
          </w:tcPr>
          <w:p w14:paraId="7603C80D">
            <w:pPr>
              <w:spacing w:line="360" w:lineRule="auto"/>
              <w:jc w:val="center"/>
              <w:rPr>
                <w:rFonts w:hint="eastAsia" w:ascii="宋体" w:hAnsi="宋体" w:eastAsia="宋体" w:cs="宋体"/>
                <w:b w:val="0"/>
                <w:bCs w:val="0"/>
                <w:kern w:val="0"/>
                <w:sz w:val="21"/>
                <w:szCs w:val="21"/>
                <w:lang w:val="en-US" w:eastAsia="zh-CN" w:bidi="ar-SA"/>
              </w:rPr>
            </w:pPr>
            <w:r>
              <w:rPr>
                <w:rFonts w:hint="eastAsia" w:ascii="仿宋" w:hAnsi="仿宋" w:eastAsia="仿宋" w:cs="仿宋"/>
                <w:bCs/>
                <w:sz w:val="24"/>
                <w:szCs w:val="24"/>
              </w:rPr>
              <w:t>3</w:t>
            </w:r>
          </w:p>
        </w:tc>
        <w:tc>
          <w:tcPr>
            <w:tcW w:w="710" w:type="pct"/>
            <w:tcBorders>
              <w:top w:val="nil"/>
              <w:left w:val="single" w:color="auto" w:sz="8" w:space="0"/>
              <w:bottom w:val="single" w:color="000000" w:sz="8" w:space="0"/>
              <w:right w:val="single" w:color="auto" w:sz="8" w:space="0"/>
            </w:tcBorders>
            <w:noWrap w:val="0"/>
            <w:vAlign w:val="top"/>
          </w:tcPr>
          <w:p w14:paraId="105DD356">
            <w:pPr>
              <w:spacing w:line="520" w:lineRule="exact"/>
              <w:ind w:firstLine="422" w:firstLineChars="200"/>
              <w:rPr>
                <w:rFonts w:hint="eastAsia" w:ascii="宋体" w:hAnsi="宋体" w:eastAsia="宋体" w:cs="宋体"/>
                <w:b/>
                <w:bCs/>
                <w:szCs w:val="21"/>
                <w:highlight w:val="yellow"/>
              </w:rPr>
            </w:pPr>
            <w:r>
              <w:rPr>
                <w:rFonts w:hint="eastAsia" w:ascii="宋体" w:hAnsi="宋体" w:eastAsia="宋体" w:cs="宋体"/>
                <w:b/>
                <w:bCs/>
                <w:szCs w:val="21"/>
                <w:highlight w:val="yellow"/>
                <w:lang w:val="en-US" w:eastAsia="zh-CN"/>
              </w:rPr>
              <w:t>三、</w:t>
            </w:r>
            <w:r>
              <w:rPr>
                <w:rFonts w:hint="eastAsia" w:ascii="宋体" w:hAnsi="宋体" w:eastAsia="宋体" w:cs="宋体"/>
                <w:b/>
                <w:bCs/>
                <w:szCs w:val="21"/>
                <w:highlight w:val="yellow"/>
              </w:rPr>
              <w:t>消防安全评估:</w:t>
            </w:r>
          </w:p>
          <w:p w14:paraId="4A756B66">
            <w:pPr>
              <w:spacing w:line="360" w:lineRule="auto"/>
              <w:jc w:val="center"/>
              <w:rPr>
                <w:rFonts w:hint="eastAsia" w:ascii="宋体" w:hAnsi="宋体" w:eastAsia="宋体" w:cs="宋体"/>
                <w:b w:val="0"/>
                <w:bCs w:val="0"/>
                <w:kern w:val="0"/>
                <w:sz w:val="21"/>
                <w:szCs w:val="21"/>
                <w:lang w:val="en-US" w:eastAsia="zh-CN" w:bidi="ar-SA"/>
              </w:rPr>
            </w:pPr>
          </w:p>
        </w:tc>
        <w:tc>
          <w:tcPr>
            <w:tcW w:w="1717" w:type="pct"/>
            <w:tcBorders>
              <w:top w:val="nil"/>
              <w:left w:val="nil"/>
              <w:bottom w:val="single" w:color="auto" w:sz="8" w:space="0"/>
              <w:right w:val="single" w:color="auto" w:sz="8" w:space="0"/>
            </w:tcBorders>
            <w:noWrap w:val="0"/>
            <w:vAlign w:val="center"/>
          </w:tcPr>
          <w:p w14:paraId="230F7270">
            <w:pPr>
              <w:spacing w:line="52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评估内容为中山大学附属第七医院院内消防相关情况包括但不限于：</w:t>
            </w:r>
          </w:p>
          <w:p w14:paraId="221A2635">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建筑物和公众聚集场所消防合法性情况；制定并落实消防安全制度、消防安全操作规程、灭火和应急疏散预案情况；依法确定消防安全管理人、专（兼）职消防管理员、自动消防系统操作人员情况，组织开展防火检查、防火巡查及火灾隐患整改情况；员工消防安全培训和“一懂三会”知识掌握情况，消防安全宣传情况，定期组织开展消防演练情况；消防设施、器材和消防安全标志设置配置以及完好有效情况，消防控制室值班及自动消防系统操作人员持证上岗情况；电器产品、燃气用具的安装、使用及其线路、管路的敷设、维护保养情况；疏散通道、安全出口、消防车通道保持畅通情况，防火分区、防火间距、防烟分区、避难层（间）及消防车登高作业区域保持有效情况；室内外装修情况，建筑外保温材料使用情况，易燃易爆危险品管理情况；依法建立专职消防队及配备装备器材情况，扑救火灾能力情况；受到住建部门、消防救援机构行政处罚和消防安全不良行为公布情况，对监督发现问题整改情况；消防安全责任人、消防安全管理人、专（兼）职消防管理员确定、变更，消防安全“四个能力”建设定期检查评估，消防设施维护保养落实并定期向消防救援机构报告报备情况；单位结合实际加强人防、物防、技防等火灾防范措施情况；单位年内发生火灾情况</w:t>
            </w:r>
            <w:r>
              <w:rPr>
                <w:rFonts w:hint="eastAsia" w:ascii="宋体" w:hAnsi="宋体" w:eastAsia="宋体" w:cs="宋体"/>
                <w:szCs w:val="21"/>
                <w:lang w:val="en-US" w:eastAsia="zh-CN"/>
              </w:rPr>
              <w:t>等</w:t>
            </w:r>
            <w:r>
              <w:rPr>
                <w:rFonts w:hint="eastAsia" w:ascii="宋体" w:hAnsi="宋体" w:eastAsia="宋体" w:cs="宋体"/>
                <w:szCs w:val="21"/>
              </w:rPr>
              <w:t>。</w:t>
            </w:r>
          </w:p>
          <w:p w14:paraId="70A431A2">
            <w:pPr>
              <w:widowControl/>
              <w:jc w:val="left"/>
              <w:rPr>
                <w:rFonts w:hint="eastAsia" w:ascii="宋体" w:hAnsi="宋体" w:eastAsia="宋体" w:cs="宋体"/>
                <w:szCs w:val="21"/>
              </w:rPr>
            </w:pPr>
            <w:r>
              <w:rPr>
                <w:rFonts w:hint="eastAsia" w:ascii="宋体" w:hAnsi="宋体" w:eastAsia="宋体" w:cs="宋体"/>
                <w:szCs w:val="21"/>
                <w:lang w:val="en-US" w:eastAsia="zh-CN"/>
              </w:rPr>
              <w:t>评估内容为中山大学附属第七医院院内消防相关制度包括但不限于：</w:t>
            </w:r>
          </w:p>
          <w:p w14:paraId="269D30C1">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1、消防安全教育、培训制度 </w:t>
            </w:r>
          </w:p>
          <w:p w14:paraId="12754965">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2、防火巡查、检查制度 </w:t>
            </w:r>
          </w:p>
          <w:p w14:paraId="15438A56">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3、安全疏散设施管理制度 </w:t>
            </w:r>
          </w:p>
          <w:p w14:paraId="20708BE2">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4、消防（控制室）值班制度 </w:t>
            </w:r>
          </w:p>
          <w:p w14:paraId="2AEFC907">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5、消防设施、器材维护管理制度 </w:t>
            </w:r>
          </w:p>
          <w:p w14:paraId="104D9743">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6、火灾隐患整改制度 </w:t>
            </w:r>
          </w:p>
          <w:p w14:paraId="6C729183">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7、用火、用电管理制度 </w:t>
            </w:r>
          </w:p>
          <w:p w14:paraId="1F210DCF">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8、易燃易爆危险品和场所防火防爆制度 </w:t>
            </w:r>
          </w:p>
          <w:p w14:paraId="5BBBA340">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9、专职、志愿消防队组织管理制度 </w:t>
            </w:r>
          </w:p>
          <w:p w14:paraId="2F533E12">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10、灭火和应急疏散预案演练制度</w:t>
            </w:r>
          </w:p>
          <w:p w14:paraId="2A2531AF">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11、燃气、电气设备的检查和管理制度 </w:t>
            </w:r>
          </w:p>
          <w:p w14:paraId="489D50A0">
            <w:pPr>
              <w:widowControl/>
              <w:jc w:val="left"/>
              <w:rPr>
                <w:rFonts w:hint="eastAsia" w:ascii="宋体" w:hAnsi="宋体" w:eastAsia="宋体" w:cs="宋体"/>
                <w:szCs w:val="21"/>
              </w:rPr>
            </w:pPr>
            <w:r>
              <w:rPr>
                <w:rFonts w:hint="eastAsia" w:ascii="宋体" w:hAnsi="宋体" w:eastAsia="宋体" w:cs="宋体"/>
                <w:color w:val="000000"/>
                <w:kern w:val="0"/>
                <w:szCs w:val="21"/>
                <w:lang w:bidi="ar"/>
              </w:rPr>
              <w:t xml:space="preserve">12、消防安全工作考评和奖罚制度 </w:t>
            </w:r>
          </w:p>
          <w:p w14:paraId="0AE93458">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13、消防控制室持证上岗</w:t>
            </w:r>
          </w:p>
          <w:p w14:paraId="46F60698">
            <w:pPr>
              <w:jc w:val="center"/>
              <w:rPr>
                <w:rFonts w:hint="eastAsia" w:ascii="宋体" w:hAnsi="宋体" w:eastAsia="宋体" w:cs="宋体"/>
                <w:b w:val="0"/>
                <w:bCs w:val="0"/>
                <w:sz w:val="21"/>
                <w:szCs w:val="21"/>
              </w:rPr>
            </w:pPr>
          </w:p>
        </w:tc>
        <w:tc>
          <w:tcPr>
            <w:tcW w:w="1456" w:type="pct"/>
            <w:tcBorders>
              <w:top w:val="nil"/>
              <w:left w:val="nil"/>
              <w:bottom w:val="single" w:color="auto" w:sz="8" w:space="0"/>
              <w:right w:val="single" w:color="auto" w:sz="8" w:space="0"/>
            </w:tcBorders>
            <w:noWrap w:val="0"/>
            <w:vAlign w:val="top"/>
          </w:tcPr>
          <w:p w14:paraId="17D7291F">
            <w:pPr>
              <w:spacing w:line="360" w:lineRule="auto"/>
              <w:jc w:val="center"/>
              <w:rPr>
                <w:rFonts w:hint="eastAsia" w:ascii="宋体" w:hAnsi="宋体" w:eastAsia="宋体" w:cs="宋体"/>
                <w:b w:val="0"/>
                <w:bCs w:val="0"/>
                <w:color w:val="000000"/>
                <w:kern w:val="0"/>
                <w:sz w:val="21"/>
                <w:szCs w:val="21"/>
              </w:rPr>
            </w:pPr>
          </w:p>
        </w:tc>
        <w:tc>
          <w:tcPr>
            <w:tcW w:w="682" w:type="pct"/>
            <w:tcBorders>
              <w:top w:val="nil"/>
              <w:left w:val="nil"/>
              <w:bottom w:val="single" w:color="auto" w:sz="8" w:space="0"/>
              <w:right w:val="single" w:color="auto" w:sz="8" w:space="0"/>
            </w:tcBorders>
            <w:noWrap w:val="0"/>
            <w:vAlign w:val="center"/>
          </w:tcPr>
          <w:p w14:paraId="53915290">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2E23C799">
        <w:tblPrEx>
          <w:tblCellMar>
            <w:top w:w="0" w:type="dxa"/>
            <w:left w:w="108" w:type="dxa"/>
            <w:bottom w:w="0" w:type="dxa"/>
            <w:right w:w="108" w:type="dxa"/>
          </w:tblCellMar>
        </w:tblPrEx>
        <w:trPr>
          <w:trHeight w:val="1511" w:hRule="atLeast"/>
        </w:trPr>
        <w:tc>
          <w:tcPr>
            <w:tcW w:w="432" w:type="pct"/>
            <w:tcBorders>
              <w:top w:val="nil"/>
              <w:left w:val="single" w:color="auto" w:sz="8" w:space="0"/>
              <w:bottom w:val="single" w:color="000000" w:sz="8" w:space="0"/>
              <w:right w:val="single" w:color="auto" w:sz="8" w:space="0"/>
            </w:tcBorders>
            <w:noWrap w:val="0"/>
            <w:vAlign w:val="top"/>
          </w:tcPr>
          <w:p w14:paraId="75BC51D5">
            <w:pPr>
              <w:spacing w:line="360" w:lineRule="auto"/>
              <w:jc w:val="center"/>
              <w:rPr>
                <w:rFonts w:hint="eastAsia" w:ascii="宋体" w:hAnsi="宋体" w:eastAsia="宋体" w:cs="宋体"/>
                <w:b w:val="0"/>
                <w:bCs w:val="0"/>
                <w:kern w:val="0"/>
                <w:sz w:val="21"/>
                <w:szCs w:val="21"/>
                <w:lang w:val="en-US" w:eastAsia="zh-CN" w:bidi="ar-SA"/>
              </w:rPr>
            </w:pPr>
            <w:r>
              <w:rPr>
                <w:rFonts w:hint="eastAsia" w:ascii="仿宋" w:hAnsi="仿宋" w:eastAsia="仿宋" w:cs="仿宋"/>
                <w:bCs/>
                <w:sz w:val="24"/>
                <w:szCs w:val="24"/>
                <w:lang w:val="en-US" w:eastAsia="zh-CN"/>
              </w:rPr>
              <w:t>4</w:t>
            </w:r>
          </w:p>
        </w:tc>
        <w:tc>
          <w:tcPr>
            <w:tcW w:w="710" w:type="pct"/>
            <w:tcBorders>
              <w:top w:val="nil"/>
              <w:left w:val="single" w:color="auto" w:sz="8" w:space="0"/>
              <w:bottom w:val="single" w:color="000000" w:sz="8" w:space="0"/>
              <w:right w:val="single" w:color="auto" w:sz="8" w:space="0"/>
            </w:tcBorders>
            <w:noWrap w:val="0"/>
            <w:vAlign w:val="top"/>
          </w:tcPr>
          <w:p w14:paraId="196CF675">
            <w:pPr>
              <w:spacing w:line="520" w:lineRule="exact"/>
              <w:ind w:firstLine="422" w:firstLineChars="200"/>
              <w:rPr>
                <w:rFonts w:hint="eastAsia" w:ascii="宋体" w:hAnsi="宋体" w:eastAsia="宋体" w:cs="宋体"/>
                <w:b/>
                <w:bCs/>
                <w:szCs w:val="21"/>
                <w:highlight w:val="yellow"/>
              </w:rPr>
            </w:pPr>
            <w:r>
              <w:rPr>
                <w:rFonts w:hint="eastAsia" w:ascii="宋体" w:hAnsi="宋体" w:eastAsia="宋体" w:cs="宋体"/>
                <w:b/>
                <w:bCs/>
                <w:szCs w:val="21"/>
                <w:highlight w:val="yellow"/>
                <w:lang w:val="en-US" w:eastAsia="zh-CN"/>
              </w:rPr>
              <w:t>四、</w:t>
            </w:r>
            <w:r>
              <w:rPr>
                <w:rFonts w:hint="eastAsia" w:ascii="宋体" w:hAnsi="宋体" w:eastAsia="宋体" w:cs="宋体"/>
                <w:b/>
                <w:bCs/>
                <w:szCs w:val="21"/>
                <w:highlight w:val="yellow"/>
              </w:rPr>
              <w:t>建筑消防设施检测</w:t>
            </w:r>
          </w:p>
          <w:p w14:paraId="043701DF">
            <w:pPr>
              <w:spacing w:line="360" w:lineRule="auto"/>
              <w:jc w:val="center"/>
              <w:rPr>
                <w:rFonts w:hint="eastAsia" w:ascii="宋体" w:hAnsi="宋体" w:eastAsia="宋体" w:cs="宋体"/>
                <w:b w:val="0"/>
                <w:bCs w:val="0"/>
                <w:kern w:val="0"/>
                <w:sz w:val="21"/>
                <w:szCs w:val="21"/>
                <w:lang w:val="en-US" w:eastAsia="zh-CN" w:bidi="ar-SA"/>
              </w:rPr>
            </w:pPr>
          </w:p>
        </w:tc>
        <w:tc>
          <w:tcPr>
            <w:tcW w:w="1717" w:type="pct"/>
            <w:tcBorders>
              <w:top w:val="nil"/>
              <w:left w:val="nil"/>
              <w:bottom w:val="single" w:color="auto" w:sz="8" w:space="0"/>
              <w:right w:val="single" w:color="auto" w:sz="8" w:space="0"/>
            </w:tcBorders>
            <w:noWrap w:val="0"/>
            <w:vAlign w:val="center"/>
          </w:tcPr>
          <w:p w14:paraId="3F94F261">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指依照相关标准对各类建筑消防设施的功能进行测试全面性的检查。 </w:t>
            </w:r>
          </w:p>
          <w:p w14:paraId="66B9D729">
            <w:pPr>
              <w:spacing w:line="520" w:lineRule="exact"/>
              <w:ind w:firstLine="422" w:firstLineChars="200"/>
              <w:rPr>
                <w:rFonts w:hint="eastAsia" w:ascii="宋体" w:hAnsi="宋体" w:eastAsia="宋体" w:cs="宋体"/>
                <w:b/>
                <w:bCs/>
                <w:szCs w:val="21"/>
              </w:rPr>
            </w:pPr>
            <w:r>
              <w:rPr>
                <w:rFonts w:hint="eastAsia" w:ascii="宋体" w:hAnsi="宋体" w:eastAsia="宋体" w:cs="宋体"/>
                <w:b/>
                <w:bCs/>
                <w:szCs w:val="21"/>
              </w:rPr>
              <w:t>1.检测依据：</w:t>
            </w:r>
            <w:r>
              <w:rPr>
                <w:rFonts w:hint="eastAsia" w:ascii="宋体" w:hAnsi="宋体" w:eastAsia="宋体" w:cs="宋体"/>
                <w:szCs w:val="21"/>
              </w:rPr>
              <w:t>投标人必须按照《建筑消防设施的维护管理》(GB25201-2010)《建筑防火及消防设施检测技术规程》（DBJ/T15-110-2015）等国家或省有关技术标准,对采购人需求范围内所有消防设施进行检查测试，如实出具《建筑消防设施检测报告》，并提交给采购人。</w:t>
            </w:r>
          </w:p>
          <w:p w14:paraId="647D82C1">
            <w:pPr>
              <w:spacing w:line="520" w:lineRule="exact"/>
              <w:ind w:firstLine="422" w:firstLineChars="200"/>
              <w:rPr>
                <w:rFonts w:hint="eastAsia" w:ascii="宋体" w:hAnsi="宋体" w:eastAsia="宋体" w:cs="宋体"/>
                <w:b/>
                <w:bCs/>
                <w:szCs w:val="21"/>
              </w:rPr>
            </w:pPr>
            <w:r>
              <w:rPr>
                <w:rFonts w:hint="eastAsia" w:ascii="宋体" w:hAnsi="宋体" w:eastAsia="宋体" w:cs="宋体"/>
                <w:b/>
                <w:bCs/>
                <w:szCs w:val="21"/>
              </w:rPr>
              <w:t>2.检测类型：</w:t>
            </w:r>
          </w:p>
          <w:p w14:paraId="3DD771D9">
            <w:pPr>
              <w:spacing w:line="520" w:lineRule="exact"/>
              <w:ind w:firstLine="422" w:firstLineChars="200"/>
              <w:rPr>
                <w:rFonts w:hint="eastAsia" w:ascii="宋体" w:hAnsi="宋体" w:eastAsia="宋体" w:cs="宋体"/>
                <w:szCs w:val="21"/>
              </w:rPr>
            </w:pPr>
            <w:r>
              <w:rPr>
                <w:rFonts w:hint="eastAsia" w:ascii="宋体" w:hAnsi="宋体" w:eastAsia="宋体" w:cs="宋体"/>
                <w:b/>
                <w:bCs/>
                <w:szCs w:val="21"/>
              </w:rPr>
              <w:t>年度检测：</w:t>
            </w:r>
            <w:r>
              <w:rPr>
                <w:rFonts w:hint="eastAsia" w:ascii="宋体" w:hAnsi="宋体" w:eastAsia="宋体" w:cs="宋体"/>
                <w:szCs w:val="21"/>
              </w:rPr>
              <w:t>投标人必须对采购人需求范围内所有消防设施进行全面测试。</w:t>
            </w:r>
          </w:p>
          <w:p w14:paraId="54428155">
            <w:pPr>
              <w:spacing w:line="520" w:lineRule="exact"/>
              <w:ind w:firstLine="422" w:firstLineChars="200"/>
              <w:rPr>
                <w:rFonts w:hint="eastAsia" w:ascii="宋体" w:hAnsi="宋体" w:eastAsia="宋体" w:cs="宋体"/>
                <w:szCs w:val="21"/>
              </w:rPr>
            </w:pPr>
            <w:r>
              <w:rPr>
                <w:rFonts w:hint="eastAsia" w:ascii="宋体" w:hAnsi="宋体" w:eastAsia="宋体" w:cs="宋体"/>
                <w:b/>
                <w:bCs/>
                <w:szCs w:val="21"/>
              </w:rPr>
              <w:t>3.检测报告：</w:t>
            </w:r>
            <w:r>
              <w:rPr>
                <w:rFonts w:hint="eastAsia" w:ascii="宋体" w:hAnsi="宋体" w:eastAsia="宋体" w:cs="宋体"/>
                <w:szCs w:val="21"/>
              </w:rPr>
              <w:t>投标人在完成消防设施检测后，应及时出具《建筑消防设施检测报告》，检测工作完成后，</w:t>
            </w:r>
            <w:r>
              <w:rPr>
                <w:rFonts w:hint="eastAsia" w:ascii="宋体" w:hAnsi="宋体" w:eastAsia="宋体" w:cs="宋体"/>
                <w:b/>
                <w:bCs/>
                <w:szCs w:val="21"/>
              </w:rPr>
              <w:t>检测报告</w:t>
            </w:r>
            <w:r>
              <w:rPr>
                <w:rFonts w:hint="eastAsia" w:ascii="宋体" w:hAnsi="宋体" w:eastAsia="宋体" w:cs="宋体"/>
                <w:szCs w:val="21"/>
              </w:rPr>
              <w:t>不迟于15个工作日提交，检测结论必须与现场消防设施实际符合，出具的《建筑消防设施检测报告》检测报告纸质版一式3份、电子版1份。且要符合政府主管部门的格式要求及报告的真实性需达到相关安全管理部门的认证许可。</w:t>
            </w:r>
          </w:p>
          <w:p w14:paraId="1B8B67B0">
            <w:pPr>
              <w:spacing w:line="520" w:lineRule="exact"/>
              <w:ind w:firstLine="422" w:firstLineChars="200"/>
              <w:rPr>
                <w:rFonts w:hint="eastAsia" w:ascii="宋体" w:hAnsi="宋体" w:eastAsia="宋体" w:cs="宋体"/>
                <w:b/>
                <w:bCs/>
                <w:szCs w:val="21"/>
              </w:rPr>
            </w:pPr>
            <w:r>
              <w:rPr>
                <w:rFonts w:hint="eastAsia" w:ascii="宋体" w:hAnsi="宋体" w:eastAsia="宋体" w:cs="宋体"/>
                <w:b/>
                <w:bCs/>
                <w:szCs w:val="21"/>
              </w:rPr>
              <w:t>消防安全评估</w:t>
            </w:r>
          </w:p>
          <w:p w14:paraId="1960A089">
            <w:pPr>
              <w:spacing w:line="520" w:lineRule="exact"/>
              <w:ind w:firstLine="422" w:firstLineChars="200"/>
              <w:rPr>
                <w:rFonts w:hint="eastAsia" w:ascii="宋体" w:hAnsi="宋体" w:eastAsia="宋体" w:cs="宋体"/>
                <w:szCs w:val="21"/>
              </w:rPr>
            </w:pPr>
            <w:r>
              <w:rPr>
                <w:rFonts w:hint="eastAsia" w:ascii="宋体" w:hAnsi="宋体" w:eastAsia="宋体" w:cs="宋体"/>
                <w:b/>
                <w:bCs/>
                <w:szCs w:val="21"/>
              </w:rPr>
              <w:t>1.</w:t>
            </w:r>
            <w:r>
              <w:rPr>
                <w:rFonts w:hint="eastAsia" w:ascii="宋体" w:hAnsi="宋体" w:eastAsia="宋体" w:cs="宋体"/>
                <w:szCs w:val="21"/>
              </w:rPr>
              <w:t>消防安全评估报告</w:t>
            </w:r>
            <w:r>
              <w:rPr>
                <w:rFonts w:hint="eastAsia" w:ascii="宋体" w:hAnsi="宋体" w:eastAsia="宋体" w:cs="宋体"/>
                <w:szCs w:val="21"/>
                <w:lang w:val="en-US" w:eastAsia="zh-CN"/>
              </w:rPr>
              <w:t>的</w:t>
            </w:r>
            <w:r>
              <w:rPr>
                <w:rFonts w:hint="eastAsia" w:ascii="宋体" w:hAnsi="宋体" w:eastAsia="宋体" w:cs="宋体"/>
                <w:szCs w:val="21"/>
              </w:rPr>
              <w:t>内容</w:t>
            </w:r>
            <w:r>
              <w:rPr>
                <w:rFonts w:hint="eastAsia" w:ascii="宋体" w:hAnsi="宋体" w:eastAsia="宋体" w:cs="宋体"/>
                <w:szCs w:val="21"/>
                <w:lang w:val="en-US" w:eastAsia="zh-CN"/>
              </w:rPr>
              <w:t>包括但不限于</w:t>
            </w:r>
            <w:r>
              <w:rPr>
                <w:rFonts w:hint="eastAsia" w:ascii="宋体" w:hAnsi="宋体" w:eastAsia="宋体" w:cs="宋体"/>
                <w:szCs w:val="21"/>
              </w:rPr>
              <w:t>：</w:t>
            </w:r>
          </w:p>
          <w:p w14:paraId="05994B78">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（1）单位概况及消防安全基本情况。</w:t>
            </w:r>
          </w:p>
          <w:p w14:paraId="2EE0A2CC">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（2）评估的内容。</w:t>
            </w:r>
          </w:p>
          <w:p w14:paraId="0F99032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（3）存在的问题。</w:t>
            </w:r>
          </w:p>
          <w:p w14:paraId="69682B60">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（4）评估结论。</w:t>
            </w:r>
          </w:p>
          <w:p w14:paraId="22A193CA">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（5）消防安全对策、措施及建议。</w:t>
            </w:r>
          </w:p>
          <w:p w14:paraId="001A3436">
            <w:pPr>
              <w:spacing w:line="520" w:lineRule="exact"/>
              <w:ind w:firstLine="422" w:firstLineChars="200"/>
              <w:rPr>
                <w:rFonts w:hint="eastAsia" w:ascii="宋体" w:hAnsi="宋体" w:eastAsia="宋体" w:cs="宋体"/>
                <w:szCs w:val="21"/>
              </w:rPr>
            </w:pPr>
            <w:r>
              <w:rPr>
                <w:rFonts w:hint="eastAsia" w:ascii="宋体" w:hAnsi="宋体" w:eastAsia="宋体" w:cs="宋体"/>
                <w:b/>
                <w:bCs/>
                <w:szCs w:val="21"/>
              </w:rPr>
              <w:t>2.</w:t>
            </w:r>
            <w:r>
              <w:rPr>
                <w:rFonts w:hint="eastAsia" w:ascii="宋体" w:hAnsi="宋体" w:eastAsia="宋体" w:cs="宋体"/>
                <w:szCs w:val="21"/>
              </w:rPr>
              <w:t>消防安全评估要坚持实事求是，投标人要详细评估采购单位的消防安全情况，不得弄虚作假。</w:t>
            </w:r>
          </w:p>
          <w:p w14:paraId="77A910BA">
            <w:pPr>
              <w:spacing w:line="520" w:lineRule="exact"/>
              <w:ind w:firstLine="422" w:firstLineChars="200"/>
              <w:rPr>
                <w:rFonts w:hint="eastAsia" w:ascii="宋体" w:hAnsi="宋体" w:eastAsia="宋体" w:cs="宋体"/>
                <w:b/>
                <w:bCs/>
                <w:szCs w:val="21"/>
              </w:rPr>
            </w:pPr>
            <w:r>
              <w:rPr>
                <w:rFonts w:hint="eastAsia" w:ascii="宋体" w:hAnsi="宋体" w:eastAsia="宋体" w:cs="宋体"/>
                <w:b/>
                <w:bCs/>
                <w:szCs w:val="21"/>
              </w:rPr>
              <w:t>服务技术标准</w:t>
            </w:r>
          </w:p>
          <w:p w14:paraId="7CB96CF4">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建筑消防设施检测、消防安全评估服务要执行的规程、规范和规则包括但不限于：</w:t>
            </w:r>
          </w:p>
          <w:p w14:paraId="1188E62F">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（1）《社会消防技术服务管理规定》（应急管理部令第7号）</w:t>
            </w:r>
          </w:p>
          <w:p w14:paraId="4A2834BC">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（2）《建筑消防设施的维护管理》最新版</w:t>
            </w:r>
          </w:p>
          <w:p w14:paraId="4CF0A759">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（3）《建筑消防设施检测技术规程》最新版</w:t>
            </w:r>
          </w:p>
          <w:p w14:paraId="40B137DE">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（4）《建筑防火及消防设施检测技术规程》最新版</w:t>
            </w:r>
          </w:p>
          <w:p w14:paraId="234F24A0">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（5）《建筑消防安全评估标准》（DBJ/T15-144-2018）</w:t>
            </w:r>
          </w:p>
          <w:p w14:paraId="153982C9">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（6）《火灾高危单位消防安全评估导则》（试行）</w:t>
            </w:r>
          </w:p>
          <w:p w14:paraId="42548CC1">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（7）《建筑设计防火规范》最新版</w:t>
            </w:r>
          </w:p>
          <w:p w14:paraId="71A4E831">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（8）《高层民用建筑设计防火规范》最新版</w:t>
            </w:r>
          </w:p>
          <w:p w14:paraId="30DC8553">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（9）《火灾自动报警系统设计规范》最新版</w:t>
            </w:r>
          </w:p>
          <w:p w14:paraId="78AC133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（10）《火灾自动报警系统施工及验收规范》最新版</w:t>
            </w:r>
          </w:p>
          <w:p w14:paraId="1D01785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（11）《自动喷水灭火系统设计规范》最新版</w:t>
            </w:r>
          </w:p>
          <w:p w14:paraId="723EE69A">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（12）《自动喷水灭火系统施工及验收规范》最新版</w:t>
            </w:r>
          </w:p>
          <w:p w14:paraId="2069D5DC">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（13）《气体灭火系统施工及验收规范》最新版</w:t>
            </w:r>
          </w:p>
          <w:p w14:paraId="6EDD1CC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（14）《广东省火灾高危单位消防安全管理规定》最新版</w:t>
            </w:r>
          </w:p>
          <w:p w14:paraId="0FD8F461">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（15）《广东省消防安全重点单位管理规定》最新版</w:t>
            </w:r>
          </w:p>
          <w:p w14:paraId="04875933">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（16）国家、省、市消防法律、法规及其它有关消防管理的最新规定和招标文件约定。</w:t>
            </w:r>
          </w:p>
          <w:p w14:paraId="3B9873E7">
            <w:pPr>
              <w:jc w:val="center"/>
              <w:rPr>
                <w:rFonts w:hint="eastAsia" w:ascii="宋体" w:hAnsi="宋体" w:eastAsia="宋体" w:cs="宋体"/>
                <w:b w:val="0"/>
                <w:bCs w:val="0"/>
                <w:sz w:val="21"/>
                <w:szCs w:val="21"/>
              </w:rPr>
            </w:pPr>
          </w:p>
        </w:tc>
        <w:tc>
          <w:tcPr>
            <w:tcW w:w="1456" w:type="pct"/>
            <w:tcBorders>
              <w:top w:val="nil"/>
              <w:left w:val="nil"/>
              <w:bottom w:val="single" w:color="auto" w:sz="8" w:space="0"/>
              <w:right w:val="single" w:color="auto" w:sz="8" w:space="0"/>
            </w:tcBorders>
            <w:noWrap w:val="0"/>
            <w:vAlign w:val="top"/>
          </w:tcPr>
          <w:p w14:paraId="7441F221">
            <w:pPr>
              <w:spacing w:line="360" w:lineRule="auto"/>
              <w:jc w:val="center"/>
              <w:rPr>
                <w:rFonts w:hint="eastAsia" w:ascii="宋体" w:hAnsi="宋体" w:eastAsia="宋体" w:cs="宋体"/>
                <w:b w:val="0"/>
                <w:bCs w:val="0"/>
                <w:color w:val="000000"/>
                <w:kern w:val="0"/>
                <w:sz w:val="21"/>
                <w:szCs w:val="21"/>
              </w:rPr>
            </w:pPr>
          </w:p>
        </w:tc>
        <w:tc>
          <w:tcPr>
            <w:tcW w:w="682" w:type="pct"/>
            <w:tcBorders>
              <w:top w:val="nil"/>
              <w:left w:val="nil"/>
              <w:bottom w:val="single" w:color="auto" w:sz="8" w:space="0"/>
              <w:right w:val="single" w:color="auto" w:sz="8" w:space="0"/>
            </w:tcBorders>
            <w:noWrap w:val="0"/>
            <w:vAlign w:val="center"/>
          </w:tcPr>
          <w:p w14:paraId="4C873EA3">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bl>
    <w:p w14:paraId="710F2370">
      <w:pPr>
        <w:widowControl w:val="0"/>
        <w:numPr>
          <w:ilvl w:val="0"/>
          <w:numId w:val="0"/>
        </w:numPr>
        <w:jc w:val="both"/>
        <w:rPr>
          <w:rFonts w:hint="eastAsia" w:ascii="宋体" w:hAnsi="宋体" w:cs="宋体"/>
          <w:color w:val="333333"/>
          <w:kern w:val="0"/>
          <w:sz w:val="24"/>
          <w:szCs w:val="24"/>
        </w:rPr>
      </w:pPr>
    </w:p>
    <w:p w14:paraId="0F18936D">
      <w:pPr>
        <w:rPr>
          <w:rFonts w:ascii="宋体" w:hAnsi="宋体" w:cs="宋体"/>
          <w:color w:val="333333"/>
          <w:kern w:val="0"/>
          <w:sz w:val="24"/>
          <w:szCs w:val="24"/>
        </w:rPr>
      </w:pPr>
      <w:bookmarkStart w:id="2" w:name="_Hlk180506025"/>
      <w:r>
        <w:rPr>
          <w:rFonts w:hint="eastAsia" w:ascii="宋体" w:hAnsi="宋体" w:cs="宋体"/>
          <w:color w:val="333333"/>
          <w:kern w:val="0"/>
          <w:sz w:val="24"/>
          <w:szCs w:val="24"/>
        </w:rPr>
        <w:t>备注：</w:t>
      </w:r>
    </w:p>
    <w:p w14:paraId="584C0142">
      <w:pPr>
        <w:pStyle w:val="12"/>
        <w:numPr>
          <w:ilvl w:val="0"/>
          <w:numId w:val="4"/>
        </w:numPr>
        <w:ind w:firstLineChars="0"/>
        <w:rPr>
          <w:rFonts w:ascii="宋体" w:hAnsi="宋体" w:cs="宋体"/>
          <w:color w:val="333333"/>
          <w:kern w:val="0"/>
          <w:sz w:val="24"/>
          <w:szCs w:val="24"/>
        </w:rPr>
      </w:pPr>
      <w:r>
        <w:rPr>
          <w:rFonts w:hint="eastAsia" w:ascii="宋体" w:hAnsi="宋体" w:cs="宋体"/>
          <w:color w:val="333333"/>
          <w:kern w:val="0"/>
          <w:sz w:val="24"/>
          <w:szCs w:val="24"/>
        </w:rPr>
        <w:t>请逐项填写投标技术条款。</w:t>
      </w:r>
    </w:p>
    <w:p w14:paraId="5D75FCD1">
      <w:pPr>
        <w:pStyle w:val="12"/>
        <w:numPr>
          <w:ilvl w:val="0"/>
          <w:numId w:val="4"/>
        </w:numPr>
        <w:ind w:firstLineChars="0"/>
        <w:rPr>
          <w:rFonts w:ascii="宋体" w:hAnsi="宋体" w:cs="宋体"/>
          <w:color w:val="333333"/>
          <w:kern w:val="0"/>
          <w:sz w:val="24"/>
          <w:szCs w:val="24"/>
        </w:rPr>
      </w:pPr>
      <w:r>
        <w:rPr>
          <w:rFonts w:hint="eastAsia" w:ascii="宋体" w:hAnsi="宋体" w:cs="宋体"/>
          <w:color w:val="333333"/>
          <w:kern w:val="0"/>
          <w:sz w:val="24"/>
          <w:szCs w:val="24"/>
        </w:rPr>
        <w:t>偏离情况请填写</w:t>
      </w:r>
      <w:r>
        <w:rPr>
          <w:rFonts w:ascii="宋体" w:hAnsi="宋体" w:cs="宋体"/>
          <w:color w:val="333333"/>
          <w:kern w:val="0"/>
          <w:sz w:val="24"/>
          <w:szCs w:val="24"/>
        </w:rPr>
        <w:t xml:space="preserve"> </w:t>
      </w:r>
      <w:r>
        <w:rPr>
          <w:rFonts w:hint="eastAsia" w:ascii="宋体" w:hAnsi="宋体" w:cs="宋体"/>
          <w:color w:val="333333"/>
          <w:kern w:val="0"/>
          <w:sz w:val="24"/>
          <w:szCs w:val="24"/>
        </w:rPr>
        <w:t>正偏离</w:t>
      </w:r>
      <w:r>
        <w:rPr>
          <w:rFonts w:ascii="宋体" w:hAnsi="宋体" w:cs="宋体"/>
          <w:color w:val="333333"/>
          <w:kern w:val="0"/>
          <w:sz w:val="24"/>
          <w:szCs w:val="24"/>
        </w:rPr>
        <w:t xml:space="preserve"> </w:t>
      </w:r>
      <w:r>
        <w:rPr>
          <w:rFonts w:hint="eastAsia" w:ascii="宋体" w:hAnsi="宋体" w:cs="宋体"/>
          <w:color w:val="333333"/>
          <w:kern w:val="0"/>
          <w:sz w:val="24"/>
          <w:szCs w:val="24"/>
        </w:rPr>
        <w:t>或 负偏离 或 无偏离。</w:t>
      </w:r>
      <w:bookmarkEnd w:id="2"/>
    </w:p>
    <w:p w14:paraId="1EDCEA1A">
      <w:pPr>
        <w:pStyle w:val="12"/>
        <w:numPr>
          <w:ilvl w:val="0"/>
          <w:numId w:val="0"/>
        </w:numPr>
        <w:ind w:leftChars="0"/>
        <w:rPr>
          <w:rFonts w:ascii="宋体" w:hAnsi="宋体" w:cs="宋体"/>
          <w:color w:val="333333"/>
          <w:kern w:val="0"/>
          <w:sz w:val="24"/>
          <w:szCs w:val="24"/>
        </w:rPr>
      </w:pPr>
    </w:p>
    <w:p w14:paraId="3A7481A7">
      <w:pPr>
        <w:widowControl w:val="0"/>
        <w:numPr>
          <w:ilvl w:val="0"/>
          <w:numId w:val="2"/>
        </w:numPr>
        <w:jc w:val="both"/>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商务条款偏离情况表(</w:t>
      </w:r>
      <w:r>
        <w:rPr>
          <w:rFonts w:hint="eastAsia" w:ascii="宋体" w:hAnsi="宋体" w:cs="宋体"/>
          <w:b/>
          <w:bCs/>
          <w:color w:val="FF0000"/>
          <w:kern w:val="0"/>
          <w:sz w:val="24"/>
          <w:szCs w:val="24"/>
        </w:rPr>
        <w:t>所有商务条款均为★实质性条款，有任何一条负偏离将导致无效投标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tbl>
      <w:tblPr>
        <w:tblStyle w:val="6"/>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4509"/>
        <w:gridCol w:w="2791"/>
        <w:gridCol w:w="1279"/>
      </w:tblGrid>
      <w:tr w14:paraId="1579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44" w:type="dxa"/>
          </w:tcPr>
          <w:p w14:paraId="3E915749">
            <w:pPr>
              <w:jc w:val="center"/>
              <w:rPr>
                <w:rFonts w:ascii="宋体" w:hAnsi="宋体" w:cs="宋体"/>
                <w:color w:val="333333"/>
                <w:kern w:val="0"/>
                <w:sz w:val="24"/>
                <w:szCs w:val="24"/>
              </w:rPr>
            </w:pPr>
            <w:r>
              <w:rPr>
                <w:rFonts w:hint="eastAsia" w:ascii="宋体" w:hAnsi="宋体" w:cs="宋体"/>
                <w:color w:val="333333"/>
                <w:kern w:val="0"/>
                <w:sz w:val="24"/>
                <w:szCs w:val="24"/>
              </w:rPr>
              <w:t>目录</w:t>
            </w:r>
          </w:p>
        </w:tc>
        <w:tc>
          <w:tcPr>
            <w:tcW w:w="4509" w:type="dxa"/>
          </w:tcPr>
          <w:p w14:paraId="7A5EA410">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2791" w:type="dxa"/>
          </w:tcPr>
          <w:p w14:paraId="1DE9E809">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1279" w:type="dxa"/>
          </w:tcPr>
          <w:p w14:paraId="57DE9625">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21F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6A2BBD3B">
            <w:pPr>
              <w:widowControl/>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1.服务期：</w:t>
            </w:r>
          </w:p>
        </w:tc>
        <w:tc>
          <w:tcPr>
            <w:tcW w:w="4509" w:type="dxa"/>
            <w:vAlign w:val="center"/>
          </w:tcPr>
          <w:p w14:paraId="545E7C15">
            <w:pPr>
              <w:widowControl/>
              <w:jc w:val="center"/>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检测报告有效期限：一年，咨询服务期限：一年</w:t>
            </w:r>
          </w:p>
        </w:tc>
        <w:tc>
          <w:tcPr>
            <w:tcW w:w="2791" w:type="dxa"/>
          </w:tcPr>
          <w:p w14:paraId="0741A494">
            <w:pPr>
              <w:rPr>
                <w:kern w:val="0"/>
                <w:sz w:val="20"/>
                <w:szCs w:val="20"/>
              </w:rPr>
            </w:pPr>
          </w:p>
        </w:tc>
        <w:tc>
          <w:tcPr>
            <w:tcW w:w="1279" w:type="dxa"/>
          </w:tcPr>
          <w:p w14:paraId="2A307743">
            <w:pPr>
              <w:rPr>
                <w:kern w:val="0"/>
                <w:sz w:val="20"/>
                <w:szCs w:val="20"/>
              </w:rPr>
            </w:pPr>
          </w:p>
        </w:tc>
      </w:tr>
      <w:tr w14:paraId="48C0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344" w:type="dxa"/>
            <w:vAlign w:val="center"/>
          </w:tcPr>
          <w:p w14:paraId="47E845B1">
            <w:pPr>
              <w:widowControl/>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2.服务地点</w:t>
            </w:r>
          </w:p>
        </w:tc>
        <w:tc>
          <w:tcPr>
            <w:tcW w:w="4509" w:type="dxa"/>
            <w:vAlign w:val="center"/>
          </w:tcPr>
          <w:p w14:paraId="061D8EED">
            <w:pPr>
              <w:widowControl/>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中山大学附属第七医院一期</w:t>
            </w:r>
          </w:p>
        </w:tc>
        <w:tc>
          <w:tcPr>
            <w:tcW w:w="2791" w:type="dxa"/>
          </w:tcPr>
          <w:p w14:paraId="0C734FC3">
            <w:pPr>
              <w:rPr>
                <w:kern w:val="0"/>
                <w:sz w:val="20"/>
                <w:szCs w:val="20"/>
              </w:rPr>
            </w:pPr>
          </w:p>
        </w:tc>
        <w:tc>
          <w:tcPr>
            <w:tcW w:w="1279" w:type="dxa"/>
          </w:tcPr>
          <w:p w14:paraId="4C57845E">
            <w:pPr>
              <w:rPr>
                <w:kern w:val="0"/>
                <w:sz w:val="20"/>
                <w:szCs w:val="20"/>
              </w:rPr>
            </w:pPr>
          </w:p>
        </w:tc>
      </w:tr>
      <w:tr w14:paraId="1C7E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344" w:type="dxa"/>
            <w:shd w:val="clear" w:color="auto" w:fill="auto"/>
            <w:vAlign w:val="center"/>
          </w:tcPr>
          <w:p w14:paraId="5C9FBF1D">
            <w:pPr>
              <w:widowControl/>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3.技术团队要求</w:t>
            </w:r>
          </w:p>
        </w:tc>
        <w:tc>
          <w:tcPr>
            <w:tcW w:w="4509" w:type="dxa"/>
            <w:shd w:val="clear" w:color="auto" w:fill="auto"/>
            <w:vAlign w:val="center"/>
          </w:tcPr>
          <w:p w14:paraId="283A03E4">
            <w:pPr>
              <w:pStyle w:val="2"/>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1.项目负责人及技术负责人：投标人的检测评估项目负责人及技术负责人须取得《一级注册消防工程师》（提供证书扫描件）；</w:t>
            </w:r>
          </w:p>
          <w:p w14:paraId="27ECDDE9">
            <w:pPr>
              <w:pStyle w:val="2"/>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2.团队成员：其他检测评估服务人员须取得消防设施检测维保职业方向的四级/中级及以上的《消防设施操作员执业资格证书》，相关证书可在国家或行业相关网站查询，检测评估服务人员的身份证、执业资格证书复印件须向采购人备案,以上人员需相对固定。合同执行中，如确需更换的，需提前15日向用户书面报批，取得用户同意后方可变。</w:t>
            </w:r>
          </w:p>
          <w:p w14:paraId="4DCC463C">
            <w:pPr>
              <w:pStyle w:val="2"/>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3.工作纪律：在采购人地点工作期间，投标人检测服务人员须遵守采购人管理制度，服从采购人管理，穿着具有投标人单位相应标志的工作服、佩戴工作证，保持通讯畅通，并做好检测服务人员的安全教育工作，做到文明测试，确保安全可靠。</w:t>
            </w:r>
          </w:p>
          <w:p w14:paraId="5A795B54">
            <w:pPr>
              <w:pStyle w:val="2"/>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4.安全措施：在服务期内，投标人必须对检测服务人员做好所需要的安全防事故教育，配备安全防护装备，保证检测服务人员工作的人身安全，检测服务人员在采购人工作范围内发生事故的一切责任由投标人负责，包括但不限于因消防技术服务发生各类安全事故或设施损坏事故，所有损失由投标人和当事人承担相应责任，与采购人无关。</w:t>
            </w:r>
          </w:p>
          <w:p w14:paraId="1A00A619">
            <w:pPr>
              <w:widowControl/>
              <w:rPr>
                <w:rFonts w:hint="eastAsia" w:cs="仿宋" w:asciiTheme="minorEastAsia" w:hAnsiTheme="minorEastAsia" w:eastAsiaTheme="minorEastAsia"/>
                <w:kern w:val="2"/>
                <w:sz w:val="24"/>
                <w:szCs w:val="24"/>
                <w:lang w:val="en-US" w:eastAsia="zh-CN" w:bidi="ar-SA"/>
              </w:rPr>
            </w:pPr>
          </w:p>
        </w:tc>
        <w:tc>
          <w:tcPr>
            <w:tcW w:w="2791" w:type="dxa"/>
          </w:tcPr>
          <w:p w14:paraId="6F951632">
            <w:pPr>
              <w:rPr>
                <w:kern w:val="0"/>
                <w:sz w:val="20"/>
                <w:szCs w:val="20"/>
              </w:rPr>
            </w:pPr>
          </w:p>
        </w:tc>
        <w:tc>
          <w:tcPr>
            <w:tcW w:w="1279" w:type="dxa"/>
          </w:tcPr>
          <w:p w14:paraId="7C585FC6">
            <w:pPr>
              <w:rPr>
                <w:kern w:val="0"/>
                <w:sz w:val="20"/>
                <w:szCs w:val="20"/>
              </w:rPr>
            </w:pPr>
          </w:p>
        </w:tc>
      </w:tr>
      <w:tr w14:paraId="2F07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32817AAC">
            <w:pPr>
              <w:widowControl/>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4.报价要求</w:t>
            </w:r>
          </w:p>
        </w:tc>
        <w:tc>
          <w:tcPr>
            <w:tcW w:w="4509" w:type="dxa"/>
            <w:vAlign w:val="center"/>
          </w:tcPr>
          <w:p w14:paraId="6A498D71">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根据以上服务项目要求进行综合报价</w:t>
            </w:r>
          </w:p>
          <w:p w14:paraId="5F5ACAB5">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本报价是含我院建筑消防设施检测服务项目费用（含复检），投标人应按照本项目要求的服务内容、要求报出总价。投标报价应包括为完成本项目所发生的一切费用，包括专业服务费用、代垫费用（差旅费、住宿费、通讯费等）、增值税及其他附加税等杂项支出在内的一切费用，不得留有任何敞口。投标人估算错误或漏项的风险一律由投标人自行承担。</w:t>
            </w:r>
          </w:p>
          <w:p w14:paraId="71C1EEC0">
            <w:pPr>
              <w:widowControl/>
              <w:rPr>
                <w:rFonts w:hint="default" w:cs="仿宋" w:asciiTheme="minorEastAsia" w:hAnsiTheme="minorEastAsia" w:eastAsiaTheme="minorEastAsia"/>
                <w:kern w:val="2"/>
                <w:sz w:val="24"/>
                <w:szCs w:val="24"/>
                <w:lang w:val="en-US" w:eastAsia="zh-CN" w:bidi="ar-SA"/>
              </w:rPr>
            </w:pPr>
          </w:p>
        </w:tc>
        <w:tc>
          <w:tcPr>
            <w:tcW w:w="2791" w:type="dxa"/>
          </w:tcPr>
          <w:p w14:paraId="24F1E143">
            <w:pPr>
              <w:rPr>
                <w:kern w:val="0"/>
                <w:sz w:val="20"/>
                <w:szCs w:val="20"/>
              </w:rPr>
            </w:pPr>
          </w:p>
        </w:tc>
        <w:tc>
          <w:tcPr>
            <w:tcW w:w="1279" w:type="dxa"/>
          </w:tcPr>
          <w:p w14:paraId="0703E1C5">
            <w:pPr>
              <w:rPr>
                <w:kern w:val="0"/>
                <w:sz w:val="20"/>
                <w:szCs w:val="20"/>
              </w:rPr>
            </w:pPr>
          </w:p>
        </w:tc>
      </w:tr>
      <w:tr w14:paraId="0E0B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44" w:type="dxa"/>
            <w:vAlign w:val="center"/>
          </w:tcPr>
          <w:p w14:paraId="2E6DC255">
            <w:pPr>
              <w:widowControl/>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5.售后服务</w:t>
            </w:r>
          </w:p>
        </w:tc>
        <w:tc>
          <w:tcPr>
            <w:tcW w:w="4509" w:type="dxa"/>
            <w:vAlign w:val="center"/>
          </w:tcPr>
          <w:p w14:paraId="009DF226">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1、检测评估结果不合格的，中标供应商应在获得检测评估结果后15个工作日内出具《整改意见书》通知采购人整改，根据检测评估《整改意见书》出具符合规范的解决方案，整改完毕后由中标供应商进行复检一次（复检标准同正式检测，费用已包含在投标报价中，不再另行支付），并出具复检后的检测报告。如复检仍不合格的，采购人应继续进行整改，并签署《消防检测评估项目委托书》重新委托中标供应商进行检测评估，费用已包含在投标报价中，采购人不再支付任何费用。</w:t>
            </w:r>
          </w:p>
          <w:p w14:paraId="19654C17">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2、投标人需为甲方提供本次检测隐患的整改方案（费用已包含在投标报价中，不再另行支付）。</w:t>
            </w:r>
          </w:p>
          <w:p w14:paraId="14DC27EE">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3、投标公司承诺不与我院目前消防维保公司有任何业务往来或从属关系，以确保本次消防年度评估及检测项目符合消防法律法规要求。（投标公司提供承诺格式自拟）。</w:t>
            </w:r>
          </w:p>
          <w:p w14:paraId="1BB3C45B">
            <w:pPr>
              <w:widowControl/>
              <w:rPr>
                <w:rFonts w:hint="eastAsia" w:cs="仿宋" w:asciiTheme="minorEastAsia" w:hAnsiTheme="minorEastAsia" w:eastAsiaTheme="minorEastAsia"/>
                <w:kern w:val="2"/>
                <w:sz w:val="24"/>
                <w:szCs w:val="24"/>
                <w:lang w:val="en-US" w:eastAsia="zh-CN" w:bidi="ar-SA"/>
              </w:rPr>
            </w:pPr>
          </w:p>
        </w:tc>
        <w:tc>
          <w:tcPr>
            <w:tcW w:w="2791" w:type="dxa"/>
          </w:tcPr>
          <w:p w14:paraId="7E6CDD0E">
            <w:pPr>
              <w:rPr>
                <w:kern w:val="0"/>
                <w:sz w:val="20"/>
                <w:szCs w:val="20"/>
              </w:rPr>
            </w:pPr>
          </w:p>
        </w:tc>
        <w:tc>
          <w:tcPr>
            <w:tcW w:w="1279" w:type="dxa"/>
          </w:tcPr>
          <w:p w14:paraId="3FF42EC0">
            <w:pPr>
              <w:rPr>
                <w:kern w:val="0"/>
                <w:sz w:val="20"/>
                <w:szCs w:val="20"/>
              </w:rPr>
            </w:pPr>
          </w:p>
        </w:tc>
      </w:tr>
      <w:tr w14:paraId="69A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344" w:type="dxa"/>
            <w:vAlign w:val="center"/>
          </w:tcPr>
          <w:p w14:paraId="23327DD1">
            <w:pPr>
              <w:widowControl/>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6.验收方式</w:t>
            </w:r>
          </w:p>
          <w:p w14:paraId="7AD2EEA2">
            <w:pPr>
              <w:widowControl/>
              <w:rPr>
                <w:rFonts w:hint="eastAsia" w:cs="仿宋" w:asciiTheme="minorEastAsia" w:hAnsiTheme="minorEastAsia" w:eastAsiaTheme="minorEastAsia"/>
                <w:kern w:val="2"/>
                <w:sz w:val="24"/>
                <w:szCs w:val="24"/>
                <w:lang w:val="en-US" w:eastAsia="zh-CN" w:bidi="ar-SA"/>
              </w:rPr>
            </w:pPr>
          </w:p>
        </w:tc>
        <w:tc>
          <w:tcPr>
            <w:tcW w:w="4509" w:type="dxa"/>
            <w:vAlign w:val="center"/>
          </w:tcPr>
          <w:p w14:paraId="6BDB84E4">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1、根据相关规定对采购人需进行已投入使用的建筑全面消防检测及消防安全评估并向采购业务使用部门提交符合深圳市消防主管部门验收要求的《建筑消防设施检测报告》《消防安全评估报告》各一式3份，同时提交检测报告电子版。</w:t>
            </w:r>
          </w:p>
          <w:p w14:paraId="4CE6BF6D">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2、中标人向采购人提供相应的服务完毕后的3个工作日内，进行初步验收。初步验收合格后，15个工作日内进行项目的最终验收，即中标人的服务是否通过上级消防相关部门的认可。初步验收合格后与最终验收合格后，采购人与中标人双方均要共同签署《服务验收报告》。</w:t>
            </w:r>
          </w:p>
          <w:p w14:paraId="2571AB72">
            <w:pPr>
              <w:widowControl/>
              <w:rPr>
                <w:rFonts w:hint="eastAsia" w:cs="仿宋" w:asciiTheme="minorEastAsia" w:hAnsiTheme="minorEastAsia" w:eastAsiaTheme="minorEastAsia"/>
                <w:kern w:val="2"/>
                <w:sz w:val="24"/>
                <w:szCs w:val="24"/>
                <w:lang w:val="en-US" w:eastAsia="zh-CN" w:bidi="ar-SA"/>
              </w:rPr>
            </w:pPr>
          </w:p>
        </w:tc>
        <w:tc>
          <w:tcPr>
            <w:tcW w:w="2791" w:type="dxa"/>
          </w:tcPr>
          <w:p w14:paraId="33E13C74">
            <w:pPr>
              <w:rPr>
                <w:kern w:val="0"/>
                <w:sz w:val="20"/>
                <w:szCs w:val="20"/>
              </w:rPr>
            </w:pPr>
          </w:p>
        </w:tc>
        <w:tc>
          <w:tcPr>
            <w:tcW w:w="1279" w:type="dxa"/>
          </w:tcPr>
          <w:p w14:paraId="4FAFF637">
            <w:pPr>
              <w:rPr>
                <w:kern w:val="0"/>
                <w:sz w:val="20"/>
                <w:szCs w:val="20"/>
              </w:rPr>
            </w:pPr>
          </w:p>
        </w:tc>
      </w:tr>
      <w:tr w14:paraId="15F4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44" w:type="dxa"/>
            <w:vAlign w:val="center"/>
          </w:tcPr>
          <w:p w14:paraId="247B877B">
            <w:pPr>
              <w:widowControl/>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7.付款方式</w:t>
            </w:r>
          </w:p>
        </w:tc>
        <w:tc>
          <w:tcPr>
            <w:tcW w:w="4509" w:type="dxa"/>
            <w:vAlign w:val="center"/>
          </w:tcPr>
          <w:p w14:paraId="160D0693">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项目最终验收合格后，中标人向采购人开具全额发票，采购人收到有效发票后，向中标人一次性支付100%的款项。</w:t>
            </w:r>
          </w:p>
          <w:p w14:paraId="296B5E50">
            <w:pPr>
              <w:widowControl/>
              <w:rPr>
                <w:rFonts w:hint="eastAsia" w:cs="仿宋" w:asciiTheme="minorEastAsia" w:hAnsiTheme="minorEastAsia" w:eastAsiaTheme="minorEastAsia"/>
                <w:kern w:val="2"/>
                <w:sz w:val="24"/>
                <w:szCs w:val="24"/>
                <w:lang w:val="en-US" w:eastAsia="zh-CN" w:bidi="ar-SA"/>
              </w:rPr>
            </w:pPr>
          </w:p>
        </w:tc>
        <w:tc>
          <w:tcPr>
            <w:tcW w:w="2791" w:type="dxa"/>
          </w:tcPr>
          <w:p w14:paraId="730BA0EE">
            <w:pPr>
              <w:rPr>
                <w:kern w:val="0"/>
                <w:sz w:val="20"/>
                <w:szCs w:val="20"/>
              </w:rPr>
            </w:pPr>
          </w:p>
        </w:tc>
        <w:tc>
          <w:tcPr>
            <w:tcW w:w="1279" w:type="dxa"/>
          </w:tcPr>
          <w:p w14:paraId="4A75D214">
            <w:pPr>
              <w:rPr>
                <w:kern w:val="0"/>
                <w:sz w:val="20"/>
                <w:szCs w:val="20"/>
              </w:rPr>
            </w:pPr>
          </w:p>
        </w:tc>
      </w:tr>
      <w:tr w14:paraId="4C58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44" w:type="dxa"/>
            <w:vAlign w:val="center"/>
          </w:tcPr>
          <w:p w14:paraId="5414F653">
            <w:pPr>
              <w:widowControl/>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8.违约责任</w:t>
            </w:r>
          </w:p>
        </w:tc>
        <w:tc>
          <w:tcPr>
            <w:tcW w:w="4509" w:type="dxa"/>
            <w:vAlign w:val="center"/>
          </w:tcPr>
          <w:p w14:paraId="49B63AFE">
            <w:pPr>
              <w:spacing w:line="580" w:lineRule="exact"/>
              <w:ind w:firstLine="480" w:firstLineChars="200"/>
              <w:rPr>
                <w:rFonts w:hint="eastAsia"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kern w:val="2"/>
                <w:sz w:val="24"/>
                <w:szCs w:val="24"/>
                <w:lang w:val="en-US" w:eastAsia="zh-CN" w:bidi="ar-SA"/>
              </w:rPr>
              <w:t>若中标人无法在约定时间内完成合同与招投标文件的需求，或超出答复时间仍不履行的，视为中标人违约；中标人应当向采购人承担合同总价款30%违约赔偿责任，且采购人有权解除合同。若中标人违约赔偿款不足以弥补采购人损失的，采购人有权要求中标人补足损失。</w:t>
            </w:r>
          </w:p>
          <w:p w14:paraId="338BCD89">
            <w:pPr>
              <w:widowControl/>
              <w:rPr>
                <w:rFonts w:hint="eastAsia" w:cs="仿宋" w:asciiTheme="minorEastAsia" w:hAnsiTheme="minorEastAsia" w:eastAsiaTheme="minorEastAsia"/>
                <w:kern w:val="2"/>
                <w:sz w:val="24"/>
                <w:szCs w:val="24"/>
                <w:lang w:val="en-US" w:eastAsia="zh-CN" w:bidi="ar-SA"/>
              </w:rPr>
            </w:pPr>
          </w:p>
        </w:tc>
        <w:tc>
          <w:tcPr>
            <w:tcW w:w="2791" w:type="dxa"/>
          </w:tcPr>
          <w:p w14:paraId="69667076">
            <w:pPr>
              <w:rPr>
                <w:kern w:val="0"/>
                <w:sz w:val="20"/>
                <w:szCs w:val="20"/>
              </w:rPr>
            </w:pPr>
          </w:p>
        </w:tc>
        <w:tc>
          <w:tcPr>
            <w:tcW w:w="1279" w:type="dxa"/>
          </w:tcPr>
          <w:p w14:paraId="6A0300F1">
            <w:pPr>
              <w:rPr>
                <w:kern w:val="0"/>
                <w:sz w:val="20"/>
                <w:szCs w:val="20"/>
              </w:rPr>
            </w:pPr>
          </w:p>
        </w:tc>
      </w:tr>
    </w:tbl>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pStyle w:val="12"/>
        <w:numPr>
          <w:ilvl w:val="0"/>
          <w:numId w:val="5"/>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请逐项填写投标商务条款。</w:t>
      </w:r>
    </w:p>
    <w:p w14:paraId="44BA5D7C">
      <w:pPr>
        <w:pStyle w:val="12"/>
        <w:numPr>
          <w:ilvl w:val="0"/>
          <w:numId w:val="5"/>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偏离情况请填写 正偏离 或 负偏离 或 无偏离。</w:t>
      </w:r>
    </w:p>
    <w:p w14:paraId="01649366">
      <w:pPr>
        <w:pStyle w:val="12"/>
        <w:numPr>
          <w:ilvl w:val="0"/>
          <w:numId w:val="0"/>
        </w:numPr>
        <w:ind w:leftChars="0"/>
        <w:rPr>
          <w:rFonts w:hint="eastAsia" w:ascii="宋体" w:hAnsi="宋体" w:cs="宋体"/>
          <w:color w:val="333333"/>
          <w:kern w:val="0"/>
          <w:sz w:val="24"/>
          <w:szCs w:val="24"/>
        </w:rPr>
      </w:pPr>
    </w:p>
    <w:p w14:paraId="2E026D4D">
      <w:pPr>
        <w:pStyle w:val="12"/>
        <w:numPr>
          <w:ilvl w:val="0"/>
          <w:numId w:val="0"/>
        </w:numPr>
        <w:ind w:leftChars="0"/>
        <w:rPr>
          <w:rFonts w:hint="eastAsia" w:ascii="宋体" w:hAnsi="宋体" w:cs="宋体"/>
          <w:color w:val="333333"/>
          <w:kern w:val="0"/>
          <w:sz w:val="24"/>
          <w:szCs w:val="24"/>
        </w:rPr>
      </w:pPr>
    </w:p>
    <w:p w14:paraId="3AB6E9FB">
      <w:pPr>
        <w:pStyle w:val="12"/>
        <w:numPr>
          <w:ilvl w:val="0"/>
          <w:numId w:val="0"/>
        </w:numPr>
        <w:ind w:leftChars="0"/>
        <w:rPr>
          <w:rFonts w:hint="eastAsia" w:ascii="宋体" w:hAnsi="宋体" w:cs="宋体"/>
          <w:color w:val="333333"/>
          <w:kern w:val="0"/>
          <w:sz w:val="24"/>
          <w:szCs w:val="24"/>
        </w:rPr>
      </w:pPr>
    </w:p>
    <w:p w14:paraId="2305C4C4">
      <w:pPr>
        <w:pStyle w:val="12"/>
        <w:numPr>
          <w:ilvl w:val="0"/>
          <w:numId w:val="0"/>
        </w:numPr>
        <w:ind w:leftChars="0"/>
        <w:rPr>
          <w:rFonts w:hint="eastAsia" w:ascii="宋体" w:hAnsi="宋体" w:cs="宋体"/>
          <w:color w:val="333333"/>
          <w:kern w:val="0"/>
          <w:sz w:val="24"/>
          <w:szCs w:val="24"/>
        </w:rPr>
      </w:pPr>
    </w:p>
    <w:p w14:paraId="67ED9BA1">
      <w:pPr>
        <w:pStyle w:val="12"/>
        <w:numPr>
          <w:ilvl w:val="0"/>
          <w:numId w:val="0"/>
        </w:numPr>
        <w:ind w:leftChars="0"/>
        <w:rPr>
          <w:rFonts w:hint="eastAsia" w:ascii="宋体" w:hAnsi="宋体" w:cs="宋体"/>
          <w:color w:val="333333"/>
          <w:kern w:val="0"/>
          <w:sz w:val="24"/>
          <w:szCs w:val="24"/>
        </w:rPr>
      </w:pPr>
    </w:p>
    <w:p w14:paraId="63D22175">
      <w:pPr>
        <w:pStyle w:val="12"/>
        <w:numPr>
          <w:ilvl w:val="0"/>
          <w:numId w:val="0"/>
        </w:numPr>
        <w:ind w:leftChars="0"/>
        <w:rPr>
          <w:rFonts w:hint="eastAsia" w:ascii="宋体" w:hAnsi="宋体" w:cs="宋体"/>
          <w:color w:val="333333"/>
          <w:kern w:val="0"/>
          <w:sz w:val="24"/>
          <w:szCs w:val="24"/>
        </w:rPr>
      </w:pPr>
    </w:p>
    <w:p w14:paraId="3678D3CC">
      <w:pPr>
        <w:pStyle w:val="12"/>
        <w:numPr>
          <w:ilvl w:val="0"/>
          <w:numId w:val="0"/>
        </w:numPr>
        <w:ind w:leftChars="0"/>
        <w:rPr>
          <w:rFonts w:hint="eastAsia" w:ascii="宋体" w:hAnsi="宋体" w:cs="宋体"/>
          <w:color w:val="333333"/>
          <w:kern w:val="0"/>
          <w:sz w:val="24"/>
          <w:szCs w:val="24"/>
        </w:rPr>
      </w:pPr>
    </w:p>
    <w:p w14:paraId="5D5F1160">
      <w:pPr>
        <w:pStyle w:val="12"/>
        <w:numPr>
          <w:ilvl w:val="0"/>
          <w:numId w:val="0"/>
        </w:numPr>
        <w:ind w:leftChars="0"/>
        <w:rPr>
          <w:rFonts w:hint="eastAsia" w:ascii="宋体" w:hAnsi="宋体" w:cs="宋体"/>
          <w:color w:val="333333"/>
          <w:kern w:val="0"/>
          <w:sz w:val="24"/>
          <w:szCs w:val="24"/>
        </w:rPr>
      </w:pPr>
    </w:p>
    <w:p w14:paraId="4322FCAF">
      <w:pPr>
        <w:pStyle w:val="12"/>
        <w:numPr>
          <w:ilvl w:val="0"/>
          <w:numId w:val="0"/>
        </w:numPr>
        <w:ind w:leftChars="0"/>
        <w:rPr>
          <w:rFonts w:hint="eastAsia" w:ascii="宋体" w:hAnsi="宋体" w:cs="宋体"/>
          <w:color w:val="333333"/>
          <w:kern w:val="0"/>
          <w:sz w:val="24"/>
          <w:szCs w:val="24"/>
        </w:rPr>
      </w:pPr>
    </w:p>
    <w:p w14:paraId="074B0A70">
      <w:pPr>
        <w:pStyle w:val="12"/>
        <w:numPr>
          <w:ilvl w:val="0"/>
          <w:numId w:val="0"/>
        </w:numPr>
        <w:ind w:leftChars="0"/>
        <w:rPr>
          <w:rFonts w:hint="eastAsia" w:ascii="宋体" w:hAnsi="宋体" w:cs="宋体"/>
          <w:color w:val="333333"/>
          <w:kern w:val="0"/>
          <w:sz w:val="24"/>
          <w:szCs w:val="24"/>
        </w:rPr>
      </w:pPr>
    </w:p>
    <w:p w14:paraId="33220B4F">
      <w:pPr>
        <w:pStyle w:val="12"/>
        <w:numPr>
          <w:ilvl w:val="0"/>
          <w:numId w:val="0"/>
        </w:numPr>
        <w:ind w:leftChars="0"/>
        <w:rPr>
          <w:rFonts w:hint="eastAsia" w:ascii="宋体" w:hAnsi="宋体" w:cs="宋体"/>
          <w:color w:val="333333"/>
          <w:kern w:val="0"/>
          <w:sz w:val="24"/>
          <w:szCs w:val="24"/>
        </w:rPr>
      </w:pPr>
    </w:p>
    <w:p w14:paraId="108A6E38">
      <w:pPr>
        <w:pStyle w:val="12"/>
        <w:numPr>
          <w:ilvl w:val="0"/>
          <w:numId w:val="0"/>
        </w:numPr>
        <w:ind w:leftChars="0"/>
        <w:rPr>
          <w:rFonts w:hint="eastAsia" w:ascii="宋体" w:hAnsi="宋体" w:cs="宋体"/>
          <w:color w:val="333333"/>
          <w:kern w:val="0"/>
          <w:sz w:val="24"/>
          <w:szCs w:val="24"/>
        </w:rPr>
      </w:pPr>
    </w:p>
    <w:p w14:paraId="679D4E16">
      <w:pPr>
        <w:pStyle w:val="12"/>
        <w:numPr>
          <w:ilvl w:val="0"/>
          <w:numId w:val="0"/>
        </w:numPr>
        <w:ind w:leftChars="0"/>
        <w:rPr>
          <w:rFonts w:hint="eastAsia" w:ascii="宋体" w:hAnsi="宋体" w:cs="宋体"/>
          <w:color w:val="333333"/>
          <w:kern w:val="0"/>
          <w:sz w:val="24"/>
          <w:szCs w:val="24"/>
        </w:rPr>
      </w:pPr>
    </w:p>
    <w:p w14:paraId="25571754">
      <w:pPr>
        <w:pStyle w:val="12"/>
        <w:numPr>
          <w:ilvl w:val="0"/>
          <w:numId w:val="0"/>
        </w:numPr>
        <w:ind w:leftChars="0"/>
        <w:rPr>
          <w:rFonts w:hint="eastAsia" w:ascii="宋体" w:hAnsi="宋体" w:cs="宋体"/>
          <w:color w:val="333333"/>
          <w:kern w:val="0"/>
          <w:sz w:val="24"/>
          <w:szCs w:val="24"/>
        </w:rPr>
      </w:pPr>
    </w:p>
    <w:p w14:paraId="62DFC782">
      <w:pPr>
        <w:pStyle w:val="12"/>
        <w:numPr>
          <w:ilvl w:val="0"/>
          <w:numId w:val="0"/>
        </w:numPr>
        <w:ind w:leftChars="0"/>
        <w:rPr>
          <w:rFonts w:hint="eastAsia" w:ascii="宋体" w:hAnsi="宋体" w:cs="宋体"/>
          <w:color w:val="333333"/>
          <w:kern w:val="0"/>
          <w:sz w:val="24"/>
          <w:szCs w:val="24"/>
        </w:rPr>
      </w:pPr>
    </w:p>
    <w:p w14:paraId="6CFC7348">
      <w:pPr>
        <w:pStyle w:val="12"/>
        <w:numPr>
          <w:ilvl w:val="0"/>
          <w:numId w:val="0"/>
        </w:numPr>
        <w:ind w:leftChars="0"/>
        <w:rPr>
          <w:rFonts w:hint="eastAsia" w:ascii="宋体" w:hAnsi="宋体" w:cs="宋体"/>
          <w:color w:val="333333"/>
          <w:kern w:val="0"/>
          <w:sz w:val="24"/>
          <w:szCs w:val="24"/>
        </w:rPr>
      </w:pPr>
    </w:p>
    <w:p w14:paraId="508C2B4E">
      <w:pPr>
        <w:pStyle w:val="12"/>
        <w:numPr>
          <w:ilvl w:val="0"/>
          <w:numId w:val="0"/>
        </w:numPr>
        <w:ind w:leftChars="0"/>
        <w:rPr>
          <w:rFonts w:hint="eastAsia" w:ascii="宋体" w:hAnsi="宋体" w:cs="宋体"/>
          <w:color w:val="333333"/>
          <w:kern w:val="0"/>
          <w:sz w:val="24"/>
          <w:szCs w:val="24"/>
        </w:rPr>
      </w:pPr>
    </w:p>
    <w:p w14:paraId="46B9F317">
      <w:pPr>
        <w:pStyle w:val="12"/>
        <w:numPr>
          <w:ilvl w:val="0"/>
          <w:numId w:val="0"/>
        </w:numPr>
        <w:ind w:leftChars="0"/>
        <w:rPr>
          <w:rFonts w:hint="eastAsia" w:ascii="宋体" w:hAnsi="宋体" w:cs="宋体"/>
          <w:color w:val="333333"/>
          <w:kern w:val="0"/>
          <w:sz w:val="24"/>
          <w:szCs w:val="24"/>
        </w:rPr>
      </w:pPr>
    </w:p>
    <w:p w14:paraId="24B2C100">
      <w:pPr>
        <w:pStyle w:val="12"/>
        <w:numPr>
          <w:ilvl w:val="0"/>
          <w:numId w:val="0"/>
        </w:numPr>
        <w:ind w:leftChars="0"/>
        <w:rPr>
          <w:rFonts w:hint="eastAsia" w:ascii="宋体" w:hAnsi="宋体" w:cs="宋体"/>
          <w:color w:val="333333"/>
          <w:kern w:val="0"/>
          <w:sz w:val="24"/>
          <w:szCs w:val="24"/>
        </w:rPr>
      </w:pPr>
    </w:p>
    <w:p w14:paraId="43DF6CB2">
      <w:pPr>
        <w:pStyle w:val="12"/>
        <w:numPr>
          <w:ilvl w:val="0"/>
          <w:numId w:val="0"/>
        </w:numPr>
        <w:ind w:leftChars="0"/>
        <w:rPr>
          <w:rFonts w:hint="eastAsia" w:ascii="宋体" w:hAnsi="宋体" w:cs="宋体"/>
          <w:color w:val="333333"/>
          <w:kern w:val="0"/>
          <w:sz w:val="24"/>
          <w:szCs w:val="24"/>
        </w:rPr>
      </w:pPr>
    </w:p>
    <w:p w14:paraId="37C468E5">
      <w:pPr>
        <w:pStyle w:val="12"/>
        <w:numPr>
          <w:ilvl w:val="0"/>
          <w:numId w:val="0"/>
        </w:numPr>
        <w:ind w:leftChars="0"/>
        <w:rPr>
          <w:rFonts w:hint="eastAsia" w:ascii="宋体" w:hAnsi="宋体" w:cs="宋体"/>
          <w:color w:val="333333"/>
          <w:kern w:val="0"/>
          <w:sz w:val="24"/>
          <w:szCs w:val="24"/>
        </w:rPr>
      </w:pPr>
    </w:p>
    <w:p w14:paraId="36505D5A">
      <w:pPr>
        <w:pStyle w:val="12"/>
        <w:numPr>
          <w:ilvl w:val="0"/>
          <w:numId w:val="0"/>
        </w:numPr>
        <w:ind w:leftChars="0"/>
        <w:rPr>
          <w:rFonts w:hint="eastAsia" w:ascii="宋体" w:hAnsi="宋体" w:cs="宋体"/>
          <w:color w:val="333333"/>
          <w:kern w:val="0"/>
          <w:sz w:val="24"/>
          <w:szCs w:val="24"/>
        </w:rPr>
      </w:pPr>
    </w:p>
    <w:p w14:paraId="7A7AD9A4">
      <w:pPr>
        <w:pStyle w:val="12"/>
        <w:numPr>
          <w:ilvl w:val="0"/>
          <w:numId w:val="0"/>
        </w:numPr>
        <w:ind w:leftChars="0"/>
        <w:rPr>
          <w:rFonts w:hint="eastAsia" w:ascii="宋体" w:hAnsi="宋体" w:cs="宋体"/>
          <w:color w:val="333333"/>
          <w:kern w:val="0"/>
          <w:sz w:val="24"/>
          <w:szCs w:val="24"/>
        </w:rPr>
      </w:pPr>
    </w:p>
    <w:p w14:paraId="348855B2">
      <w:pPr>
        <w:pStyle w:val="12"/>
        <w:numPr>
          <w:ilvl w:val="0"/>
          <w:numId w:val="0"/>
        </w:numPr>
        <w:ind w:leftChars="0"/>
        <w:rPr>
          <w:rFonts w:hint="eastAsia" w:ascii="宋体" w:hAnsi="宋体" w:cs="宋体"/>
          <w:color w:val="333333"/>
          <w:kern w:val="0"/>
          <w:sz w:val="24"/>
          <w:szCs w:val="24"/>
        </w:rPr>
      </w:pPr>
    </w:p>
    <w:p w14:paraId="593737B1">
      <w:pPr>
        <w:pStyle w:val="12"/>
        <w:numPr>
          <w:ilvl w:val="0"/>
          <w:numId w:val="0"/>
        </w:numPr>
        <w:ind w:leftChars="0"/>
        <w:rPr>
          <w:rFonts w:hint="eastAsia" w:ascii="宋体" w:hAnsi="宋体" w:cs="宋体"/>
          <w:color w:val="333333"/>
          <w:kern w:val="0"/>
          <w:sz w:val="24"/>
          <w:szCs w:val="24"/>
        </w:rPr>
      </w:pPr>
    </w:p>
    <w:p w14:paraId="5D13386B">
      <w:pPr>
        <w:pStyle w:val="12"/>
        <w:numPr>
          <w:ilvl w:val="0"/>
          <w:numId w:val="0"/>
        </w:numPr>
        <w:ind w:leftChars="0"/>
        <w:rPr>
          <w:rFonts w:hint="eastAsia" w:ascii="宋体" w:hAnsi="宋体" w:cs="宋体"/>
          <w:color w:val="333333"/>
          <w:kern w:val="0"/>
          <w:sz w:val="24"/>
          <w:szCs w:val="24"/>
        </w:rPr>
      </w:pPr>
    </w:p>
    <w:p w14:paraId="6FAC42F9">
      <w:pPr>
        <w:pStyle w:val="12"/>
        <w:numPr>
          <w:ilvl w:val="0"/>
          <w:numId w:val="0"/>
        </w:numPr>
        <w:ind w:leftChars="0"/>
        <w:rPr>
          <w:rFonts w:hint="eastAsia" w:ascii="宋体" w:hAnsi="宋体" w:cs="宋体"/>
          <w:color w:val="333333"/>
          <w:kern w:val="0"/>
          <w:sz w:val="24"/>
          <w:szCs w:val="24"/>
        </w:rPr>
      </w:pPr>
    </w:p>
    <w:p w14:paraId="1212879A">
      <w:pPr>
        <w:pStyle w:val="12"/>
        <w:numPr>
          <w:ilvl w:val="0"/>
          <w:numId w:val="0"/>
        </w:numPr>
        <w:ind w:leftChars="0"/>
        <w:rPr>
          <w:rFonts w:hint="eastAsia" w:ascii="宋体" w:hAnsi="宋体" w:cs="宋体"/>
          <w:color w:val="333333"/>
          <w:kern w:val="0"/>
          <w:sz w:val="24"/>
          <w:szCs w:val="24"/>
        </w:rPr>
      </w:pPr>
    </w:p>
    <w:p w14:paraId="1F36A130">
      <w:pPr>
        <w:pStyle w:val="12"/>
        <w:numPr>
          <w:ilvl w:val="0"/>
          <w:numId w:val="2"/>
        </w:numPr>
        <w:ind w:left="0" w:leftChars="0" w:firstLine="0" w:firstLineChars="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《诚信承诺函》</w:t>
      </w:r>
      <w:r>
        <w:rPr>
          <w:rFonts w:hint="eastAsia" w:ascii="宋体" w:hAnsi="宋体" w:cs="Arial"/>
          <w:b/>
          <w:bCs/>
          <w:color w:val="FF0000"/>
          <w:szCs w:val="21"/>
          <w:lang w:val="en-US" w:eastAsia="zh-CN"/>
        </w:rPr>
        <w:t>（加盖公章）</w:t>
      </w:r>
    </w:p>
    <w:p w14:paraId="28816D87">
      <w:pPr>
        <w:pStyle w:val="12"/>
        <w:numPr>
          <w:ilvl w:val="0"/>
          <w:numId w:val="0"/>
        </w:numPr>
        <w:ind w:leftChars="0"/>
        <w:rPr>
          <w:rFonts w:hint="default" w:ascii="宋体" w:hAnsi="宋体" w:cs="宋体"/>
          <w:color w:val="333333"/>
          <w:kern w:val="0"/>
          <w:sz w:val="24"/>
          <w:szCs w:val="24"/>
          <w:lang w:val="en-US" w:eastAsia="zh-CN"/>
        </w:rPr>
      </w:pPr>
    </w:p>
    <w:p w14:paraId="55E72D75">
      <w:pPr>
        <w:spacing w:line="360" w:lineRule="auto"/>
        <w:ind w:firstLine="480" w:firstLineChars="20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我司做出以下诚信承诺：</w:t>
      </w:r>
    </w:p>
    <w:p w14:paraId="4887A304">
      <w:pPr>
        <w:numPr>
          <w:ilvl w:val="0"/>
          <w:numId w:val="6"/>
        </w:numPr>
        <w:spacing w:line="360" w:lineRule="auto"/>
        <w:ind w:firstLine="480" w:firstLineChars="200"/>
        <w:rPr>
          <w:rFonts w:hint="eastAsia" w:ascii="宋体" w:hAnsi="宋体" w:cs="宋体"/>
          <w:color w:val="333333"/>
          <w:kern w:val="0"/>
          <w:sz w:val="24"/>
          <w:szCs w:val="24"/>
        </w:rPr>
      </w:pPr>
      <w:r>
        <w:rPr>
          <w:rFonts w:hint="eastAsia" w:ascii="宋体" w:hAnsi="宋体" w:cs="宋体"/>
          <w:color w:val="333333"/>
          <w:kern w:val="0"/>
          <w:sz w:val="24"/>
          <w:szCs w:val="24"/>
        </w:rPr>
        <w:t>本公司参与本项目投标前三年内，在经营活动中没有重大违法记录；</w:t>
      </w:r>
    </w:p>
    <w:p w14:paraId="05D931D4">
      <w:pPr>
        <w:numPr>
          <w:ilvl w:val="0"/>
          <w:numId w:val="6"/>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参与本项目政府采购活动时不存在被有关部门禁止参与政府采购活动且在有效期内的情况；</w:t>
      </w:r>
    </w:p>
    <w:p w14:paraId="442B8438">
      <w:pPr>
        <w:numPr>
          <w:ilvl w:val="0"/>
          <w:numId w:val="6"/>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本公司具备《中华人民共和国政府采购法》第二十二条第一款的条件；</w:t>
      </w:r>
    </w:p>
    <w:p w14:paraId="052B447C">
      <w:pPr>
        <w:numPr>
          <w:ilvl w:val="0"/>
          <w:numId w:val="6"/>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本公司未被列入失信被执行人、重大税收违法案件当事人名单、政府采购严重违法失信行为记录名单；</w:t>
      </w:r>
    </w:p>
    <w:p w14:paraId="1BAFAF0E">
      <w:pPr>
        <w:numPr>
          <w:ilvl w:val="0"/>
          <w:numId w:val="6"/>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本公司不围标、不串标。</w:t>
      </w:r>
    </w:p>
    <w:p w14:paraId="4797FD87">
      <w:pPr>
        <w:numPr>
          <w:ilvl w:val="0"/>
          <w:numId w:val="0"/>
        </w:numPr>
        <w:spacing w:line="360" w:lineRule="auto"/>
        <w:rPr>
          <w:rFonts w:hint="default" w:ascii="宋体" w:hAnsi="宋体" w:cs="宋体"/>
          <w:color w:val="333333"/>
          <w:kern w:val="0"/>
          <w:sz w:val="24"/>
          <w:szCs w:val="24"/>
          <w:lang w:val="en-US" w:eastAsia="zh-CN"/>
        </w:rPr>
      </w:pPr>
    </w:p>
    <w:p w14:paraId="2A7436A2">
      <w:pPr>
        <w:numPr>
          <w:ilvl w:val="0"/>
          <w:numId w:val="0"/>
        </w:numPr>
        <w:spacing w:line="360" w:lineRule="auto"/>
        <w:ind w:firstLine="5520" w:firstLineChars="2300"/>
        <w:rPr>
          <w:rFonts w:hint="eastAsia" w:ascii="宋体" w:hAnsi="宋体" w:cs="宋体"/>
          <w:color w:val="333333"/>
          <w:kern w:val="0"/>
          <w:sz w:val="24"/>
          <w:szCs w:val="24"/>
        </w:rPr>
      </w:pPr>
      <w:r>
        <w:rPr>
          <w:rFonts w:hint="eastAsia" w:ascii="宋体" w:hAnsi="宋体" w:cs="宋体"/>
          <w:color w:val="333333"/>
          <w:kern w:val="0"/>
          <w:sz w:val="24"/>
          <w:szCs w:val="24"/>
        </w:rPr>
        <w:t>投标人名称：（公章）</w:t>
      </w:r>
    </w:p>
    <w:p w14:paraId="5E2227D7">
      <w:pPr>
        <w:numPr>
          <w:ilvl w:val="0"/>
          <w:numId w:val="0"/>
        </w:num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 xml:space="preserve">                                             日期：    年   月   日</w:t>
      </w:r>
    </w:p>
    <w:p w14:paraId="4BC96FA0">
      <w:pPr>
        <w:pStyle w:val="12"/>
        <w:numPr>
          <w:ilvl w:val="0"/>
          <w:numId w:val="0"/>
        </w:numPr>
        <w:ind w:leftChars="0"/>
        <w:rPr>
          <w:rFonts w:hint="default" w:ascii="宋体" w:hAnsi="宋体" w:cs="宋体"/>
          <w:color w:val="FF0000"/>
          <w:kern w:val="0"/>
          <w:sz w:val="24"/>
          <w:szCs w:val="24"/>
          <w:lang w:val="en-US" w:eastAsia="zh-CN"/>
        </w:rPr>
      </w:pPr>
    </w:p>
    <w:p w14:paraId="1DA4EB4D">
      <w:pPr>
        <w:pStyle w:val="12"/>
        <w:numPr>
          <w:ilvl w:val="0"/>
          <w:numId w:val="0"/>
        </w:numPr>
        <w:ind w:leftChars="0"/>
        <w:rPr>
          <w:rFonts w:hint="default" w:ascii="宋体" w:hAnsi="宋体" w:cs="宋体"/>
          <w:color w:val="FF0000"/>
          <w:kern w:val="0"/>
          <w:sz w:val="24"/>
          <w:szCs w:val="24"/>
          <w:lang w:val="en-US" w:eastAsia="zh-CN"/>
        </w:rPr>
      </w:pPr>
    </w:p>
    <w:p w14:paraId="443771DC">
      <w:pPr>
        <w:pStyle w:val="12"/>
        <w:numPr>
          <w:ilvl w:val="0"/>
          <w:numId w:val="0"/>
        </w:numPr>
        <w:ind w:leftChars="0"/>
        <w:rPr>
          <w:rFonts w:hint="default" w:ascii="宋体" w:hAnsi="宋体" w:cs="宋体"/>
          <w:color w:val="FF0000"/>
          <w:kern w:val="0"/>
          <w:sz w:val="24"/>
          <w:szCs w:val="24"/>
          <w:lang w:val="en-US" w:eastAsia="zh-CN"/>
        </w:rPr>
      </w:pPr>
    </w:p>
    <w:p w14:paraId="6D3811E7">
      <w:pPr>
        <w:pStyle w:val="12"/>
        <w:numPr>
          <w:ilvl w:val="0"/>
          <w:numId w:val="0"/>
        </w:numPr>
        <w:ind w:leftChars="0"/>
        <w:rPr>
          <w:rFonts w:hint="default" w:ascii="宋体" w:hAnsi="宋体" w:cs="宋体"/>
          <w:color w:val="FF0000"/>
          <w:kern w:val="0"/>
          <w:sz w:val="24"/>
          <w:szCs w:val="24"/>
          <w:lang w:val="en-US" w:eastAsia="zh-CN"/>
        </w:rPr>
      </w:pPr>
    </w:p>
    <w:p w14:paraId="0F88C1EE">
      <w:pPr>
        <w:pStyle w:val="12"/>
        <w:numPr>
          <w:ilvl w:val="0"/>
          <w:numId w:val="0"/>
        </w:numPr>
        <w:ind w:leftChars="0"/>
        <w:rPr>
          <w:rFonts w:hint="default" w:ascii="宋体" w:hAnsi="宋体" w:cs="宋体"/>
          <w:color w:val="FF0000"/>
          <w:kern w:val="0"/>
          <w:sz w:val="24"/>
          <w:szCs w:val="24"/>
          <w:lang w:val="en-US" w:eastAsia="zh-CN"/>
        </w:rPr>
      </w:pPr>
    </w:p>
    <w:p w14:paraId="272EE581">
      <w:pPr>
        <w:pStyle w:val="12"/>
        <w:numPr>
          <w:ilvl w:val="0"/>
          <w:numId w:val="0"/>
        </w:numPr>
        <w:ind w:leftChars="0"/>
        <w:rPr>
          <w:rFonts w:hint="default" w:ascii="宋体" w:hAnsi="宋体" w:cs="宋体"/>
          <w:color w:val="FF0000"/>
          <w:kern w:val="0"/>
          <w:sz w:val="24"/>
          <w:szCs w:val="24"/>
          <w:lang w:val="en-US" w:eastAsia="zh-CN"/>
        </w:rPr>
      </w:pPr>
    </w:p>
    <w:p w14:paraId="42A67B59">
      <w:pPr>
        <w:pStyle w:val="12"/>
        <w:numPr>
          <w:ilvl w:val="0"/>
          <w:numId w:val="0"/>
        </w:numPr>
        <w:ind w:leftChars="0"/>
        <w:rPr>
          <w:rFonts w:hint="default" w:ascii="宋体" w:hAnsi="宋体" w:cs="宋体"/>
          <w:color w:val="FF0000"/>
          <w:kern w:val="0"/>
          <w:sz w:val="24"/>
          <w:szCs w:val="24"/>
          <w:lang w:val="en-US" w:eastAsia="zh-CN"/>
        </w:rPr>
      </w:pPr>
    </w:p>
    <w:p w14:paraId="3ECD7D17">
      <w:pPr>
        <w:pStyle w:val="12"/>
        <w:numPr>
          <w:ilvl w:val="0"/>
          <w:numId w:val="0"/>
        </w:numPr>
        <w:ind w:leftChars="0"/>
        <w:rPr>
          <w:rFonts w:hint="default" w:ascii="宋体" w:hAnsi="宋体" w:cs="宋体"/>
          <w:color w:val="FF0000"/>
          <w:kern w:val="0"/>
          <w:sz w:val="24"/>
          <w:szCs w:val="24"/>
          <w:lang w:val="en-US" w:eastAsia="zh-CN"/>
        </w:rPr>
      </w:pPr>
    </w:p>
    <w:p w14:paraId="385A148E">
      <w:pPr>
        <w:pStyle w:val="12"/>
        <w:numPr>
          <w:ilvl w:val="0"/>
          <w:numId w:val="0"/>
        </w:numPr>
        <w:ind w:leftChars="0"/>
        <w:rPr>
          <w:rFonts w:hint="default" w:ascii="宋体" w:hAnsi="宋体" w:cs="宋体"/>
          <w:color w:val="FF0000"/>
          <w:kern w:val="0"/>
          <w:sz w:val="24"/>
          <w:szCs w:val="24"/>
          <w:lang w:val="en-US" w:eastAsia="zh-CN"/>
        </w:rPr>
      </w:pPr>
    </w:p>
    <w:p w14:paraId="12A916B4">
      <w:pPr>
        <w:pStyle w:val="12"/>
        <w:numPr>
          <w:ilvl w:val="0"/>
          <w:numId w:val="0"/>
        </w:numPr>
        <w:ind w:leftChars="0"/>
        <w:rPr>
          <w:rFonts w:hint="default" w:ascii="宋体" w:hAnsi="宋体" w:cs="宋体"/>
          <w:color w:val="FF0000"/>
          <w:kern w:val="0"/>
          <w:sz w:val="24"/>
          <w:szCs w:val="24"/>
          <w:lang w:val="en-US" w:eastAsia="zh-CN"/>
        </w:rPr>
      </w:pPr>
    </w:p>
    <w:p w14:paraId="047B6C0A">
      <w:pPr>
        <w:pStyle w:val="12"/>
        <w:numPr>
          <w:ilvl w:val="0"/>
          <w:numId w:val="0"/>
        </w:numPr>
        <w:ind w:leftChars="0"/>
        <w:rPr>
          <w:rFonts w:hint="default" w:ascii="宋体" w:hAnsi="宋体" w:cs="宋体"/>
          <w:color w:val="FF0000"/>
          <w:kern w:val="0"/>
          <w:sz w:val="24"/>
          <w:szCs w:val="24"/>
          <w:lang w:val="en-US" w:eastAsia="zh-CN"/>
        </w:rPr>
      </w:pPr>
    </w:p>
    <w:p w14:paraId="6BE25844">
      <w:pPr>
        <w:pStyle w:val="12"/>
        <w:numPr>
          <w:ilvl w:val="0"/>
          <w:numId w:val="0"/>
        </w:numPr>
        <w:ind w:leftChars="0"/>
        <w:rPr>
          <w:rFonts w:hint="default" w:ascii="宋体" w:hAnsi="宋体" w:cs="宋体"/>
          <w:color w:val="FF0000"/>
          <w:kern w:val="0"/>
          <w:sz w:val="24"/>
          <w:szCs w:val="24"/>
          <w:lang w:val="en-US" w:eastAsia="zh-CN"/>
        </w:rPr>
      </w:pPr>
    </w:p>
    <w:p w14:paraId="76B1F8D0">
      <w:pPr>
        <w:pStyle w:val="12"/>
        <w:numPr>
          <w:ilvl w:val="0"/>
          <w:numId w:val="0"/>
        </w:numPr>
        <w:ind w:leftChars="0"/>
        <w:rPr>
          <w:rFonts w:hint="default" w:ascii="宋体" w:hAnsi="宋体" w:cs="宋体"/>
          <w:color w:val="FF0000"/>
          <w:kern w:val="0"/>
          <w:sz w:val="24"/>
          <w:szCs w:val="24"/>
          <w:lang w:val="en-US" w:eastAsia="zh-CN"/>
        </w:rPr>
      </w:pPr>
    </w:p>
    <w:p w14:paraId="1D9605AF">
      <w:pPr>
        <w:pStyle w:val="12"/>
        <w:numPr>
          <w:ilvl w:val="0"/>
          <w:numId w:val="0"/>
        </w:numPr>
        <w:ind w:leftChars="0"/>
        <w:rPr>
          <w:rFonts w:hint="default" w:ascii="宋体" w:hAnsi="宋体" w:cs="宋体"/>
          <w:color w:val="FF0000"/>
          <w:kern w:val="0"/>
          <w:sz w:val="24"/>
          <w:szCs w:val="24"/>
          <w:lang w:val="en-US" w:eastAsia="zh-CN"/>
        </w:rPr>
      </w:pPr>
    </w:p>
    <w:p w14:paraId="684E3ADA">
      <w:pPr>
        <w:pStyle w:val="12"/>
        <w:numPr>
          <w:ilvl w:val="0"/>
          <w:numId w:val="0"/>
        </w:numPr>
        <w:ind w:leftChars="0"/>
        <w:rPr>
          <w:rFonts w:hint="default" w:ascii="宋体" w:hAnsi="宋体" w:cs="宋体"/>
          <w:color w:val="FF0000"/>
          <w:kern w:val="0"/>
          <w:sz w:val="24"/>
          <w:szCs w:val="24"/>
          <w:lang w:val="en-US" w:eastAsia="zh-CN"/>
        </w:rPr>
      </w:pPr>
    </w:p>
    <w:p w14:paraId="0CCB6295">
      <w:pPr>
        <w:pStyle w:val="12"/>
        <w:numPr>
          <w:ilvl w:val="0"/>
          <w:numId w:val="0"/>
        </w:numPr>
        <w:ind w:leftChars="0"/>
        <w:rPr>
          <w:rFonts w:hint="default" w:ascii="宋体" w:hAnsi="宋体" w:cs="宋体"/>
          <w:color w:val="FF0000"/>
          <w:kern w:val="0"/>
          <w:sz w:val="24"/>
          <w:szCs w:val="24"/>
          <w:lang w:val="en-US" w:eastAsia="zh-CN"/>
        </w:rPr>
      </w:pPr>
    </w:p>
    <w:p w14:paraId="4C7D9746">
      <w:pPr>
        <w:pStyle w:val="12"/>
        <w:numPr>
          <w:ilvl w:val="0"/>
          <w:numId w:val="0"/>
        </w:numPr>
        <w:ind w:leftChars="0"/>
        <w:rPr>
          <w:rFonts w:hint="default" w:ascii="宋体" w:hAnsi="宋体" w:cs="宋体"/>
          <w:color w:val="FF0000"/>
          <w:kern w:val="0"/>
          <w:sz w:val="24"/>
          <w:szCs w:val="24"/>
          <w:lang w:val="en-US" w:eastAsia="zh-CN"/>
        </w:rPr>
      </w:pPr>
    </w:p>
    <w:p w14:paraId="03F2B3C4">
      <w:pPr>
        <w:pStyle w:val="12"/>
        <w:numPr>
          <w:ilvl w:val="0"/>
          <w:numId w:val="0"/>
        </w:numPr>
        <w:ind w:leftChars="0"/>
        <w:rPr>
          <w:rFonts w:hint="default" w:ascii="宋体" w:hAnsi="宋体" w:cs="宋体"/>
          <w:color w:val="FF0000"/>
          <w:kern w:val="0"/>
          <w:sz w:val="24"/>
          <w:szCs w:val="24"/>
          <w:lang w:val="en-US" w:eastAsia="zh-CN"/>
        </w:rPr>
      </w:pPr>
    </w:p>
    <w:p w14:paraId="3FD11015">
      <w:pPr>
        <w:pStyle w:val="12"/>
        <w:numPr>
          <w:ilvl w:val="0"/>
          <w:numId w:val="0"/>
        </w:numPr>
        <w:ind w:leftChars="0"/>
        <w:rPr>
          <w:rFonts w:hint="default" w:ascii="宋体" w:hAnsi="宋体" w:cs="宋体"/>
          <w:color w:val="FF0000"/>
          <w:kern w:val="0"/>
          <w:sz w:val="24"/>
          <w:szCs w:val="24"/>
          <w:lang w:val="en-US" w:eastAsia="zh-CN"/>
        </w:rPr>
      </w:pPr>
    </w:p>
    <w:p w14:paraId="3FE489E5">
      <w:pPr>
        <w:pStyle w:val="12"/>
        <w:numPr>
          <w:ilvl w:val="0"/>
          <w:numId w:val="0"/>
        </w:numPr>
        <w:ind w:leftChars="0"/>
        <w:rPr>
          <w:rFonts w:hint="default" w:ascii="宋体" w:hAnsi="宋体" w:cs="宋体"/>
          <w:color w:val="FF0000"/>
          <w:kern w:val="0"/>
          <w:sz w:val="24"/>
          <w:szCs w:val="24"/>
          <w:lang w:val="en-US" w:eastAsia="zh-CN"/>
        </w:rPr>
      </w:pPr>
    </w:p>
    <w:p w14:paraId="6A6D1039">
      <w:pPr>
        <w:pStyle w:val="12"/>
        <w:numPr>
          <w:ilvl w:val="0"/>
          <w:numId w:val="0"/>
        </w:numPr>
        <w:ind w:leftChars="0"/>
        <w:rPr>
          <w:rFonts w:hint="default" w:ascii="宋体" w:hAnsi="宋体" w:cs="宋体"/>
          <w:color w:val="FF0000"/>
          <w:kern w:val="0"/>
          <w:sz w:val="24"/>
          <w:szCs w:val="24"/>
          <w:lang w:val="en-US" w:eastAsia="zh-CN"/>
        </w:rPr>
      </w:pPr>
    </w:p>
    <w:p w14:paraId="5BBDAAC0">
      <w:pPr>
        <w:pStyle w:val="12"/>
        <w:numPr>
          <w:ilvl w:val="0"/>
          <w:numId w:val="0"/>
        </w:numPr>
        <w:ind w:leftChars="0"/>
        <w:rPr>
          <w:rFonts w:hint="default" w:ascii="宋体" w:hAnsi="宋体" w:cs="宋体"/>
          <w:color w:val="FF0000"/>
          <w:kern w:val="0"/>
          <w:sz w:val="24"/>
          <w:szCs w:val="24"/>
          <w:lang w:val="en-US" w:eastAsia="zh-CN"/>
        </w:rPr>
      </w:pPr>
    </w:p>
    <w:p w14:paraId="4D3EBB69">
      <w:pPr>
        <w:pStyle w:val="12"/>
        <w:numPr>
          <w:ilvl w:val="0"/>
          <w:numId w:val="0"/>
        </w:numPr>
        <w:ind w:leftChars="0"/>
        <w:rPr>
          <w:rFonts w:hint="default" w:ascii="宋体" w:hAnsi="宋体" w:cs="宋体"/>
          <w:color w:val="FF0000"/>
          <w:kern w:val="0"/>
          <w:sz w:val="24"/>
          <w:szCs w:val="24"/>
          <w:lang w:val="en-US" w:eastAsia="zh-CN"/>
        </w:rPr>
      </w:pPr>
    </w:p>
    <w:p w14:paraId="34F0FC41">
      <w:pPr>
        <w:pStyle w:val="12"/>
        <w:numPr>
          <w:ilvl w:val="0"/>
          <w:numId w:val="0"/>
        </w:numPr>
        <w:ind w:leftChars="0"/>
        <w:rPr>
          <w:rFonts w:hint="default" w:ascii="宋体" w:hAnsi="宋体" w:cs="宋体"/>
          <w:color w:val="FF0000"/>
          <w:kern w:val="0"/>
          <w:sz w:val="24"/>
          <w:szCs w:val="24"/>
          <w:lang w:val="en-US" w:eastAsia="zh-CN"/>
        </w:rPr>
      </w:pPr>
    </w:p>
    <w:p w14:paraId="43315ABE">
      <w:pPr>
        <w:pStyle w:val="12"/>
        <w:numPr>
          <w:ilvl w:val="0"/>
          <w:numId w:val="0"/>
        </w:numPr>
        <w:ind w:leftChars="0"/>
        <w:rPr>
          <w:rFonts w:hint="default" w:ascii="宋体" w:hAnsi="宋体" w:cs="宋体"/>
          <w:color w:val="FF0000"/>
          <w:kern w:val="0"/>
          <w:sz w:val="24"/>
          <w:szCs w:val="24"/>
          <w:lang w:val="en-US" w:eastAsia="zh-CN"/>
        </w:rPr>
      </w:pPr>
    </w:p>
    <w:p w14:paraId="1487D647">
      <w:pPr>
        <w:pStyle w:val="12"/>
        <w:numPr>
          <w:ilvl w:val="0"/>
          <w:numId w:val="0"/>
        </w:numPr>
        <w:ind w:leftChars="0"/>
        <w:rPr>
          <w:rFonts w:hint="default" w:ascii="宋体" w:hAnsi="宋体" w:cs="宋体" w:eastAsiaTheme="minorEastAsia"/>
          <w:color w:val="333333"/>
          <w:kern w:val="0"/>
          <w:sz w:val="24"/>
          <w:szCs w:val="24"/>
          <w:lang w:val="en-US" w:eastAsia="zh-CN" w:bidi="ar-SA"/>
        </w:rPr>
      </w:pPr>
      <w:bookmarkStart w:id="3" w:name="_GoBack"/>
      <w:bookmarkEnd w:id="3"/>
    </w:p>
    <w:p w14:paraId="7147DE79">
      <w:pPr>
        <w:pStyle w:val="12"/>
        <w:numPr>
          <w:ilvl w:val="0"/>
          <w:numId w:val="0"/>
        </w:numPr>
        <w:ind w:leftChars="0"/>
        <w:rPr>
          <w:rFonts w:hint="default" w:ascii="宋体" w:hAnsi="宋体" w:cs="宋体" w:eastAsiaTheme="minorEastAsia"/>
          <w:color w:val="333333"/>
          <w:kern w:val="0"/>
          <w:sz w:val="24"/>
          <w:szCs w:val="24"/>
          <w:lang w:val="en-US" w:eastAsia="zh-CN" w:bidi="ar-SA"/>
        </w:rPr>
      </w:pPr>
      <w:r>
        <w:rPr>
          <w:rFonts w:hint="eastAsia" w:ascii="宋体" w:hAnsi="宋体" w:cs="宋体" w:eastAsiaTheme="minorEastAsia"/>
          <w:color w:val="333333"/>
          <w:kern w:val="0"/>
          <w:sz w:val="24"/>
          <w:szCs w:val="24"/>
          <w:lang w:val="en-US" w:eastAsia="zh-CN" w:bidi="ar-SA"/>
        </w:rPr>
        <w:t>九</w:t>
      </w:r>
      <w:r>
        <w:rPr>
          <w:rFonts w:hint="eastAsia" w:ascii="宋体" w:hAnsi="宋体" w:cs="宋体"/>
          <w:color w:val="333333"/>
          <w:kern w:val="0"/>
          <w:sz w:val="24"/>
          <w:szCs w:val="24"/>
          <w:lang w:val="en-US" w:eastAsia="zh-CN" w:bidi="ar-SA"/>
        </w:rPr>
        <w:t>、</w:t>
      </w:r>
      <w:r>
        <w:rPr>
          <w:rFonts w:hint="eastAsia" w:ascii="宋体" w:hAnsi="宋体" w:eastAsia="宋体" w:cs="宋体"/>
          <w:sz w:val="24"/>
          <w:szCs w:val="24"/>
        </w:rPr>
        <w:t>社会消防技术服务信息</w:t>
      </w:r>
      <w:r>
        <w:rPr>
          <w:rFonts w:ascii="宋体" w:hAnsi="宋体" w:eastAsia="宋体" w:cs="宋体"/>
          <w:sz w:val="24"/>
          <w:szCs w:val="24"/>
        </w:rPr>
        <w:t>系统内的截图证明</w:t>
      </w:r>
      <w:r>
        <w:rPr>
          <w:rFonts w:hint="eastAsia" w:ascii="宋体" w:hAnsi="宋体" w:cs="Arial"/>
          <w:b/>
          <w:bCs/>
          <w:color w:val="FF0000"/>
          <w:szCs w:val="21"/>
          <w:lang w:val="en-US" w:eastAsia="zh-CN"/>
        </w:rPr>
        <w:t>（加盖公章）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F4F76"/>
    <w:multiLevelType w:val="singleLevel"/>
    <w:tmpl w:val="848F4F76"/>
    <w:lvl w:ilvl="0" w:tentative="0">
      <w:start w:val="1"/>
      <w:numFmt w:val="decimal"/>
      <w:suff w:val="nothing"/>
      <w:lvlText w:val="%1、"/>
      <w:lvlJc w:val="left"/>
    </w:lvl>
  </w:abstractNum>
  <w:abstractNum w:abstractNumId="1">
    <w:nsid w:val="B8B0E6CE"/>
    <w:multiLevelType w:val="multilevel"/>
    <w:tmpl w:val="B8B0E6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247048"/>
    <w:multiLevelType w:val="singleLevel"/>
    <w:tmpl w:val="3D247048"/>
    <w:lvl w:ilvl="0" w:tentative="0">
      <w:start w:val="5"/>
      <w:numFmt w:val="chineseCounting"/>
      <w:suff w:val="nothing"/>
      <w:lvlText w:val="%1、"/>
      <w:lvlJc w:val="left"/>
      <w:rPr>
        <w:rFonts w:hint="eastAsia"/>
      </w:rPr>
    </w:lvl>
  </w:abstractNum>
  <w:abstractNum w:abstractNumId="5">
    <w:nsid w:val="3F9E08C2"/>
    <w:multiLevelType w:val="singleLevel"/>
    <w:tmpl w:val="3F9E08C2"/>
    <w:lvl w:ilvl="0" w:tentative="0">
      <w:start w:val="1"/>
      <w:numFmt w:val="chineseCounting"/>
      <w:suff w:val="nothing"/>
      <w:lvlText w:val="%1、"/>
      <w:lvlJc w:val="left"/>
      <w:rPr>
        <w:rFonts w:hint="eastAsi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A29DC"/>
    <w:rsid w:val="09075A53"/>
    <w:rsid w:val="0CD80B33"/>
    <w:rsid w:val="0D890E30"/>
    <w:rsid w:val="11F927A3"/>
    <w:rsid w:val="14E009F6"/>
    <w:rsid w:val="15910B7E"/>
    <w:rsid w:val="16381990"/>
    <w:rsid w:val="19243E19"/>
    <w:rsid w:val="196F3B37"/>
    <w:rsid w:val="19CD6175"/>
    <w:rsid w:val="1B447873"/>
    <w:rsid w:val="1E613152"/>
    <w:rsid w:val="203C450A"/>
    <w:rsid w:val="21374CD0"/>
    <w:rsid w:val="233B037C"/>
    <w:rsid w:val="244E0D7D"/>
    <w:rsid w:val="298F5B6B"/>
    <w:rsid w:val="29D05CC2"/>
    <w:rsid w:val="2CE51C06"/>
    <w:rsid w:val="2E995F79"/>
    <w:rsid w:val="2F0D5D2F"/>
    <w:rsid w:val="328D6125"/>
    <w:rsid w:val="33450CED"/>
    <w:rsid w:val="3402116D"/>
    <w:rsid w:val="35913E0C"/>
    <w:rsid w:val="369D1ECB"/>
    <w:rsid w:val="39C74D42"/>
    <w:rsid w:val="3B022B49"/>
    <w:rsid w:val="3D3D6D72"/>
    <w:rsid w:val="3D994559"/>
    <w:rsid w:val="40BE466E"/>
    <w:rsid w:val="47320852"/>
    <w:rsid w:val="48C16567"/>
    <w:rsid w:val="4E2201FD"/>
    <w:rsid w:val="5A811EE0"/>
    <w:rsid w:val="5FCB6008"/>
    <w:rsid w:val="6045400C"/>
    <w:rsid w:val="63F975E8"/>
    <w:rsid w:val="66EA1469"/>
    <w:rsid w:val="688B0A2A"/>
    <w:rsid w:val="69821E2D"/>
    <w:rsid w:val="6A584A56"/>
    <w:rsid w:val="6ED861B9"/>
    <w:rsid w:val="7023779A"/>
    <w:rsid w:val="72942A63"/>
    <w:rsid w:val="735A7977"/>
    <w:rsid w:val="73DB0AB8"/>
    <w:rsid w:val="77391E0A"/>
    <w:rsid w:val="77732DB5"/>
    <w:rsid w:val="78160310"/>
    <w:rsid w:val="7AEC1B46"/>
    <w:rsid w:val="7CC45D36"/>
    <w:rsid w:val="7DBA6FDB"/>
    <w:rsid w:val="7F1B3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24"/>
      <w:szCs w:val="20"/>
    </w:rPr>
  </w:style>
  <w:style w:type="paragraph" w:styleId="3">
    <w:name w:val="table of authorities"/>
    <w:basedOn w:val="1"/>
    <w:next w:val="1"/>
    <w:qFormat/>
    <w:uiPriority w:val="0"/>
    <w:pPr>
      <w:ind w:left="420" w:leftChars="200"/>
    </w:pPr>
  </w:style>
  <w:style w:type="paragraph" w:styleId="4">
    <w:name w:val="annotation text"/>
    <w:basedOn w:val="1"/>
    <w:semiHidden/>
    <w:unhideWhenUsed/>
    <w:qFormat/>
    <w:uiPriority w:val="99"/>
    <w:pPr>
      <w:jc w:val="left"/>
    </w:pPr>
  </w:style>
  <w:style w:type="table" w:styleId="6">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Heading2"/>
    <w:basedOn w:val="9"/>
    <w:next w:val="1"/>
    <w:qFormat/>
    <w:uiPriority w:val="0"/>
  </w:style>
  <w:style w:type="paragraph" w:customStyle="1" w:styleId="9">
    <w:name w:val="Heading4"/>
    <w:basedOn w:val="1"/>
    <w:next w:val="1"/>
    <w:qFormat/>
    <w:uiPriority w:val="0"/>
    <w:pPr>
      <w:keepNext/>
      <w:keepLines/>
      <w:spacing w:before="280" w:after="290" w:line="376" w:lineRule="auto"/>
    </w:pPr>
    <w:rPr>
      <w:rFonts w:ascii="Arial" w:hAnsi="Arial" w:eastAsia="黑体" w:cs="Calibri"/>
      <w:b/>
      <w:bCs/>
      <w:sz w:val="28"/>
      <w:szCs w:val="28"/>
    </w:rPr>
  </w:style>
  <w:style w:type="paragraph" w:customStyle="1" w:styleId="10">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styleId="12">
    <w:name w:val="List Paragraph"/>
    <w:basedOn w:val="1"/>
    <w:qFormat/>
    <w:uiPriority w:val="34"/>
    <w:pPr>
      <w:ind w:firstLine="420" w:firstLineChars="200"/>
    </w:pPr>
  </w:style>
  <w:style w:type="paragraph" w:customStyle="1" w:styleId="13">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2434</Words>
  <Characters>2455</Characters>
  <Lines>0</Lines>
  <Paragraphs>0</Paragraphs>
  <TotalTime>0</TotalTime>
  <ScaleCrop>false</ScaleCrop>
  <LinksUpToDate>false</LinksUpToDate>
  <CharactersWithSpaces>2944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2025-01-21T08:07:00Z</dcterms:created>
  <dc:creator>Administrator</dc:creator>
  <cp:lastModifiedBy>风</cp:lastModifiedBy>
  <dcterms:modified xsi:type="dcterms:W3CDTF">2026-08-27T09:17:30Z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eyJoZGlkIjoiMTAxM2ZlOGZjOTg5NWU2NDUxYjhmYjY2NTMxMDRjNGMiLCJ1c2VySWQiOiI2NjA4OTgyNTgifQ==</vt:lpwstr>
  </property>
  <property fmtid="{D5CDD505-2E9C-101B-9397-08002B2CF9AE}" pid="4" name="ICV">
    <vt:lpwstr>84FE47AC6D974A76B22145D7D3D6C6AD_12</vt:lpwstr>
  </property>
</Properties>
</file>