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29AAC3">
      <w:pPr>
        <w:jc w:val="center"/>
        <w:rPr>
          <w:rFonts w:ascii="仿宋_GB2312" w:hAnsi="宋体" w:eastAsia="仿宋_GB2312"/>
          <w:b/>
          <w:sz w:val="32"/>
          <w:szCs w:val="32"/>
        </w:rPr>
      </w:pPr>
      <w:r>
        <w:rPr>
          <w:rFonts w:hint="eastAsia" w:ascii="仿宋_GB2312" w:hAnsi="宋体" w:eastAsia="仿宋_GB2312"/>
          <w:b/>
          <w:sz w:val="32"/>
          <w:szCs w:val="32"/>
        </w:rPr>
        <w:t>货物类项目需求申报书</w:t>
      </w:r>
    </w:p>
    <w:tbl>
      <w:tblPr>
        <w:tblStyle w:val="5"/>
        <w:tblW w:w="5000" w:type="pct"/>
        <w:tblCellSpacing w:w="0" w:type="dxa"/>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top w:w="15" w:type="dxa"/>
          <w:left w:w="15" w:type="dxa"/>
          <w:bottom w:w="15" w:type="dxa"/>
          <w:right w:w="15" w:type="dxa"/>
        </w:tblCellMar>
      </w:tblPr>
      <w:tblGrid>
        <w:gridCol w:w="878"/>
        <w:gridCol w:w="7473"/>
      </w:tblGrid>
      <w:tr w14:paraId="10F03E3B">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15" w:type="dxa"/>
            <w:left w:w="15" w:type="dxa"/>
            <w:bottom w:w="15" w:type="dxa"/>
            <w:right w:w="15" w:type="dxa"/>
          </w:tblCellMar>
        </w:tblPrEx>
        <w:trPr>
          <w:trHeight w:val="461" w:hRule="atLeast"/>
          <w:tblCellSpacing w:w="0" w:type="dxa"/>
        </w:trPr>
        <w:tc>
          <w:tcPr>
            <w:tcW w:w="526" w:type="pct"/>
            <w:tcBorders>
              <w:top w:val="single" w:color="auto" w:sz="6" w:space="0"/>
              <w:left w:val="single" w:color="auto" w:sz="6" w:space="0"/>
              <w:bottom w:val="nil"/>
              <w:right w:val="nil"/>
            </w:tcBorders>
            <w:vAlign w:val="center"/>
          </w:tcPr>
          <w:p w14:paraId="435FCEE4">
            <w:pPr>
              <w:widowControl/>
              <w:spacing w:before="100" w:beforeAutospacing="1" w:after="100" w:afterAutospacing="1"/>
              <w:jc w:val="left"/>
              <w:rPr>
                <w:rFonts w:ascii="宋体" w:hAnsi="宋体" w:eastAsia="宋体" w:cs="宋体"/>
                <w:color w:val="auto"/>
                <w:kern w:val="0"/>
                <w:sz w:val="20"/>
                <w:szCs w:val="20"/>
              </w:rPr>
            </w:pPr>
            <w:r>
              <w:rPr>
                <w:rFonts w:ascii="宋体" w:hAnsi="宋体" w:eastAsia="宋体" w:cs="宋体"/>
                <w:b/>
                <w:bCs/>
                <w:color w:val="auto"/>
                <w:kern w:val="0"/>
                <w:sz w:val="20"/>
                <w:szCs w:val="20"/>
              </w:rPr>
              <w:t>项目名称</w:t>
            </w:r>
            <w:r>
              <w:rPr>
                <w:rFonts w:ascii="宋体" w:hAnsi="宋体" w:eastAsia="宋体" w:cs="宋体"/>
                <w:color w:val="auto"/>
                <w:kern w:val="0"/>
                <w:sz w:val="20"/>
                <w:szCs w:val="20"/>
              </w:rPr>
              <w:t xml:space="preserve"> </w:t>
            </w:r>
          </w:p>
        </w:tc>
        <w:tc>
          <w:tcPr>
            <w:tcW w:w="4473" w:type="pct"/>
            <w:tcBorders>
              <w:top w:val="single" w:color="auto" w:sz="6" w:space="0"/>
              <w:left w:val="single" w:color="auto" w:sz="6" w:space="0"/>
              <w:bottom w:val="nil"/>
              <w:right w:val="nil"/>
            </w:tcBorders>
            <w:vAlign w:val="center"/>
          </w:tcPr>
          <w:p w14:paraId="09DC0894">
            <w:pPr>
              <w:widowControl/>
              <w:jc w:val="left"/>
              <w:rPr>
                <w:rFonts w:hint="default" w:ascii="宋体" w:hAnsi="宋体" w:eastAsia="宋体" w:cs="宋体"/>
                <w:color w:val="auto"/>
                <w:kern w:val="0"/>
                <w:sz w:val="20"/>
                <w:szCs w:val="20"/>
                <w:lang w:val="en-US" w:eastAsia="zh-CN"/>
              </w:rPr>
            </w:pPr>
            <w:r>
              <w:rPr>
                <w:rFonts w:hint="eastAsia" w:ascii="宋体" w:hAnsi="宋体" w:eastAsia="宋体" w:cs="宋体"/>
                <w:b w:val="0"/>
                <w:bCs w:val="0"/>
                <w:color w:val="auto"/>
                <w:kern w:val="0"/>
                <w:sz w:val="20"/>
                <w:szCs w:val="20"/>
                <w:lang w:val="en-US" w:eastAsia="zh-CN"/>
              </w:rPr>
              <w:t>图形工作站</w:t>
            </w:r>
          </w:p>
        </w:tc>
      </w:tr>
      <w:tr w14:paraId="7023C742">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15" w:type="dxa"/>
            <w:left w:w="15" w:type="dxa"/>
            <w:bottom w:w="15" w:type="dxa"/>
            <w:right w:w="15" w:type="dxa"/>
          </w:tblCellMar>
        </w:tblPrEx>
        <w:trPr>
          <w:tblCellSpacing w:w="0" w:type="dxa"/>
        </w:trPr>
        <w:tc>
          <w:tcPr>
            <w:tcW w:w="526" w:type="pct"/>
            <w:tcBorders>
              <w:top w:val="single" w:color="auto" w:sz="6" w:space="0"/>
              <w:left w:val="single" w:color="auto" w:sz="6" w:space="0"/>
              <w:bottom w:val="nil"/>
              <w:right w:val="nil"/>
            </w:tcBorders>
            <w:vAlign w:val="center"/>
          </w:tcPr>
          <w:p w14:paraId="30500D11">
            <w:pPr>
              <w:widowControl/>
              <w:spacing w:before="100" w:beforeAutospacing="1" w:after="100" w:afterAutospacing="1"/>
              <w:jc w:val="left"/>
              <w:rPr>
                <w:rFonts w:ascii="宋体" w:hAnsi="宋体" w:eastAsia="宋体" w:cs="宋体"/>
                <w:color w:val="auto"/>
                <w:kern w:val="0"/>
                <w:sz w:val="20"/>
                <w:szCs w:val="20"/>
              </w:rPr>
            </w:pPr>
            <w:r>
              <w:rPr>
                <w:rFonts w:ascii="宋体" w:hAnsi="宋体" w:eastAsia="宋体" w:cs="宋体"/>
                <w:b/>
                <w:bCs/>
                <w:color w:val="auto"/>
                <w:kern w:val="0"/>
                <w:sz w:val="20"/>
                <w:szCs w:val="20"/>
              </w:rPr>
              <w:t>项目</w:t>
            </w:r>
            <w:r>
              <w:rPr>
                <w:rFonts w:hint="eastAsia" w:ascii="宋体" w:hAnsi="宋体" w:eastAsia="宋体" w:cs="宋体"/>
                <w:b/>
                <w:bCs/>
                <w:color w:val="auto"/>
                <w:kern w:val="0"/>
                <w:sz w:val="20"/>
                <w:szCs w:val="20"/>
              </w:rPr>
              <w:t>简介</w:t>
            </w:r>
            <w:r>
              <w:rPr>
                <w:rFonts w:ascii="宋体" w:hAnsi="宋体" w:eastAsia="宋体" w:cs="宋体"/>
                <w:color w:val="auto"/>
                <w:kern w:val="0"/>
                <w:sz w:val="20"/>
                <w:szCs w:val="20"/>
              </w:rPr>
              <w:t xml:space="preserve"> </w:t>
            </w:r>
          </w:p>
        </w:tc>
        <w:tc>
          <w:tcPr>
            <w:tcW w:w="4473" w:type="pct"/>
            <w:tcBorders>
              <w:top w:val="single" w:color="auto" w:sz="6" w:space="0"/>
              <w:left w:val="single" w:color="auto" w:sz="6" w:space="0"/>
              <w:bottom w:val="nil"/>
              <w:right w:val="nil"/>
            </w:tcBorders>
            <w:vAlign w:val="center"/>
          </w:tcPr>
          <w:p w14:paraId="03053F51">
            <w:pPr>
              <w:widowControl/>
              <w:ind w:firstLine="400"/>
              <w:jc w:val="left"/>
              <w:rPr>
                <w:rFonts w:ascii="宋体" w:hAnsi="宋体" w:eastAsia="宋体" w:cs="宋体"/>
                <w:b w:val="0"/>
                <w:bCs w:val="0"/>
                <w:color w:val="auto"/>
                <w:kern w:val="0"/>
                <w:sz w:val="20"/>
                <w:szCs w:val="20"/>
              </w:rPr>
            </w:pPr>
            <w:r>
              <w:rPr>
                <w:rFonts w:ascii="宋体" w:hAnsi="宋体" w:eastAsia="宋体" w:cs="宋体"/>
                <w:b w:val="0"/>
                <w:bCs w:val="0"/>
                <w:color w:val="auto"/>
                <w:kern w:val="0"/>
                <w:sz w:val="20"/>
                <w:szCs w:val="20"/>
              </w:rPr>
              <w:t>高性能图形工作站</w:t>
            </w:r>
            <w:r>
              <w:rPr>
                <w:rFonts w:hint="eastAsia" w:ascii="宋体" w:hAnsi="宋体" w:eastAsia="宋体" w:cs="宋体"/>
                <w:b w:val="0"/>
                <w:bCs w:val="0"/>
                <w:color w:val="auto"/>
                <w:kern w:val="0"/>
                <w:sz w:val="20"/>
                <w:szCs w:val="20"/>
                <w:lang w:eastAsia="zh-CN"/>
              </w:rPr>
              <w:t>，</w:t>
            </w:r>
            <w:r>
              <w:rPr>
                <w:rFonts w:hint="eastAsia" w:ascii="宋体" w:hAnsi="宋体" w:eastAsia="宋体" w:cs="宋体"/>
                <w:b w:val="0"/>
                <w:bCs w:val="0"/>
                <w:color w:val="auto"/>
                <w:kern w:val="0"/>
                <w:sz w:val="20"/>
                <w:szCs w:val="20"/>
                <w:lang w:val="en-US" w:eastAsia="zh-CN"/>
              </w:rPr>
              <w:t>设备</w:t>
            </w:r>
            <w:r>
              <w:rPr>
                <w:rFonts w:ascii="宋体" w:hAnsi="宋体" w:eastAsia="宋体" w:cs="宋体"/>
                <w:b w:val="0"/>
                <w:bCs w:val="0"/>
                <w:color w:val="auto"/>
                <w:kern w:val="0"/>
                <w:sz w:val="20"/>
                <w:szCs w:val="20"/>
              </w:rPr>
              <w:t>支持AI模型训练、三维重建、术前导航及VR教学。</w:t>
            </w:r>
          </w:p>
          <w:p w14:paraId="42EA2CCB">
            <w:pPr>
              <w:widowControl/>
              <w:numPr>
                <w:ilvl w:val="0"/>
                <w:numId w:val="1"/>
              </w:numPr>
              <w:ind w:firstLine="400"/>
              <w:jc w:val="left"/>
              <w:rPr>
                <w:rFonts w:ascii="宋体" w:hAnsi="宋体" w:eastAsia="宋体" w:cs="宋体"/>
                <w:b w:val="0"/>
                <w:bCs w:val="0"/>
                <w:color w:val="auto"/>
                <w:kern w:val="0"/>
                <w:sz w:val="20"/>
                <w:szCs w:val="20"/>
              </w:rPr>
            </w:pPr>
            <w:r>
              <w:rPr>
                <w:rFonts w:ascii="宋体" w:hAnsi="宋体" w:eastAsia="宋体" w:cs="宋体"/>
                <w:b w:val="0"/>
                <w:bCs w:val="0"/>
                <w:color w:val="auto"/>
                <w:kern w:val="0"/>
                <w:sz w:val="20"/>
                <w:szCs w:val="20"/>
              </w:rPr>
              <w:t>用于深度学习模型训练和肺结节检测。</w:t>
            </w:r>
          </w:p>
          <w:p w14:paraId="6169FB2E">
            <w:pPr>
              <w:widowControl/>
              <w:numPr>
                <w:ilvl w:val="0"/>
                <w:numId w:val="1"/>
              </w:numPr>
              <w:ind w:firstLine="400"/>
              <w:jc w:val="left"/>
              <w:rPr>
                <w:rFonts w:hint="eastAsia" w:ascii="宋体" w:hAnsi="宋体" w:eastAsia="宋体" w:cs="宋体"/>
                <w:color w:val="auto"/>
                <w:kern w:val="0"/>
                <w:sz w:val="20"/>
                <w:szCs w:val="20"/>
                <w:lang w:eastAsia="zh-CN"/>
              </w:rPr>
            </w:pPr>
            <w:r>
              <w:rPr>
                <w:rFonts w:ascii="宋体" w:hAnsi="宋体" w:eastAsia="宋体" w:cs="宋体"/>
                <w:b w:val="0"/>
                <w:bCs w:val="0"/>
                <w:color w:val="auto"/>
                <w:kern w:val="0"/>
                <w:sz w:val="20"/>
                <w:szCs w:val="20"/>
              </w:rPr>
              <w:t xml:space="preserve"> 实现肺动脉、支气管等精细三维建模和实时渲染，辅助手术规划。</w:t>
            </w:r>
          </w:p>
          <w:p w14:paraId="774216C5">
            <w:pPr>
              <w:widowControl/>
              <w:numPr>
                <w:ilvl w:val="0"/>
                <w:numId w:val="1"/>
              </w:numPr>
              <w:ind w:firstLine="400"/>
              <w:jc w:val="left"/>
              <w:rPr>
                <w:rFonts w:hint="eastAsia" w:ascii="宋体" w:hAnsi="宋体" w:eastAsia="宋体" w:cs="宋体"/>
                <w:color w:val="auto"/>
                <w:kern w:val="0"/>
                <w:sz w:val="20"/>
                <w:szCs w:val="20"/>
                <w:lang w:eastAsia="zh-CN"/>
              </w:rPr>
            </w:pPr>
            <w:r>
              <w:rPr>
                <w:rFonts w:ascii="宋体" w:hAnsi="宋体" w:eastAsia="宋体" w:cs="宋体"/>
                <w:b w:val="0"/>
                <w:bCs w:val="0"/>
                <w:color w:val="auto"/>
                <w:kern w:val="0"/>
                <w:sz w:val="20"/>
                <w:szCs w:val="20"/>
              </w:rPr>
              <w:t>支持虚拟现实手术模拟，提升教学效果。</w:t>
            </w:r>
          </w:p>
          <w:p w14:paraId="5D983E41">
            <w:pPr>
              <w:widowControl/>
              <w:numPr>
                <w:ilvl w:val="0"/>
                <w:numId w:val="1"/>
              </w:numPr>
              <w:ind w:firstLine="400"/>
              <w:jc w:val="left"/>
              <w:rPr>
                <w:rFonts w:hint="eastAsia" w:ascii="宋体" w:hAnsi="宋体" w:eastAsia="宋体" w:cs="宋体"/>
                <w:color w:val="auto"/>
                <w:kern w:val="0"/>
                <w:sz w:val="20"/>
                <w:szCs w:val="20"/>
                <w:lang w:eastAsia="zh-CN"/>
              </w:rPr>
            </w:pPr>
            <w:r>
              <w:rPr>
                <w:rFonts w:ascii="宋体" w:hAnsi="宋体" w:eastAsia="宋体" w:cs="宋体"/>
                <w:b w:val="0"/>
                <w:bCs w:val="0"/>
                <w:color w:val="auto"/>
                <w:kern w:val="0"/>
                <w:sz w:val="20"/>
                <w:szCs w:val="20"/>
              </w:rPr>
              <w:t>设备配置为32核至强、128G内存及RTX 50000 72G，满足高负载任务需求，保障数据安全。同时，品牌认证和售后服务确保设备可靠性和合规性</w:t>
            </w:r>
            <w:r>
              <w:rPr>
                <w:rFonts w:hint="eastAsia" w:ascii="宋体" w:hAnsi="宋体" w:eastAsia="宋体" w:cs="宋体"/>
                <w:b w:val="0"/>
                <w:bCs w:val="0"/>
                <w:color w:val="auto"/>
                <w:kern w:val="0"/>
                <w:sz w:val="20"/>
                <w:szCs w:val="20"/>
                <w:lang w:eastAsia="zh-CN"/>
              </w:rPr>
              <w:t>。</w:t>
            </w:r>
          </w:p>
        </w:tc>
      </w:tr>
      <w:tr w14:paraId="426E5053">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15" w:type="dxa"/>
            <w:left w:w="15" w:type="dxa"/>
            <w:bottom w:w="15" w:type="dxa"/>
            <w:right w:w="15" w:type="dxa"/>
          </w:tblCellMar>
        </w:tblPrEx>
        <w:trPr>
          <w:trHeight w:val="90" w:hRule="atLeast"/>
          <w:tblCellSpacing w:w="0" w:type="dxa"/>
        </w:trPr>
        <w:tc>
          <w:tcPr>
            <w:tcW w:w="526" w:type="pct"/>
            <w:tcBorders>
              <w:top w:val="single" w:color="auto" w:sz="6" w:space="0"/>
              <w:left w:val="single" w:color="auto" w:sz="6" w:space="0"/>
              <w:bottom w:val="nil"/>
              <w:right w:val="nil"/>
            </w:tcBorders>
            <w:vAlign w:val="center"/>
          </w:tcPr>
          <w:p w14:paraId="5D59643F">
            <w:pPr>
              <w:widowControl/>
              <w:spacing w:before="100" w:beforeAutospacing="1" w:after="100" w:afterAutospacing="1"/>
              <w:jc w:val="left"/>
              <w:rPr>
                <w:rFonts w:ascii="宋体" w:hAnsi="宋体" w:eastAsia="宋体" w:cs="宋体"/>
                <w:color w:val="auto"/>
                <w:kern w:val="0"/>
                <w:sz w:val="20"/>
                <w:szCs w:val="20"/>
              </w:rPr>
            </w:pPr>
            <w:r>
              <w:rPr>
                <w:rFonts w:ascii="宋体" w:hAnsi="宋体" w:eastAsia="宋体" w:cs="宋体"/>
                <w:b/>
                <w:bCs/>
                <w:color w:val="auto"/>
                <w:kern w:val="0"/>
                <w:sz w:val="20"/>
                <w:szCs w:val="20"/>
              </w:rPr>
              <w:t>投标人资质要求</w:t>
            </w:r>
            <w:r>
              <w:rPr>
                <w:rFonts w:ascii="宋体" w:hAnsi="宋体" w:eastAsia="宋体" w:cs="宋体"/>
                <w:color w:val="auto"/>
                <w:kern w:val="0"/>
                <w:sz w:val="20"/>
                <w:szCs w:val="20"/>
              </w:rPr>
              <w:t xml:space="preserve"> </w:t>
            </w:r>
          </w:p>
        </w:tc>
        <w:tc>
          <w:tcPr>
            <w:tcW w:w="4473" w:type="pct"/>
            <w:tcBorders>
              <w:top w:val="single" w:color="auto" w:sz="6" w:space="0"/>
              <w:left w:val="single" w:color="auto" w:sz="6" w:space="0"/>
              <w:bottom w:val="nil"/>
              <w:right w:val="nil"/>
            </w:tcBorders>
            <w:vAlign w:val="center"/>
          </w:tcPr>
          <w:p w14:paraId="060CE427">
            <w:pPr>
              <w:keepNext w:val="0"/>
              <w:keepLines w:val="0"/>
              <w:widowControl/>
              <w:numPr>
                <w:ilvl w:val="-1"/>
                <w:numId w:val="0"/>
              </w:numPr>
              <w:suppressLineNumbers w:val="0"/>
              <w:spacing w:before="0" w:beforeAutospacing="0" w:after="0" w:afterAutospacing="0"/>
              <w:ind w:left="0" w:firstLine="0"/>
              <w:jc w:val="left"/>
              <w:rPr>
                <w:rFonts w:ascii="宋体" w:hAnsi="宋体" w:eastAsia="宋体" w:cs="宋体"/>
                <w:b w:val="0"/>
                <w:bCs w:val="0"/>
                <w:color w:val="auto"/>
                <w:kern w:val="0"/>
                <w:sz w:val="20"/>
                <w:szCs w:val="20"/>
              </w:rPr>
            </w:pPr>
            <w:r>
              <w:rPr>
                <w:rFonts w:hint="eastAsia" w:ascii="宋体" w:hAnsi="宋体" w:eastAsia="宋体" w:cs="宋体"/>
                <w:b w:val="0"/>
                <w:bCs w:val="0"/>
                <w:color w:val="auto"/>
                <w:kern w:val="0"/>
                <w:sz w:val="20"/>
                <w:szCs w:val="20"/>
                <w:lang w:val="en-US" w:eastAsia="zh-CN"/>
              </w:rPr>
              <w:t>1.</w:t>
            </w:r>
            <w:r>
              <w:rPr>
                <w:rFonts w:ascii="宋体" w:hAnsi="宋体" w:eastAsia="宋体" w:cs="宋体"/>
                <w:b w:val="0"/>
                <w:bCs w:val="0"/>
                <w:color w:val="auto"/>
                <w:kern w:val="0"/>
                <w:sz w:val="20"/>
                <w:szCs w:val="20"/>
              </w:rPr>
              <w:t>投标人须为独立法人，提供有效的营业执照复印件；若为代理商投标，须提供生产厂家或中国区域总代理商出具的</w:t>
            </w:r>
            <w:r>
              <w:rPr>
                <w:rStyle w:val="7"/>
                <w:rFonts w:ascii="宋体" w:hAnsi="宋体" w:eastAsia="宋体" w:cs="宋体"/>
                <w:b w:val="0"/>
                <w:bCs w:val="0"/>
                <w:color w:val="auto"/>
                <w:kern w:val="0"/>
                <w:sz w:val="20"/>
                <w:szCs w:val="20"/>
              </w:rPr>
              <w:t>针对本项目的正式授权书</w:t>
            </w:r>
            <w:r>
              <w:rPr>
                <w:rStyle w:val="7"/>
                <w:rFonts w:hint="default" w:ascii="宋体" w:hAnsi="宋体" w:eastAsia="宋体" w:cs="宋体"/>
                <w:b w:val="0"/>
                <w:bCs w:val="0"/>
                <w:color w:val="auto"/>
                <w:kern w:val="0"/>
                <w:sz w:val="20"/>
                <w:szCs w:val="20"/>
                <w:lang w:val="en-US" w:eastAsia="zh-CN"/>
              </w:rPr>
              <w:t>复印件</w:t>
            </w:r>
            <w:r>
              <w:rPr>
                <w:rFonts w:ascii="宋体" w:hAnsi="宋体" w:eastAsia="宋体" w:cs="宋体"/>
                <w:b w:val="0"/>
                <w:bCs w:val="0"/>
                <w:color w:val="auto"/>
                <w:kern w:val="0"/>
                <w:sz w:val="20"/>
                <w:szCs w:val="20"/>
              </w:rPr>
              <w:t>。</w:t>
            </w:r>
          </w:p>
          <w:p w14:paraId="685E432C">
            <w:pPr>
              <w:keepNext w:val="0"/>
              <w:keepLines w:val="0"/>
              <w:widowControl/>
              <w:numPr>
                <w:ilvl w:val="-1"/>
                <w:numId w:val="0"/>
              </w:numPr>
              <w:suppressLineNumbers w:val="0"/>
              <w:spacing w:before="0" w:beforeAutospacing="0" w:after="0" w:afterAutospacing="0"/>
              <w:ind w:left="0" w:firstLine="0"/>
              <w:jc w:val="left"/>
              <w:rPr>
                <w:rFonts w:ascii="宋体" w:hAnsi="宋体" w:eastAsia="宋体" w:cs="宋体"/>
                <w:b w:val="0"/>
                <w:bCs w:val="0"/>
                <w:color w:val="auto"/>
                <w:kern w:val="0"/>
                <w:sz w:val="20"/>
                <w:szCs w:val="20"/>
              </w:rPr>
            </w:pPr>
            <w:r>
              <w:rPr>
                <w:rFonts w:hint="eastAsia" w:ascii="宋体" w:hAnsi="宋体" w:eastAsia="宋体" w:cs="宋体"/>
                <w:b w:val="0"/>
                <w:bCs w:val="0"/>
                <w:color w:val="auto"/>
                <w:kern w:val="0"/>
                <w:sz w:val="20"/>
                <w:szCs w:val="20"/>
                <w:lang w:val="en-US" w:eastAsia="zh-CN"/>
              </w:rPr>
              <w:t>2.</w:t>
            </w:r>
            <w:r>
              <w:rPr>
                <w:rFonts w:ascii="宋体" w:hAnsi="宋体" w:eastAsia="宋体" w:cs="宋体"/>
                <w:b w:val="0"/>
                <w:bCs w:val="0"/>
                <w:color w:val="auto"/>
                <w:kern w:val="0"/>
                <w:sz w:val="20"/>
                <w:szCs w:val="20"/>
              </w:rPr>
              <w:t>投标人具有履行本项目所需供货、安装调试、售后技术服务能力，提供承诺函。</w:t>
            </w:r>
          </w:p>
          <w:p w14:paraId="7721F232">
            <w:pPr>
              <w:widowControl/>
              <w:numPr>
                <w:ilvl w:val="-1"/>
                <w:numId w:val="0"/>
              </w:numPr>
              <w:spacing w:beforeAutospacing="0" w:afterAutospacing="0"/>
              <w:ind w:left="0" w:firstLine="0" w:firstLineChars="0"/>
              <w:jc w:val="left"/>
              <w:rPr>
                <w:rFonts w:hint="default" w:ascii="宋体" w:hAnsi="宋体" w:eastAsia="宋体" w:cs="宋体"/>
                <w:color w:val="auto"/>
                <w:kern w:val="0"/>
                <w:sz w:val="20"/>
                <w:szCs w:val="20"/>
                <w:lang w:val="en-US"/>
              </w:rPr>
            </w:pPr>
            <w:r>
              <w:rPr>
                <w:rFonts w:hint="eastAsia" w:ascii="宋体" w:hAnsi="宋体" w:eastAsia="宋体" w:cs="宋体"/>
                <w:b w:val="0"/>
                <w:bCs w:val="0"/>
                <w:color w:val="auto"/>
                <w:kern w:val="0"/>
                <w:sz w:val="20"/>
                <w:szCs w:val="20"/>
                <w:lang w:val="en-US" w:eastAsia="zh-CN"/>
              </w:rPr>
              <w:t>3.</w:t>
            </w:r>
            <w:r>
              <w:rPr>
                <w:rFonts w:ascii="宋体" w:hAnsi="宋体" w:eastAsia="宋体" w:cs="宋体"/>
                <w:b w:val="0"/>
                <w:bCs w:val="0"/>
                <w:color w:val="auto"/>
                <w:kern w:val="0"/>
                <w:sz w:val="20"/>
                <w:szCs w:val="20"/>
              </w:rPr>
              <w:t>投标人未被列入 “信用中国” 失信被执行人、重大税收违法失信主体，未被列入政府采购严重违法失信行为记录名单，投标时提供查询截图</w:t>
            </w:r>
            <w:r>
              <w:rPr>
                <w:rFonts w:hint="default" w:ascii="宋体" w:hAnsi="宋体" w:eastAsia="宋体" w:cs="宋体"/>
                <w:b w:val="0"/>
                <w:bCs w:val="0"/>
                <w:color w:val="auto"/>
                <w:kern w:val="0"/>
                <w:sz w:val="20"/>
                <w:szCs w:val="20"/>
                <w:lang w:eastAsia="zh-CN"/>
              </w:rPr>
              <w:t>。</w:t>
            </w:r>
          </w:p>
        </w:tc>
      </w:tr>
      <w:tr w14:paraId="6AC976D6">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15" w:type="dxa"/>
            <w:left w:w="15" w:type="dxa"/>
            <w:bottom w:w="15" w:type="dxa"/>
            <w:right w:w="15" w:type="dxa"/>
          </w:tblCellMar>
        </w:tblPrEx>
        <w:trPr>
          <w:tblCellSpacing w:w="0" w:type="dxa"/>
        </w:trPr>
        <w:tc>
          <w:tcPr>
            <w:tcW w:w="526" w:type="pct"/>
            <w:tcBorders>
              <w:top w:val="single" w:color="auto" w:sz="6" w:space="0"/>
              <w:left w:val="single" w:color="auto" w:sz="6" w:space="0"/>
              <w:bottom w:val="nil"/>
              <w:right w:val="nil"/>
            </w:tcBorders>
            <w:vAlign w:val="center"/>
          </w:tcPr>
          <w:p w14:paraId="1C48036B">
            <w:pPr>
              <w:widowControl/>
              <w:spacing w:before="100" w:beforeAutospacing="1" w:after="100" w:afterAutospacing="1"/>
              <w:jc w:val="left"/>
              <w:rPr>
                <w:rFonts w:ascii="宋体" w:hAnsi="宋体" w:eastAsia="宋体" w:cs="宋体"/>
                <w:color w:val="auto"/>
                <w:kern w:val="0"/>
                <w:sz w:val="20"/>
                <w:szCs w:val="20"/>
              </w:rPr>
            </w:pPr>
            <w:r>
              <w:rPr>
                <w:rFonts w:ascii="宋体" w:hAnsi="宋体" w:eastAsia="宋体" w:cs="宋体"/>
                <w:b/>
                <w:bCs/>
                <w:color w:val="auto"/>
                <w:kern w:val="0"/>
                <w:sz w:val="20"/>
                <w:szCs w:val="20"/>
              </w:rPr>
              <w:t>货物清单</w:t>
            </w:r>
            <w:r>
              <w:rPr>
                <w:rFonts w:ascii="宋体" w:hAnsi="宋体" w:eastAsia="宋体" w:cs="宋体"/>
                <w:color w:val="auto"/>
                <w:kern w:val="0"/>
                <w:sz w:val="20"/>
                <w:szCs w:val="20"/>
              </w:rPr>
              <w:t xml:space="preserve"> </w:t>
            </w:r>
          </w:p>
        </w:tc>
        <w:tc>
          <w:tcPr>
            <w:tcW w:w="4473" w:type="pct"/>
            <w:tcBorders>
              <w:top w:val="single" w:color="auto" w:sz="6" w:space="0"/>
              <w:left w:val="single" w:color="auto" w:sz="6" w:space="0"/>
              <w:bottom w:val="nil"/>
              <w:right w:val="nil"/>
            </w:tcBorders>
            <w:vAlign w:val="center"/>
          </w:tcPr>
          <w:p w14:paraId="523A5C6C">
            <w:pPr>
              <w:widowControl/>
              <w:ind w:firstLine="400" w:firstLineChars="200"/>
              <w:jc w:val="left"/>
              <w:rPr>
                <w:rFonts w:hint="eastAsia" w:ascii="宋体" w:hAnsi="宋体" w:eastAsia="宋体" w:cs="宋体"/>
                <w:color w:val="auto"/>
                <w:kern w:val="0"/>
                <w:sz w:val="20"/>
                <w:szCs w:val="20"/>
              </w:rPr>
            </w:pPr>
            <w:r>
              <w:rPr>
                <w:rFonts w:hint="eastAsia" w:ascii="宋体" w:hAnsi="宋体" w:eastAsia="宋体" w:cs="宋体"/>
                <w:b w:val="0"/>
                <w:bCs w:val="0"/>
                <w:color w:val="auto"/>
                <w:kern w:val="0"/>
                <w:sz w:val="20"/>
                <w:szCs w:val="20"/>
              </w:rPr>
              <w:t>图形工作站</w:t>
            </w:r>
            <w:r>
              <w:rPr>
                <w:rFonts w:hint="eastAsia" w:ascii="宋体" w:hAnsi="宋体" w:eastAsia="宋体" w:cs="宋体"/>
                <w:b w:val="0"/>
                <w:bCs w:val="0"/>
                <w:color w:val="auto"/>
                <w:kern w:val="0"/>
                <w:sz w:val="20"/>
                <w:szCs w:val="20"/>
                <w:lang w:val="en-US" w:eastAsia="zh-CN"/>
              </w:rPr>
              <w:t>1套</w:t>
            </w:r>
          </w:p>
        </w:tc>
      </w:tr>
      <w:tr w14:paraId="5D95408C">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15" w:type="dxa"/>
            <w:left w:w="15" w:type="dxa"/>
            <w:bottom w:w="15" w:type="dxa"/>
            <w:right w:w="15" w:type="dxa"/>
          </w:tblCellMar>
        </w:tblPrEx>
        <w:trPr>
          <w:trHeight w:val="568" w:hRule="atLeast"/>
          <w:tblCellSpacing w:w="0" w:type="dxa"/>
        </w:trPr>
        <w:tc>
          <w:tcPr>
            <w:tcW w:w="526" w:type="pct"/>
            <w:tcBorders>
              <w:top w:val="single" w:color="auto" w:sz="6" w:space="0"/>
              <w:left w:val="single" w:color="auto" w:sz="6" w:space="0"/>
              <w:bottom w:val="nil"/>
              <w:right w:val="nil"/>
            </w:tcBorders>
            <w:vAlign w:val="center"/>
          </w:tcPr>
          <w:p w14:paraId="73D02052">
            <w:pPr>
              <w:widowControl/>
              <w:spacing w:before="100" w:beforeAutospacing="1" w:after="100" w:afterAutospacing="1"/>
              <w:jc w:val="left"/>
              <w:rPr>
                <w:rFonts w:ascii="宋体" w:hAnsi="宋体" w:eastAsia="宋体" w:cs="宋体"/>
                <w:b/>
                <w:bCs/>
                <w:color w:val="auto"/>
                <w:kern w:val="0"/>
                <w:sz w:val="20"/>
                <w:szCs w:val="20"/>
              </w:rPr>
            </w:pPr>
            <w:r>
              <w:rPr>
                <w:rFonts w:ascii="宋体" w:hAnsi="宋体" w:eastAsia="宋体" w:cs="宋体"/>
                <w:b/>
                <w:bCs/>
                <w:color w:val="auto"/>
                <w:kern w:val="0"/>
                <w:sz w:val="20"/>
                <w:szCs w:val="20"/>
              </w:rPr>
              <w:t xml:space="preserve">具体技术要求 </w:t>
            </w:r>
          </w:p>
        </w:tc>
        <w:tc>
          <w:tcPr>
            <w:tcW w:w="4473" w:type="pct"/>
            <w:tcBorders>
              <w:top w:val="single" w:color="auto" w:sz="6" w:space="0"/>
              <w:left w:val="single" w:color="auto" w:sz="6" w:space="0"/>
              <w:bottom w:val="nil"/>
              <w:right w:val="nil"/>
            </w:tcBorders>
            <w:vAlign w:val="center"/>
          </w:tcPr>
          <w:tbl>
            <w:tblPr>
              <w:tblStyle w:val="5"/>
              <w:tblW w:w="5000" w:type="pct"/>
              <w:tblInd w:w="-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9"/>
              <w:gridCol w:w="1175"/>
              <w:gridCol w:w="5774"/>
            </w:tblGrid>
            <w:tr w14:paraId="5B8D9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316" w:type="pct"/>
                  <w:vAlign w:val="center"/>
                </w:tcPr>
                <w:p w14:paraId="3C272985">
                  <w:pPr>
                    <w:jc w:val="center"/>
                    <w:rPr>
                      <w:b/>
                      <w:bCs/>
                      <w:color w:val="auto"/>
                      <w:szCs w:val="21"/>
                    </w:rPr>
                  </w:pPr>
                  <w:r>
                    <w:rPr>
                      <w:rFonts w:hint="eastAsia"/>
                      <w:b/>
                      <w:bCs/>
                      <w:color w:val="auto"/>
                      <w:szCs w:val="21"/>
                    </w:rPr>
                    <w:t>序号</w:t>
                  </w:r>
                </w:p>
              </w:tc>
              <w:tc>
                <w:tcPr>
                  <w:tcW w:w="792" w:type="pct"/>
                  <w:vAlign w:val="center"/>
                </w:tcPr>
                <w:p w14:paraId="2DE6394C">
                  <w:pPr>
                    <w:widowControl/>
                    <w:jc w:val="center"/>
                    <w:rPr>
                      <w:rFonts w:hint="eastAsia"/>
                      <w:b/>
                      <w:bCs/>
                      <w:color w:val="auto"/>
                      <w:szCs w:val="21"/>
                    </w:rPr>
                  </w:pPr>
                  <w:r>
                    <w:rPr>
                      <w:rFonts w:hint="eastAsia"/>
                      <w:b/>
                      <w:bCs/>
                      <w:color w:val="auto"/>
                      <w:szCs w:val="21"/>
                    </w:rPr>
                    <w:t>货物</w:t>
                  </w:r>
                </w:p>
                <w:p w14:paraId="55BE2DCC">
                  <w:pPr>
                    <w:widowControl/>
                    <w:jc w:val="center"/>
                    <w:rPr>
                      <w:b/>
                      <w:bCs/>
                      <w:color w:val="auto"/>
                      <w:szCs w:val="21"/>
                    </w:rPr>
                  </w:pPr>
                  <w:r>
                    <w:rPr>
                      <w:rFonts w:hint="eastAsia"/>
                      <w:b/>
                      <w:bCs/>
                      <w:color w:val="auto"/>
                      <w:szCs w:val="21"/>
                    </w:rPr>
                    <w:t>名称</w:t>
                  </w:r>
                </w:p>
              </w:tc>
              <w:tc>
                <w:tcPr>
                  <w:tcW w:w="3891" w:type="pct"/>
                  <w:vAlign w:val="center"/>
                </w:tcPr>
                <w:p w14:paraId="64CE9E5C">
                  <w:pPr>
                    <w:jc w:val="center"/>
                    <w:rPr>
                      <w:b/>
                      <w:bCs/>
                      <w:color w:val="auto"/>
                      <w:szCs w:val="21"/>
                    </w:rPr>
                  </w:pPr>
                  <w:r>
                    <w:rPr>
                      <w:rFonts w:hint="eastAsia"/>
                      <w:b/>
                      <w:bCs/>
                      <w:color w:val="auto"/>
                      <w:szCs w:val="21"/>
                    </w:rPr>
                    <w:t>招标技术要求</w:t>
                  </w:r>
                </w:p>
              </w:tc>
            </w:tr>
            <w:tr w14:paraId="531EC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316" w:type="pct"/>
                  <w:vMerge w:val="restart"/>
                  <w:vAlign w:val="center"/>
                </w:tcPr>
                <w:p w14:paraId="573B3044">
                  <w:pPr>
                    <w:jc w:val="center"/>
                    <w:rPr>
                      <w:b/>
                      <w:bCs/>
                      <w:color w:val="auto"/>
                      <w:szCs w:val="21"/>
                    </w:rPr>
                  </w:pPr>
                  <w:r>
                    <w:rPr>
                      <w:rFonts w:hint="eastAsia"/>
                      <w:b/>
                      <w:bCs/>
                      <w:color w:val="auto"/>
                      <w:szCs w:val="21"/>
                    </w:rPr>
                    <w:t>1</w:t>
                  </w:r>
                </w:p>
              </w:tc>
              <w:tc>
                <w:tcPr>
                  <w:tcW w:w="792" w:type="pct"/>
                  <w:vMerge w:val="restart"/>
                  <w:vAlign w:val="center"/>
                </w:tcPr>
                <w:p w14:paraId="71A4BCCD">
                  <w:pPr>
                    <w:jc w:val="center"/>
                    <w:rPr>
                      <w:b/>
                      <w:bCs/>
                      <w:color w:val="auto"/>
                      <w:szCs w:val="21"/>
                    </w:rPr>
                  </w:pPr>
                  <w:r>
                    <w:rPr>
                      <w:rFonts w:hint="eastAsia" w:ascii="宋体" w:hAnsi="宋体" w:eastAsia="宋体" w:cs="宋体"/>
                      <w:b/>
                      <w:bCs/>
                      <w:color w:val="auto"/>
                      <w:kern w:val="0"/>
                      <w:sz w:val="18"/>
                      <w:szCs w:val="18"/>
                    </w:rPr>
                    <w:t>图形工作站</w:t>
                  </w:r>
                </w:p>
              </w:tc>
              <w:tc>
                <w:tcPr>
                  <w:tcW w:w="3891" w:type="pct"/>
                </w:tcPr>
                <w:p w14:paraId="7760A74C">
                  <w:pPr>
                    <w:rPr>
                      <w:b w:val="0"/>
                      <w:bCs w:val="0"/>
                      <w:color w:val="auto"/>
                      <w:szCs w:val="21"/>
                    </w:rPr>
                  </w:pPr>
                  <w:r>
                    <w:rPr>
                      <w:rFonts w:hint="eastAsia"/>
                      <w:b w:val="0"/>
                      <w:bCs w:val="0"/>
                      <w:color w:val="auto"/>
                      <w:szCs w:val="21"/>
                      <w:lang w:val="en-US" w:eastAsia="zh-CN"/>
                    </w:rPr>
                    <w:t>1、</w:t>
                  </w:r>
                  <w:r>
                    <w:rPr>
                      <w:rFonts w:hint="eastAsia"/>
                      <w:b w:val="0"/>
                      <w:bCs w:val="0"/>
                      <w:color w:val="auto"/>
                      <w:szCs w:val="21"/>
                    </w:rPr>
                    <w:t>Intel Xeon Gold 6430 第4代至强 32核64线程 基础2.1GHz/睿频3.4GHz 60MB L3缓存 270W LGA4677 Intel7工艺</w:t>
                  </w:r>
                </w:p>
              </w:tc>
            </w:tr>
            <w:tr w14:paraId="08CDE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316" w:type="pct"/>
                  <w:vMerge w:val="continue"/>
                  <w:vAlign w:val="center"/>
                </w:tcPr>
                <w:p w14:paraId="4BF17F5A">
                  <w:pPr>
                    <w:jc w:val="center"/>
                    <w:rPr>
                      <w:b/>
                      <w:bCs/>
                      <w:color w:val="auto"/>
                      <w:szCs w:val="21"/>
                    </w:rPr>
                  </w:pPr>
                </w:p>
              </w:tc>
              <w:tc>
                <w:tcPr>
                  <w:tcW w:w="792" w:type="pct"/>
                  <w:vMerge w:val="continue"/>
                </w:tcPr>
                <w:p w14:paraId="465B3905">
                  <w:pPr>
                    <w:rPr>
                      <w:b/>
                      <w:bCs/>
                      <w:color w:val="auto"/>
                      <w:szCs w:val="21"/>
                    </w:rPr>
                  </w:pPr>
                </w:p>
              </w:tc>
              <w:tc>
                <w:tcPr>
                  <w:tcW w:w="3891" w:type="pct"/>
                </w:tcPr>
                <w:p w14:paraId="3122A78F">
                  <w:pPr>
                    <w:rPr>
                      <w:b w:val="0"/>
                      <w:bCs w:val="0"/>
                      <w:color w:val="auto"/>
                      <w:szCs w:val="21"/>
                    </w:rPr>
                  </w:pPr>
                  <w:r>
                    <w:rPr>
                      <w:rFonts w:hint="eastAsia"/>
                      <w:b w:val="0"/>
                      <w:bCs w:val="0"/>
                      <w:color w:val="auto"/>
                      <w:szCs w:val="21"/>
                      <w:lang w:val="en-US" w:eastAsia="zh-CN"/>
                    </w:rPr>
                    <w:t>2、128</w:t>
                  </w:r>
                  <w:r>
                    <w:rPr>
                      <w:rFonts w:hint="eastAsia"/>
                      <w:b w:val="0"/>
                      <w:bCs w:val="0"/>
                      <w:color w:val="auto"/>
                      <w:szCs w:val="21"/>
                    </w:rPr>
                    <w:t>G DDR5 RDIMM ECC 4800MHz 服务器级纠错内存 高带宽大容量</w:t>
                  </w:r>
                  <w:bookmarkStart w:id="0" w:name="_GoBack"/>
                  <w:bookmarkEnd w:id="0"/>
                </w:p>
              </w:tc>
            </w:tr>
            <w:tr w14:paraId="5C5B9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316" w:type="pct"/>
                  <w:vMerge w:val="continue"/>
                  <w:vAlign w:val="center"/>
                </w:tcPr>
                <w:p w14:paraId="42DC9664">
                  <w:pPr>
                    <w:jc w:val="center"/>
                    <w:rPr>
                      <w:b/>
                      <w:bCs/>
                      <w:color w:val="auto"/>
                      <w:szCs w:val="21"/>
                    </w:rPr>
                  </w:pPr>
                </w:p>
              </w:tc>
              <w:tc>
                <w:tcPr>
                  <w:tcW w:w="792" w:type="pct"/>
                  <w:vMerge w:val="continue"/>
                </w:tcPr>
                <w:p w14:paraId="09F18170">
                  <w:pPr>
                    <w:rPr>
                      <w:b/>
                      <w:bCs/>
                      <w:color w:val="auto"/>
                      <w:szCs w:val="21"/>
                    </w:rPr>
                  </w:pPr>
                </w:p>
              </w:tc>
              <w:tc>
                <w:tcPr>
                  <w:tcW w:w="3891" w:type="pct"/>
                </w:tcPr>
                <w:p w14:paraId="4B738778">
                  <w:pPr>
                    <w:rPr>
                      <w:b w:val="0"/>
                      <w:bCs w:val="0"/>
                      <w:color w:val="auto"/>
                      <w:szCs w:val="21"/>
                    </w:rPr>
                  </w:pPr>
                  <w:r>
                    <w:rPr>
                      <w:rFonts w:hint="eastAsia"/>
                      <w:b w:val="0"/>
                      <w:bCs w:val="0"/>
                      <w:color w:val="auto"/>
                      <w:szCs w:val="21"/>
                      <w:lang w:val="en-US" w:eastAsia="zh-CN"/>
                    </w:rPr>
                    <w:t>3、</w:t>
                  </w:r>
                  <w:r>
                    <w:rPr>
                      <w:rFonts w:hint="eastAsia"/>
                      <w:b w:val="0"/>
                      <w:bCs w:val="0"/>
                      <w:color w:val="auto"/>
                      <w:szCs w:val="21"/>
                    </w:rPr>
                    <w:t>2T SSD M.2 NVMe PCIe4.0 固态硬盘 读速7000MB/s+</w:t>
                  </w:r>
                </w:p>
              </w:tc>
            </w:tr>
            <w:tr w14:paraId="19A46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16" w:type="pct"/>
                  <w:vMerge w:val="continue"/>
                  <w:vAlign w:val="center"/>
                </w:tcPr>
                <w:p w14:paraId="1CF0BF39">
                  <w:pPr>
                    <w:jc w:val="center"/>
                    <w:rPr>
                      <w:b/>
                      <w:bCs/>
                      <w:color w:val="auto"/>
                      <w:szCs w:val="21"/>
                    </w:rPr>
                  </w:pPr>
                </w:p>
              </w:tc>
              <w:tc>
                <w:tcPr>
                  <w:tcW w:w="792" w:type="pct"/>
                  <w:vMerge w:val="continue"/>
                </w:tcPr>
                <w:p w14:paraId="23328411">
                  <w:pPr>
                    <w:rPr>
                      <w:b/>
                      <w:bCs/>
                      <w:color w:val="auto"/>
                      <w:szCs w:val="21"/>
                    </w:rPr>
                  </w:pPr>
                </w:p>
              </w:tc>
              <w:tc>
                <w:tcPr>
                  <w:tcW w:w="3891" w:type="pct"/>
                </w:tcPr>
                <w:p w14:paraId="6FAF9BB6">
                  <w:pPr>
                    <w:rPr>
                      <w:b w:val="0"/>
                      <w:bCs w:val="0"/>
                      <w:color w:val="auto"/>
                      <w:szCs w:val="21"/>
                    </w:rPr>
                  </w:pPr>
                  <w:r>
                    <w:rPr>
                      <w:rFonts w:hint="eastAsia"/>
                      <w:b w:val="0"/>
                      <w:bCs w:val="0"/>
                      <w:color w:val="auto"/>
                      <w:szCs w:val="21"/>
                      <w:lang w:val="en-US" w:eastAsia="zh-CN"/>
                    </w:rPr>
                    <w:t>4、</w:t>
                  </w:r>
                  <w:r>
                    <w:rPr>
                      <w:rFonts w:hint="eastAsia"/>
                      <w:b w:val="0"/>
                      <w:bCs w:val="0"/>
                      <w:color w:val="auto"/>
                      <w:szCs w:val="21"/>
                    </w:rPr>
                    <w:t>4T SATA 7.2K企业级机械硬盘 大容量数据存储</w:t>
                  </w:r>
                </w:p>
              </w:tc>
            </w:tr>
            <w:tr w14:paraId="322F7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16" w:type="pct"/>
                  <w:vMerge w:val="continue"/>
                  <w:vAlign w:val="center"/>
                </w:tcPr>
                <w:p w14:paraId="79F8498B">
                  <w:pPr>
                    <w:jc w:val="center"/>
                    <w:rPr>
                      <w:b/>
                      <w:bCs/>
                      <w:color w:val="auto"/>
                      <w:szCs w:val="21"/>
                    </w:rPr>
                  </w:pPr>
                </w:p>
              </w:tc>
              <w:tc>
                <w:tcPr>
                  <w:tcW w:w="792" w:type="pct"/>
                  <w:vMerge w:val="continue"/>
                </w:tcPr>
                <w:p w14:paraId="6B12FA2F">
                  <w:pPr>
                    <w:rPr>
                      <w:b/>
                      <w:bCs/>
                      <w:color w:val="auto"/>
                      <w:szCs w:val="21"/>
                    </w:rPr>
                  </w:pPr>
                </w:p>
              </w:tc>
              <w:tc>
                <w:tcPr>
                  <w:tcW w:w="3891" w:type="pct"/>
                </w:tcPr>
                <w:p w14:paraId="48CF3C23">
                  <w:pPr>
                    <w:rPr>
                      <w:b w:val="0"/>
                      <w:bCs w:val="0"/>
                      <w:color w:val="auto"/>
                      <w:szCs w:val="21"/>
                    </w:rPr>
                  </w:pPr>
                  <w:r>
                    <w:rPr>
                      <w:rFonts w:hint="eastAsia"/>
                      <w:b w:val="0"/>
                      <w:bCs w:val="0"/>
                      <w:color w:val="auto"/>
                      <w:szCs w:val="21"/>
                      <w:lang w:val="en-US" w:eastAsia="zh-CN"/>
                    </w:rPr>
                    <w:t>5、</w:t>
                  </w:r>
                  <w:r>
                    <w:rPr>
                      <w:rFonts w:hint="eastAsia"/>
                      <w:b w:val="0"/>
                      <w:bCs w:val="0"/>
                      <w:color w:val="auto"/>
                      <w:szCs w:val="21"/>
                    </w:rPr>
                    <w:t>NVIDIA RTX PRO 5000 72GB GDDR7 Blackwell架构 14080 CUDA核心 440 Tensor核心 110 RT核心 72GB GDDR7 ECC显存 1344GB/s带宽 300W PCIe5.0 4×DP2.1 全高全长双槽</w:t>
                  </w:r>
                </w:p>
              </w:tc>
            </w:tr>
            <w:tr w14:paraId="014D4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trPr>
              <w:tc>
                <w:tcPr>
                  <w:tcW w:w="316" w:type="pct"/>
                  <w:vMerge w:val="continue"/>
                  <w:vAlign w:val="center"/>
                </w:tcPr>
                <w:p w14:paraId="5DF1BBF3">
                  <w:pPr>
                    <w:jc w:val="center"/>
                    <w:rPr>
                      <w:b/>
                      <w:bCs/>
                      <w:color w:val="auto"/>
                      <w:szCs w:val="21"/>
                    </w:rPr>
                  </w:pPr>
                </w:p>
              </w:tc>
              <w:tc>
                <w:tcPr>
                  <w:tcW w:w="792" w:type="pct"/>
                  <w:vMerge w:val="continue"/>
                </w:tcPr>
                <w:p w14:paraId="0F134324">
                  <w:pPr>
                    <w:rPr>
                      <w:b/>
                      <w:bCs/>
                      <w:color w:val="auto"/>
                      <w:szCs w:val="21"/>
                    </w:rPr>
                  </w:pPr>
                </w:p>
              </w:tc>
              <w:tc>
                <w:tcPr>
                  <w:tcW w:w="3891" w:type="pct"/>
                </w:tcPr>
                <w:p w14:paraId="0F881C51">
                  <w:pPr>
                    <w:rPr>
                      <w:b w:val="0"/>
                      <w:bCs w:val="0"/>
                      <w:color w:val="auto"/>
                      <w:szCs w:val="21"/>
                    </w:rPr>
                  </w:pPr>
                  <w:r>
                    <w:rPr>
                      <w:rFonts w:hint="eastAsia"/>
                      <w:b w:val="0"/>
                      <w:bCs w:val="0"/>
                      <w:color w:val="auto"/>
                      <w:szCs w:val="21"/>
                      <w:lang w:val="en-US" w:eastAsia="zh-CN"/>
                    </w:rPr>
                    <w:t>6、</w:t>
                  </w:r>
                  <w:r>
                    <w:rPr>
                      <w:rFonts w:hint="eastAsia"/>
                      <w:b w:val="0"/>
                      <w:bCs w:val="0"/>
                      <w:color w:val="auto"/>
                      <w:szCs w:val="21"/>
                    </w:rPr>
                    <w:t>1850W 80PLUS铂金认证 冗余电源 高效稳定</w:t>
                  </w:r>
                </w:p>
              </w:tc>
            </w:tr>
            <w:tr w14:paraId="4F185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16" w:type="pct"/>
                  <w:vMerge w:val="continue"/>
                  <w:vAlign w:val="center"/>
                </w:tcPr>
                <w:p w14:paraId="712E6F93">
                  <w:pPr>
                    <w:jc w:val="center"/>
                    <w:rPr>
                      <w:b/>
                      <w:bCs/>
                      <w:color w:val="auto"/>
                      <w:szCs w:val="21"/>
                    </w:rPr>
                  </w:pPr>
                </w:p>
              </w:tc>
              <w:tc>
                <w:tcPr>
                  <w:tcW w:w="792" w:type="pct"/>
                  <w:vMerge w:val="continue"/>
                </w:tcPr>
                <w:p w14:paraId="3637D3FB">
                  <w:pPr>
                    <w:rPr>
                      <w:b/>
                      <w:bCs/>
                      <w:color w:val="auto"/>
                      <w:szCs w:val="21"/>
                    </w:rPr>
                  </w:pPr>
                </w:p>
              </w:tc>
              <w:tc>
                <w:tcPr>
                  <w:tcW w:w="3891" w:type="pct"/>
                </w:tcPr>
                <w:p w14:paraId="444CC07E">
                  <w:pPr>
                    <w:numPr>
                      <w:ilvl w:val="0"/>
                      <w:numId w:val="2"/>
                    </w:numPr>
                    <w:rPr>
                      <w:rFonts w:hint="eastAsia"/>
                      <w:b/>
                      <w:bCs/>
                      <w:color w:val="auto"/>
                      <w:szCs w:val="21"/>
                      <w:lang w:val="en-US" w:eastAsia="zh-CN"/>
                    </w:rPr>
                  </w:pPr>
                  <w:r>
                    <w:rPr>
                      <w:rFonts w:hint="eastAsia"/>
                      <w:b/>
                      <w:bCs/>
                      <w:color w:val="auto"/>
                      <w:szCs w:val="21"/>
                      <w:lang w:val="en-US" w:eastAsia="zh-CN"/>
                    </w:rPr>
                    <w:t>配置清单</w:t>
                  </w:r>
                </w:p>
                <w:tbl>
                  <w:tblPr>
                    <w:tblStyle w:val="5"/>
                    <w:tblW w:w="0" w:type="auto"/>
                    <w:tblInd w:w="-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6"/>
                    <w:gridCol w:w="3133"/>
                    <w:gridCol w:w="1269"/>
                  </w:tblGrid>
                  <w:tr w14:paraId="64986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16" w:type="dxa"/>
                      </w:tcPr>
                      <w:p w14:paraId="7E69A6C9">
                        <w:pPr>
                          <w:widowControl/>
                          <w:jc w:val="left"/>
                          <w:rPr>
                            <w:rFonts w:hint="eastAsia" w:ascii="宋体" w:hAnsi="宋体" w:eastAsia="宋体" w:cs="宋体"/>
                            <w:b/>
                            <w:bCs/>
                            <w:color w:val="auto"/>
                            <w:kern w:val="0"/>
                            <w:sz w:val="20"/>
                            <w:szCs w:val="20"/>
                            <w:vertAlign w:val="baseline"/>
                            <w:lang w:val="en-US" w:eastAsia="zh-CN"/>
                          </w:rPr>
                        </w:pPr>
                        <w:r>
                          <w:rPr>
                            <w:rFonts w:hint="eastAsia" w:ascii="宋体" w:hAnsi="宋体" w:eastAsia="宋体" w:cs="宋体"/>
                            <w:b/>
                            <w:bCs/>
                            <w:color w:val="auto"/>
                            <w:kern w:val="0"/>
                            <w:sz w:val="20"/>
                            <w:szCs w:val="20"/>
                            <w:vertAlign w:val="baseline"/>
                            <w:lang w:val="en-US" w:eastAsia="zh-CN"/>
                          </w:rPr>
                          <w:t>序号</w:t>
                        </w:r>
                      </w:p>
                    </w:tc>
                    <w:tc>
                      <w:tcPr>
                        <w:tcW w:w="3133" w:type="dxa"/>
                      </w:tcPr>
                      <w:p w14:paraId="1D27A925">
                        <w:pPr>
                          <w:widowControl/>
                          <w:jc w:val="left"/>
                          <w:rPr>
                            <w:rFonts w:hint="eastAsia" w:ascii="宋体" w:hAnsi="宋体" w:eastAsia="宋体" w:cs="宋体"/>
                            <w:b/>
                            <w:bCs/>
                            <w:color w:val="auto"/>
                            <w:kern w:val="0"/>
                            <w:sz w:val="20"/>
                            <w:szCs w:val="20"/>
                            <w:vertAlign w:val="baseline"/>
                            <w:lang w:val="en-US" w:eastAsia="zh-CN"/>
                          </w:rPr>
                        </w:pPr>
                        <w:r>
                          <w:rPr>
                            <w:rFonts w:hint="eastAsia" w:ascii="宋体" w:hAnsi="宋体" w:eastAsia="宋体" w:cs="宋体"/>
                            <w:b/>
                            <w:bCs/>
                            <w:color w:val="auto"/>
                            <w:kern w:val="0"/>
                            <w:sz w:val="20"/>
                            <w:szCs w:val="20"/>
                            <w:vertAlign w:val="baseline"/>
                            <w:lang w:val="en-US" w:eastAsia="zh-CN"/>
                          </w:rPr>
                          <w:t>货物</w:t>
                        </w:r>
                      </w:p>
                    </w:tc>
                    <w:tc>
                      <w:tcPr>
                        <w:tcW w:w="1269" w:type="dxa"/>
                      </w:tcPr>
                      <w:p w14:paraId="21279D3F">
                        <w:pPr>
                          <w:widowControl/>
                          <w:jc w:val="left"/>
                          <w:rPr>
                            <w:rFonts w:hint="eastAsia" w:ascii="宋体" w:hAnsi="宋体" w:eastAsia="宋体" w:cs="宋体"/>
                            <w:b/>
                            <w:bCs/>
                            <w:color w:val="auto"/>
                            <w:kern w:val="0"/>
                            <w:sz w:val="20"/>
                            <w:szCs w:val="20"/>
                            <w:vertAlign w:val="baseline"/>
                            <w:lang w:val="en-US" w:eastAsia="zh-CN"/>
                          </w:rPr>
                        </w:pPr>
                        <w:r>
                          <w:rPr>
                            <w:rFonts w:hint="eastAsia" w:ascii="宋体" w:hAnsi="宋体" w:eastAsia="宋体" w:cs="宋体"/>
                            <w:b/>
                            <w:bCs/>
                            <w:color w:val="auto"/>
                            <w:kern w:val="0"/>
                            <w:sz w:val="20"/>
                            <w:szCs w:val="20"/>
                            <w:vertAlign w:val="baseline"/>
                            <w:lang w:val="en-US" w:eastAsia="zh-CN"/>
                          </w:rPr>
                          <w:t>数量</w:t>
                        </w:r>
                      </w:p>
                    </w:tc>
                  </w:tr>
                  <w:tr w14:paraId="3628E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16" w:type="dxa"/>
                      </w:tcPr>
                      <w:p w14:paraId="7A88E1BA">
                        <w:pPr>
                          <w:widowControl/>
                          <w:jc w:val="left"/>
                          <w:rPr>
                            <w:rFonts w:hint="eastAsia" w:ascii="宋体" w:hAnsi="宋体" w:eastAsia="宋体" w:cs="宋体"/>
                            <w:b w:val="0"/>
                            <w:bCs w:val="0"/>
                            <w:color w:val="auto"/>
                            <w:kern w:val="0"/>
                            <w:sz w:val="20"/>
                            <w:szCs w:val="20"/>
                            <w:vertAlign w:val="baseline"/>
                            <w:lang w:val="en-US" w:eastAsia="zh-CN"/>
                          </w:rPr>
                        </w:pPr>
                        <w:r>
                          <w:rPr>
                            <w:rFonts w:hint="eastAsia" w:ascii="宋体" w:hAnsi="宋体" w:eastAsia="宋体" w:cs="宋体"/>
                            <w:b w:val="0"/>
                            <w:bCs w:val="0"/>
                            <w:color w:val="auto"/>
                            <w:kern w:val="0"/>
                            <w:sz w:val="20"/>
                            <w:szCs w:val="20"/>
                            <w:vertAlign w:val="baseline"/>
                            <w:lang w:val="en-US" w:eastAsia="zh-CN"/>
                          </w:rPr>
                          <w:t>1</w:t>
                        </w:r>
                      </w:p>
                    </w:tc>
                    <w:tc>
                      <w:tcPr>
                        <w:tcW w:w="3133" w:type="dxa"/>
                      </w:tcPr>
                      <w:p w14:paraId="719270DB">
                        <w:pPr>
                          <w:widowControl/>
                          <w:jc w:val="left"/>
                          <w:rPr>
                            <w:rFonts w:hint="eastAsia" w:ascii="宋体" w:hAnsi="宋体" w:eastAsia="宋体" w:cs="宋体"/>
                            <w:b w:val="0"/>
                            <w:bCs w:val="0"/>
                            <w:color w:val="auto"/>
                            <w:kern w:val="0"/>
                            <w:sz w:val="20"/>
                            <w:szCs w:val="20"/>
                            <w:vertAlign w:val="baseline"/>
                          </w:rPr>
                        </w:pPr>
                        <w:r>
                          <w:rPr>
                            <w:rFonts w:hint="eastAsia" w:ascii="宋体" w:hAnsi="宋体" w:eastAsia="宋体" w:cs="宋体"/>
                            <w:b w:val="0"/>
                            <w:bCs w:val="0"/>
                            <w:color w:val="auto"/>
                            <w:kern w:val="0"/>
                            <w:sz w:val="20"/>
                            <w:szCs w:val="20"/>
                          </w:rPr>
                          <w:t>图形工作站</w:t>
                        </w:r>
                        <w:r>
                          <w:rPr>
                            <w:rFonts w:hint="eastAsia" w:ascii="宋体" w:hAnsi="宋体" w:eastAsia="宋体" w:cs="宋体"/>
                            <w:b w:val="0"/>
                            <w:bCs w:val="0"/>
                            <w:color w:val="auto"/>
                            <w:kern w:val="0"/>
                            <w:sz w:val="20"/>
                            <w:szCs w:val="20"/>
                            <w:lang w:eastAsia="zh-CN"/>
                          </w:rPr>
                          <w:t>：</w:t>
                        </w:r>
                        <w:r>
                          <w:rPr>
                            <w:rFonts w:hint="eastAsia" w:ascii="宋体" w:hAnsi="宋体" w:eastAsia="宋体" w:cs="宋体"/>
                            <w:b w:val="0"/>
                            <w:bCs w:val="0"/>
                            <w:color w:val="auto"/>
                            <w:kern w:val="0"/>
                            <w:sz w:val="20"/>
                            <w:szCs w:val="20"/>
                          </w:rPr>
                          <w:t xml:space="preserve">双路CPU 支持4张双宽显卡 Intel C741芯片组 </w:t>
                        </w:r>
                      </w:p>
                    </w:tc>
                    <w:tc>
                      <w:tcPr>
                        <w:tcW w:w="1269" w:type="dxa"/>
                      </w:tcPr>
                      <w:p w14:paraId="39D9C059">
                        <w:pPr>
                          <w:widowControl/>
                          <w:jc w:val="left"/>
                          <w:rPr>
                            <w:rFonts w:hint="eastAsia" w:ascii="宋体" w:hAnsi="宋体" w:eastAsia="宋体" w:cs="宋体"/>
                            <w:b w:val="0"/>
                            <w:bCs w:val="0"/>
                            <w:color w:val="auto"/>
                            <w:kern w:val="0"/>
                            <w:sz w:val="20"/>
                            <w:szCs w:val="20"/>
                            <w:vertAlign w:val="baseline"/>
                            <w:lang w:val="en-US" w:eastAsia="zh-CN"/>
                          </w:rPr>
                        </w:pPr>
                        <w:r>
                          <w:rPr>
                            <w:rFonts w:hint="eastAsia" w:ascii="宋体" w:hAnsi="宋体" w:eastAsia="宋体" w:cs="宋体"/>
                            <w:b w:val="0"/>
                            <w:bCs w:val="0"/>
                            <w:color w:val="auto"/>
                            <w:kern w:val="0"/>
                            <w:sz w:val="20"/>
                            <w:szCs w:val="20"/>
                            <w:vertAlign w:val="baseline"/>
                            <w:lang w:val="en-US" w:eastAsia="zh-CN"/>
                          </w:rPr>
                          <w:t>1</w:t>
                        </w:r>
                      </w:p>
                    </w:tc>
                  </w:tr>
                  <w:tr w14:paraId="19821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16" w:type="dxa"/>
                      </w:tcPr>
                      <w:p w14:paraId="2ADD759F">
                        <w:pPr>
                          <w:widowControl/>
                          <w:jc w:val="left"/>
                          <w:rPr>
                            <w:rFonts w:hint="eastAsia" w:ascii="宋体" w:hAnsi="宋体" w:eastAsia="宋体" w:cs="宋体"/>
                            <w:b w:val="0"/>
                            <w:bCs w:val="0"/>
                            <w:color w:val="auto"/>
                            <w:kern w:val="0"/>
                            <w:sz w:val="20"/>
                            <w:szCs w:val="20"/>
                            <w:vertAlign w:val="baseline"/>
                            <w:lang w:val="en-US" w:eastAsia="zh-CN"/>
                          </w:rPr>
                        </w:pPr>
                        <w:r>
                          <w:rPr>
                            <w:rFonts w:hint="eastAsia" w:ascii="宋体" w:hAnsi="宋体" w:eastAsia="宋体" w:cs="宋体"/>
                            <w:b w:val="0"/>
                            <w:bCs w:val="0"/>
                            <w:color w:val="auto"/>
                            <w:kern w:val="0"/>
                            <w:sz w:val="20"/>
                            <w:szCs w:val="20"/>
                            <w:vertAlign w:val="baseline"/>
                            <w:lang w:val="en-US" w:eastAsia="zh-CN"/>
                          </w:rPr>
                          <w:t>2</w:t>
                        </w:r>
                      </w:p>
                    </w:tc>
                    <w:tc>
                      <w:tcPr>
                        <w:tcW w:w="3133" w:type="dxa"/>
                      </w:tcPr>
                      <w:p w14:paraId="6871CD0D">
                        <w:pPr>
                          <w:widowControl/>
                          <w:jc w:val="left"/>
                          <w:rPr>
                            <w:rFonts w:hint="eastAsia" w:ascii="宋体" w:hAnsi="宋体" w:eastAsia="宋体" w:cs="宋体"/>
                            <w:b w:val="0"/>
                            <w:bCs w:val="0"/>
                            <w:color w:val="auto"/>
                            <w:kern w:val="0"/>
                            <w:sz w:val="20"/>
                            <w:szCs w:val="20"/>
                            <w:vertAlign w:val="baseline"/>
                          </w:rPr>
                        </w:pPr>
                        <w:r>
                          <w:rPr>
                            <w:rFonts w:hint="eastAsia"/>
                            <w:b w:val="0"/>
                            <w:bCs w:val="0"/>
                            <w:color w:val="auto"/>
                            <w:szCs w:val="21"/>
                            <w:lang w:val="en-US" w:eastAsia="zh-CN"/>
                          </w:rPr>
                          <w:t>32</w:t>
                        </w:r>
                        <w:r>
                          <w:rPr>
                            <w:rFonts w:hint="eastAsia"/>
                            <w:b w:val="0"/>
                            <w:bCs w:val="0"/>
                            <w:color w:val="auto"/>
                            <w:szCs w:val="21"/>
                          </w:rPr>
                          <w:t>G DDR5 RDIMM ECC 4800MHz</w:t>
                        </w:r>
                      </w:p>
                    </w:tc>
                    <w:tc>
                      <w:tcPr>
                        <w:tcW w:w="1269" w:type="dxa"/>
                      </w:tcPr>
                      <w:p w14:paraId="70306F7A">
                        <w:pPr>
                          <w:widowControl/>
                          <w:jc w:val="left"/>
                          <w:rPr>
                            <w:rFonts w:hint="eastAsia" w:ascii="宋体" w:hAnsi="宋体" w:eastAsia="宋体" w:cs="宋体"/>
                            <w:b w:val="0"/>
                            <w:bCs w:val="0"/>
                            <w:color w:val="auto"/>
                            <w:kern w:val="0"/>
                            <w:sz w:val="20"/>
                            <w:szCs w:val="20"/>
                            <w:vertAlign w:val="baseline"/>
                            <w:lang w:val="en-US" w:eastAsia="zh-CN"/>
                          </w:rPr>
                        </w:pPr>
                        <w:r>
                          <w:rPr>
                            <w:rFonts w:hint="eastAsia" w:ascii="宋体" w:hAnsi="宋体" w:eastAsia="宋体" w:cs="宋体"/>
                            <w:b w:val="0"/>
                            <w:bCs w:val="0"/>
                            <w:color w:val="auto"/>
                            <w:kern w:val="0"/>
                            <w:sz w:val="20"/>
                            <w:szCs w:val="20"/>
                            <w:vertAlign w:val="baseline"/>
                            <w:lang w:val="en-US" w:eastAsia="zh-CN"/>
                          </w:rPr>
                          <w:t>4</w:t>
                        </w:r>
                      </w:p>
                    </w:tc>
                  </w:tr>
                  <w:tr w14:paraId="4DDAC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16" w:type="dxa"/>
                      </w:tcPr>
                      <w:p w14:paraId="09953BE7">
                        <w:pPr>
                          <w:widowControl/>
                          <w:jc w:val="left"/>
                          <w:rPr>
                            <w:rFonts w:hint="eastAsia" w:ascii="宋体" w:hAnsi="宋体" w:eastAsia="宋体" w:cs="宋体"/>
                            <w:b w:val="0"/>
                            <w:bCs w:val="0"/>
                            <w:color w:val="auto"/>
                            <w:kern w:val="0"/>
                            <w:sz w:val="20"/>
                            <w:szCs w:val="20"/>
                            <w:vertAlign w:val="baseline"/>
                            <w:lang w:val="en-US" w:eastAsia="zh-CN"/>
                          </w:rPr>
                        </w:pPr>
                        <w:r>
                          <w:rPr>
                            <w:rFonts w:hint="eastAsia" w:ascii="宋体" w:hAnsi="宋体" w:eastAsia="宋体" w:cs="宋体"/>
                            <w:b w:val="0"/>
                            <w:bCs w:val="0"/>
                            <w:color w:val="auto"/>
                            <w:kern w:val="0"/>
                            <w:sz w:val="20"/>
                            <w:szCs w:val="20"/>
                            <w:vertAlign w:val="baseline"/>
                            <w:lang w:val="en-US" w:eastAsia="zh-CN"/>
                          </w:rPr>
                          <w:t>3</w:t>
                        </w:r>
                      </w:p>
                    </w:tc>
                    <w:tc>
                      <w:tcPr>
                        <w:tcW w:w="3133" w:type="dxa"/>
                      </w:tcPr>
                      <w:p w14:paraId="1872B20E">
                        <w:pPr>
                          <w:widowControl/>
                          <w:jc w:val="left"/>
                          <w:rPr>
                            <w:rFonts w:hint="eastAsia" w:ascii="宋体" w:hAnsi="宋体" w:eastAsia="宋体" w:cs="宋体"/>
                            <w:b w:val="0"/>
                            <w:bCs w:val="0"/>
                            <w:color w:val="auto"/>
                            <w:kern w:val="0"/>
                            <w:sz w:val="20"/>
                            <w:szCs w:val="20"/>
                            <w:vertAlign w:val="baseline"/>
                          </w:rPr>
                        </w:pPr>
                        <w:r>
                          <w:rPr>
                            <w:rFonts w:hint="eastAsia"/>
                            <w:b w:val="0"/>
                            <w:bCs w:val="0"/>
                            <w:color w:val="auto"/>
                            <w:szCs w:val="21"/>
                          </w:rPr>
                          <w:t>2T SSD M.2 NVMe PCIe4.0 固态硬盘</w:t>
                        </w:r>
                      </w:p>
                    </w:tc>
                    <w:tc>
                      <w:tcPr>
                        <w:tcW w:w="1269" w:type="dxa"/>
                      </w:tcPr>
                      <w:p w14:paraId="38C419EE">
                        <w:pPr>
                          <w:widowControl/>
                          <w:jc w:val="left"/>
                          <w:rPr>
                            <w:rFonts w:hint="eastAsia" w:ascii="宋体" w:hAnsi="宋体" w:eastAsia="宋体" w:cs="宋体"/>
                            <w:b w:val="0"/>
                            <w:bCs w:val="0"/>
                            <w:color w:val="auto"/>
                            <w:kern w:val="0"/>
                            <w:sz w:val="20"/>
                            <w:szCs w:val="20"/>
                            <w:vertAlign w:val="baseline"/>
                            <w:lang w:val="en-US" w:eastAsia="zh-CN"/>
                          </w:rPr>
                        </w:pPr>
                        <w:r>
                          <w:rPr>
                            <w:rFonts w:hint="eastAsia" w:ascii="宋体" w:hAnsi="宋体" w:eastAsia="宋体" w:cs="宋体"/>
                            <w:b w:val="0"/>
                            <w:bCs w:val="0"/>
                            <w:color w:val="auto"/>
                            <w:kern w:val="0"/>
                            <w:sz w:val="20"/>
                            <w:szCs w:val="20"/>
                            <w:vertAlign w:val="baseline"/>
                            <w:lang w:val="en-US" w:eastAsia="zh-CN"/>
                          </w:rPr>
                          <w:t>1</w:t>
                        </w:r>
                      </w:p>
                    </w:tc>
                  </w:tr>
                  <w:tr w14:paraId="6E8FC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16" w:type="dxa"/>
                      </w:tcPr>
                      <w:p w14:paraId="15946BFD">
                        <w:pPr>
                          <w:widowControl/>
                          <w:jc w:val="left"/>
                          <w:rPr>
                            <w:rFonts w:hint="eastAsia" w:ascii="宋体" w:hAnsi="宋体" w:eastAsia="宋体" w:cs="宋体"/>
                            <w:b w:val="0"/>
                            <w:bCs w:val="0"/>
                            <w:color w:val="auto"/>
                            <w:kern w:val="0"/>
                            <w:sz w:val="20"/>
                            <w:szCs w:val="20"/>
                            <w:vertAlign w:val="baseline"/>
                            <w:lang w:val="en-US" w:eastAsia="zh-CN"/>
                          </w:rPr>
                        </w:pPr>
                        <w:r>
                          <w:rPr>
                            <w:rFonts w:hint="eastAsia" w:ascii="宋体" w:hAnsi="宋体" w:eastAsia="宋体" w:cs="宋体"/>
                            <w:b w:val="0"/>
                            <w:bCs w:val="0"/>
                            <w:color w:val="auto"/>
                            <w:kern w:val="0"/>
                            <w:sz w:val="20"/>
                            <w:szCs w:val="20"/>
                            <w:vertAlign w:val="baseline"/>
                            <w:lang w:val="en-US" w:eastAsia="zh-CN"/>
                          </w:rPr>
                          <w:t>4</w:t>
                        </w:r>
                      </w:p>
                    </w:tc>
                    <w:tc>
                      <w:tcPr>
                        <w:tcW w:w="3133" w:type="dxa"/>
                      </w:tcPr>
                      <w:p w14:paraId="7C816A8F">
                        <w:pPr>
                          <w:widowControl/>
                          <w:jc w:val="left"/>
                          <w:rPr>
                            <w:rFonts w:hint="eastAsia" w:ascii="宋体" w:hAnsi="宋体" w:eastAsia="宋体" w:cs="宋体"/>
                            <w:b w:val="0"/>
                            <w:bCs w:val="0"/>
                            <w:color w:val="auto"/>
                            <w:kern w:val="0"/>
                            <w:sz w:val="20"/>
                            <w:szCs w:val="20"/>
                            <w:vertAlign w:val="baseline"/>
                          </w:rPr>
                        </w:pPr>
                        <w:r>
                          <w:rPr>
                            <w:rFonts w:hint="eastAsia"/>
                            <w:b w:val="0"/>
                            <w:bCs w:val="0"/>
                            <w:color w:val="auto"/>
                            <w:szCs w:val="21"/>
                          </w:rPr>
                          <w:t>数据盘：4T SATA 7.2K企业级机械硬盘</w:t>
                        </w:r>
                      </w:p>
                    </w:tc>
                    <w:tc>
                      <w:tcPr>
                        <w:tcW w:w="1269" w:type="dxa"/>
                      </w:tcPr>
                      <w:p w14:paraId="7FE2CE7A">
                        <w:pPr>
                          <w:widowControl/>
                          <w:jc w:val="left"/>
                          <w:rPr>
                            <w:rFonts w:hint="eastAsia" w:ascii="宋体" w:hAnsi="宋体" w:eastAsia="宋体" w:cs="宋体"/>
                            <w:b w:val="0"/>
                            <w:bCs w:val="0"/>
                            <w:color w:val="auto"/>
                            <w:kern w:val="0"/>
                            <w:sz w:val="20"/>
                            <w:szCs w:val="20"/>
                            <w:vertAlign w:val="baseline"/>
                            <w:lang w:val="en-US" w:eastAsia="zh-CN"/>
                          </w:rPr>
                        </w:pPr>
                        <w:r>
                          <w:rPr>
                            <w:rFonts w:hint="eastAsia" w:ascii="宋体" w:hAnsi="宋体" w:eastAsia="宋体" w:cs="宋体"/>
                            <w:b w:val="0"/>
                            <w:bCs w:val="0"/>
                            <w:color w:val="auto"/>
                            <w:kern w:val="0"/>
                            <w:sz w:val="20"/>
                            <w:szCs w:val="20"/>
                            <w:vertAlign w:val="baseline"/>
                            <w:lang w:val="en-US" w:eastAsia="zh-CN"/>
                          </w:rPr>
                          <w:t>1</w:t>
                        </w:r>
                      </w:p>
                    </w:tc>
                  </w:tr>
                  <w:tr w14:paraId="282CC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16" w:type="dxa"/>
                      </w:tcPr>
                      <w:p w14:paraId="1C4AD3D4">
                        <w:pPr>
                          <w:widowControl/>
                          <w:jc w:val="left"/>
                          <w:rPr>
                            <w:rFonts w:hint="eastAsia" w:ascii="宋体" w:hAnsi="宋体" w:eastAsia="宋体" w:cs="宋体"/>
                            <w:b w:val="0"/>
                            <w:bCs w:val="0"/>
                            <w:color w:val="auto"/>
                            <w:kern w:val="0"/>
                            <w:sz w:val="20"/>
                            <w:szCs w:val="20"/>
                            <w:vertAlign w:val="baseline"/>
                            <w:lang w:val="en-US" w:eastAsia="zh-CN"/>
                          </w:rPr>
                        </w:pPr>
                        <w:r>
                          <w:rPr>
                            <w:rFonts w:hint="eastAsia" w:ascii="宋体" w:hAnsi="宋体" w:eastAsia="宋体" w:cs="宋体"/>
                            <w:b w:val="0"/>
                            <w:bCs w:val="0"/>
                            <w:color w:val="auto"/>
                            <w:kern w:val="0"/>
                            <w:sz w:val="20"/>
                            <w:szCs w:val="20"/>
                            <w:vertAlign w:val="baseline"/>
                            <w:lang w:val="en-US" w:eastAsia="zh-CN"/>
                          </w:rPr>
                          <w:t>5</w:t>
                        </w:r>
                      </w:p>
                    </w:tc>
                    <w:tc>
                      <w:tcPr>
                        <w:tcW w:w="3133" w:type="dxa"/>
                      </w:tcPr>
                      <w:p w14:paraId="17C78E16">
                        <w:pPr>
                          <w:widowControl/>
                          <w:jc w:val="left"/>
                          <w:rPr>
                            <w:rFonts w:hint="eastAsia" w:ascii="宋体" w:hAnsi="宋体" w:eastAsia="宋体" w:cs="宋体"/>
                            <w:b w:val="0"/>
                            <w:bCs w:val="0"/>
                            <w:color w:val="auto"/>
                            <w:kern w:val="0"/>
                            <w:sz w:val="20"/>
                            <w:szCs w:val="20"/>
                            <w:vertAlign w:val="baseline"/>
                          </w:rPr>
                        </w:pPr>
                        <w:r>
                          <w:rPr>
                            <w:rFonts w:hint="eastAsia"/>
                            <w:b w:val="0"/>
                            <w:bCs w:val="0"/>
                            <w:color w:val="auto"/>
                            <w:szCs w:val="21"/>
                            <w:lang w:val="en-US" w:eastAsia="zh-CN"/>
                          </w:rPr>
                          <w:t>显卡：</w:t>
                        </w:r>
                        <w:r>
                          <w:rPr>
                            <w:rFonts w:hint="eastAsia"/>
                            <w:b w:val="0"/>
                            <w:bCs w:val="0"/>
                            <w:color w:val="auto"/>
                            <w:szCs w:val="21"/>
                          </w:rPr>
                          <w:t>NVIDIA RTX PRO 5000 72GB GDDR7 Blackwell</w:t>
                        </w:r>
                      </w:p>
                    </w:tc>
                    <w:tc>
                      <w:tcPr>
                        <w:tcW w:w="1269" w:type="dxa"/>
                      </w:tcPr>
                      <w:p w14:paraId="3ECFFB2D">
                        <w:pPr>
                          <w:widowControl/>
                          <w:jc w:val="left"/>
                          <w:rPr>
                            <w:rFonts w:hint="eastAsia" w:ascii="宋体" w:hAnsi="宋体" w:eastAsia="宋体" w:cs="宋体"/>
                            <w:b w:val="0"/>
                            <w:bCs w:val="0"/>
                            <w:color w:val="auto"/>
                            <w:kern w:val="0"/>
                            <w:sz w:val="20"/>
                            <w:szCs w:val="20"/>
                            <w:vertAlign w:val="baseline"/>
                            <w:lang w:val="en-US" w:eastAsia="zh-CN"/>
                          </w:rPr>
                        </w:pPr>
                        <w:r>
                          <w:rPr>
                            <w:rFonts w:hint="eastAsia" w:ascii="宋体" w:hAnsi="宋体" w:eastAsia="宋体" w:cs="宋体"/>
                            <w:b w:val="0"/>
                            <w:bCs w:val="0"/>
                            <w:color w:val="auto"/>
                            <w:kern w:val="0"/>
                            <w:sz w:val="20"/>
                            <w:szCs w:val="20"/>
                            <w:vertAlign w:val="baseline"/>
                            <w:lang w:val="en-US" w:eastAsia="zh-CN"/>
                          </w:rPr>
                          <w:t>1</w:t>
                        </w:r>
                      </w:p>
                    </w:tc>
                  </w:tr>
                  <w:tr w14:paraId="3347A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16" w:type="dxa"/>
                      </w:tcPr>
                      <w:p w14:paraId="12A38525">
                        <w:pPr>
                          <w:widowControl/>
                          <w:jc w:val="left"/>
                          <w:rPr>
                            <w:rFonts w:hint="eastAsia" w:ascii="宋体" w:hAnsi="宋体" w:eastAsia="宋体" w:cs="宋体"/>
                            <w:b w:val="0"/>
                            <w:bCs w:val="0"/>
                            <w:color w:val="auto"/>
                            <w:kern w:val="0"/>
                            <w:sz w:val="20"/>
                            <w:szCs w:val="20"/>
                            <w:vertAlign w:val="baseline"/>
                            <w:lang w:val="en-US" w:eastAsia="zh-CN"/>
                          </w:rPr>
                        </w:pPr>
                        <w:r>
                          <w:rPr>
                            <w:rFonts w:hint="eastAsia" w:ascii="宋体" w:hAnsi="宋体" w:eastAsia="宋体" w:cs="宋体"/>
                            <w:b w:val="0"/>
                            <w:bCs w:val="0"/>
                            <w:color w:val="auto"/>
                            <w:kern w:val="0"/>
                            <w:sz w:val="20"/>
                            <w:szCs w:val="20"/>
                            <w:vertAlign w:val="baseline"/>
                            <w:lang w:val="en-US" w:eastAsia="zh-CN"/>
                          </w:rPr>
                          <w:t>6</w:t>
                        </w:r>
                      </w:p>
                    </w:tc>
                    <w:tc>
                      <w:tcPr>
                        <w:tcW w:w="3133" w:type="dxa"/>
                      </w:tcPr>
                      <w:p w14:paraId="54FA8011">
                        <w:pPr>
                          <w:widowControl/>
                          <w:jc w:val="left"/>
                          <w:rPr>
                            <w:rFonts w:hint="eastAsia" w:ascii="宋体" w:hAnsi="宋体" w:eastAsia="宋体" w:cs="宋体"/>
                            <w:b w:val="0"/>
                            <w:bCs w:val="0"/>
                            <w:color w:val="auto"/>
                            <w:kern w:val="0"/>
                            <w:sz w:val="20"/>
                            <w:szCs w:val="20"/>
                            <w:vertAlign w:val="baseline"/>
                          </w:rPr>
                        </w:pPr>
                        <w:r>
                          <w:rPr>
                            <w:rFonts w:hint="eastAsia"/>
                            <w:b w:val="0"/>
                            <w:bCs w:val="0"/>
                            <w:color w:val="auto"/>
                            <w:szCs w:val="21"/>
                          </w:rPr>
                          <w:t>1850W 80PLUS冗余电源</w:t>
                        </w:r>
                      </w:p>
                    </w:tc>
                    <w:tc>
                      <w:tcPr>
                        <w:tcW w:w="1269" w:type="dxa"/>
                      </w:tcPr>
                      <w:p w14:paraId="3A667008">
                        <w:pPr>
                          <w:widowControl/>
                          <w:jc w:val="left"/>
                          <w:rPr>
                            <w:rFonts w:hint="eastAsia" w:ascii="宋体" w:hAnsi="宋体" w:eastAsia="宋体" w:cs="宋体"/>
                            <w:b w:val="0"/>
                            <w:bCs w:val="0"/>
                            <w:color w:val="auto"/>
                            <w:kern w:val="0"/>
                            <w:sz w:val="20"/>
                            <w:szCs w:val="20"/>
                            <w:vertAlign w:val="baseline"/>
                            <w:lang w:val="en-US" w:eastAsia="zh-CN"/>
                          </w:rPr>
                        </w:pPr>
                        <w:r>
                          <w:rPr>
                            <w:rFonts w:hint="eastAsia" w:ascii="宋体" w:hAnsi="宋体" w:eastAsia="宋体" w:cs="宋体"/>
                            <w:b w:val="0"/>
                            <w:bCs w:val="0"/>
                            <w:color w:val="auto"/>
                            <w:kern w:val="0"/>
                            <w:sz w:val="20"/>
                            <w:szCs w:val="20"/>
                            <w:vertAlign w:val="baseline"/>
                            <w:lang w:val="en-US" w:eastAsia="zh-CN"/>
                          </w:rPr>
                          <w:t>1</w:t>
                        </w:r>
                      </w:p>
                    </w:tc>
                  </w:tr>
                </w:tbl>
                <w:p w14:paraId="0D80F6F9">
                  <w:pPr>
                    <w:numPr>
                      <w:ilvl w:val="-1"/>
                      <w:numId w:val="0"/>
                    </w:numPr>
                    <w:rPr>
                      <w:rFonts w:hint="default"/>
                      <w:b/>
                      <w:bCs/>
                      <w:color w:val="auto"/>
                      <w:szCs w:val="21"/>
                      <w:lang w:val="en-US" w:eastAsia="zh-CN"/>
                    </w:rPr>
                  </w:pPr>
                </w:p>
              </w:tc>
            </w:tr>
          </w:tbl>
          <w:p w14:paraId="62B0447E">
            <w:pPr>
              <w:widowControl/>
              <w:spacing w:line="360" w:lineRule="auto"/>
              <w:ind w:hanging="720"/>
              <w:jc w:val="left"/>
              <w:rPr>
                <w:b/>
                <w:bCs/>
                <w:color w:val="auto"/>
                <w:lang w:val="en-US" w:eastAsia="zh-CN"/>
              </w:rPr>
            </w:pPr>
            <w:r>
              <w:rPr>
                <w:rFonts w:hint="eastAsia"/>
                <w:b/>
                <w:bCs/>
                <w:color w:val="auto"/>
                <w:lang w:val="en-US" w:eastAsia="zh-CN"/>
              </w:rPr>
              <w:tab/>
            </w:r>
          </w:p>
        </w:tc>
      </w:tr>
      <w:tr w14:paraId="7BBC53C9">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15" w:type="dxa"/>
            <w:left w:w="15" w:type="dxa"/>
            <w:bottom w:w="15" w:type="dxa"/>
            <w:right w:w="15" w:type="dxa"/>
          </w:tblCellMar>
        </w:tblPrEx>
        <w:trPr>
          <w:trHeight w:val="112" w:hRule="atLeast"/>
          <w:tblCellSpacing w:w="0" w:type="dxa"/>
        </w:trPr>
        <w:tc>
          <w:tcPr>
            <w:tcW w:w="526" w:type="pct"/>
            <w:tcBorders>
              <w:top w:val="single" w:color="auto" w:sz="6" w:space="0"/>
              <w:left w:val="single" w:color="auto" w:sz="6" w:space="0"/>
              <w:bottom w:val="nil"/>
              <w:right w:val="nil"/>
            </w:tcBorders>
            <w:vAlign w:val="center"/>
          </w:tcPr>
          <w:p w14:paraId="4DE7F661">
            <w:pPr>
              <w:widowControl/>
              <w:spacing w:before="100" w:beforeAutospacing="1" w:after="100" w:afterAutospacing="1"/>
              <w:jc w:val="left"/>
              <w:rPr>
                <w:rFonts w:ascii="宋体" w:hAnsi="宋体" w:eastAsia="宋体" w:cs="宋体"/>
                <w:color w:val="auto"/>
                <w:kern w:val="0"/>
                <w:sz w:val="20"/>
                <w:szCs w:val="20"/>
              </w:rPr>
            </w:pPr>
            <w:r>
              <w:rPr>
                <w:rFonts w:ascii="宋体" w:hAnsi="宋体" w:eastAsia="宋体" w:cs="宋体"/>
                <w:b/>
                <w:bCs/>
                <w:color w:val="auto"/>
                <w:kern w:val="0"/>
                <w:sz w:val="20"/>
                <w:szCs w:val="20"/>
              </w:rPr>
              <w:t>商务需求</w:t>
            </w:r>
            <w:r>
              <w:rPr>
                <w:rFonts w:ascii="宋体" w:hAnsi="宋体" w:eastAsia="宋体" w:cs="宋体"/>
                <w:color w:val="auto"/>
                <w:kern w:val="0"/>
                <w:sz w:val="20"/>
                <w:szCs w:val="20"/>
              </w:rPr>
              <w:t xml:space="preserve"> </w:t>
            </w:r>
          </w:p>
        </w:tc>
        <w:tc>
          <w:tcPr>
            <w:tcW w:w="4473" w:type="pct"/>
            <w:tcBorders>
              <w:top w:val="single" w:color="auto" w:sz="6" w:space="0"/>
              <w:left w:val="single" w:color="auto" w:sz="6" w:space="0"/>
              <w:bottom w:val="nil"/>
              <w:right w:val="nil"/>
            </w:tcBorders>
            <w:vAlign w:val="center"/>
          </w:tcPr>
          <w:p w14:paraId="30E6F7F9">
            <w:pPr>
              <w:widowControl/>
              <w:jc w:val="left"/>
              <w:rPr>
                <w:rFonts w:hint="eastAsia" w:ascii="宋体" w:hAnsi="宋体" w:eastAsia="宋体" w:cs="宋体"/>
                <w:color w:val="auto"/>
                <w:kern w:val="0"/>
                <w:sz w:val="18"/>
                <w:szCs w:val="18"/>
              </w:rPr>
            </w:pPr>
            <w:r>
              <w:rPr>
                <w:rFonts w:hint="eastAsia" w:ascii="宋体" w:hAnsi="宋体" w:eastAsia="宋体" w:cs="宋体"/>
                <w:color w:val="auto"/>
                <w:kern w:val="0"/>
                <w:sz w:val="18"/>
                <w:szCs w:val="18"/>
              </w:rPr>
              <w:t>1</w:t>
            </w:r>
            <w:r>
              <w:rPr>
                <w:rFonts w:hint="eastAsia" w:ascii="宋体" w:hAnsi="宋体" w:eastAsia="宋体" w:cs="宋体"/>
                <w:color w:val="auto"/>
                <w:kern w:val="0"/>
                <w:sz w:val="18"/>
                <w:szCs w:val="18"/>
                <w:lang w:val="en-US" w:eastAsia="zh-CN"/>
              </w:rPr>
              <w:t>.</w:t>
            </w:r>
            <w:r>
              <w:rPr>
                <w:rFonts w:hint="eastAsia" w:ascii="宋体" w:hAnsi="宋体" w:eastAsia="宋体" w:cs="宋体"/>
                <w:color w:val="auto"/>
                <w:kern w:val="0"/>
                <w:sz w:val="18"/>
                <w:szCs w:val="18"/>
              </w:rPr>
              <w:t>质量保证</w:t>
            </w:r>
          </w:p>
          <w:p w14:paraId="031D9CD0">
            <w:pPr>
              <w:widowControl/>
              <w:jc w:val="left"/>
              <w:rPr>
                <w:rFonts w:hint="eastAsia" w:ascii="宋体" w:hAnsi="宋体" w:eastAsia="宋体" w:cs="宋体"/>
                <w:color w:val="auto"/>
                <w:kern w:val="0"/>
                <w:sz w:val="18"/>
                <w:szCs w:val="18"/>
              </w:rPr>
            </w:pPr>
            <w:r>
              <w:rPr>
                <w:rFonts w:hint="eastAsia" w:ascii="宋体" w:hAnsi="宋体" w:eastAsia="宋体" w:cs="宋体"/>
                <w:color w:val="auto"/>
                <w:kern w:val="0"/>
                <w:sz w:val="18"/>
                <w:szCs w:val="18"/>
                <w:lang w:val="en-US" w:eastAsia="zh-CN"/>
              </w:rPr>
              <w:t>1</w:t>
            </w:r>
            <w:r>
              <w:rPr>
                <w:rFonts w:hint="eastAsia" w:ascii="宋体" w:hAnsi="宋体" w:eastAsia="宋体" w:cs="宋体"/>
                <w:color w:val="auto"/>
                <w:kern w:val="0"/>
                <w:sz w:val="18"/>
                <w:szCs w:val="18"/>
              </w:rPr>
              <w:t>.1乙方保证所提供的产品（含零部件）为原装/全新产品，且质量、规格和技术特征应符合该产品的相关国家标准，达到甲方对产品质量的满意预设。</w:t>
            </w:r>
          </w:p>
          <w:p w14:paraId="44FEB017">
            <w:pPr>
              <w:widowControl/>
              <w:jc w:val="left"/>
              <w:rPr>
                <w:rFonts w:hint="eastAsia" w:ascii="宋体" w:hAnsi="宋体" w:eastAsia="宋体" w:cs="宋体"/>
                <w:color w:val="auto"/>
                <w:kern w:val="0"/>
                <w:sz w:val="18"/>
                <w:szCs w:val="18"/>
              </w:rPr>
            </w:pPr>
            <w:r>
              <w:rPr>
                <w:rFonts w:hint="eastAsia" w:ascii="宋体" w:hAnsi="宋体" w:eastAsia="宋体" w:cs="宋体"/>
                <w:color w:val="auto"/>
                <w:kern w:val="0"/>
                <w:sz w:val="18"/>
                <w:szCs w:val="18"/>
                <w:lang w:val="en-US" w:eastAsia="zh-CN"/>
              </w:rPr>
              <w:t>1</w:t>
            </w:r>
            <w:r>
              <w:rPr>
                <w:rFonts w:hint="eastAsia" w:ascii="宋体" w:hAnsi="宋体" w:eastAsia="宋体" w:cs="宋体"/>
                <w:color w:val="auto"/>
                <w:kern w:val="0"/>
                <w:sz w:val="18"/>
                <w:szCs w:val="18"/>
              </w:rPr>
              <w:t>.2乙方所提供产品，必须符合甲方要求，并符合国家有关规范和环保要求。</w:t>
            </w:r>
          </w:p>
          <w:p w14:paraId="62AB9C98">
            <w:pPr>
              <w:widowControl/>
              <w:spacing w:line="240" w:lineRule="auto"/>
              <w:ind w:left="0" w:leftChars="0"/>
              <w:jc w:val="left"/>
              <w:rPr>
                <w:rFonts w:hint="eastAsia" w:ascii="宋体" w:hAnsi="宋体" w:eastAsia="宋体" w:cs="宋体"/>
                <w:b w:val="0"/>
                <w:bCs w:val="0"/>
                <w:color w:val="auto"/>
                <w:kern w:val="0"/>
                <w:sz w:val="18"/>
                <w:szCs w:val="18"/>
              </w:rPr>
            </w:pPr>
            <w:r>
              <w:rPr>
                <w:rFonts w:hint="eastAsia" w:ascii="宋体" w:hAnsi="宋体" w:eastAsia="宋体" w:cs="宋体"/>
                <w:b w:val="0"/>
                <w:bCs w:val="0"/>
                <w:color w:val="auto"/>
                <w:kern w:val="0"/>
                <w:sz w:val="18"/>
                <w:szCs w:val="18"/>
                <w:lang w:val="en-US" w:eastAsia="zh-CN"/>
              </w:rPr>
              <w:t>2.</w:t>
            </w:r>
            <w:r>
              <w:rPr>
                <w:rFonts w:hint="eastAsia" w:ascii="宋体" w:hAnsi="宋体" w:eastAsia="宋体" w:cs="宋体"/>
                <w:b w:val="0"/>
                <w:bCs w:val="0"/>
                <w:color w:val="auto"/>
                <w:kern w:val="0"/>
                <w:sz w:val="18"/>
                <w:szCs w:val="18"/>
              </w:rPr>
              <w:t>合同产品包装、交货、安装、验收</w:t>
            </w:r>
          </w:p>
          <w:p w14:paraId="7AF8DC83">
            <w:pPr>
              <w:widowControl/>
              <w:spacing w:line="240" w:lineRule="auto"/>
              <w:ind w:firstLine="0" w:firstLineChars="0"/>
              <w:jc w:val="left"/>
              <w:rPr>
                <w:rFonts w:hint="eastAsia" w:ascii="宋体" w:hAnsi="宋体" w:eastAsia="宋体" w:cs="宋体"/>
                <w:color w:val="auto"/>
                <w:kern w:val="0"/>
                <w:sz w:val="18"/>
                <w:szCs w:val="18"/>
              </w:rPr>
            </w:pPr>
            <w:r>
              <w:rPr>
                <w:rFonts w:hint="eastAsia" w:ascii="宋体" w:hAnsi="宋体" w:eastAsia="宋体" w:cs="宋体"/>
                <w:color w:val="auto"/>
                <w:kern w:val="0"/>
                <w:sz w:val="18"/>
                <w:szCs w:val="18"/>
                <w:lang w:val="en-US" w:eastAsia="zh-CN"/>
              </w:rPr>
              <w:t>2</w:t>
            </w:r>
            <w:r>
              <w:rPr>
                <w:rFonts w:hint="eastAsia" w:ascii="宋体" w:hAnsi="宋体" w:eastAsia="宋体" w:cs="宋体"/>
                <w:color w:val="auto"/>
                <w:kern w:val="0"/>
                <w:sz w:val="18"/>
                <w:szCs w:val="18"/>
              </w:rPr>
              <w:t>.1合同产品的包装：产品的包装均应符合产品特性，具有相应的防湿、防锈、防潮、防雨、防腐及防碰撞的合理尽责措施。凡由于包装问题造成的损失和由此产生的费用均由乙方承担。</w:t>
            </w:r>
          </w:p>
          <w:p w14:paraId="1181E025">
            <w:pPr>
              <w:widowControl/>
              <w:spacing w:line="240" w:lineRule="auto"/>
              <w:ind w:firstLine="0" w:firstLineChars="0"/>
              <w:jc w:val="left"/>
              <w:rPr>
                <w:rFonts w:hint="eastAsia" w:ascii="宋体" w:hAnsi="宋体" w:eastAsia="宋体" w:cs="宋体"/>
                <w:color w:val="auto"/>
                <w:kern w:val="0"/>
                <w:sz w:val="18"/>
                <w:szCs w:val="18"/>
              </w:rPr>
            </w:pPr>
            <w:r>
              <w:rPr>
                <w:rFonts w:hint="eastAsia" w:ascii="宋体" w:hAnsi="宋体" w:eastAsia="宋体" w:cs="宋体"/>
                <w:color w:val="auto"/>
                <w:kern w:val="0"/>
                <w:sz w:val="18"/>
                <w:szCs w:val="18"/>
                <w:lang w:val="en-US" w:eastAsia="zh-CN"/>
              </w:rPr>
              <w:t>2</w:t>
            </w:r>
            <w:r>
              <w:rPr>
                <w:rFonts w:hint="eastAsia" w:ascii="宋体" w:hAnsi="宋体" w:eastAsia="宋体" w:cs="宋体"/>
                <w:color w:val="auto"/>
                <w:kern w:val="0"/>
                <w:sz w:val="18"/>
                <w:szCs w:val="18"/>
              </w:rPr>
              <w:t>.2合同产品的交货：乙方应在签订合同之日起【</w:t>
            </w:r>
            <w:r>
              <w:rPr>
                <w:rFonts w:hint="eastAsia" w:ascii="宋体" w:hAnsi="宋体" w:eastAsia="宋体" w:cs="宋体"/>
                <w:color w:val="auto"/>
                <w:kern w:val="0"/>
                <w:sz w:val="18"/>
                <w:szCs w:val="18"/>
                <w:lang w:val="en-US" w:eastAsia="zh-CN"/>
              </w:rPr>
              <w:t>7</w:t>
            </w:r>
            <w:r>
              <w:rPr>
                <w:rFonts w:hint="eastAsia" w:ascii="宋体" w:hAnsi="宋体" w:eastAsia="宋体" w:cs="宋体"/>
                <w:color w:val="auto"/>
                <w:kern w:val="0"/>
                <w:sz w:val="18"/>
                <w:szCs w:val="18"/>
              </w:rPr>
              <w:t>】天内将产品运送至甲方指定地点，运输费用及风险由乙方承担。乙方承诺，产品及相应配套产品应当一同交付，相应配套产品包括但不限于产品说明书、维护手册、质量保证文件、服务指南等。</w:t>
            </w:r>
          </w:p>
          <w:p w14:paraId="454D6E69">
            <w:pPr>
              <w:widowControl/>
              <w:spacing w:line="240" w:lineRule="auto"/>
              <w:ind w:firstLine="0" w:firstLineChars="0"/>
              <w:jc w:val="left"/>
              <w:rPr>
                <w:rFonts w:hint="eastAsia" w:ascii="宋体" w:hAnsi="宋体" w:eastAsia="宋体" w:cs="宋体"/>
                <w:color w:val="auto"/>
                <w:kern w:val="0"/>
                <w:sz w:val="18"/>
                <w:szCs w:val="18"/>
              </w:rPr>
            </w:pPr>
            <w:r>
              <w:rPr>
                <w:rFonts w:hint="eastAsia" w:ascii="宋体" w:hAnsi="宋体" w:eastAsia="宋体" w:cs="宋体"/>
                <w:color w:val="auto"/>
                <w:kern w:val="0"/>
                <w:sz w:val="18"/>
                <w:szCs w:val="18"/>
                <w:lang w:val="en-US" w:eastAsia="zh-CN"/>
              </w:rPr>
              <w:t>2</w:t>
            </w:r>
            <w:r>
              <w:rPr>
                <w:rFonts w:hint="eastAsia" w:ascii="宋体" w:hAnsi="宋体" w:eastAsia="宋体" w:cs="宋体"/>
                <w:color w:val="auto"/>
                <w:kern w:val="0"/>
                <w:sz w:val="18"/>
                <w:szCs w:val="18"/>
              </w:rPr>
              <w:t>.3合同产品的</w:t>
            </w:r>
            <w:r>
              <w:rPr>
                <w:rFonts w:hint="eastAsia" w:ascii="宋体" w:hAnsi="宋体" w:eastAsia="宋体" w:cs="宋体"/>
                <w:color w:val="auto"/>
                <w:kern w:val="0"/>
                <w:sz w:val="18"/>
                <w:szCs w:val="18"/>
                <w:lang w:val="en-US" w:eastAsia="zh-CN"/>
              </w:rPr>
              <w:t>安装</w:t>
            </w:r>
            <w:r>
              <w:rPr>
                <w:rFonts w:hint="eastAsia" w:ascii="宋体" w:hAnsi="宋体" w:eastAsia="宋体" w:cs="宋体"/>
                <w:color w:val="auto"/>
                <w:kern w:val="0"/>
                <w:sz w:val="18"/>
                <w:szCs w:val="18"/>
              </w:rPr>
              <w:t>：乙方应在</w:t>
            </w:r>
            <w:r>
              <w:rPr>
                <w:rFonts w:hint="eastAsia" w:ascii="宋体" w:hAnsi="宋体" w:eastAsia="宋体" w:cs="宋体"/>
                <w:color w:val="auto"/>
                <w:kern w:val="0"/>
                <w:sz w:val="18"/>
                <w:szCs w:val="18"/>
                <w:lang w:val="en-US" w:eastAsia="zh-CN"/>
              </w:rPr>
              <w:t>到货后</w:t>
            </w:r>
            <w:r>
              <w:rPr>
                <w:rFonts w:hint="eastAsia" w:ascii="宋体" w:hAnsi="宋体" w:eastAsia="宋体" w:cs="宋体"/>
                <w:color w:val="auto"/>
                <w:kern w:val="0"/>
                <w:sz w:val="18"/>
                <w:szCs w:val="18"/>
              </w:rPr>
              <w:t>【</w:t>
            </w:r>
            <w:r>
              <w:rPr>
                <w:rFonts w:hint="eastAsia" w:ascii="宋体" w:hAnsi="宋体" w:eastAsia="宋体" w:cs="宋体"/>
                <w:color w:val="auto"/>
                <w:kern w:val="0"/>
                <w:sz w:val="18"/>
                <w:szCs w:val="18"/>
                <w:lang w:val="en-US" w:eastAsia="zh-CN"/>
              </w:rPr>
              <w:t>7</w:t>
            </w:r>
            <w:r>
              <w:rPr>
                <w:rFonts w:hint="eastAsia" w:ascii="宋体" w:hAnsi="宋体" w:eastAsia="宋体" w:cs="宋体"/>
                <w:color w:val="auto"/>
                <w:kern w:val="0"/>
                <w:sz w:val="18"/>
                <w:szCs w:val="18"/>
              </w:rPr>
              <w:t>】天内完成合同项下产品的安装、调试，一切费用及责任由乙方承担。</w:t>
            </w:r>
          </w:p>
          <w:p w14:paraId="41854DA1">
            <w:pPr>
              <w:widowControl/>
              <w:jc w:val="left"/>
              <w:rPr>
                <w:rFonts w:hint="eastAsia" w:ascii="宋体" w:hAnsi="宋体" w:eastAsia="宋体" w:cs="宋体"/>
                <w:color w:val="auto"/>
                <w:kern w:val="0"/>
                <w:sz w:val="18"/>
                <w:szCs w:val="18"/>
              </w:rPr>
            </w:pPr>
            <w:r>
              <w:rPr>
                <w:rFonts w:hint="eastAsia" w:ascii="宋体" w:hAnsi="宋体" w:eastAsia="宋体" w:cs="宋体"/>
                <w:color w:val="auto"/>
                <w:kern w:val="0"/>
                <w:sz w:val="18"/>
                <w:szCs w:val="18"/>
                <w:lang w:val="en-US" w:eastAsia="zh-CN"/>
              </w:rPr>
              <w:t>2</w:t>
            </w:r>
            <w:r>
              <w:rPr>
                <w:rFonts w:hint="eastAsia" w:ascii="宋体" w:hAnsi="宋体" w:eastAsia="宋体" w:cs="宋体"/>
                <w:color w:val="auto"/>
                <w:kern w:val="0"/>
                <w:sz w:val="18"/>
                <w:szCs w:val="18"/>
              </w:rPr>
              <w:t>.4乙方需配合甲方关于验收的要求，如提供产品送货清单、合格证明、使用说明书等材料和技术文件，参与验收。</w:t>
            </w:r>
          </w:p>
          <w:p w14:paraId="4D7D83D5">
            <w:pPr>
              <w:widowControl/>
              <w:jc w:val="left"/>
              <w:rPr>
                <w:rFonts w:hint="eastAsia" w:ascii="宋体" w:hAnsi="宋体" w:eastAsia="宋体" w:cs="宋体"/>
                <w:color w:val="auto"/>
                <w:kern w:val="0"/>
                <w:sz w:val="18"/>
                <w:szCs w:val="18"/>
              </w:rPr>
            </w:pPr>
            <w:r>
              <w:rPr>
                <w:rFonts w:hint="eastAsia" w:ascii="宋体" w:hAnsi="宋体" w:eastAsia="宋体" w:cs="宋体"/>
                <w:color w:val="auto"/>
                <w:kern w:val="0"/>
                <w:sz w:val="18"/>
                <w:szCs w:val="18"/>
                <w:lang w:val="en-US" w:eastAsia="zh-CN"/>
              </w:rPr>
              <w:t>3</w:t>
            </w:r>
            <w:r>
              <w:rPr>
                <w:rFonts w:hint="eastAsia" w:ascii="宋体" w:hAnsi="宋体" w:eastAsia="宋体" w:cs="宋体"/>
                <w:color w:val="auto"/>
                <w:kern w:val="0"/>
                <w:sz w:val="18"/>
                <w:szCs w:val="18"/>
              </w:rPr>
              <w:t>、培训：投标人应依据采购人需求提供技术培训，保证使用人员正常操作设备的各种功能。</w:t>
            </w:r>
          </w:p>
          <w:p w14:paraId="6DA6F562">
            <w:pPr>
              <w:widowControl/>
              <w:jc w:val="left"/>
              <w:rPr>
                <w:rFonts w:hint="eastAsia" w:ascii="宋体" w:hAnsi="宋体" w:eastAsia="宋体" w:cs="宋体"/>
                <w:color w:val="auto"/>
                <w:kern w:val="0"/>
                <w:sz w:val="18"/>
                <w:szCs w:val="18"/>
                <w:lang w:val="en-US" w:eastAsia="zh-CN"/>
              </w:rPr>
            </w:pPr>
            <w:r>
              <w:rPr>
                <w:rFonts w:hint="eastAsia" w:ascii="宋体" w:hAnsi="宋体" w:eastAsia="宋体" w:cs="宋体"/>
                <w:color w:val="auto"/>
                <w:kern w:val="0"/>
                <w:sz w:val="18"/>
                <w:szCs w:val="18"/>
                <w:lang w:val="en-US" w:eastAsia="zh-CN"/>
              </w:rPr>
              <w:t>4.售后服务</w:t>
            </w:r>
          </w:p>
          <w:p w14:paraId="432EB3D1">
            <w:pPr>
              <w:widowControl/>
              <w:jc w:val="left"/>
              <w:rPr>
                <w:rFonts w:hint="eastAsia" w:ascii="宋体" w:hAnsi="宋体" w:eastAsia="宋体" w:cs="宋体"/>
                <w:color w:val="auto"/>
                <w:kern w:val="0"/>
                <w:sz w:val="18"/>
                <w:szCs w:val="18"/>
                <w:lang w:val="en-US" w:eastAsia="zh-CN"/>
              </w:rPr>
            </w:pPr>
            <w:r>
              <w:rPr>
                <w:rFonts w:hint="eastAsia" w:ascii="宋体" w:hAnsi="宋体" w:eastAsia="宋体" w:cs="宋体"/>
                <w:color w:val="auto"/>
                <w:kern w:val="0"/>
                <w:sz w:val="18"/>
                <w:szCs w:val="18"/>
                <w:lang w:val="en-US" w:eastAsia="zh-CN"/>
              </w:rPr>
              <w:t>4.1本合同项下的产品质量保证期为【3】，自乙方完成安装并由甲方书面确认货物验收合格开始计算。质保期内，出现的任何产品质量及安装问题，由乙方免费负责包修、包换或包退，并承担因此而产生的一切费用。乙方办理修理、换货、退货时间不得超过【10】天。</w:t>
            </w:r>
          </w:p>
          <w:p w14:paraId="171E0C34">
            <w:pPr>
              <w:widowControl/>
              <w:jc w:val="left"/>
              <w:rPr>
                <w:rFonts w:hint="eastAsia" w:ascii="宋体" w:hAnsi="宋体" w:eastAsia="宋体" w:cs="宋体"/>
                <w:color w:val="auto"/>
                <w:kern w:val="0"/>
                <w:sz w:val="18"/>
                <w:szCs w:val="18"/>
                <w:lang w:val="en-US" w:eastAsia="zh-CN"/>
              </w:rPr>
            </w:pPr>
            <w:r>
              <w:rPr>
                <w:rFonts w:hint="eastAsia" w:ascii="宋体" w:hAnsi="宋体" w:eastAsia="宋体" w:cs="宋体"/>
                <w:color w:val="auto"/>
                <w:kern w:val="0"/>
                <w:sz w:val="18"/>
                <w:szCs w:val="18"/>
                <w:lang w:val="en-US" w:eastAsia="zh-CN"/>
              </w:rPr>
              <w:t>4.2因产品的质量问题而发生争议，难以界定质量是否符合合同要求的，双方均有权请求广东省或深圳市质检部门进行质量鉴定。经鉴定产品符合合同要求的，鉴定费用由甲方承担；不符合要求的，鉴定费用由乙方承担。</w:t>
            </w:r>
          </w:p>
          <w:p w14:paraId="5C84B0FF">
            <w:pPr>
              <w:widowControl/>
              <w:jc w:val="left"/>
              <w:rPr>
                <w:rFonts w:hint="eastAsia" w:ascii="宋体" w:hAnsi="宋体" w:eastAsia="宋体" w:cs="宋体"/>
                <w:color w:val="auto"/>
                <w:kern w:val="0"/>
                <w:sz w:val="18"/>
                <w:szCs w:val="18"/>
                <w:lang w:val="en-US" w:eastAsia="zh-CN"/>
              </w:rPr>
            </w:pPr>
            <w:r>
              <w:rPr>
                <w:rFonts w:hint="eastAsia" w:ascii="宋体" w:hAnsi="宋体" w:eastAsia="宋体" w:cs="宋体"/>
                <w:color w:val="auto"/>
                <w:kern w:val="0"/>
                <w:sz w:val="18"/>
                <w:szCs w:val="18"/>
                <w:lang w:val="en-US" w:eastAsia="zh-CN"/>
              </w:rPr>
              <w:t>4.3乙方保证其提供的产品不侵犯任何第三方的所有权、知识产权等合法权益，亦不存在其他权利瑕疵。因此引发的知识产权问题由乙方承担相应责任，甲方不承担任何责任。</w:t>
            </w:r>
          </w:p>
          <w:p w14:paraId="01BE96E7">
            <w:pPr>
              <w:widowControl/>
              <w:jc w:val="left"/>
              <w:rPr>
                <w:rFonts w:hint="eastAsia" w:ascii="宋体" w:hAnsi="宋体" w:eastAsia="宋体" w:cs="宋体"/>
                <w:color w:val="auto"/>
                <w:kern w:val="0"/>
                <w:sz w:val="18"/>
                <w:szCs w:val="18"/>
              </w:rPr>
            </w:pPr>
            <w:r>
              <w:rPr>
                <w:rFonts w:hint="eastAsia" w:ascii="宋体" w:hAnsi="宋体" w:eastAsia="宋体" w:cs="宋体"/>
                <w:color w:val="auto"/>
                <w:kern w:val="0"/>
                <w:sz w:val="18"/>
                <w:szCs w:val="18"/>
                <w:lang w:val="en-US" w:eastAsia="zh-CN"/>
              </w:rPr>
              <w:t>4.4因乙方提供的产品的质量问题引发的人身伤害等问题，由乙方承担相应的赔偿责任。</w:t>
            </w:r>
            <w:r>
              <w:rPr>
                <w:rFonts w:hint="eastAsia" w:ascii="宋体" w:hAnsi="宋体" w:eastAsia="宋体" w:cs="宋体"/>
                <w:color w:val="auto"/>
                <w:kern w:val="0"/>
                <w:sz w:val="18"/>
                <w:szCs w:val="18"/>
              </w:rPr>
              <w:t xml:space="preserve"> </w:t>
            </w:r>
          </w:p>
          <w:p w14:paraId="54C42A13">
            <w:pPr>
              <w:widowControl/>
              <w:jc w:val="left"/>
              <w:rPr>
                <w:rFonts w:hint="eastAsia" w:ascii="宋体" w:hAnsi="宋体" w:eastAsia="宋体" w:cs="宋体"/>
                <w:color w:val="auto"/>
                <w:kern w:val="0"/>
                <w:sz w:val="18"/>
                <w:szCs w:val="18"/>
              </w:rPr>
            </w:pPr>
            <w:r>
              <w:rPr>
                <w:rFonts w:hint="eastAsia" w:ascii="宋体" w:hAnsi="宋体" w:eastAsia="宋体" w:cs="宋体"/>
                <w:color w:val="auto"/>
                <w:kern w:val="0"/>
                <w:sz w:val="18"/>
                <w:szCs w:val="18"/>
                <w:lang w:val="en-US" w:eastAsia="zh-CN"/>
              </w:rPr>
              <w:t>4.5</w:t>
            </w:r>
            <w:r>
              <w:rPr>
                <w:rFonts w:hint="eastAsia" w:ascii="宋体" w:hAnsi="宋体" w:eastAsia="宋体" w:cs="宋体"/>
                <w:color w:val="auto"/>
                <w:kern w:val="0"/>
                <w:sz w:val="18"/>
                <w:szCs w:val="18"/>
              </w:rPr>
              <w:t>保修期内，供应商接到维修通知，应于24小时内到达现场处理，如货物在检修48小时后故障仍无法排除，在最短72小时内更换零配件，修复故障货物。 若72小时内未完成修复的，投标人应按采购人要求免费提供备用机，且货物的保修期以延期修复天数的双倍计算延长保修期。（即每延期修复1天，保修期延长2天。）</w:t>
            </w:r>
          </w:p>
          <w:p w14:paraId="514FD2DB">
            <w:pPr>
              <w:widowControl/>
              <w:jc w:val="left"/>
              <w:rPr>
                <w:rFonts w:hint="eastAsia" w:ascii="宋体" w:hAnsi="宋体" w:eastAsia="宋体" w:cs="宋体"/>
                <w:color w:val="auto"/>
                <w:kern w:val="0"/>
                <w:sz w:val="18"/>
                <w:szCs w:val="18"/>
              </w:rPr>
            </w:pPr>
            <w:r>
              <w:rPr>
                <w:rFonts w:hint="eastAsia" w:ascii="宋体" w:hAnsi="宋体" w:eastAsia="宋体" w:cs="宋体"/>
                <w:color w:val="auto"/>
                <w:kern w:val="0"/>
                <w:sz w:val="18"/>
                <w:szCs w:val="18"/>
                <w:lang w:val="en-US" w:eastAsia="zh-CN"/>
              </w:rPr>
              <w:t>5</w:t>
            </w:r>
            <w:r>
              <w:rPr>
                <w:rFonts w:hint="eastAsia" w:ascii="宋体" w:hAnsi="宋体" w:eastAsia="宋体" w:cs="宋体"/>
                <w:color w:val="auto"/>
                <w:kern w:val="0"/>
                <w:sz w:val="18"/>
                <w:szCs w:val="18"/>
              </w:rPr>
              <w:t>、付款方式：到货使用无异常，验收合格后，凭发票一次性付清货款。</w:t>
            </w:r>
          </w:p>
          <w:p w14:paraId="337D9F3A">
            <w:pPr>
              <w:widowControl/>
              <w:jc w:val="left"/>
              <w:rPr>
                <w:rFonts w:hint="eastAsia" w:ascii="宋体" w:hAnsi="宋体" w:eastAsia="宋体" w:cs="宋体"/>
                <w:color w:val="auto"/>
                <w:kern w:val="0"/>
                <w:sz w:val="18"/>
                <w:szCs w:val="18"/>
              </w:rPr>
            </w:pPr>
            <w:r>
              <w:rPr>
                <w:rFonts w:hint="eastAsia" w:ascii="宋体" w:hAnsi="宋体" w:eastAsia="宋体" w:cs="宋体"/>
                <w:color w:val="auto"/>
                <w:kern w:val="0"/>
                <w:sz w:val="18"/>
                <w:szCs w:val="18"/>
                <w:lang w:val="en-US" w:eastAsia="zh-CN"/>
              </w:rPr>
              <w:t>6</w:t>
            </w:r>
            <w:r>
              <w:rPr>
                <w:rFonts w:hint="eastAsia" w:ascii="宋体" w:hAnsi="宋体" w:eastAsia="宋体" w:cs="宋体"/>
                <w:color w:val="auto"/>
                <w:kern w:val="0"/>
                <w:sz w:val="18"/>
                <w:szCs w:val="18"/>
              </w:rPr>
              <w:t>、报价包含设备的设计、包装、仓储、运输、保险、装卸、报装、安装调试、培训等与采购设备及服务相关的所有含税费用。</w:t>
            </w:r>
          </w:p>
          <w:p w14:paraId="41025D5C">
            <w:pPr>
              <w:widowControl/>
              <w:jc w:val="left"/>
              <w:rPr>
                <w:rFonts w:hint="eastAsia" w:ascii="宋体" w:hAnsi="宋体" w:eastAsia="宋体" w:cs="宋体"/>
                <w:color w:val="auto"/>
                <w:kern w:val="0"/>
                <w:sz w:val="18"/>
                <w:szCs w:val="18"/>
              </w:rPr>
            </w:pPr>
            <w:r>
              <w:rPr>
                <w:rFonts w:hint="eastAsia" w:ascii="宋体" w:hAnsi="宋体" w:eastAsia="宋体" w:cs="宋体"/>
                <w:color w:val="auto"/>
                <w:kern w:val="0"/>
                <w:sz w:val="18"/>
                <w:szCs w:val="18"/>
                <w:lang w:val="en-US" w:eastAsia="zh-CN"/>
              </w:rPr>
              <w:t>7</w:t>
            </w:r>
            <w:r>
              <w:rPr>
                <w:rFonts w:hint="eastAsia" w:ascii="宋体" w:hAnsi="宋体" w:eastAsia="宋体" w:cs="宋体"/>
                <w:color w:val="auto"/>
                <w:kern w:val="0"/>
                <w:sz w:val="18"/>
                <w:szCs w:val="18"/>
              </w:rPr>
              <w:t>、违约责任</w:t>
            </w:r>
          </w:p>
          <w:p w14:paraId="3A699974">
            <w:pPr>
              <w:widowControl/>
              <w:jc w:val="left"/>
              <w:rPr>
                <w:rFonts w:hint="eastAsia" w:ascii="宋体" w:hAnsi="宋体" w:eastAsia="宋体" w:cs="宋体"/>
                <w:color w:val="auto"/>
                <w:kern w:val="0"/>
                <w:sz w:val="18"/>
                <w:szCs w:val="18"/>
              </w:rPr>
            </w:pPr>
            <w:r>
              <w:rPr>
                <w:rFonts w:hint="eastAsia" w:ascii="宋体" w:hAnsi="宋体" w:eastAsia="宋体" w:cs="宋体"/>
                <w:color w:val="auto"/>
                <w:kern w:val="0"/>
                <w:sz w:val="18"/>
                <w:szCs w:val="18"/>
              </w:rPr>
              <w:t>（1）投标人所交产品的品种、型号、规格、质量、功能、技术参数等方面不能实质性满足招标要求的，采购人有权拒绝收货，投标人向采购人偿付合同金额【30】%的违约金。</w:t>
            </w:r>
          </w:p>
          <w:p w14:paraId="07921C68">
            <w:pPr>
              <w:widowControl/>
              <w:jc w:val="left"/>
              <w:rPr>
                <w:rFonts w:hint="eastAsia" w:ascii="宋体" w:hAnsi="宋体" w:eastAsia="宋体" w:cs="宋体"/>
                <w:color w:val="auto"/>
                <w:kern w:val="0"/>
                <w:sz w:val="18"/>
                <w:szCs w:val="18"/>
              </w:rPr>
            </w:pPr>
            <w:r>
              <w:rPr>
                <w:rFonts w:hint="eastAsia" w:ascii="宋体" w:hAnsi="宋体" w:eastAsia="宋体" w:cs="宋体"/>
                <w:color w:val="auto"/>
                <w:kern w:val="0"/>
                <w:sz w:val="18"/>
                <w:szCs w:val="18"/>
              </w:rPr>
              <w:t>（2）投标人逾期交货，或逾期完成安装的，投标人均应支付逾期违约金，每日按合同总价的【0.5%】计算；如逾期超过30天，采购人还有权单方解除本合同。因逾期给采购人带来的相应损失，采购人有权追偿。</w:t>
            </w:r>
          </w:p>
          <w:p w14:paraId="146D7F55">
            <w:pPr>
              <w:widowControl/>
              <w:jc w:val="left"/>
              <w:rPr>
                <w:rFonts w:hint="eastAsia" w:ascii="宋体" w:hAnsi="宋体" w:eastAsia="宋体" w:cs="宋体"/>
                <w:color w:val="auto"/>
                <w:kern w:val="0"/>
                <w:sz w:val="18"/>
                <w:szCs w:val="18"/>
              </w:rPr>
            </w:pPr>
            <w:r>
              <w:rPr>
                <w:rFonts w:hint="eastAsia" w:ascii="宋体" w:hAnsi="宋体" w:eastAsia="宋体" w:cs="宋体"/>
                <w:color w:val="auto"/>
                <w:kern w:val="0"/>
                <w:sz w:val="18"/>
                <w:szCs w:val="18"/>
              </w:rPr>
              <w:t>（3）投标人未按中标文件规定的期限，修理、换货、退货的，采购人有权向投标人按对应货物的购买价值同等金额为标准收取违约金。</w:t>
            </w:r>
          </w:p>
          <w:p w14:paraId="5489320B">
            <w:pPr>
              <w:widowControl/>
              <w:jc w:val="left"/>
              <w:rPr>
                <w:rFonts w:ascii="宋体" w:hAnsi="宋体" w:eastAsia="宋体" w:cs="宋体"/>
                <w:color w:val="auto"/>
                <w:kern w:val="0"/>
                <w:sz w:val="20"/>
                <w:szCs w:val="20"/>
              </w:rPr>
            </w:pPr>
            <w:r>
              <w:rPr>
                <w:rFonts w:hint="eastAsia" w:ascii="宋体" w:hAnsi="宋体" w:eastAsia="宋体" w:cs="宋体"/>
                <w:color w:val="auto"/>
                <w:kern w:val="0"/>
                <w:sz w:val="18"/>
                <w:szCs w:val="18"/>
              </w:rPr>
              <w:t>（请填写上面对应红色字体内容，如对商务需求有修改或补充，请用红色颜色字体标注）</w:t>
            </w:r>
          </w:p>
        </w:tc>
      </w:tr>
      <w:tr w14:paraId="638965E4">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15" w:type="dxa"/>
            <w:left w:w="15" w:type="dxa"/>
            <w:bottom w:w="15" w:type="dxa"/>
            <w:right w:w="15" w:type="dxa"/>
          </w:tblCellMar>
        </w:tblPrEx>
        <w:trPr>
          <w:tblCellSpacing w:w="0" w:type="dxa"/>
        </w:trPr>
        <w:tc>
          <w:tcPr>
            <w:tcW w:w="526" w:type="pct"/>
            <w:tcBorders>
              <w:top w:val="single" w:color="auto" w:sz="6" w:space="0"/>
              <w:left w:val="single" w:color="auto" w:sz="6" w:space="0"/>
              <w:bottom w:val="nil"/>
              <w:right w:val="nil"/>
            </w:tcBorders>
            <w:vAlign w:val="center"/>
          </w:tcPr>
          <w:p w14:paraId="56F24E4C">
            <w:pPr>
              <w:widowControl/>
              <w:spacing w:before="100" w:beforeAutospacing="1" w:after="100" w:afterAutospacing="1"/>
              <w:jc w:val="left"/>
              <w:rPr>
                <w:rFonts w:ascii="宋体" w:hAnsi="宋体" w:eastAsia="宋体" w:cs="宋体"/>
                <w:color w:val="auto"/>
                <w:kern w:val="0"/>
                <w:sz w:val="20"/>
                <w:szCs w:val="20"/>
              </w:rPr>
            </w:pPr>
            <w:r>
              <w:rPr>
                <w:rFonts w:ascii="宋体" w:hAnsi="宋体" w:eastAsia="宋体" w:cs="宋体"/>
                <w:b/>
                <w:bCs/>
                <w:color w:val="auto"/>
                <w:kern w:val="0"/>
                <w:sz w:val="20"/>
                <w:szCs w:val="20"/>
              </w:rPr>
              <w:t>其它</w:t>
            </w:r>
            <w:r>
              <w:rPr>
                <w:rFonts w:ascii="宋体" w:hAnsi="宋体" w:eastAsia="宋体" w:cs="宋体"/>
                <w:color w:val="auto"/>
                <w:kern w:val="0"/>
                <w:sz w:val="20"/>
                <w:szCs w:val="20"/>
              </w:rPr>
              <w:t xml:space="preserve"> </w:t>
            </w:r>
          </w:p>
        </w:tc>
        <w:tc>
          <w:tcPr>
            <w:tcW w:w="4473" w:type="pct"/>
            <w:tcBorders>
              <w:top w:val="single" w:color="auto" w:sz="6" w:space="0"/>
              <w:left w:val="single" w:color="auto" w:sz="6" w:space="0"/>
              <w:bottom w:val="nil"/>
              <w:right w:val="nil"/>
            </w:tcBorders>
            <w:vAlign w:val="center"/>
          </w:tcPr>
          <w:p w14:paraId="3DDA1BF1">
            <w:pPr>
              <w:widowControl/>
              <w:jc w:val="left"/>
              <w:rPr>
                <w:rFonts w:hint="eastAsia" w:ascii="宋体" w:hAnsi="宋体" w:eastAsia="宋体" w:cs="宋体"/>
                <w:color w:val="auto"/>
                <w:kern w:val="0"/>
                <w:sz w:val="20"/>
                <w:szCs w:val="20"/>
                <w:lang w:val="en-US" w:eastAsia="zh-CN"/>
              </w:rPr>
            </w:pPr>
            <w:r>
              <w:rPr>
                <w:rFonts w:ascii="宋体" w:hAnsi="宋体" w:eastAsia="宋体" w:cs="宋体"/>
                <w:color w:val="auto"/>
                <w:kern w:val="0"/>
                <w:sz w:val="20"/>
                <w:szCs w:val="20"/>
              </w:rPr>
              <w:t xml:space="preserve">  </w:t>
            </w:r>
            <w:r>
              <w:rPr>
                <w:rFonts w:hint="eastAsia" w:ascii="宋体" w:hAnsi="宋体" w:eastAsia="宋体" w:cs="宋体"/>
                <w:color w:val="auto"/>
                <w:kern w:val="0"/>
                <w:sz w:val="20"/>
                <w:szCs w:val="20"/>
                <w:lang w:val="en-US" w:eastAsia="zh-CN"/>
              </w:rPr>
              <w:t>无</w:t>
            </w:r>
          </w:p>
        </w:tc>
      </w:tr>
    </w:tbl>
    <w:p w14:paraId="2899565D"/>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96CDE37"/>
    <w:multiLevelType w:val="singleLevel"/>
    <w:tmpl w:val="896CDE37"/>
    <w:lvl w:ilvl="0" w:tentative="0">
      <w:start w:val="7"/>
      <w:numFmt w:val="decimal"/>
      <w:suff w:val="nothing"/>
      <w:lvlText w:val="%1、"/>
      <w:lvlJc w:val="left"/>
    </w:lvl>
  </w:abstractNum>
  <w:abstractNum w:abstractNumId="1">
    <w:nsid w:val="58AC97BB"/>
    <w:multiLevelType w:val="singleLevel"/>
    <w:tmpl w:val="58AC97BB"/>
    <w:lvl w:ilvl="0" w:tentative="0">
      <w:start w:val="1"/>
      <w:numFmt w:val="decimal"/>
      <w:suff w:val="space"/>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doNotDisplayPageBoundaries w:val="1"/>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2"/>
  </w:compat>
  <w:rsids>
    <w:rsidRoot w:val="005D5AE9"/>
    <w:rsid w:val="00006724"/>
    <w:rsid w:val="00022396"/>
    <w:rsid w:val="00024A31"/>
    <w:rsid w:val="00046274"/>
    <w:rsid w:val="00061B01"/>
    <w:rsid w:val="001E01F8"/>
    <w:rsid w:val="00237E82"/>
    <w:rsid w:val="00271C8E"/>
    <w:rsid w:val="00284D25"/>
    <w:rsid w:val="002F33E5"/>
    <w:rsid w:val="00320A7E"/>
    <w:rsid w:val="003B338F"/>
    <w:rsid w:val="00461517"/>
    <w:rsid w:val="004F7DD5"/>
    <w:rsid w:val="0051104B"/>
    <w:rsid w:val="005D55FC"/>
    <w:rsid w:val="005D5AE9"/>
    <w:rsid w:val="005E1B85"/>
    <w:rsid w:val="006204AC"/>
    <w:rsid w:val="00633002"/>
    <w:rsid w:val="007278DD"/>
    <w:rsid w:val="007326BE"/>
    <w:rsid w:val="00740B8E"/>
    <w:rsid w:val="00795AF1"/>
    <w:rsid w:val="00797F6C"/>
    <w:rsid w:val="007A1717"/>
    <w:rsid w:val="007B655D"/>
    <w:rsid w:val="008A61A8"/>
    <w:rsid w:val="00912805"/>
    <w:rsid w:val="009755FC"/>
    <w:rsid w:val="009C7B9C"/>
    <w:rsid w:val="00A1655C"/>
    <w:rsid w:val="00A66B9D"/>
    <w:rsid w:val="00A81187"/>
    <w:rsid w:val="00AC1882"/>
    <w:rsid w:val="00AE7B08"/>
    <w:rsid w:val="00B050F8"/>
    <w:rsid w:val="00B06840"/>
    <w:rsid w:val="00B4247F"/>
    <w:rsid w:val="00BD1D19"/>
    <w:rsid w:val="00BD4CD7"/>
    <w:rsid w:val="00BE7152"/>
    <w:rsid w:val="00C03F66"/>
    <w:rsid w:val="00C934CC"/>
    <w:rsid w:val="00C97C25"/>
    <w:rsid w:val="00D10DB4"/>
    <w:rsid w:val="00D838AF"/>
    <w:rsid w:val="00DC7026"/>
    <w:rsid w:val="00DF7812"/>
    <w:rsid w:val="00E56DF7"/>
    <w:rsid w:val="00E7331A"/>
    <w:rsid w:val="00E764D2"/>
    <w:rsid w:val="00EE53E6"/>
    <w:rsid w:val="00EF7C84"/>
    <w:rsid w:val="00F14A5B"/>
    <w:rsid w:val="00F23D2E"/>
    <w:rsid w:val="00F32E87"/>
    <w:rsid w:val="00F60590"/>
    <w:rsid w:val="00FC2253"/>
    <w:rsid w:val="00FD3556"/>
    <w:rsid w:val="08B1086D"/>
    <w:rsid w:val="0AE64357"/>
    <w:rsid w:val="10B32386"/>
    <w:rsid w:val="1AE9320B"/>
    <w:rsid w:val="26121868"/>
    <w:rsid w:val="33FC4CF3"/>
    <w:rsid w:val="3D100CE6"/>
    <w:rsid w:val="507830CE"/>
    <w:rsid w:val="50AE1240"/>
    <w:rsid w:val="50C240C3"/>
    <w:rsid w:val="52BB605E"/>
    <w:rsid w:val="5CCC4D8C"/>
    <w:rsid w:val="662002BD"/>
    <w:rsid w:val="7513602C"/>
    <w:rsid w:val="78310C73"/>
    <w:rsid w:val="79BB1A59"/>
    <w:rsid w:val="7C030B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semiHidden="0"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13"/>
    <w:semiHidden/>
    <w:unhideWhenUsed/>
    <w:qFormat/>
    <w:uiPriority w:val="99"/>
    <w:pPr>
      <w:tabs>
        <w:tab w:val="center" w:pos="4153"/>
        <w:tab w:val="right" w:pos="8306"/>
      </w:tabs>
      <w:snapToGrid w:val="0"/>
      <w:jc w:val="left"/>
    </w:pPr>
    <w:rPr>
      <w:sz w:val="18"/>
      <w:szCs w:val="18"/>
    </w:rPr>
  </w:style>
  <w:style w:type="paragraph" w:styleId="3">
    <w:name w:val="header"/>
    <w:basedOn w:val="1"/>
    <w:link w:val="12"/>
    <w:qFormat/>
    <w:uiPriority w:val="0"/>
    <w:pPr>
      <w:pBdr>
        <w:bottom w:val="single" w:color="auto" w:sz="6" w:space="1"/>
      </w:pBdr>
      <w:tabs>
        <w:tab w:val="center" w:pos="4153"/>
        <w:tab w:val="right" w:pos="8306"/>
      </w:tabs>
      <w:snapToGrid w:val="0"/>
      <w:jc w:val="center"/>
    </w:pPr>
    <w:rPr>
      <w:rFonts w:ascii="Times New Roman" w:hAnsi="Times New Roman" w:eastAsia="宋体" w:cs="Times New Roman"/>
      <w:sz w:val="18"/>
      <w:szCs w:val="18"/>
    </w:rPr>
  </w:style>
  <w:style w:type="paragraph" w:styleId="4">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6">
    <w:name w:val="Table Grid"/>
    <w:basedOn w:val="5"/>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Strong"/>
    <w:basedOn w:val="7"/>
    <w:qFormat/>
    <w:uiPriority w:val="22"/>
    <w:rPr>
      <w:b/>
      <w:bCs/>
    </w:rPr>
  </w:style>
  <w:style w:type="character" w:styleId="9">
    <w:name w:val="FollowedHyperlink"/>
    <w:basedOn w:val="7"/>
    <w:semiHidden/>
    <w:unhideWhenUsed/>
    <w:qFormat/>
    <w:uiPriority w:val="99"/>
    <w:rPr>
      <w:color w:val="800080"/>
      <w:sz w:val="20"/>
      <w:szCs w:val="20"/>
      <w:u w:val="single"/>
    </w:rPr>
  </w:style>
  <w:style w:type="character" w:styleId="10">
    <w:name w:val="Hyperlink"/>
    <w:basedOn w:val="7"/>
    <w:semiHidden/>
    <w:unhideWhenUsed/>
    <w:qFormat/>
    <w:uiPriority w:val="99"/>
    <w:rPr>
      <w:color w:val="0000FF"/>
      <w:sz w:val="20"/>
      <w:szCs w:val="20"/>
      <w:u w:val="single"/>
    </w:rPr>
  </w:style>
  <w:style w:type="paragraph" w:customStyle="1" w:styleId="11">
    <w:name w:val="tableheader"/>
    <w:basedOn w:val="1"/>
    <w:qFormat/>
    <w:uiPriority w:val="0"/>
    <w:pPr>
      <w:widowControl/>
      <w:shd w:val="clear" w:color="auto" w:fill="ABCDEF"/>
      <w:spacing w:before="100" w:beforeAutospacing="1" w:after="100" w:afterAutospacing="1"/>
      <w:jc w:val="left"/>
    </w:pPr>
    <w:rPr>
      <w:rFonts w:ascii="宋体" w:hAnsi="宋体" w:eastAsia="宋体" w:cs="宋体"/>
      <w:kern w:val="0"/>
      <w:sz w:val="24"/>
      <w:szCs w:val="24"/>
    </w:rPr>
  </w:style>
  <w:style w:type="character" w:customStyle="1" w:styleId="12">
    <w:name w:val="页眉 Char"/>
    <w:basedOn w:val="7"/>
    <w:link w:val="3"/>
    <w:qFormat/>
    <w:uiPriority w:val="0"/>
    <w:rPr>
      <w:rFonts w:ascii="Times New Roman" w:hAnsi="Times New Roman" w:eastAsia="宋体" w:cs="Times New Roman"/>
      <w:sz w:val="18"/>
      <w:szCs w:val="18"/>
    </w:rPr>
  </w:style>
  <w:style w:type="character" w:customStyle="1" w:styleId="13">
    <w:name w:val="页脚 Char"/>
    <w:basedOn w:val="7"/>
    <w:link w:val="2"/>
    <w:semiHidden/>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DELL</Company>
  <Pages>2</Pages>
  <Words>1916</Words>
  <Characters>2236</Characters>
  <Lines>1</Lines>
  <Paragraphs>1</Paragraphs>
  <TotalTime>49</TotalTime>
  <ScaleCrop>false</ScaleCrop>
  <LinksUpToDate>false</LinksUpToDate>
  <CharactersWithSpaces>2326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2022-08-31T07:52:00Z</dcterms:created>
  <dc:creator>张婷婷</dc:creator>
  <cp:lastModifiedBy>Fmh</cp:lastModifiedBy>
  <cp:lastPrinted>2022-08-31T07:56:00Z</cp:lastPrinted>
  <dcterms:modified xsi:type="dcterms:W3CDTF">2026-09-10T02:26:52Z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eyJoZGlkIjoiNjBhNDU2MzcwNzk5Nzk4M2FhNjdkYTIzODU4YTlmMGYiLCJ1c2VySWQiOiIxNDEwOTUzOTcwIn0=</vt:lpwstr>
  </property>
  <property fmtid="{D5CDD505-2E9C-101B-9397-08002B2CF9AE}" pid="3" name="KSOProductBuildVer">
    <vt:lpwstr>2052-12.1.0.28505</vt:lpwstr>
  </property>
  <property fmtid="{D5CDD505-2E9C-101B-9397-08002B2CF9AE}" pid="4" name="ICV">
    <vt:lpwstr>B134E5BE8C854B6AABBC273AFC5C4D26_12</vt:lpwstr>
  </property>
</Properties>
</file>