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EFAA48">
      <w:pPr>
        <w:jc w:val="center"/>
        <w:rPr>
          <w:rFonts w:ascii="宋体" w:hAnsi="宋体" w:eastAsia="宋体" w:cs="宋体"/>
          <w:b/>
          <w:bCs/>
          <w:kern w:val="0"/>
          <w:sz w:val="36"/>
          <w:szCs w:val="36"/>
          <w:lang w:val="en-US" w:eastAsia="zh-CN"/>
        </w:rPr>
      </w:pPr>
      <w:r>
        <w:rPr>
          <w:rFonts w:hint="eastAsia" w:ascii="宋体" w:hAnsi="宋体" w:eastAsia="宋体" w:cs="宋体"/>
          <w:b/>
          <w:bCs/>
          <w:color w:val="000000"/>
          <w:kern w:val="0"/>
          <w:sz w:val="36"/>
          <w:szCs w:val="36"/>
          <w:lang w:val="en-US" w:eastAsia="zh-CN"/>
        </w:rPr>
        <w:t>中山大学附属第七医院</w:t>
      </w:r>
    </w:p>
    <w:p w14:paraId="40349FB0">
      <w:pPr>
        <w:jc w:val="center"/>
        <w:rPr>
          <w:rFonts w:ascii="宋体" w:hAnsi="宋体" w:cs="宋体"/>
          <w:b/>
          <w:bCs/>
          <w:kern w:val="0"/>
          <w:sz w:val="48"/>
          <w:szCs w:val="48"/>
        </w:rPr>
      </w:pPr>
      <w:r>
        <w:rPr>
          <w:rFonts w:hint="eastAsia" w:ascii="宋体" w:hAnsi="宋体" w:eastAsia="宋体" w:cs="宋体"/>
          <w:b/>
          <w:bCs/>
          <w:kern w:val="0"/>
          <w:sz w:val="36"/>
          <w:szCs w:val="36"/>
        </w:rPr>
        <w:t>项目调研需求确认书</w:t>
      </w:r>
      <w:r>
        <w:rPr>
          <w:rFonts w:ascii="宋体" w:hAnsi="宋体" w:eastAsia="宋体" w:cs="宋体"/>
          <w:b/>
          <w:bCs/>
          <w:kern w:val="0"/>
          <w:sz w:val="36"/>
          <w:szCs w:val="36"/>
        </w:rPr>
        <w:br w:type="textWrapping"/>
      </w:r>
    </w:p>
    <w:p w14:paraId="1CC57609">
      <w:pPr>
        <w:pStyle w:val="8"/>
        <w:bidi w:val="0"/>
        <w:ind w:left="0" w:firstLine="0"/>
      </w:pPr>
      <w:r>
        <w:rPr>
          <w:rFonts w:hint="eastAsia" w:ascii="宋体" w:hAnsi="宋体" w:eastAsia="宋体"/>
        </w:rPr>
        <w:t>（一）项目基本信息表</w:t>
      </w:r>
    </w:p>
    <w:tbl>
      <w:tblPr>
        <w:tblStyle w:val="29"/>
        <w:tblW w:w="8784" w:type="dxa"/>
        <w:jc w:val="center"/>
        <w:tblLayout w:type="fixed"/>
        <w:tblCellMar>
          <w:top w:w="0" w:type="dxa"/>
          <w:left w:w="108" w:type="dxa"/>
          <w:bottom w:w="0" w:type="dxa"/>
          <w:right w:w="108" w:type="dxa"/>
        </w:tblCellMar>
      </w:tblPr>
      <w:tblGrid>
        <w:gridCol w:w="681"/>
        <w:gridCol w:w="1693"/>
        <w:gridCol w:w="2794"/>
        <w:gridCol w:w="645"/>
        <w:gridCol w:w="720"/>
        <w:gridCol w:w="1390"/>
        <w:gridCol w:w="861"/>
      </w:tblGrid>
      <w:tr w14:paraId="14CF1607">
        <w:tblPrEx>
          <w:tblCellMar>
            <w:top w:w="0" w:type="dxa"/>
            <w:left w:w="108" w:type="dxa"/>
            <w:bottom w:w="0" w:type="dxa"/>
            <w:right w:w="108" w:type="dxa"/>
          </w:tblCellMar>
        </w:tblPrEx>
        <w:trPr>
          <w:trHeight w:val="575" w:hRule="atLeast"/>
          <w:jc w:val="center"/>
        </w:trPr>
        <w:tc>
          <w:tcPr>
            <w:tcW w:w="681" w:type="dxa"/>
            <w:tcBorders>
              <w:top w:val="single" w:color="000000" w:sz="4" w:space="0"/>
              <w:left w:val="single" w:color="000000" w:sz="4" w:space="0"/>
              <w:bottom w:val="single" w:color="000000" w:sz="4" w:space="0"/>
              <w:right w:val="single" w:color="000000" w:sz="4" w:space="0"/>
            </w:tcBorders>
            <w:vAlign w:val="center"/>
          </w:tcPr>
          <w:p w14:paraId="4C5D3156">
            <w:pPr>
              <w:widowControl/>
              <w:jc w:val="center"/>
              <w:rPr>
                <w:rFonts w:ascii="宋体" w:hAnsi="宋体" w:cs="宋体"/>
                <w:b/>
                <w:bCs/>
                <w:kern w:val="0"/>
                <w:szCs w:val="21"/>
              </w:rPr>
            </w:pPr>
            <w:r>
              <w:rPr>
                <w:rFonts w:hint="eastAsia" w:ascii="宋体" w:hAnsi="宋体" w:eastAsia="宋体" w:cs="宋体"/>
                <w:b/>
                <w:bCs/>
                <w:kern w:val="0"/>
                <w:szCs w:val="21"/>
              </w:rPr>
              <w:t>序号</w:t>
            </w:r>
          </w:p>
        </w:tc>
        <w:tc>
          <w:tcPr>
            <w:tcW w:w="1693" w:type="dxa"/>
            <w:tcBorders>
              <w:top w:val="single" w:color="000000" w:sz="4" w:space="0"/>
              <w:bottom w:val="single" w:color="000000" w:sz="4" w:space="0"/>
              <w:right w:val="single" w:color="000000" w:sz="4" w:space="0"/>
            </w:tcBorders>
            <w:vAlign w:val="center"/>
          </w:tcPr>
          <w:p w14:paraId="56210761">
            <w:pPr>
              <w:widowControl/>
              <w:jc w:val="center"/>
              <w:rPr>
                <w:rFonts w:ascii="宋体" w:hAnsi="宋体" w:cs="宋体"/>
                <w:b/>
                <w:bCs/>
                <w:szCs w:val="21"/>
              </w:rPr>
            </w:pPr>
            <w:r>
              <w:rPr>
                <w:rFonts w:hint="eastAsia" w:ascii="宋体" w:hAnsi="宋体" w:eastAsia="宋体" w:cs="宋体"/>
                <w:b/>
                <w:bCs/>
                <w:szCs w:val="21"/>
              </w:rPr>
              <w:t>项目名称</w:t>
            </w:r>
          </w:p>
        </w:tc>
        <w:tc>
          <w:tcPr>
            <w:tcW w:w="2794" w:type="dxa"/>
            <w:tcBorders>
              <w:top w:val="single" w:color="000000" w:sz="4" w:space="0"/>
              <w:left w:val="single" w:color="000000" w:sz="4" w:space="0"/>
              <w:bottom w:val="single" w:color="000000" w:sz="4" w:space="0"/>
              <w:right w:val="single" w:color="000000" w:sz="4" w:space="0"/>
            </w:tcBorders>
            <w:vAlign w:val="center"/>
          </w:tcPr>
          <w:p w14:paraId="62887097">
            <w:pPr>
              <w:widowControl/>
              <w:jc w:val="center"/>
              <w:rPr>
                <w:rFonts w:ascii="宋体" w:hAnsi="宋体" w:cs="宋体"/>
                <w:b/>
                <w:bCs/>
                <w:szCs w:val="21"/>
              </w:rPr>
            </w:pPr>
            <w:r>
              <w:rPr>
                <w:rFonts w:hint="eastAsia" w:ascii="宋体" w:hAnsi="宋体" w:eastAsia="宋体" w:cs="宋体"/>
                <w:b/>
                <w:bCs/>
                <w:szCs w:val="21"/>
              </w:rPr>
              <w:t>项目概述</w:t>
            </w:r>
          </w:p>
        </w:tc>
        <w:tc>
          <w:tcPr>
            <w:tcW w:w="645" w:type="dxa"/>
            <w:tcBorders>
              <w:top w:val="single" w:color="000000" w:sz="4" w:space="0"/>
              <w:left w:val="single" w:color="000000" w:sz="4" w:space="0"/>
              <w:bottom w:val="single" w:color="000000" w:sz="4" w:space="0"/>
              <w:right w:val="single" w:color="000000" w:sz="4" w:space="0"/>
            </w:tcBorders>
            <w:vAlign w:val="center"/>
          </w:tcPr>
          <w:p w14:paraId="683673E9">
            <w:pPr>
              <w:widowControl/>
              <w:jc w:val="center"/>
              <w:rPr>
                <w:rFonts w:ascii="宋体" w:hAnsi="宋体" w:cs="宋体"/>
                <w:b/>
                <w:bCs/>
                <w:kern w:val="0"/>
                <w:szCs w:val="21"/>
              </w:rPr>
            </w:pPr>
            <w:r>
              <w:rPr>
                <w:rFonts w:hint="eastAsia" w:ascii="宋体" w:hAnsi="宋体" w:eastAsia="宋体" w:cs="宋体"/>
                <w:b/>
                <w:bCs/>
                <w:kern w:val="0"/>
                <w:szCs w:val="21"/>
              </w:rPr>
              <w:t>数量</w:t>
            </w:r>
          </w:p>
        </w:tc>
        <w:tc>
          <w:tcPr>
            <w:tcW w:w="720" w:type="dxa"/>
            <w:tcBorders>
              <w:top w:val="single" w:color="000000" w:sz="4" w:space="0"/>
              <w:left w:val="single" w:color="000000" w:sz="4" w:space="0"/>
              <w:bottom w:val="single" w:color="000000" w:sz="4" w:space="0"/>
              <w:right w:val="single" w:color="000000" w:sz="4" w:space="0"/>
            </w:tcBorders>
            <w:vAlign w:val="center"/>
          </w:tcPr>
          <w:p w14:paraId="772DEC1C">
            <w:pPr>
              <w:widowControl/>
              <w:jc w:val="center"/>
              <w:rPr>
                <w:rFonts w:ascii="宋体" w:hAnsi="宋体" w:cs="宋体"/>
                <w:b/>
                <w:bCs/>
                <w:kern w:val="0"/>
                <w:szCs w:val="21"/>
              </w:rPr>
            </w:pPr>
            <w:r>
              <w:rPr>
                <w:rFonts w:hint="eastAsia" w:ascii="宋体" w:hAnsi="宋体" w:eastAsia="宋体" w:cs="宋体"/>
                <w:b/>
                <w:bCs/>
                <w:kern w:val="0"/>
                <w:szCs w:val="21"/>
              </w:rPr>
              <w:t>单位</w:t>
            </w:r>
          </w:p>
        </w:tc>
        <w:tc>
          <w:tcPr>
            <w:tcW w:w="1390" w:type="dxa"/>
            <w:tcBorders>
              <w:top w:val="single" w:color="000000" w:sz="4" w:space="0"/>
              <w:bottom w:val="single" w:color="000000" w:sz="4" w:space="0"/>
              <w:right w:val="single" w:color="000000" w:sz="4" w:space="0"/>
            </w:tcBorders>
            <w:vAlign w:val="center"/>
          </w:tcPr>
          <w:p w14:paraId="1B2BD4B6">
            <w:pPr>
              <w:widowControl/>
              <w:jc w:val="center"/>
              <w:rPr>
                <w:rFonts w:ascii="宋体" w:hAnsi="宋体" w:cs="宋体"/>
                <w:b/>
                <w:bCs/>
                <w:kern w:val="0"/>
                <w:szCs w:val="21"/>
              </w:rPr>
            </w:pPr>
            <w:r>
              <w:rPr>
                <w:rFonts w:hint="eastAsia" w:ascii="宋体" w:hAnsi="宋体" w:eastAsia="宋体" w:cs="宋体"/>
                <w:b/>
                <w:bCs/>
                <w:kern w:val="0"/>
                <w:szCs w:val="21"/>
              </w:rPr>
              <w:t>预算金额（元）</w:t>
            </w:r>
            <w:r>
              <w:rPr>
                <w:rFonts w:hint="eastAsia" w:ascii="宋体" w:hAnsi="宋体" w:eastAsia="宋体"/>
                <w:b/>
                <w:bCs/>
              </w:rPr>
              <w:t>（必填）</w:t>
            </w:r>
          </w:p>
        </w:tc>
        <w:tc>
          <w:tcPr>
            <w:tcW w:w="861" w:type="dxa"/>
            <w:tcBorders>
              <w:top w:val="single" w:color="000000" w:sz="4" w:space="0"/>
              <w:bottom w:val="single" w:color="000000" w:sz="4" w:space="0"/>
              <w:right w:val="single" w:color="000000" w:sz="4" w:space="0"/>
            </w:tcBorders>
            <w:vAlign w:val="center"/>
          </w:tcPr>
          <w:p w14:paraId="5F2C262E">
            <w:pPr>
              <w:widowControl/>
              <w:jc w:val="center"/>
              <w:rPr>
                <w:rFonts w:ascii="宋体" w:hAnsi="宋体" w:cs="宋体"/>
                <w:b/>
                <w:bCs/>
                <w:kern w:val="0"/>
                <w:szCs w:val="21"/>
              </w:rPr>
            </w:pPr>
            <w:r>
              <w:rPr>
                <w:rFonts w:hint="eastAsia" w:ascii="宋体" w:hAnsi="宋体" w:eastAsia="宋体" w:cs="宋体"/>
                <w:b/>
                <w:bCs/>
                <w:kern w:val="0"/>
                <w:szCs w:val="21"/>
              </w:rPr>
              <w:t>备注</w:t>
            </w:r>
          </w:p>
        </w:tc>
      </w:tr>
      <w:tr w14:paraId="5EE2CFD0">
        <w:tblPrEx>
          <w:tblCellMar>
            <w:top w:w="0" w:type="dxa"/>
            <w:left w:w="108" w:type="dxa"/>
            <w:bottom w:w="0" w:type="dxa"/>
            <w:right w:w="108" w:type="dxa"/>
          </w:tblCellMar>
        </w:tblPrEx>
        <w:trPr>
          <w:jc w:val="center"/>
        </w:trPr>
        <w:tc>
          <w:tcPr>
            <w:tcW w:w="681" w:type="dxa"/>
            <w:tcBorders>
              <w:left w:val="single" w:color="000000" w:sz="4" w:space="0"/>
              <w:bottom w:val="single" w:color="000000" w:sz="4" w:space="0"/>
              <w:right w:val="single" w:color="000000" w:sz="4" w:space="0"/>
            </w:tcBorders>
            <w:tcMar>
              <w:top w:w="70" w:type="dxa"/>
              <w:left w:w="80" w:type="dxa"/>
              <w:bottom w:w="70" w:type="dxa"/>
              <w:right w:w="80" w:type="dxa"/>
            </w:tcMar>
            <w:vAlign w:val="center"/>
          </w:tcPr>
          <w:p w14:paraId="43847204">
            <w:pPr>
              <w:widowControl/>
              <w:snapToGrid w:val="0"/>
              <w:spacing w:before="0" w:after="0" w:line="240" w:lineRule="auto"/>
              <w:jc w:val="center"/>
              <w:rPr>
                <w:rFonts w:ascii="宋体" w:hAnsi="宋体" w:cs="宋体"/>
                <w:b/>
                <w:bCs/>
                <w:color w:val="FF0000"/>
                <w:kern w:val="0"/>
                <w:szCs w:val="21"/>
              </w:rPr>
            </w:pPr>
            <w:r>
              <w:rPr>
                <w:rFonts w:ascii="宋体" w:hAnsi="宋体" w:eastAsia="宋体"/>
                <w:b w:val="0"/>
                <w:sz w:val="21"/>
              </w:rPr>
              <w:t>1</w:t>
            </w:r>
          </w:p>
        </w:tc>
        <w:tc>
          <w:tcPr>
            <w:tcW w:w="1693" w:type="dxa"/>
            <w:tcBorders>
              <w:bottom w:val="single" w:color="000000" w:sz="4" w:space="0"/>
              <w:right w:val="single" w:color="000000" w:sz="4" w:space="0"/>
            </w:tcBorders>
            <w:tcMar>
              <w:top w:w="70" w:type="dxa"/>
              <w:left w:w="80" w:type="dxa"/>
              <w:bottom w:w="70" w:type="dxa"/>
              <w:right w:w="80" w:type="dxa"/>
            </w:tcMar>
            <w:vAlign w:val="center"/>
          </w:tcPr>
          <w:p w14:paraId="0B1ECD1F">
            <w:pPr>
              <w:widowControl/>
              <w:snapToGrid w:val="0"/>
              <w:spacing w:before="0" w:after="0" w:line="240" w:lineRule="auto"/>
              <w:jc w:val="center"/>
              <w:rPr>
                <w:rFonts w:ascii="宋体" w:hAnsi="宋体" w:eastAsia="宋体" w:cs="宋体"/>
                <w:color w:val="FF0000"/>
                <w:kern w:val="0"/>
                <w:sz w:val="24"/>
                <w:szCs w:val="24"/>
              </w:rPr>
            </w:pPr>
            <w:r>
              <w:rPr>
                <w:rFonts w:hint="eastAsia" w:ascii="宋体" w:hAnsi="宋体" w:eastAsia="宋体"/>
                <w:b w:val="0"/>
                <w:sz w:val="21"/>
              </w:rPr>
              <w:t>医保信息化功能优化项目</w:t>
            </w:r>
          </w:p>
        </w:tc>
        <w:tc>
          <w:tcPr>
            <w:tcW w:w="2794" w:type="dxa"/>
            <w:tcBorders>
              <w:left w:val="single" w:color="000000" w:sz="4" w:space="0"/>
              <w:bottom w:val="single" w:color="000000" w:sz="4" w:space="0"/>
              <w:right w:val="single" w:color="000000" w:sz="4" w:space="0"/>
            </w:tcBorders>
            <w:tcMar>
              <w:top w:w="70" w:type="dxa"/>
              <w:left w:w="80" w:type="dxa"/>
              <w:bottom w:w="70" w:type="dxa"/>
              <w:right w:w="80" w:type="dxa"/>
            </w:tcMar>
            <w:vAlign w:val="center"/>
          </w:tcPr>
          <w:p w14:paraId="7B33B606">
            <w:pPr>
              <w:widowControl/>
              <w:snapToGrid w:val="0"/>
              <w:spacing w:before="0" w:after="0" w:line="240" w:lineRule="auto"/>
              <w:jc w:val="left"/>
              <w:rPr>
                <w:rFonts w:ascii="宋体" w:hAnsi="宋体" w:eastAsia="宋体" w:cs="宋体"/>
                <w:sz w:val="24"/>
                <w:szCs w:val="24"/>
              </w:rPr>
            </w:pPr>
            <w:r>
              <w:rPr>
                <w:rFonts w:hint="eastAsia" w:ascii="宋体" w:hAnsi="宋体" w:eastAsia="宋体" w:cs="宋体"/>
                <w:sz w:val="24"/>
                <w:szCs w:val="24"/>
              </w:rPr>
              <w:t>围绕门诊、住院医保结算全流程开展医保信息化功能优化：包括医保控费提醒、结算类型与报销范围校验、医保数据上传规范、医保接口对接、生育保险待遇功能及医保结算一致性等功能改造</w:t>
            </w:r>
            <w:r>
              <w:rPr>
                <w:rFonts w:hint="eastAsia" w:ascii="宋体" w:hAnsi="宋体" w:cs="宋体"/>
                <w:sz w:val="24"/>
                <w:szCs w:val="24"/>
                <w:lang w:eastAsia="zh-CN"/>
              </w:rPr>
              <w:t>，</w:t>
            </w:r>
            <w:r>
              <w:rPr>
                <w:rFonts w:hint="eastAsia" w:ascii="宋体" w:hAnsi="宋体" w:eastAsia="宋体" w:cs="宋体"/>
                <w:sz w:val="24"/>
                <w:szCs w:val="24"/>
              </w:rPr>
              <w:t>详见2.1功能需求。</w:t>
            </w:r>
          </w:p>
        </w:tc>
        <w:tc>
          <w:tcPr>
            <w:tcW w:w="645" w:type="dxa"/>
            <w:tcBorders>
              <w:left w:val="single" w:color="000000" w:sz="4" w:space="0"/>
              <w:bottom w:val="single" w:color="000000" w:sz="4" w:space="0"/>
              <w:right w:val="single" w:color="000000" w:sz="4" w:space="0"/>
            </w:tcBorders>
            <w:tcMar>
              <w:top w:w="70" w:type="dxa"/>
              <w:left w:w="80" w:type="dxa"/>
              <w:bottom w:w="70" w:type="dxa"/>
              <w:right w:w="80" w:type="dxa"/>
            </w:tcMar>
            <w:vAlign w:val="center"/>
          </w:tcPr>
          <w:p w14:paraId="0C29B0E4">
            <w:pPr>
              <w:widowControl/>
              <w:snapToGrid w:val="0"/>
              <w:spacing w:before="0" w:after="0" w:line="240" w:lineRule="auto"/>
              <w:jc w:val="center"/>
              <w:rPr>
                <w:rFonts w:ascii="宋体" w:hAnsi="宋体" w:eastAsia="宋体" w:cs="宋体"/>
                <w:sz w:val="24"/>
                <w:szCs w:val="24"/>
              </w:rPr>
            </w:pPr>
            <w:r>
              <w:rPr>
                <w:rFonts w:ascii="宋体" w:hAnsi="宋体" w:eastAsia="宋体"/>
                <w:b w:val="0"/>
                <w:sz w:val="21"/>
              </w:rPr>
              <w:t>1</w:t>
            </w:r>
          </w:p>
        </w:tc>
        <w:tc>
          <w:tcPr>
            <w:tcW w:w="720" w:type="dxa"/>
            <w:tcBorders>
              <w:left w:val="single" w:color="000000" w:sz="4" w:space="0"/>
              <w:bottom w:val="single" w:color="000000" w:sz="4" w:space="0"/>
              <w:right w:val="single" w:color="000000" w:sz="4" w:space="0"/>
            </w:tcBorders>
            <w:tcMar>
              <w:top w:w="70" w:type="dxa"/>
              <w:left w:w="80" w:type="dxa"/>
              <w:bottom w:w="70" w:type="dxa"/>
              <w:right w:w="80" w:type="dxa"/>
            </w:tcMar>
            <w:vAlign w:val="center"/>
          </w:tcPr>
          <w:p w14:paraId="343189C4">
            <w:pPr>
              <w:widowControl/>
              <w:snapToGrid w:val="0"/>
              <w:spacing w:before="0" w:after="0" w:line="240" w:lineRule="auto"/>
              <w:jc w:val="center"/>
              <w:rPr>
                <w:rFonts w:ascii="宋体" w:hAnsi="宋体" w:eastAsia="宋体" w:cs="宋体"/>
                <w:sz w:val="24"/>
                <w:szCs w:val="24"/>
              </w:rPr>
            </w:pPr>
            <w:r>
              <w:rPr>
                <w:rFonts w:hint="eastAsia" w:ascii="宋体" w:hAnsi="宋体" w:eastAsia="宋体"/>
                <w:b w:val="0"/>
                <w:sz w:val="21"/>
              </w:rPr>
              <w:t>项</w:t>
            </w:r>
          </w:p>
        </w:tc>
        <w:tc>
          <w:tcPr>
            <w:tcW w:w="1390" w:type="dxa"/>
            <w:tcBorders>
              <w:bottom w:val="single" w:color="000000" w:sz="4" w:space="0"/>
              <w:right w:val="single" w:color="000000" w:sz="4" w:space="0"/>
            </w:tcBorders>
            <w:tcMar>
              <w:top w:w="70" w:type="dxa"/>
              <w:left w:w="80" w:type="dxa"/>
              <w:bottom w:w="70" w:type="dxa"/>
              <w:right w:w="80" w:type="dxa"/>
            </w:tcMar>
            <w:vAlign w:val="center"/>
          </w:tcPr>
          <w:p w14:paraId="029D64BA">
            <w:pPr>
              <w:widowControl/>
              <w:snapToGrid w:val="0"/>
              <w:spacing w:before="0" w:after="0" w:line="240" w:lineRule="auto"/>
              <w:jc w:val="center"/>
              <w:rPr>
                <w:rFonts w:ascii="宋体" w:hAnsi="宋体" w:eastAsia="宋体" w:cs="宋体"/>
                <w:sz w:val="24"/>
                <w:szCs w:val="24"/>
                <w:lang w:val="en-US" w:eastAsia="zh-CN"/>
              </w:rPr>
            </w:pPr>
          </w:p>
        </w:tc>
        <w:tc>
          <w:tcPr>
            <w:tcW w:w="861" w:type="dxa"/>
            <w:tcBorders>
              <w:bottom w:val="single" w:color="000000" w:sz="4" w:space="0"/>
              <w:right w:val="single" w:color="000000" w:sz="4" w:space="0"/>
            </w:tcBorders>
            <w:tcMar>
              <w:top w:w="70" w:type="dxa"/>
              <w:left w:w="80" w:type="dxa"/>
              <w:bottom w:w="70" w:type="dxa"/>
              <w:right w:w="80" w:type="dxa"/>
            </w:tcMar>
            <w:vAlign w:val="center"/>
          </w:tcPr>
          <w:p w14:paraId="3A6E0139">
            <w:pPr>
              <w:widowControl/>
              <w:snapToGrid w:val="0"/>
              <w:spacing w:before="0" w:after="0" w:line="240" w:lineRule="auto"/>
              <w:jc w:val="center"/>
              <w:rPr>
                <w:rFonts w:ascii="宋体" w:hAnsi="宋体" w:eastAsia="宋体" w:cs="宋体"/>
                <w:color w:val="FF0000"/>
                <w:kern w:val="0"/>
                <w:sz w:val="24"/>
                <w:szCs w:val="21"/>
                <w:lang w:val="en-US" w:eastAsia="zh-CN"/>
              </w:rPr>
            </w:pPr>
          </w:p>
        </w:tc>
      </w:tr>
    </w:tbl>
    <w:p w14:paraId="0A70A291">
      <w:pPr>
        <w:rPr>
          <w:rFonts w:ascii="宋体" w:hAnsi="宋体" w:eastAsia="宋体" w:cs="宋体"/>
          <w:b/>
          <w:bCs/>
          <w:kern w:val="0"/>
          <w:sz w:val="28"/>
          <w:szCs w:val="28"/>
        </w:rPr>
      </w:pPr>
    </w:p>
    <w:p w14:paraId="566F8797">
      <w:pPr>
        <w:pStyle w:val="8"/>
        <w:numPr>
          <w:ilvl w:val="0"/>
          <w:numId w:val="9"/>
        </w:numPr>
        <w:bidi w:val="0"/>
        <w:rPr>
          <w:rFonts w:ascii="Arial" w:hAnsi="Arial" w:cs="Times New Roman"/>
        </w:rPr>
      </w:pPr>
      <w:r>
        <w:rPr>
          <w:rFonts w:hint="eastAsia" w:ascii="宋体" w:hAnsi="宋体" w:eastAsia="宋体" w:cs="Times New Roman"/>
        </w:rPr>
        <w:t>具体技术要求</w:t>
      </w:r>
    </w:p>
    <w:p w14:paraId="52A5226B">
      <w:pPr>
        <w:pStyle w:val="9"/>
        <w:bidi w:val="0"/>
        <w:ind w:left="0" w:firstLine="0"/>
      </w:pPr>
      <w:r>
        <w:rPr>
          <w:rFonts w:ascii="宋体" w:hAnsi="宋体" w:eastAsia="宋体"/>
          <w:lang w:val="en-US" w:eastAsia="zh-CN"/>
        </w:rPr>
        <w:t>2.1</w:t>
      </w:r>
      <w:r>
        <w:rPr>
          <w:rFonts w:hint="eastAsia" w:ascii="宋体" w:hAnsi="宋体" w:eastAsia="宋体"/>
        </w:rPr>
        <w:t>功能需求：</w:t>
      </w:r>
    </w:p>
    <w:tbl>
      <w:tblPr>
        <w:tblStyle w:val="29"/>
        <w:tblW w:w="8978" w:type="dxa"/>
        <w:tblInd w:w="-176" w:type="dxa"/>
        <w:tblLayout w:type="fixed"/>
        <w:tblCellMar>
          <w:top w:w="0" w:type="dxa"/>
          <w:left w:w="108" w:type="dxa"/>
          <w:bottom w:w="0" w:type="dxa"/>
          <w:right w:w="108" w:type="dxa"/>
        </w:tblCellMar>
      </w:tblPr>
      <w:tblGrid>
        <w:gridCol w:w="1744"/>
        <w:gridCol w:w="652"/>
        <w:gridCol w:w="6582"/>
      </w:tblGrid>
      <w:tr w14:paraId="12A9D708">
        <w:tblPrEx>
          <w:tblCellMar>
            <w:top w:w="0" w:type="dxa"/>
            <w:left w:w="108" w:type="dxa"/>
            <w:bottom w:w="0" w:type="dxa"/>
            <w:right w:w="108" w:type="dxa"/>
          </w:tblCellMar>
        </w:tblPrEx>
        <w:trPr>
          <w:trHeight w:val="567" w:hRule="atLeast"/>
          <w:tblHeader/>
        </w:trPr>
        <w:tc>
          <w:tcPr>
            <w:tcW w:w="1744" w:type="dxa"/>
            <w:tcBorders>
              <w:top w:val="single" w:color="000000" w:sz="8" w:space="0"/>
              <w:left w:val="single" w:color="000000" w:sz="8" w:space="0"/>
              <w:bottom w:val="single" w:color="000000" w:sz="8" w:space="0"/>
              <w:right w:val="single" w:color="000000" w:sz="8" w:space="0"/>
            </w:tcBorders>
            <w:vAlign w:val="center"/>
          </w:tcPr>
          <w:p w14:paraId="4A7508AD">
            <w:pPr>
              <w:widowControl/>
              <w:jc w:val="center"/>
              <w:rPr>
                <w:rFonts w:ascii="宋体" w:hAnsi="宋体" w:cs="宋体"/>
                <w:b/>
                <w:bCs/>
                <w:color w:val="000000"/>
                <w:kern w:val="0"/>
                <w:szCs w:val="21"/>
              </w:rPr>
            </w:pPr>
            <w:r>
              <w:rPr>
                <w:rFonts w:hint="eastAsia" w:ascii="宋体" w:hAnsi="宋体" w:eastAsia="宋体" w:cs="宋体"/>
                <w:b/>
                <w:bCs/>
                <w:color w:val="000000"/>
                <w:kern w:val="0"/>
                <w:szCs w:val="21"/>
              </w:rPr>
              <w:t>需求名称</w:t>
            </w:r>
          </w:p>
        </w:tc>
        <w:tc>
          <w:tcPr>
            <w:tcW w:w="652" w:type="dxa"/>
            <w:tcBorders>
              <w:top w:val="single" w:color="000000" w:sz="8" w:space="0"/>
              <w:bottom w:val="single" w:color="000000" w:sz="8" w:space="0"/>
              <w:right w:val="single" w:color="000000" w:sz="8" w:space="0"/>
            </w:tcBorders>
            <w:vAlign w:val="center"/>
          </w:tcPr>
          <w:p w14:paraId="1327F19C">
            <w:pPr>
              <w:widowControl/>
              <w:jc w:val="center"/>
              <w:rPr>
                <w:rFonts w:ascii="宋体" w:hAnsi="宋体" w:cs="宋体"/>
                <w:b/>
                <w:bCs/>
                <w:color w:val="000000"/>
                <w:kern w:val="0"/>
                <w:szCs w:val="21"/>
              </w:rPr>
            </w:pPr>
            <w:r>
              <w:rPr>
                <w:rFonts w:hint="eastAsia" w:ascii="宋体" w:hAnsi="宋体" w:eastAsia="宋体" w:cs="宋体"/>
                <w:b/>
                <w:bCs/>
                <w:color w:val="000000"/>
                <w:kern w:val="0"/>
                <w:szCs w:val="21"/>
              </w:rPr>
              <w:t>序号</w:t>
            </w:r>
          </w:p>
        </w:tc>
        <w:tc>
          <w:tcPr>
            <w:tcW w:w="6582" w:type="dxa"/>
            <w:tcBorders>
              <w:top w:val="single" w:color="000000" w:sz="8" w:space="0"/>
              <w:bottom w:val="single" w:color="000000" w:sz="8" w:space="0"/>
              <w:right w:val="single" w:color="000000" w:sz="8" w:space="0"/>
            </w:tcBorders>
            <w:vAlign w:val="center"/>
          </w:tcPr>
          <w:p w14:paraId="2A4ACA52">
            <w:pPr>
              <w:widowControl/>
              <w:jc w:val="center"/>
              <w:rPr>
                <w:rFonts w:ascii="宋体" w:hAnsi="宋体" w:cs="宋体"/>
                <w:b/>
                <w:bCs/>
                <w:color w:val="000000"/>
                <w:kern w:val="0"/>
                <w:szCs w:val="21"/>
              </w:rPr>
            </w:pPr>
            <w:r>
              <w:rPr>
                <w:rFonts w:hint="eastAsia" w:ascii="宋体" w:hAnsi="宋体" w:eastAsia="宋体" w:cs="宋体"/>
                <w:b/>
                <w:bCs/>
                <w:color w:val="000000"/>
                <w:kern w:val="0"/>
                <w:szCs w:val="21"/>
              </w:rPr>
              <w:t>需求描述</w:t>
            </w:r>
          </w:p>
        </w:tc>
      </w:tr>
      <w:tr w14:paraId="039CFC27">
        <w:tblPrEx>
          <w:tblCellMar>
            <w:top w:w="0" w:type="dxa"/>
            <w:left w:w="108" w:type="dxa"/>
            <w:bottom w:w="0" w:type="dxa"/>
            <w:right w:w="108" w:type="dxa"/>
          </w:tblCellMar>
        </w:tblPrEx>
        <w:trPr>
          <w:trHeight w:val="626" w:hRule="atLeast"/>
        </w:trPr>
        <w:tc>
          <w:tcPr>
            <w:tcW w:w="8978" w:type="dxa"/>
            <w:gridSpan w:val="3"/>
            <w:tcBorders>
              <w:left w:val="single" w:color="000000" w:sz="8" w:space="0"/>
              <w:bottom w:val="single" w:color="000000" w:sz="8" w:space="0"/>
              <w:right w:val="single" w:color="000000" w:sz="8" w:space="0"/>
            </w:tcBorders>
            <w:tcMar>
              <w:top w:w="70" w:type="dxa"/>
              <w:left w:w="80" w:type="dxa"/>
              <w:bottom w:w="70" w:type="dxa"/>
              <w:right w:w="80" w:type="dxa"/>
            </w:tcMar>
            <w:vAlign w:val="center"/>
          </w:tcPr>
          <w:p w14:paraId="1E562ABB">
            <w:pPr>
              <w:pStyle w:val="9"/>
              <w:bidi w:val="0"/>
              <w:spacing w:before="0" w:after="0" w:line="240" w:lineRule="auto"/>
              <w:ind w:left="0" w:firstLine="0"/>
              <w:jc w:val="left"/>
              <w:rPr>
                <w:rFonts w:ascii="宋体" w:hAnsi="宋体" w:cs="宋体"/>
                <w:b w:val="0"/>
                <w:bCs/>
                <w:color w:val="FF0000"/>
                <w:kern w:val="0"/>
                <w:szCs w:val="21"/>
              </w:rPr>
            </w:pPr>
            <w:r>
              <w:rPr>
                <w:rFonts w:hint="eastAsia" w:ascii="宋体" w:hAnsi="宋体" w:eastAsia="宋体"/>
                <w:b/>
                <w:sz w:val="22"/>
              </w:rPr>
              <w:t>功能需求：</w:t>
            </w:r>
          </w:p>
        </w:tc>
      </w:tr>
      <w:tr w14:paraId="12C7B4DC">
        <w:tblPrEx>
          <w:tblCellMar>
            <w:top w:w="0" w:type="dxa"/>
            <w:left w:w="108" w:type="dxa"/>
            <w:bottom w:w="0" w:type="dxa"/>
            <w:right w:w="108" w:type="dxa"/>
          </w:tblCellMar>
        </w:tblPrEx>
        <w:trPr>
          <w:trHeight w:val="3152" w:hRule="atLeast"/>
        </w:trPr>
        <w:tc>
          <w:tcPr>
            <w:tcW w:w="1744" w:type="dxa"/>
            <w:tcBorders>
              <w:left w:val="single" w:color="000000" w:sz="8" w:space="0"/>
              <w:bottom w:val="single" w:color="000000" w:sz="8" w:space="0"/>
              <w:right w:val="single" w:color="000000" w:sz="8" w:space="0"/>
            </w:tcBorders>
            <w:tcMar>
              <w:top w:w="70" w:type="dxa"/>
              <w:left w:w="80" w:type="dxa"/>
              <w:bottom w:w="70" w:type="dxa"/>
              <w:right w:w="80" w:type="dxa"/>
            </w:tcMar>
            <w:vAlign w:val="center"/>
          </w:tcPr>
          <w:p w14:paraId="5224BBC4">
            <w:pPr>
              <w:widowControl/>
              <w:snapToGrid w:val="0"/>
              <w:spacing w:before="0" w:after="0" w:line="240" w:lineRule="auto"/>
              <w:jc w:val="center"/>
              <w:rPr>
                <w:rFonts w:ascii="宋体" w:hAnsi="宋体" w:cs="宋体"/>
                <w:b w:val="0"/>
                <w:bCs/>
                <w:color w:val="auto"/>
                <w:kern w:val="0"/>
                <w:szCs w:val="21"/>
              </w:rPr>
            </w:pPr>
            <w:r>
              <w:rPr>
                <w:rFonts w:hint="eastAsia" w:ascii="宋体" w:hAnsi="宋体" w:cs="宋体"/>
                <w:b w:val="0"/>
                <w:bCs/>
                <w:color w:val="auto"/>
                <w:kern w:val="0"/>
                <w:szCs w:val="21"/>
              </w:rPr>
              <w:t>门诊医保控费弹窗改造</w:t>
            </w:r>
          </w:p>
        </w:tc>
        <w:tc>
          <w:tcPr>
            <w:tcW w:w="652" w:type="dxa"/>
            <w:tcBorders>
              <w:bottom w:val="single" w:color="000000" w:sz="8" w:space="0"/>
              <w:right w:val="single" w:color="000000" w:sz="8" w:space="0"/>
            </w:tcBorders>
            <w:tcMar>
              <w:top w:w="70" w:type="dxa"/>
              <w:left w:w="80" w:type="dxa"/>
              <w:bottom w:w="70" w:type="dxa"/>
              <w:right w:w="80" w:type="dxa"/>
            </w:tcMar>
            <w:vAlign w:val="center"/>
          </w:tcPr>
          <w:p w14:paraId="5E97BB5F">
            <w:pPr>
              <w:widowControl/>
              <w:snapToGrid w:val="0"/>
              <w:spacing w:before="0" w:after="0" w:line="240" w:lineRule="auto"/>
              <w:jc w:val="center"/>
              <w:rPr>
                <w:rFonts w:ascii="宋体" w:hAnsi="宋体" w:cs="宋体"/>
                <w:color w:val="auto"/>
                <w:kern w:val="0"/>
                <w:szCs w:val="21"/>
              </w:rPr>
            </w:pPr>
            <w:r>
              <w:rPr>
                <w:rFonts w:ascii="宋体" w:hAnsi="宋体" w:eastAsia="宋体"/>
                <w:b w:val="0"/>
                <w:color w:val="auto"/>
                <w:sz w:val="20"/>
              </w:rPr>
              <w:t>1</w:t>
            </w:r>
          </w:p>
        </w:tc>
        <w:tc>
          <w:tcPr>
            <w:tcW w:w="6582" w:type="dxa"/>
            <w:tcBorders>
              <w:bottom w:val="single" w:color="000000" w:sz="8" w:space="0"/>
              <w:right w:val="single" w:color="000000" w:sz="8" w:space="0"/>
            </w:tcBorders>
            <w:tcMar>
              <w:top w:w="70" w:type="dxa"/>
              <w:left w:w="80" w:type="dxa"/>
              <w:bottom w:w="70" w:type="dxa"/>
              <w:right w:w="80" w:type="dxa"/>
            </w:tcMar>
            <w:vAlign w:val="center"/>
          </w:tcPr>
          <w:p w14:paraId="1DD1BBCF">
            <w:pPr>
              <w:widowControl/>
              <w:snapToGrid w:val="0"/>
              <w:spacing w:before="0" w:after="0" w:line="240" w:lineRule="auto"/>
              <w:jc w:val="left"/>
              <w:rPr>
                <w:rFonts w:ascii="宋体" w:hAnsi="宋体" w:cs="宋体"/>
                <w:color w:val="auto"/>
                <w:kern w:val="0"/>
                <w:szCs w:val="21"/>
              </w:rPr>
            </w:pPr>
            <w:r>
              <w:rPr>
                <w:rFonts w:hint="eastAsia" w:ascii="宋体" w:hAnsi="宋体" w:cs="宋体"/>
                <w:color w:val="auto"/>
                <w:kern w:val="0"/>
                <w:szCs w:val="21"/>
                <w:lang w:val="en-US" w:eastAsia="zh-CN"/>
              </w:rPr>
              <w:t>门诊医生站，在接诊指定类型患者时</w:t>
            </w:r>
            <w:r>
              <w:rPr>
                <w:rFonts w:hint="eastAsia" w:ascii="宋体" w:hAnsi="宋体" w:cs="宋体"/>
                <w:color w:val="auto"/>
                <w:kern w:val="0"/>
                <w:szCs w:val="21"/>
              </w:rPr>
              <w:t>①触发规则：门诊医师接诊深圳有效参保、经普通门诊通道就诊且普通门诊统筹定点在我院下属</w:t>
            </w:r>
            <w:r>
              <w:rPr>
                <w:rFonts w:hint="eastAsia" w:ascii="宋体" w:hAnsi="宋体" w:cs="宋体"/>
                <w:color w:val="auto"/>
                <w:kern w:val="0"/>
                <w:szCs w:val="21"/>
                <w:lang w:val="en-US" w:eastAsia="zh-CN"/>
              </w:rPr>
              <w:t>结算机构的</w:t>
            </w:r>
            <w:r>
              <w:rPr>
                <w:rFonts w:hint="eastAsia" w:ascii="宋体" w:hAnsi="宋体" w:cs="宋体"/>
                <w:color w:val="auto"/>
                <w:kern w:val="0"/>
                <w:szCs w:val="21"/>
              </w:rPr>
              <w:t>患者，在门诊病历书写完毕并点击保存后触发弹窗，需实时获取并识别患者是否绑定</w:t>
            </w:r>
            <w:r>
              <w:rPr>
                <w:rFonts w:hint="eastAsia" w:ascii="宋体" w:hAnsi="宋体" w:cs="宋体"/>
                <w:color w:val="auto"/>
                <w:kern w:val="0"/>
                <w:szCs w:val="21"/>
                <w:lang w:val="en-US" w:eastAsia="zh-CN"/>
              </w:rPr>
              <w:t>下属结算机构</w:t>
            </w:r>
            <w:r>
              <w:rPr>
                <w:rFonts w:hint="eastAsia" w:ascii="宋体" w:hAnsi="宋体" w:cs="宋体"/>
                <w:color w:val="auto"/>
                <w:kern w:val="0"/>
                <w:szCs w:val="21"/>
              </w:rPr>
              <w:t>；②弹窗提醒内容修改为“该患者为我院下属社康绑定人员，受门诊控费限制，请医师尽量将本次</w:t>
            </w:r>
            <w:r>
              <w:rPr>
                <w:rFonts w:hint="eastAsia" w:ascii="宋体" w:hAnsi="宋体" w:cs="宋体"/>
                <w:color w:val="auto"/>
                <w:kern w:val="0"/>
                <w:szCs w:val="21"/>
                <w:lang w:val="en-US" w:eastAsia="zh-CN"/>
              </w:rPr>
              <w:t>总</w:t>
            </w:r>
            <w:r>
              <w:rPr>
                <w:rFonts w:hint="eastAsia" w:ascii="宋体" w:hAnsi="宋体" w:cs="宋体"/>
                <w:color w:val="auto"/>
                <w:kern w:val="0"/>
                <w:szCs w:val="21"/>
              </w:rPr>
              <w:t>医疗费用控制在xxx元以下！”；③具体限额按不同专科分别设置（</w:t>
            </w:r>
            <w:r>
              <w:rPr>
                <w:rFonts w:hint="eastAsia" w:ascii="宋体" w:hAnsi="宋体" w:cs="宋体"/>
                <w:color w:val="auto"/>
                <w:kern w:val="0"/>
                <w:szCs w:val="21"/>
                <w:lang w:val="en-US" w:eastAsia="zh-CN"/>
              </w:rPr>
              <w:t>由医院提供，并动态更新</w:t>
            </w:r>
            <w:r>
              <w:rPr>
                <w:rFonts w:hint="eastAsia" w:ascii="宋体" w:hAnsi="宋体" w:cs="宋体"/>
                <w:color w:val="auto"/>
                <w:kern w:val="0"/>
                <w:szCs w:val="21"/>
              </w:rPr>
              <w:t>，科室名称按HIS系统科室编码对照及门办专病门诊设置，提醒至各专病门诊，不在附件中的科室不做提醒）；④限额数据需支持通过数据导入功能实现不定期更新录入（导入功能已完成，PB端待改造）；⑤其他需求：医师点击确定、知晓弹窗内容后，当次诊疗数据需被保存，</w:t>
            </w:r>
            <w:r>
              <w:rPr>
                <w:rFonts w:hint="eastAsia" w:ascii="宋体" w:hAnsi="宋体" w:cs="宋体"/>
                <w:color w:val="auto"/>
                <w:kern w:val="0"/>
                <w:szCs w:val="21"/>
                <w:lang w:val="en-US" w:eastAsia="zh-CN"/>
              </w:rPr>
              <w:t>形成报表，</w:t>
            </w:r>
            <w:r>
              <w:rPr>
                <w:rFonts w:hint="eastAsia" w:ascii="宋体" w:hAnsi="宋体" w:cs="宋体"/>
                <w:color w:val="auto"/>
                <w:kern w:val="0"/>
                <w:szCs w:val="21"/>
              </w:rPr>
              <w:t>可供</w:t>
            </w:r>
            <w:r>
              <w:rPr>
                <w:rFonts w:hint="eastAsia" w:ascii="宋体" w:hAnsi="宋体" w:cs="宋体"/>
                <w:color w:val="auto"/>
                <w:kern w:val="0"/>
                <w:szCs w:val="21"/>
                <w:lang w:val="en-US" w:eastAsia="zh-CN"/>
              </w:rPr>
              <w:t>完成诊疗后</w:t>
            </w:r>
            <w:r>
              <w:rPr>
                <w:rFonts w:hint="eastAsia" w:ascii="宋体" w:hAnsi="宋体" w:cs="宋体"/>
                <w:color w:val="auto"/>
                <w:kern w:val="0"/>
                <w:szCs w:val="21"/>
              </w:rPr>
              <w:t>调用、导出、分析。</w:t>
            </w:r>
          </w:p>
        </w:tc>
      </w:tr>
      <w:tr w14:paraId="1836BB7B">
        <w:tblPrEx>
          <w:tblCellMar>
            <w:top w:w="0" w:type="dxa"/>
            <w:left w:w="108" w:type="dxa"/>
            <w:bottom w:w="0" w:type="dxa"/>
            <w:right w:w="108" w:type="dxa"/>
          </w:tblCellMar>
        </w:tblPrEx>
        <w:trPr>
          <w:trHeight w:val="1509" w:hRule="atLeast"/>
        </w:trPr>
        <w:tc>
          <w:tcPr>
            <w:tcW w:w="1744" w:type="dxa"/>
            <w:tcBorders>
              <w:left w:val="single" w:color="000000" w:sz="8" w:space="0"/>
              <w:bottom w:val="single" w:color="000000" w:sz="8" w:space="0"/>
              <w:right w:val="single" w:color="000000" w:sz="8" w:space="0"/>
            </w:tcBorders>
            <w:tcMar>
              <w:top w:w="70" w:type="dxa"/>
              <w:left w:w="80" w:type="dxa"/>
              <w:bottom w:w="70" w:type="dxa"/>
              <w:right w:w="80" w:type="dxa"/>
            </w:tcMar>
            <w:vAlign w:val="center"/>
          </w:tcPr>
          <w:p w14:paraId="343008B8">
            <w:pPr>
              <w:widowControl/>
              <w:snapToGrid w:val="0"/>
              <w:spacing w:before="0" w:after="0" w:line="240" w:lineRule="auto"/>
              <w:jc w:val="center"/>
              <w:rPr>
                <w:rFonts w:ascii="宋体" w:hAnsi="宋体" w:cs="宋体"/>
                <w:b w:val="0"/>
                <w:bCs/>
                <w:color w:val="auto"/>
                <w:kern w:val="0"/>
                <w:szCs w:val="21"/>
              </w:rPr>
            </w:pPr>
            <w:r>
              <w:rPr>
                <w:rFonts w:hint="eastAsia" w:ascii="宋体" w:hAnsi="宋体" w:cs="宋体"/>
                <w:b w:val="0"/>
                <w:bCs/>
                <w:color w:val="auto"/>
                <w:kern w:val="0"/>
                <w:szCs w:val="21"/>
              </w:rPr>
              <w:t>全国影像云接口对接</w:t>
            </w:r>
          </w:p>
        </w:tc>
        <w:tc>
          <w:tcPr>
            <w:tcW w:w="652" w:type="dxa"/>
            <w:tcBorders>
              <w:bottom w:val="single" w:color="000000" w:sz="8" w:space="0"/>
              <w:right w:val="single" w:color="000000" w:sz="8" w:space="0"/>
            </w:tcBorders>
            <w:tcMar>
              <w:top w:w="70" w:type="dxa"/>
              <w:left w:w="80" w:type="dxa"/>
              <w:bottom w:w="70" w:type="dxa"/>
              <w:right w:w="80" w:type="dxa"/>
            </w:tcMar>
            <w:vAlign w:val="center"/>
          </w:tcPr>
          <w:p w14:paraId="13DEEAD6">
            <w:pPr>
              <w:widowControl/>
              <w:snapToGrid w:val="0"/>
              <w:spacing w:before="0" w:after="0" w:line="240" w:lineRule="auto"/>
              <w:jc w:val="center"/>
              <w:rPr>
                <w:rFonts w:ascii="宋体" w:hAnsi="宋体" w:cs="宋体"/>
                <w:color w:val="auto"/>
                <w:kern w:val="0"/>
                <w:szCs w:val="21"/>
              </w:rPr>
            </w:pPr>
            <w:r>
              <w:rPr>
                <w:rFonts w:ascii="宋体" w:hAnsi="宋体" w:cs="宋体"/>
                <w:color w:val="auto"/>
                <w:kern w:val="0"/>
                <w:szCs w:val="21"/>
              </w:rPr>
              <w:t>2</w:t>
            </w:r>
          </w:p>
        </w:tc>
        <w:tc>
          <w:tcPr>
            <w:tcW w:w="6582" w:type="dxa"/>
            <w:tcBorders>
              <w:bottom w:val="single" w:color="000000" w:sz="8" w:space="0"/>
              <w:right w:val="single" w:color="000000" w:sz="8" w:space="0"/>
            </w:tcBorders>
            <w:tcMar>
              <w:top w:w="70" w:type="dxa"/>
              <w:left w:w="80" w:type="dxa"/>
              <w:bottom w:w="70" w:type="dxa"/>
              <w:right w:w="80" w:type="dxa"/>
            </w:tcMar>
            <w:vAlign w:val="center"/>
          </w:tcPr>
          <w:p w14:paraId="7687FEEB">
            <w:pPr>
              <w:widowControl/>
              <w:snapToGrid w:val="0"/>
              <w:spacing w:before="0" w:after="0" w:line="240" w:lineRule="auto"/>
              <w:jc w:val="left"/>
              <w:rPr>
                <w:rFonts w:ascii="宋体" w:hAnsi="宋体" w:cs="宋体"/>
                <w:color w:val="auto"/>
                <w:kern w:val="0"/>
                <w:szCs w:val="21"/>
              </w:rPr>
            </w:pPr>
            <w:r>
              <w:rPr>
                <w:rFonts w:hint="eastAsia" w:ascii="宋体" w:hAnsi="宋体" w:cs="宋体"/>
                <w:color w:val="auto"/>
                <w:kern w:val="0"/>
                <w:szCs w:val="21"/>
              </w:rPr>
              <w:t>根据《深圳市医疗保障局 深圳市卫生健康委员会关于建立影像云索引与医保结算ID关联的通知》要求，按《深圳市影像云索引与医保结算ID接口标准》完成影像云索引与医保结算ID关联的接口改造。目前分局通知暂无需提交申请表，待市里统一安排，需同步跟进接口更新情况（分别于7月9日、8月5日与分局确认）。</w:t>
            </w:r>
          </w:p>
        </w:tc>
      </w:tr>
      <w:tr w14:paraId="54573FCF">
        <w:tblPrEx>
          <w:tblCellMar>
            <w:top w:w="0" w:type="dxa"/>
            <w:left w:w="108" w:type="dxa"/>
            <w:bottom w:w="0" w:type="dxa"/>
            <w:right w:w="108" w:type="dxa"/>
          </w:tblCellMar>
        </w:tblPrEx>
        <w:trPr>
          <w:trHeight w:val="1236" w:hRule="atLeast"/>
        </w:trPr>
        <w:tc>
          <w:tcPr>
            <w:tcW w:w="1744" w:type="dxa"/>
            <w:tcBorders>
              <w:left w:val="single" w:color="000000" w:sz="8" w:space="0"/>
              <w:bottom w:val="single" w:color="000000" w:sz="8" w:space="0"/>
              <w:right w:val="single" w:color="000000" w:sz="8" w:space="0"/>
            </w:tcBorders>
            <w:tcMar>
              <w:top w:w="70" w:type="dxa"/>
              <w:left w:w="80" w:type="dxa"/>
              <w:bottom w:w="70" w:type="dxa"/>
              <w:right w:w="80" w:type="dxa"/>
            </w:tcMar>
            <w:vAlign w:val="center"/>
          </w:tcPr>
          <w:p w14:paraId="5E8832DD">
            <w:pPr>
              <w:widowControl/>
              <w:snapToGrid w:val="0"/>
              <w:spacing w:before="0" w:after="0" w:line="240" w:lineRule="auto"/>
              <w:jc w:val="center"/>
              <w:rPr>
                <w:rFonts w:ascii="宋体" w:hAnsi="宋体" w:cs="宋体"/>
                <w:b w:val="0"/>
                <w:bCs/>
                <w:color w:val="auto"/>
                <w:kern w:val="0"/>
                <w:szCs w:val="21"/>
              </w:rPr>
            </w:pPr>
            <w:r>
              <w:rPr>
                <w:rFonts w:hint="eastAsia" w:ascii="宋体" w:hAnsi="宋体" w:cs="宋体"/>
                <w:b w:val="0"/>
                <w:bCs/>
                <w:color w:val="auto"/>
                <w:kern w:val="0"/>
                <w:szCs w:val="21"/>
              </w:rPr>
              <w:t>罕见病门诊通道接口改造</w:t>
            </w:r>
          </w:p>
        </w:tc>
        <w:tc>
          <w:tcPr>
            <w:tcW w:w="652" w:type="dxa"/>
            <w:tcBorders>
              <w:bottom w:val="single" w:color="000000" w:sz="8" w:space="0"/>
              <w:right w:val="single" w:color="000000" w:sz="8" w:space="0"/>
            </w:tcBorders>
            <w:tcMar>
              <w:top w:w="70" w:type="dxa"/>
              <w:left w:w="80" w:type="dxa"/>
              <w:bottom w:w="70" w:type="dxa"/>
              <w:right w:w="80" w:type="dxa"/>
            </w:tcMar>
            <w:vAlign w:val="center"/>
          </w:tcPr>
          <w:p w14:paraId="2F732E8C">
            <w:pPr>
              <w:widowControl/>
              <w:snapToGrid w:val="0"/>
              <w:spacing w:before="0" w:after="0" w:line="240" w:lineRule="auto"/>
              <w:jc w:val="center"/>
              <w:rPr>
                <w:rFonts w:ascii="宋体" w:hAnsi="宋体" w:cs="宋体"/>
                <w:color w:val="auto"/>
                <w:kern w:val="0"/>
                <w:szCs w:val="21"/>
              </w:rPr>
            </w:pPr>
            <w:r>
              <w:rPr>
                <w:rFonts w:ascii="宋体" w:hAnsi="宋体" w:cs="宋体"/>
                <w:color w:val="auto"/>
                <w:kern w:val="0"/>
                <w:szCs w:val="21"/>
              </w:rPr>
              <w:t>3</w:t>
            </w:r>
          </w:p>
        </w:tc>
        <w:tc>
          <w:tcPr>
            <w:tcW w:w="6582" w:type="dxa"/>
            <w:tcBorders>
              <w:bottom w:val="single" w:color="000000" w:sz="8" w:space="0"/>
              <w:right w:val="single" w:color="000000" w:sz="8" w:space="0"/>
            </w:tcBorders>
            <w:tcMar>
              <w:top w:w="70" w:type="dxa"/>
              <w:left w:w="80" w:type="dxa"/>
              <w:bottom w:w="70" w:type="dxa"/>
              <w:right w:w="80" w:type="dxa"/>
            </w:tcMar>
            <w:vAlign w:val="center"/>
          </w:tcPr>
          <w:p w14:paraId="21C03940">
            <w:pPr>
              <w:widowControl/>
              <w:snapToGrid w:val="0"/>
              <w:spacing w:before="0" w:after="0" w:line="240" w:lineRule="auto"/>
              <w:jc w:val="left"/>
              <w:rPr>
                <w:rFonts w:ascii="宋体" w:hAnsi="宋体" w:cs="宋体"/>
                <w:color w:val="auto"/>
                <w:kern w:val="0"/>
                <w:szCs w:val="21"/>
              </w:rPr>
            </w:pPr>
            <w:r>
              <w:rPr>
                <w:rFonts w:hint="eastAsia" w:ascii="宋体" w:hAnsi="宋体" w:cs="宋体"/>
                <w:color w:val="auto"/>
                <w:kern w:val="0"/>
                <w:szCs w:val="21"/>
              </w:rPr>
              <w:t>根据《深圳市医疗保险基金管理中心关于做好罕见病患者用药保障相关工作的通知》（市医保中心OA收文）及《深圳市定点医疗机构罕见病门诊操作指引》，完成罕见病门诊通道的接口改造，保障罕见病患者用药医保结算。</w:t>
            </w:r>
          </w:p>
        </w:tc>
      </w:tr>
      <w:tr w14:paraId="13B1E21C">
        <w:tblPrEx>
          <w:tblCellMar>
            <w:top w:w="0" w:type="dxa"/>
            <w:left w:w="108" w:type="dxa"/>
            <w:bottom w:w="0" w:type="dxa"/>
            <w:right w:w="108" w:type="dxa"/>
          </w:tblCellMar>
        </w:tblPrEx>
        <w:trPr>
          <w:trHeight w:val="1236" w:hRule="atLeast"/>
        </w:trPr>
        <w:tc>
          <w:tcPr>
            <w:tcW w:w="1744" w:type="dxa"/>
            <w:tcBorders>
              <w:left w:val="single" w:color="000000" w:sz="8" w:space="0"/>
              <w:bottom w:val="single" w:color="000000" w:sz="8" w:space="0"/>
              <w:right w:val="single" w:color="000000" w:sz="8" w:space="0"/>
            </w:tcBorders>
            <w:tcMar>
              <w:top w:w="70" w:type="dxa"/>
              <w:left w:w="80" w:type="dxa"/>
              <w:bottom w:w="70" w:type="dxa"/>
              <w:right w:w="80" w:type="dxa"/>
            </w:tcMar>
            <w:vAlign w:val="center"/>
          </w:tcPr>
          <w:p w14:paraId="33DA6F46">
            <w:pPr>
              <w:widowControl/>
              <w:snapToGrid w:val="0"/>
              <w:spacing w:before="0" w:after="0" w:line="240" w:lineRule="auto"/>
              <w:jc w:val="center"/>
              <w:rPr>
                <w:rFonts w:ascii="宋体" w:hAnsi="宋体" w:cs="宋体"/>
                <w:b w:val="0"/>
                <w:bCs/>
                <w:color w:val="auto"/>
                <w:kern w:val="0"/>
                <w:szCs w:val="21"/>
              </w:rPr>
            </w:pPr>
            <w:r>
              <w:rPr>
                <w:rFonts w:hint="eastAsia" w:ascii="宋体" w:hAnsi="宋体" w:cs="宋体"/>
                <w:b w:val="0"/>
                <w:bCs/>
                <w:color w:val="auto"/>
                <w:kern w:val="0"/>
                <w:szCs w:val="21"/>
              </w:rPr>
              <w:t>医保刷脸支付推广完善</w:t>
            </w:r>
          </w:p>
        </w:tc>
        <w:tc>
          <w:tcPr>
            <w:tcW w:w="652" w:type="dxa"/>
            <w:tcBorders>
              <w:bottom w:val="single" w:color="000000" w:sz="8" w:space="0"/>
              <w:right w:val="single" w:color="000000" w:sz="8" w:space="0"/>
            </w:tcBorders>
            <w:tcMar>
              <w:top w:w="70" w:type="dxa"/>
              <w:left w:w="80" w:type="dxa"/>
              <w:bottom w:w="70" w:type="dxa"/>
              <w:right w:w="80" w:type="dxa"/>
            </w:tcMar>
            <w:vAlign w:val="center"/>
          </w:tcPr>
          <w:p w14:paraId="2F402095">
            <w:pPr>
              <w:widowControl/>
              <w:snapToGrid w:val="0"/>
              <w:spacing w:before="0" w:after="0" w:line="240" w:lineRule="auto"/>
              <w:jc w:val="center"/>
              <w:rPr>
                <w:rFonts w:ascii="宋体" w:hAnsi="宋体" w:cs="宋体"/>
                <w:color w:val="auto"/>
                <w:kern w:val="0"/>
                <w:szCs w:val="21"/>
              </w:rPr>
            </w:pPr>
            <w:r>
              <w:rPr>
                <w:rFonts w:ascii="宋体" w:hAnsi="宋体" w:cs="宋体"/>
                <w:color w:val="auto"/>
                <w:kern w:val="0"/>
                <w:szCs w:val="21"/>
              </w:rPr>
              <w:t>4</w:t>
            </w:r>
          </w:p>
        </w:tc>
        <w:tc>
          <w:tcPr>
            <w:tcW w:w="6582" w:type="dxa"/>
            <w:tcBorders>
              <w:bottom w:val="single" w:color="000000" w:sz="8" w:space="0"/>
              <w:right w:val="single" w:color="000000" w:sz="8" w:space="0"/>
            </w:tcBorders>
            <w:tcMar>
              <w:top w:w="70" w:type="dxa"/>
              <w:left w:w="80" w:type="dxa"/>
              <w:bottom w:w="70" w:type="dxa"/>
              <w:right w:w="80" w:type="dxa"/>
            </w:tcMar>
            <w:vAlign w:val="center"/>
          </w:tcPr>
          <w:p w14:paraId="6F7A73C4">
            <w:pPr>
              <w:widowControl/>
              <w:snapToGrid w:val="0"/>
              <w:spacing w:before="0" w:after="0" w:line="240" w:lineRule="auto"/>
              <w:jc w:val="left"/>
              <w:rPr>
                <w:rFonts w:ascii="宋体" w:hAnsi="宋体" w:cs="宋体"/>
                <w:color w:val="auto"/>
                <w:kern w:val="0"/>
                <w:szCs w:val="21"/>
              </w:rPr>
            </w:pPr>
            <w:r>
              <w:rPr>
                <w:rFonts w:hint="eastAsia" w:ascii="宋体" w:hAnsi="宋体" w:cs="宋体"/>
                <w:color w:val="auto"/>
                <w:kern w:val="0"/>
                <w:szCs w:val="21"/>
              </w:rPr>
              <w:t>按医保码就医购药全流程应用“走流程、找堵点”活动要求，配合完成医保刷脸设备铺设。</w:t>
            </w:r>
            <w:r>
              <w:rPr>
                <w:rFonts w:hint="eastAsia" w:ascii="宋体" w:hAnsi="宋体" w:cs="宋体"/>
                <w:color w:val="auto"/>
                <w:kern w:val="0"/>
                <w:szCs w:val="21"/>
                <w:shd w:val="clear"/>
              </w:rPr>
              <w:t>目前一期设备7台已铺设完成，需进一步扩大覆盖范围、提升刷脸结算率，尽快达到分局要求的正式上线条件（连续七天日均医保结算笔数≥10笔）。</w:t>
            </w:r>
          </w:p>
        </w:tc>
      </w:tr>
      <w:tr w14:paraId="36D396BE">
        <w:tblPrEx>
          <w:tblCellMar>
            <w:top w:w="0" w:type="dxa"/>
            <w:left w:w="108" w:type="dxa"/>
            <w:bottom w:w="0" w:type="dxa"/>
            <w:right w:w="108" w:type="dxa"/>
          </w:tblCellMar>
        </w:tblPrEx>
        <w:trPr>
          <w:trHeight w:val="2234" w:hRule="atLeast"/>
        </w:trPr>
        <w:tc>
          <w:tcPr>
            <w:tcW w:w="1744" w:type="dxa"/>
            <w:tcBorders>
              <w:left w:val="single" w:color="000000" w:sz="8" w:space="0"/>
              <w:bottom w:val="single" w:color="000000" w:sz="8" w:space="0"/>
              <w:right w:val="single" w:color="000000" w:sz="8" w:space="0"/>
            </w:tcBorders>
            <w:tcMar>
              <w:top w:w="70" w:type="dxa"/>
              <w:left w:w="80" w:type="dxa"/>
              <w:bottom w:w="70" w:type="dxa"/>
              <w:right w:w="80" w:type="dxa"/>
            </w:tcMar>
            <w:vAlign w:val="center"/>
          </w:tcPr>
          <w:p w14:paraId="0E01A979">
            <w:pPr>
              <w:widowControl/>
              <w:snapToGrid w:val="0"/>
              <w:spacing w:before="0" w:after="0" w:line="240" w:lineRule="auto"/>
              <w:jc w:val="center"/>
              <w:rPr>
                <w:rFonts w:ascii="宋体" w:hAnsi="宋体" w:cs="宋体"/>
                <w:b w:val="0"/>
                <w:bCs/>
                <w:color w:val="auto"/>
                <w:kern w:val="0"/>
                <w:szCs w:val="21"/>
              </w:rPr>
            </w:pPr>
            <w:r>
              <w:rPr>
                <w:rFonts w:hint="eastAsia" w:ascii="宋体" w:hAnsi="宋体" w:cs="宋体"/>
                <w:b w:val="0"/>
                <w:bCs/>
                <w:color w:val="auto"/>
                <w:kern w:val="0"/>
                <w:szCs w:val="21"/>
              </w:rPr>
              <w:t>治疗项目开单信息录入改造</w:t>
            </w:r>
          </w:p>
        </w:tc>
        <w:tc>
          <w:tcPr>
            <w:tcW w:w="652" w:type="dxa"/>
            <w:tcBorders>
              <w:bottom w:val="single" w:color="000000" w:sz="8" w:space="0"/>
              <w:right w:val="single" w:color="000000" w:sz="8" w:space="0"/>
            </w:tcBorders>
            <w:tcMar>
              <w:top w:w="70" w:type="dxa"/>
              <w:left w:w="80" w:type="dxa"/>
              <w:bottom w:w="70" w:type="dxa"/>
              <w:right w:w="80" w:type="dxa"/>
            </w:tcMar>
            <w:vAlign w:val="center"/>
          </w:tcPr>
          <w:p w14:paraId="5FF17AB3">
            <w:pPr>
              <w:widowControl/>
              <w:snapToGrid w:val="0"/>
              <w:spacing w:before="0" w:after="0" w:line="240" w:lineRule="auto"/>
              <w:jc w:val="center"/>
              <w:rPr>
                <w:rFonts w:ascii="宋体" w:hAnsi="宋体" w:cs="宋体"/>
                <w:color w:val="auto"/>
                <w:kern w:val="0"/>
                <w:szCs w:val="21"/>
              </w:rPr>
            </w:pPr>
            <w:r>
              <w:rPr>
                <w:rFonts w:ascii="宋体" w:hAnsi="宋体" w:cs="宋体"/>
                <w:color w:val="auto"/>
                <w:kern w:val="0"/>
                <w:szCs w:val="21"/>
              </w:rPr>
              <w:t>5</w:t>
            </w:r>
          </w:p>
        </w:tc>
        <w:tc>
          <w:tcPr>
            <w:tcW w:w="6582" w:type="dxa"/>
            <w:tcBorders>
              <w:bottom w:val="single" w:color="000000" w:sz="8" w:space="0"/>
              <w:right w:val="single" w:color="000000" w:sz="8" w:space="0"/>
            </w:tcBorders>
            <w:tcMar>
              <w:top w:w="70" w:type="dxa"/>
              <w:left w:w="80" w:type="dxa"/>
              <w:bottom w:w="70" w:type="dxa"/>
              <w:right w:w="80" w:type="dxa"/>
            </w:tcMar>
            <w:vAlign w:val="center"/>
          </w:tcPr>
          <w:p w14:paraId="77765CE6">
            <w:pPr>
              <w:widowControl/>
              <w:snapToGrid w:val="0"/>
              <w:spacing w:before="0" w:after="0" w:line="240" w:lineRule="auto"/>
              <w:jc w:val="left"/>
              <w:rPr>
                <w:rFonts w:ascii="宋体" w:hAnsi="宋体" w:cs="宋体"/>
                <w:color w:val="auto"/>
                <w:kern w:val="0"/>
                <w:szCs w:val="21"/>
              </w:rPr>
            </w:pPr>
            <w:r>
              <w:rPr>
                <w:rFonts w:hint="eastAsia" w:ascii="宋体" w:hAnsi="宋体" w:cs="宋体"/>
                <w:color w:val="auto"/>
                <w:kern w:val="0"/>
                <w:szCs w:val="21"/>
              </w:rPr>
              <w:t>按财务分类，E开头的为治疗项目。①治疗项目在开单界面取消数量勾选，改为仅显示计价单位；②治疗项目保存开单后，弹窗填写单次剂量、频次、治疗次数（默认值为1）</w:t>
            </w:r>
            <w:r>
              <w:rPr>
                <w:rFonts w:hint="eastAsia" w:ascii="宋体" w:hAnsi="宋体" w:cs="宋体"/>
                <w:color w:val="auto"/>
                <w:kern w:val="0"/>
                <w:szCs w:val="21"/>
                <w:lang w:eastAsia="zh-CN"/>
              </w:rPr>
              <w:t>；</w:t>
            </w:r>
            <w:r>
              <w:rPr>
                <w:rFonts w:hint="eastAsia" w:ascii="宋体" w:hAnsi="宋体" w:cs="宋体"/>
                <w:color w:val="auto"/>
                <w:kern w:val="0"/>
                <w:szCs w:val="21"/>
                <w:lang w:val="en-US" w:eastAsia="zh-CN"/>
              </w:rPr>
              <w:t>弹框为必填；</w:t>
            </w:r>
            <w:r>
              <w:rPr>
                <w:rFonts w:hint="eastAsia" w:ascii="宋体" w:hAnsi="宋体" w:cs="宋体"/>
                <w:color w:val="auto"/>
                <w:kern w:val="0"/>
                <w:szCs w:val="21"/>
              </w:rPr>
              <w:t>弹框增加计价单位显示，单次剂量允许输入小数</w:t>
            </w:r>
            <w:r>
              <w:rPr>
                <w:rFonts w:hint="eastAsia" w:ascii="宋体" w:hAnsi="宋体" w:cs="宋体"/>
                <w:color w:val="auto"/>
                <w:kern w:val="0"/>
                <w:szCs w:val="21"/>
                <w:lang w:eastAsia="zh-CN"/>
              </w:rPr>
              <w:t>；</w:t>
            </w:r>
            <w:r>
              <w:rPr>
                <w:rFonts w:hint="eastAsia" w:ascii="宋体" w:hAnsi="宋体" w:cs="宋体"/>
                <w:color w:val="auto"/>
                <w:kern w:val="0"/>
                <w:szCs w:val="21"/>
                <w:lang w:val="en-US" w:eastAsia="zh-CN"/>
              </w:rPr>
              <w:t>所填写字段信息展示在病历中。</w:t>
            </w:r>
            <w:r>
              <w:rPr>
                <w:rFonts w:hint="default" w:ascii="Calibri" w:hAnsi="Calibri" w:cs="Calibri"/>
                <w:color w:val="auto"/>
                <w:kern w:val="0"/>
                <w:szCs w:val="21"/>
              </w:rPr>
              <w:t>③</w:t>
            </w:r>
            <w:r>
              <w:rPr>
                <w:rFonts w:hint="eastAsia" w:ascii="宋体" w:hAnsi="宋体" w:cs="宋体"/>
                <w:color w:val="auto"/>
                <w:kern w:val="0"/>
                <w:szCs w:val="21"/>
                <w:lang w:val="en-US" w:eastAsia="zh-CN"/>
              </w:rPr>
              <w:t>根据填写的字段，按规则自动计算本次所开治疗项目有效期；</w:t>
            </w:r>
            <w:r>
              <w:rPr>
                <w:rFonts w:hint="eastAsia" w:ascii="微软雅黑" w:hAnsi="微软雅黑" w:eastAsia="微软雅黑" w:cs="微软雅黑"/>
                <w:color w:val="auto"/>
                <w:kern w:val="0"/>
                <w:szCs w:val="21"/>
                <w:lang w:val="en-US" w:eastAsia="zh-CN"/>
              </w:rPr>
              <w:t>④</w:t>
            </w:r>
            <w:r>
              <w:rPr>
                <w:rFonts w:hint="eastAsia" w:ascii="宋体" w:hAnsi="宋体" w:cs="宋体"/>
                <w:color w:val="auto"/>
                <w:kern w:val="0"/>
                <w:szCs w:val="21"/>
                <w:lang w:val="en-US" w:eastAsia="zh-CN"/>
              </w:rPr>
              <w:t>超过有效期未完成的，提醒开单科室退费或督促患者完成治疗；</w:t>
            </w:r>
            <w:r>
              <w:rPr>
                <w:rFonts w:hint="eastAsia" w:ascii="微软雅黑" w:hAnsi="微软雅黑" w:eastAsia="微软雅黑" w:cs="微软雅黑"/>
                <w:color w:val="auto"/>
                <w:kern w:val="0"/>
                <w:szCs w:val="21"/>
                <w:lang w:val="en-US" w:eastAsia="zh-CN"/>
              </w:rPr>
              <w:t>⑤</w:t>
            </w:r>
            <w:r>
              <w:rPr>
                <w:rFonts w:hint="eastAsia" w:ascii="宋体" w:hAnsi="宋体" w:cs="宋体"/>
                <w:color w:val="auto"/>
                <w:kern w:val="0"/>
                <w:szCs w:val="21"/>
                <w:lang w:val="en-US" w:eastAsia="zh-CN"/>
              </w:rPr>
              <w:t>超期未完成的治疗项目形成报表，报表含患者基本信息、开单科室医师基本信息、具体项目信息等。</w:t>
            </w:r>
          </w:p>
        </w:tc>
      </w:tr>
      <w:tr w14:paraId="3CEB63A2">
        <w:tblPrEx>
          <w:tblCellMar>
            <w:top w:w="0" w:type="dxa"/>
            <w:left w:w="108" w:type="dxa"/>
            <w:bottom w:w="0" w:type="dxa"/>
            <w:right w:w="108" w:type="dxa"/>
          </w:tblCellMar>
        </w:tblPrEx>
        <w:trPr>
          <w:trHeight w:val="962" w:hRule="atLeast"/>
        </w:trPr>
        <w:tc>
          <w:tcPr>
            <w:tcW w:w="1744" w:type="dxa"/>
            <w:tcBorders>
              <w:left w:val="single" w:color="000000" w:sz="8" w:space="0"/>
              <w:bottom w:val="single" w:color="000000" w:sz="8" w:space="0"/>
              <w:right w:val="single" w:color="000000" w:sz="8" w:space="0"/>
            </w:tcBorders>
            <w:tcMar>
              <w:top w:w="70" w:type="dxa"/>
              <w:left w:w="80" w:type="dxa"/>
              <w:bottom w:w="70" w:type="dxa"/>
              <w:right w:w="80" w:type="dxa"/>
            </w:tcMar>
            <w:vAlign w:val="center"/>
          </w:tcPr>
          <w:p w14:paraId="4791D046">
            <w:pPr>
              <w:widowControl/>
              <w:snapToGrid w:val="0"/>
              <w:spacing w:before="0" w:after="0" w:line="240" w:lineRule="auto"/>
              <w:jc w:val="center"/>
              <w:rPr>
                <w:rFonts w:ascii="宋体" w:hAnsi="宋体" w:cs="宋体"/>
                <w:b w:val="0"/>
                <w:bCs/>
                <w:color w:val="auto"/>
                <w:kern w:val="0"/>
                <w:szCs w:val="21"/>
              </w:rPr>
            </w:pPr>
            <w:r>
              <w:rPr>
                <w:rFonts w:hint="eastAsia" w:ascii="宋体" w:hAnsi="宋体" w:cs="宋体"/>
                <w:b w:val="0"/>
                <w:bCs/>
                <w:color w:val="auto"/>
                <w:kern w:val="0"/>
                <w:szCs w:val="21"/>
              </w:rPr>
              <w:t>禁止医生为本人开单</w:t>
            </w:r>
          </w:p>
        </w:tc>
        <w:tc>
          <w:tcPr>
            <w:tcW w:w="652" w:type="dxa"/>
            <w:tcBorders>
              <w:bottom w:val="single" w:color="000000" w:sz="8" w:space="0"/>
              <w:right w:val="single" w:color="000000" w:sz="8" w:space="0"/>
            </w:tcBorders>
            <w:tcMar>
              <w:top w:w="70" w:type="dxa"/>
              <w:left w:w="80" w:type="dxa"/>
              <w:bottom w:w="70" w:type="dxa"/>
              <w:right w:w="80" w:type="dxa"/>
            </w:tcMar>
            <w:vAlign w:val="center"/>
          </w:tcPr>
          <w:p w14:paraId="3DCAAE16">
            <w:pPr>
              <w:widowControl/>
              <w:snapToGrid w:val="0"/>
              <w:spacing w:before="0" w:after="0" w:line="240" w:lineRule="auto"/>
              <w:jc w:val="center"/>
              <w:rPr>
                <w:rFonts w:ascii="宋体" w:hAnsi="宋体" w:cs="宋体"/>
                <w:color w:val="auto"/>
                <w:kern w:val="0"/>
                <w:szCs w:val="21"/>
              </w:rPr>
            </w:pPr>
            <w:r>
              <w:rPr>
                <w:rFonts w:ascii="宋体" w:hAnsi="宋体" w:cs="宋体"/>
                <w:color w:val="auto"/>
                <w:kern w:val="0"/>
                <w:szCs w:val="21"/>
              </w:rPr>
              <w:t>6</w:t>
            </w:r>
          </w:p>
        </w:tc>
        <w:tc>
          <w:tcPr>
            <w:tcW w:w="6582" w:type="dxa"/>
            <w:tcBorders>
              <w:bottom w:val="single" w:color="000000" w:sz="8" w:space="0"/>
              <w:right w:val="single" w:color="000000" w:sz="8" w:space="0"/>
            </w:tcBorders>
            <w:tcMar>
              <w:top w:w="70" w:type="dxa"/>
              <w:left w:w="80" w:type="dxa"/>
              <w:bottom w:w="70" w:type="dxa"/>
              <w:right w:w="80" w:type="dxa"/>
            </w:tcMar>
            <w:vAlign w:val="center"/>
          </w:tcPr>
          <w:p w14:paraId="258B4DD6">
            <w:pPr>
              <w:widowControl/>
              <w:snapToGrid w:val="0"/>
              <w:spacing w:before="0" w:after="0" w:line="240" w:lineRule="auto"/>
              <w:jc w:val="left"/>
              <w:rPr>
                <w:rFonts w:ascii="宋体" w:hAnsi="宋体" w:cs="宋体"/>
                <w:color w:val="auto"/>
                <w:kern w:val="0"/>
                <w:szCs w:val="21"/>
              </w:rPr>
            </w:pPr>
            <w:r>
              <w:rPr>
                <w:rFonts w:hint="eastAsia" w:ascii="宋体" w:hAnsi="宋体" w:cs="宋体"/>
                <w:color w:val="auto"/>
                <w:kern w:val="0"/>
                <w:szCs w:val="21"/>
              </w:rPr>
              <w:t>在门诊医生站、电子病历系统中，保存医嘱时由系统核验医嘱医师与患者的身份证信息，如两者一致则拦截该医嘱（计划与事前审核功能一并实施）。</w:t>
            </w:r>
          </w:p>
        </w:tc>
      </w:tr>
      <w:tr w14:paraId="4ABE17CD">
        <w:tblPrEx>
          <w:tblCellMar>
            <w:top w:w="0" w:type="dxa"/>
            <w:left w:w="108" w:type="dxa"/>
            <w:bottom w:w="0" w:type="dxa"/>
            <w:right w:w="108" w:type="dxa"/>
          </w:tblCellMar>
        </w:tblPrEx>
        <w:trPr>
          <w:trHeight w:val="1236" w:hRule="atLeast"/>
        </w:trPr>
        <w:tc>
          <w:tcPr>
            <w:tcW w:w="1744" w:type="dxa"/>
            <w:tcBorders>
              <w:left w:val="single" w:color="000000" w:sz="8" w:space="0"/>
              <w:bottom w:val="single" w:color="000000" w:sz="8" w:space="0"/>
              <w:right w:val="single" w:color="000000" w:sz="8" w:space="0"/>
            </w:tcBorders>
            <w:tcMar>
              <w:top w:w="70" w:type="dxa"/>
              <w:left w:w="80" w:type="dxa"/>
              <w:bottom w:w="70" w:type="dxa"/>
              <w:right w:w="80" w:type="dxa"/>
            </w:tcMar>
            <w:vAlign w:val="center"/>
          </w:tcPr>
          <w:p w14:paraId="27C80A52">
            <w:pPr>
              <w:widowControl/>
              <w:snapToGrid w:val="0"/>
              <w:spacing w:before="0" w:after="0" w:line="240" w:lineRule="auto"/>
              <w:jc w:val="center"/>
              <w:rPr>
                <w:rFonts w:ascii="宋体" w:hAnsi="宋体" w:cs="宋体"/>
                <w:b w:val="0"/>
                <w:bCs/>
                <w:color w:val="auto"/>
                <w:kern w:val="0"/>
                <w:szCs w:val="21"/>
              </w:rPr>
            </w:pPr>
            <w:r>
              <w:rPr>
                <w:rFonts w:hint="eastAsia" w:ascii="宋体" w:hAnsi="宋体" w:cs="宋体"/>
                <w:b w:val="0"/>
                <w:bCs/>
                <w:color w:val="auto"/>
                <w:kern w:val="0"/>
                <w:szCs w:val="21"/>
              </w:rPr>
              <w:t>按体检类型区分医保结算</w:t>
            </w:r>
          </w:p>
        </w:tc>
        <w:tc>
          <w:tcPr>
            <w:tcW w:w="652" w:type="dxa"/>
            <w:tcBorders>
              <w:bottom w:val="single" w:color="000000" w:sz="8" w:space="0"/>
              <w:right w:val="single" w:color="000000" w:sz="8" w:space="0"/>
            </w:tcBorders>
            <w:tcMar>
              <w:top w:w="70" w:type="dxa"/>
              <w:left w:w="80" w:type="dxa"/>
              <w:bottom w:w="70" w:type="dxa"/>
              <w:right w:w="80" w:type="dxa"/>
            </w:tcMar>
            <w:vAlign w:val="center"/>
          </w:tcPr>
          <w:p w14:paraId="7C2348FF">
            <w:pPr>
              <w:widowControl/>
              <w:snapToGrid w:val="0"/>
              <w:spacing w:before="0" w:after="0" w:line="240" w:lineRule="auto"/>
              <w:jc w:val="center"/>
              <w:rPr>
                <w:rFonts w:ascii="宋体" w:hAnsi="宋体" w:cs="宋体"/>
                <w:color w:val="auto"/>
                <w:kern w:val="0"/>
                <w:szCs w:val="21"/>
              </w:rPr>
            </w:pPr>
            <w:r>
              <w:rPr>
                <w:rFonts w:ascii="宋体" w:hAnsi="宋体" w:cs="宋体"/>
                <w:color w:val="auto"/>
                <w:kern w:val="0"/>
                <w:szCs w:val="21"/>
              </w:rPr>
              <w:t>7</w:t>
            </w:r>
          </w:p>
        </w:tc>
        <w:tc>
          <w:tcPr>
            <w:tcW w:w="6582" w:type="dxa"/>
            <w:tcBorders>
              <w:bottom w:val="single" w:color="000000" w:sz="8" w:space="0"/>
              <w:right w:val="single" w:color="000000" w:sz="8" w:space="0"/>
            </w:tcBorders>
            <w:tcMar>
              <w:top w:w="70" w:type="dxa"/>
              <w:left w:w="80" w:type="dxa"/>
              <w:bottom w:w="70" w:type="dxa"/>
              <w:right w:w="80" w:type="dxa"/>
            </w:tcMar>
            <w:vAlign w:val="center"/>
          </w:tcPr>
          <w:p w14:paraId="255C38E7">
            <w:pPr>
              <w:widowControl/>
              <w:snapToGrid w:val="0"/>
              <w:spacing w:before="0" w:after="0" w:line="240" w:lineRule="auto"/>
              <w:jc w:val="left"/>
              <w:rPr>
                <w:rFonts w:ascii="宋体" w:hAnsi="宋体" w:cs="宋体"/>
                <w:color w:val="auto"/>
                <w:kern w:val="0"/>
                <w:szCs w:val="21"/>
              </w:rPr>
            </w:pPr>
            <w:r>
              <w:rPr>
                <w:rFonts w:hint="eastAsia" w:ascii="宋体" w:hAnsi="宋体" w:cs="宋体"/>
                <w:color w:val="auto"/>
                <w:kern w:val="0"/>
                <w:szCs w:val="21"/>
              </w:rPr>
              <w:t>在门诊医生站、电子病历系统中，保存医嘱时由系统核验体检类型：常规体检可使用医保个账结算，专项/资质体检（职业健康检查、从业人员健康检查、入职体检、入户体检、入学体检、入伍体检及结婚登记体检等）禁止使用个账结算。</w:t>
            </w:r>
          </w:p>
        </w:tc>
      </w:tr>
      <w:tr w14:paraId="785794F7">
        <w:tblPrEx>
          <w:tblCellMar>
            <w:top w:w="0" w:type="dxa"/>
            <w:left w:w="108" w:type="dxa"/>
            <w:bottom w:w="0" w:type="dxa"/>
            <w:right w:w="108" w:type="dxa"/>
          </w:tblCellMar>
        </w:tblPrEx>
        <w:trPr>
          <w:trHeight w:val="687" w:hRule="atLeast"/>
        </w:trPr>
        <w:tc>
          <w:tcPr>
            <w:tcW w:w="1744" w:type="dxa"/>
            <w:tcBorders>
              <w:left w:val="single" w:color="000000" w:sz="8" w:space="0"/>
              <w:bottom w:val="single" w:color="000000" w:sz="8" w:space="0"/>
              <w:right w:val="single" w:color="000000" w:sz="8" w:space="0"/>
            </w:tcBorders>
            <w:tcMar>
              <w:top w:w="70" w:type="dxa"/>
              <w:left w:w="80" w:type="dxa"/>
              <w:bottom w:w="70" w:type="dxa"/>
              <w:right w:w="80" w:type="dxa"/>
            </w:tcMar>
            <w:vAlign w:val="center"/>
          </w:tcPr>
          <w:p w14:paraId="3F6D2E2B">
            <w:pPr>
              <w:widowControl/>
              <w:snapToGrid w:val="0"/>
              <w:spacing w:before="0" w:after="0" w:line="240" w:lineRule="auto"/>
              <w:jc w:val="center"/>
              <w:rPr>
                <w:rFonts w:ascii="宋体" w:hAnsi="宋体" w:cs="宋体"/>
                <w:b w:val="0"/>
                <w:bCs/>
                <w:color w:val="auto"/>
                <w:kern w:val="0"/>
                <w:szCs w:val="21"/>
              </w:rPr>
            </w:pPr>
            <w:r>
              <w:rPr>
                <w:rFonts w:hint="eastAsia" w:ascii="宋体" w:hAnsi="宋体" w:cs="宋体"/>
                <w:b w:val="0"/>
                <w:bCs/>
                <w:color w:val="auto"/>
                <w:kern w:val="0"/>
                <w:szCs w:val="21"/>
              </w:rPr>
              <w:t>外伤患者结算流程改造</w:t>
            </w:r>
          </w:p>
        </w:tc>
        <w:tc>
          <w:tcPr>
            <w:tcW w:w="652" w:type="dxa"/>
            <w:tcBorders>
              <w:bottom w:val="single" w:color="000000" w:sz="8" w:space="0"/>
              <w:right w:val="single" w:color="000000" w:sz="8" w:space="0"/>
            </w:tcBorders>
            <w:tcMar>
              <w:top w:w="70" w:type="dxa"/>
              <w:left w:w="80" w:type="dxa"/>
              <w:bottom w:w="70" w:type="dxa"/>
              <w:right w:w="80" w:type="dxa"/>
            </w:tcMar>
            <w:vAlign w:val="center"/>
          </w:tcPr>
          <w:p w14:paraId="75B8154D">
            <w:pPr>
              <w:widowControl/>
              <w:snapToGrid w:val="0"/>
              <w:spacing w:before="0" w:after="0" w:line="240" w:lineRule="auto"/>
              <w:jc w:val="center"/>
              <w:rPr>
                <w:rFonts w:ascii="宋体" w:hAnsi="宋体" w:cs="宋体"/>
                <w:color w:val="auto"/>
                <w:kern w:val="0"/>
                <w:szCs w:val="21"/>
              </w:rPr>
            </w:pPr>
            <w:r>
              <w:rPr>
                <w:rFonts w:ascii="宋体" w:hAnsi="宋体" w:cs="宋体"/>
                <w:color w:val="auto"/>
                <w:kern w:val="0"/>
                <w:szCs w:val="21"/>
              </w:rPr>
              <w:t>8</w:t>
            </w:r>
          </w:p>
        </w:tc>
        <w:tc>
          <w:tcPr>
            <w:tcW w:w="6582" w:type="dxa"/>
            <w:tcBorders>
              <w:bottom w:val="single" w:color="000000" w:sz="8" w:space="0"/>
              <w:right w:val="single" w:color="000000" w:sz="8" w:space="0"/>
            </w:tcBorders>
            <w:tcMar>
              <w:top w:w="70" w:type="dxa"/>
              <w:left w:w="80" w:type="dxa"/>
              <w:bottom w:w="70" w:type="dxa"/>
              <w:right w:w="80" w:type="dxa"/>
            </w:tcMar>
            <w:vAlign w:val="center"/>
          </w:tcPr>
          <w:p w14:paraId="327DD68D">
            <w:pPr>
              <w:widowControl/>
              <w:snapToGrid w:val="0"/>
              <w:spacing w:before="0" w:after="0" w:line="240" w:lineRule="auto"/>
              <w:jc w:val="left"/>
              <w:rPr>
                <w:rFonts w:ascii="宋体" w:hAnsi="宋体" w:cs="宋体"/>
                <w:color w:val="auto"/>
                <w:kern w:val="0"/>
                <w:szCs w:val="21"/>
              </w:rPr>
            </w:pPr>
            <w:r>
              <w:rPr>
                <w:rFonts w:hint="eastAsia" w:ascii="宋体" w:hAnsi="宋体" w:cs="宋体"/>
                <w:color w:val="auto"/>
                <w:kern w:val="0"/>
                <w:szCs w:val="21"/>
              </w:rPr>
              <w:t>按《关于外伤患者医疗费用结算类型的相关规定及流程指引》要求，完成外伤患者医保费用结算类型及结算流程的改造（详细需求见OA流程）。</w:t>
            </w:r>
          </w:p>
        </w:tc>
      </w:tr>
      <w:tr w14:paraId="1C4A293A">
        <w:tblPrEx>
          <w:tblCellMar>
            <w:top w:w="0" w:type="dxa"/>
            <w:left w:w="108" w:type="dxa"/>
            <w:bottom w:w="0" w:type="dxa"/>
            <w:right w:w="108" w:type="dxa"/>
          </w:tblCellMar>
        </w:tblPrEx>
        <w:trPr>
          <w:trHeight w:val="1236" w:hRule="atLeast"/>
        </w:trPr>
        <w:tc>
          <w:tcPr>
            <w:tcW w:w="1744" w:type="dxa"/>
            <w:tcBorders>
              <w:left w:val="single" w:color="000000" w:sz="8" w:space="0"/>
              <w:bottom w:val="single" w:color="000000" w:sz="8" w:space="0"/>
              <w:right w:val="single" w:color="000000" w:sz="8" w:space="0"/>
            </w:tcBorders>
            <w:tcMar>
              <w:top w:w="70" w:type="dxa"/>
              <w:left w:w="80" w:type="dxa"/>
              <w:bottom w:w="70" w:type="dxa"/>
              <w:right w:w="80" w:type="dxa"/>
            </w:tcMar>
            <w:vAlign w:val="center"/>
          </w:tcPr>
          <w:p w14:paraId="3E78964B">
            <w:pPr>
              <w:widowControl/>
              <w:snapToGrid w:val="0"/>
              <w:spacing w:before="0" w:after="0" w:line="240" w:lineRule="auto"/>
              <w:jc w:val="center"/>
              <w:rPr>
                <w:rFonts w:ascii="宋体" w:hAnsi="宋体" w:cs="宋体"/>
                <w:b w:val="0"/>
                <w:bCs/>
                <w:color w:val="auto"/>
                <w:kern w:val="0"/>
                <w:szCs w:val="21"/>
              </w:rPr>
            </w:pPr>
            <w:r>
              <w:rPr>
                <w:rFonts w:hint="eastAsia" w:ascii="宋体" w:hAnsi="宋体" w:cs="宋体"/>
                <w:b w:val="0"/>
                <w:bCs/>
                <w:color w:val="auto"/>
                <w:kern w:val="0"/>
                <w:szCs w:val="21"/>
              </w:rPr>
              <w:t>电子病历费用清单结算类型与HIS同步</w:t>
            </w:r>
          </w:p>
        </w:tc>
        <w:tc>
          <w:tcPr>
            <w:tcW w:w="652" w:type="dxa"/>
            <w:tcBorders>
              <w:bottom w:val="single" w:color="000000" w:sz="8" w:space="0"/>
              <w:right w:val="single" w:color="000000" w:sz="8" w:space="0"/>
            </w:tcBorders>
            <w:tcMar>
              <w:top w:w="70" w:type="dxa"/>
              <w:left w:w="80" w:type="dxa"/>
              <w:bottom w:w="70" w:type="dxa"/>
              <w:right w:w="80" w:type="dxa"/>
            </w:tcMar>
            <w:vAlign w:val="center"/>
          </w:tcPr>
          <w:p w14:paraId="0E1CFFDD">
            <w:pPr>
              <w:widowControl/>
              <w:snapToGrid w:val="0"/>
              <w:spacing w:before="0" w:after="0" w:line="240" w:lineRule="auto"/>
              <w:jc w:val="center"/>
              <w:rPr>
                <w:rFonts w:ascii="宋体" w:hAnsi="宋体" w:cs="宋体"/>
                <w:color w:val="auto"/>
                <w:kern w:val="0"/>
                <w:szCs w:val="21"/>
              </w:rPr>
            </w:pPr>
            <w:r>
              <w:rPr>
                <w:rFonts w:ascii="宋体" w:hAnsi="宋体" w:cs="宋体"/>
                <w:color w:val="auto"/>
                <w:kern w:val="0"/>
                <w:szCs w:val="21"/>
              </w:rPr>
              <w:t>9</w:t>
            </w:r>
          </w:p>
        </w:tc>
        <w:tc>
          <w:tcPr>
            <w:tcW w:w="6582" w:type="dxa"/>
            <w:tcBorders>
              <w:bottom w:val="single" w:color="000000" w:sz="8" w:space="0"/>
              <w:right w:val="single" w:color="000000" w:sz="8" w:space="0"/>
            </w:tcBorders>
            <w:tcMar>
              <w:top w:w="70" w:type="dxa"/>
              <w:left w:w="80" w:type="dxa"/>
              <w:bottom w:w="70" w:type="dxa"/>
              <w:right w:w="80" w:type="dxa"/>
            </w:tcMar>
            <w:vAlign w:val="center"/>
          </w:tcPr>
          <w:p w14:paraId="669F24E1">
            <w:pPr>
              <w:widowControl/>
              <w:snapToGrid w:val="0"/>
              <w:spacing w:before="0" w:after="0" w:line="240" w:lineRule="auto"/>
              <w:jc w:val="left"/>
              <w:rPr>
                <w:rFonts w:ascii="宋体" w:hAnsi="宋体" w:cs="宋体"/>
                <w:color w:val="auto"/>
                <w:kern w:val="0"/>
                <w:szCs w:val="21"/>
              </w:rPr>
            </w:pPr>
            <w:r>
              <w:rPr>
                <w:rFonts w:hint="eastAsia" w:ascii="宋体" w:hAnsi="宋体" w:cs="宋体"/>
                <w:color w:val="auto"/>
                <w:kern w:val="0"/>
                <w:szCs w:val="21"/>
              </w:rPr>
              <w:t>医师使用费用审核功能时，电子病历系统显示的费用类型与HIS（财务系统、护士站系统）显示不一致，存在强制自费项目在电子病历系统中仍显示“乙类”、无法判断实际结算类型的问题。需统一电子病历与HIS的费用类型显示口径（改进方案待智慧医院建设部进一步研讨）。</w:t>
            </w:r>
          </w:p>
        </w:tc>
      </w:tr>
      <w:tr w14:paraId="23A3E06C">
        <w:tblPrEx>
          <w:tblCellMar>
            <w:top w:w="0" w:type="dxa"/>
            <w:left w:w="108" w:type="dxa"/>
            <w:bottom w:w="0" w:type="dxa"/>
            <w:right w:w="108" w:type="dxa"/>
          </w:tblCellMar>
        </w:tblPrEx>
        <w:trPr>
          <w:trHeight w:val="1236" w:hRule="atLeast"/>
        </w:trPr>
        <w:tc>
          <w:tcPr>
            <w:tcW w:w="1744" w:type="dxa"/>
            <w:tcBorders>
              <w:left w:val="single" w:color="000000" w:sz="8" w:space="0"/>
              <w:bottom w:val="single" w:color="000000" w:sz="8" w:space="0"/>
              <w:right w:val="single" w:color="000000" w:sz="8" w:space="0"/>
            </w:tcBorders>
            <w:tcMar>
              <w:top w:w="70" w:type="dxa"/>
              <w:left w:w="80" w:type="dxa"/>
              <w:bottom w:w="70" w:type="dxa"/>
              <w:right w:w="80" w:type="dxa"/>
            </w:tcMar>
            <w:vAlign w:val="center"/>
          </w:tcPr>
          <w:p w14:paraId="2DCE99E3">
            <w:pPr>
              <w:widowControl/>
              <w:snapToGrid w:val="0"/>
              <w:spacing w:before="0" w:after="0" w:line="240" w:lineRule="auto"/>
              <w:jc w:val="center"/>
              <w:rPr>
                <w:rFonts w:ascii="宋体" w:hAnsi="宋体" w:cs="宋体"/>
                <w:b w:val="0"/>
                <w:bCs/>
                <w:color w:val="auto"/>
                <w:kern w:val="0"/>
                <w:szCs w:val="21"/>
              </w:rPr>
            </w:pPr>
            <w:r>
              <w:rPr>
                <w:rFonts w:hint="eastAsia" w:ascii="宋体" w:hAnsi="宋体" w:cs="宋体"/>
                <w:b w:val="0"/>
                <w:bCs/>
                <w:color w:val="auto"/>
                <w:kern w:val="0"/>
                <w:szCs w:val="21"/>
              </w:rPr>
              <w:t>自助终端接入医保多渠道公服系统</w:t>
            </w:r>
          </w:p>
        </w:tc>
        <w:tc>
          <w:tcPr>
            <w:tcW w:w="652" w:type="dxa"/>
            <w:tcBorders>
              <w:bottom w:val="single" w:color="000000" w:sz="8" w:space="0"/>
              <w:right w:val="single" w:color="000000" w:sz="8" w:space="0"/>
            </w:tcBorders>
            <w:tcMar>
              <w:top w:w="70" w:type="dxa"/>
              <w:left w:w="80" w:type="dxa"/>
              <w:bottom w:w="70" w:type="dxa"/>
              <w:right w:w="80" w:type="dxa"/>
            </w:tcMar>
            <w:vAlign w:val="center"/>
          </w:tcPr>
          <w:p w14:paraId="03E8979B">
            <w:pPr>
              <w:widowControl/>
              <w:snapToGrid w:val="0"/>
              <w:spacing w:before="0" w:after="0" w:line="240" w:lineRule="auto"/>
              <w:jc w:val="center"/>
              <w:rPr>
                <w:rFonts w:ascii="宋体" w:hAnsi="宋体" w:cs="宋体"/>
                <w:color w:val="auto"/>
                <w:kern w:val="0"/>
                <w:szCs w:val="21"/>
              </w:rPr>
            </w:pPr>
            <w:r>
              <w:rPr>
                <w:rFonts w:ascii="宋体" w:hAnsi="宋体" w:cs="宋体"/>
                <w:color w:val="auto"/>
                <w:kern w:val="0"/>
                <w:szCs w:val="21"/>
              </w:rPr>
              <w:t>10</w:t>
            </w:r>
          </w:p>
        </w:tc>
        <w:tc>
          <w:tcPr>
            <w:tcW w:w="6582" w:type="dxa"/>
            <w:tcBorders>
              <w:bottom w:val="single" w:color="000000" w:sz="8" w:space="0"/>
              <w:right w:val="single" w:color="000000" w:sz="8" w:space="0"/>
            </w:tcBorders>
            <w:tcMar>
              <w:top w:w="70" w:type="dxa"/>
              <w:left w:w="80" w:type="dxa"/>
              <w:bottom w:w="70" w:type="dxa"/>
              <w:right w:w="80" w:type="dxa"/>
            </w:tcMar>
            <w:vAlign w:val="center"/>
          </w:tcPr>
          <w:p w14:paraId="0E1902E7">
            <w:pPr>
              <w:widowControl/>
              <w:snapToGrid w:val="0"/>
              <w:spacing w:before="0" w:after="0" w:line="240" w:lineRule="auto"/>
              <w:jc w:val="left"/>
              <w:rPr>
                <w:rFonts w:ascii="宋体" w:hAnsi="宋体" w:cs="宋体"/>
                <w:color w:val="auto"/>
                <w:kern w:val="0"/>
                <w:szCs w:val="21"/>
              </w:rPr>
            </w:pPr>
            <w:r>
              <w:rPr>
                <w:rFonts w:hint="eastAsia" w:ascii="宋体" w:hAnsi="宋体" w:cs="宋体"/>
                <w:color w:val="auto"/>
                <w:kern w:val="0"/>
                <w:szCs w:val="21"/>
              </w:rPr>
              <w:t>按《国家医疗保障局关于优化医保领域便民服务的意见》要求，推进院内自助机终端接入医保多渠道公服系统（已纳入《医保服务e站服务评价体系》）。待医院确认对接模块后，由自助机工程师与医保局技术人员对接实施，需进一步评估可行性与技术基础条件。</w:t>
            </w:r>
          </w:p>
        </w:tc>
      </w:tr>
      <w:tr w14:paraId="779F2C99">
        <w:tblPrEx>
          <w:tblCellMar>
            <w:top w:w="0" w:type="dxa"/>
            <w:left w:w="108" w:type="dxa"/>
            <w:bottom w:w="0" w:type="dxa"/>
            <w:right w:w="108" w:type="dxa"/>
          </w:tblCellMar>
        </w:tblPrEx>
        <w:trPr>
          <w:trHeight w:val="2605" w:hRule="atLeast"/>
        </w:trPr>
        <w:tc>
          <w:tcPr>
            <w:tcW w:w="1744" w:type="dxa"/>
            <w:tcBorders>
              <w:left w:val="single" w:color="000000" w:sz="8" w:space="0"/>
              <w:bottom w:val="single" w:color="000000" w:sz="8" w:space="0"/>
              <w:right w:val="single" w:color="000000" w:sz="8" w:space="0"/>
            </w:tcBorders>
            <w:tcMar>
              <w:top w:w="70" w:type="dxa"/>
              <w:left w:w="80" w:type="dxa"/>
              <w:bottom w:w="70" w:type="dxa"/>
              <w:right w:w="80" w:type="dxa"/>
            </w:tcMar>
            <w:vAlign w:val="center"/>
          </w:tcPr>
          <w:p w14:paraId="78080E62">
            <w:pPr>
              <w:widowControl/>
              <w:snapToGrid w:val="0"/>
              <w:spacing w:before="0" w:after="0" w:line="240" w:lineRule="auto"/>
              <w:jc w:val="center"/>
              <w:rPr>
                <w:rFonts w:ascii="宋体" w:hAnsi="宋体" w:cs="宋体"/>
                <w:b w:val="0"/>
                <w:bCs/>
                <w:color w:val="auto"/>
                <w:kern w:val="0"/>
                <w:szCs w:val="21"/>
              </w:rPr>
            </w:pPr>
            <w:r>
              <w:rPr>
                <w:rFonts w:hint="eastAsia" w:ascii="宋体" w:hAnsi="宋体" w:cs="宋体"/>
                <w:b w:val="0"/>
                <w:bCs/>
                <w:color w:val="auto"/>
                <w:kern w:val="0"/>
                <w:szCs w:val="21"/>
              </w:rPr>
              <w:t>住院主诊断</w:t>
            </w:r>
            <w:r>
              <w:rPr>
                <w:rFonts w:hint="eastAsia" w:ascii="宋体" w:hAnsi="宋体" w:cs="宋体"/>
                <w:b w:val="0"/>
                <w:bCs/>
                <w:color w:val="auto"/>
                <w:kern w:val="0"/>
                <w:szCs w:val="21"/>
                <w:lang w:val="en-US" w:eastAsia="zh-CN"/>
              </w:rPr>
              <w:t>属于</w:t>
            </w:r>
            <w:r>
              <w:rPr>
                <w:rFonts w:hint="eastAsia" w:ascii="宋体" w:hAnsi="宋体" w:cs="宋体"/>
                <w:b w:val="0"/>
                <w:bCs/>
                <w:color w:val="auto"/>
                <w:kern w:val="0"/>
                <w:szCs w:val="21"/>
              </w:rPr>
              <w:t>特定诊断自费结算控制</w:t>
            </w:r>
          </w:p>
        </w:tc>
        <w:tc>
          <w:tcPr>
            <w:tcW w:w="652" w:type="dxa"/>
            <w:tcBorders>
              <w:bottom w:val="single" w:color="000000" w:sz="8" w:space="0"/>
              <w:right w:val="single" w:color="000000" w:sz="8" w:space="0"/>
            </w:tcBorders>
            <w:tcMar>
              <w:top w:w="70" w:type="dxa"/>
              <w:left w:w="80" w:type="dxa"/>
              <w:bottom w:w="70" w:type="dxa"/>
              <w:right w:w="80" w:type="dxa"/>
            </w:tcMar>
            <w:vAlign w:val="center"/>
          </w:tcPr>
          <w:p w14:paraId="0AB15A5A">
            <w:pPr>
              <w:widowControl/>
              <w:snapToGrid w:val="0"/>
              <w:spacing w:before="0" w:after="0" w:line="240" w:lineRule="auto"/>
              <w:jc w:val="center"/>
              <w:rPr>
                <w:rFonts w:ascii="宋体" w:hAnsi="宋体" w:cs="宋体"/>
                <w:color w:val="auto"/>
                <w:kern w:val="0"/>
                <w:szCs w:val="21"/>
              </w:rPr>
            </w:pPr>
            <w:r>
              <w:rPr>
                <w:rFonts w:ascii="宋体" w:hAnsi="宋体" w:cs="宋体"/>
                <w:color w:val="auto"/>
                <w:kern w:val="0"/>
                <w:szCs w:val="21"/>
              </w:rPr>
              <w:t>11</w:t>
            </w:r>
          </w:p>
        </w:tc>
        <w:tc>
          <w:tcPr>
            <w:tcW w:w="6582" w:type="dxa"/>
            <w:tcBorders>
              <w:bottom w:val="single" w:color="000000" w:sz="8" w:space="0"/>
              <w:right w:val="single" w:color="000000" w:sz="8" w:space="0"/>
            </w:tcBorders>
            <w:tcMar>
              <w:top w:w="70" w:type="dxa"/>
              <w:left w:w="80" w:type="dxa"/>
              <w:bottom w:w="70" w:type="dxa"/>
              <w:right w:w="80" w:type="dxa"/>
            </w:tcMar>
            <w:vAlign w:val="center"/>
          </w:tcPr>
          <w:p w14:paraId="74D84BC0">
            <w:pPr>
              <w:widowControl/>
              <w:snapToGrid w:val="0"/>
              <w:spacing w:before="0" w:after="0" w:line="240" w:lineRule="auto"/>
              <w:jc w:val="left"/>
              <w:rPr>
                <w:rFonts w:ascii="宋体" w:hAnsi="宋体" w:cs="宋体"/>
                <w:color w:val="auto"/>
                <w:kern w:val="0"/>
                <w:szCs w:val="21"/>
              </w:rPr>
            </w:pPr>
            <w:r>
              <w:rPr>
                <w:rFonts w:hint="eastAsia" w:ascii="宋体" w:hAnsi="宋体" w:cs="宋体"/>
                <w:color w:val="auto"/>
                <w:kern w:val="0"/>
                <w:szCs w:val="21"/>
              </w:rPr>
              <w:t>对</w:t>
            </w:r>
            <w:r>
              <w:rPr>
                <w:rFonts w:hint="eastAsia" w:ascii="宋体" w:hAnsi="宋体" w:cs="宋体"/>
                <w:color w:val="auto"/>
                <w:kern w:val="0"/>
                <w:szCs w:val="21"/>
                <w:lang w:val="en-US" w:eastAsia="zh-CN"/>
              </w:rPr>
              <w:t>特定</w:t>
            </w:r>
            <w:r>
              <w:rPr>
                <w:rFonts w:hint="eastAsia" w:ascii="宋体" w:hAnsi="宋体" w:cs="宋体"/>
                <w:color w:val="auto"/>
                <w:kern w:val="0"/>
                <w:szCs w:val="21"/>
              </w:rPr>
              <w:t>主诊断强制自费结算、不允许医保结算：</w:t>
            </w:r>
            <w:r>
              <w:rPr>
                <w:rFonts w:hint="eastAsia" w:ascii="宋体" w:hAnsi="宋体" w:cs="宋体"/>
                <w:color w:val="auto"/>
                <w:kern w:val="0"/>
                <w:szCs w:val="21"/>
                <w:lang w:val="en-US" w:eastAsia="zh-CN"/>
              </w:rPr>
              <w:t>如</w:t>
            </w:r>
            <w:r>
              <w:rPr>
                <w:rFonts w:hint="eastAsia" w:ascii="宋体" w:hAnsi="宋体" w:cs="宋体"/>
                <w:color w:val="auto"/>
                <w:kern w:val="0"/>
                <w:szCs w:val="21"/>
              </w:rPr>
              <w:t>①各种美容、整形项目（如皮肤色素沉着、疤痕美容、激光美容、非疾病类脱痣、除纹身、除皱、除眼袋、雀斑、老年斑、开双眼皮、验光配镜、洁牙、镶牙、治疗白发、秃发、脱发、植毛、脱毛、隆鼻、隆胸、穿耳洞等）；②各种矫形及生理缺陷的手术、检查治疗项目（如腋臭、兔唇、口吃、平足、牙列不整、义齿修复、种植牙、鼻鼾及各种非功能性整容、矫形手术等）；③各种健美治疗项目（减肥、增胖、增高）；④各种健康体检；⑤各种预防、保健性项目；⑥各种医疗咨询、健康预测；⑦戒烟、戒毒的费用及由此引起的一切费用；⑧性功能障碍、变性手术的诊疗项目费用。</w:t>
            </w:r>
          </w:p>
        </w:tc>
      </w:tr>
      <w:tr w14:paraId="369FBDA9">
        <w:tblPrEx>
          <w:tblCellMar>
            <w:top w:w="0" w:type="dxa"/>
            <w:left w:w="108" w:type="dxa"/>
            <w:bottom w:w="0" w:type="dxa"/>
            <w:right w:w="108" w:type="dxa"/>
          </w:tblCellMar>
        </w:tblPrEx>
        <w:trPr>
          <w:trHeight w:val="687" w:hRule="atLeast"/>
        </w:trPr>
        <w:tc>
          <w:tcPr>
            <w:tcW w:w="1744" w:type="dxa"/>
            <w:tcBorders>
              <w:left w:val="single" w:color="000000" w:sz="8" w:space="0"/>
              <w:bottom w:val="single" w:color="000000" w:sz="8" w:space="0"/>
              <w:right w:val="single" w:color="000000" w:sz="8" w:space="0"/>
            </w:tcBorders>
            <w:tcMar>
              <w:top w:w="70" w:type="dxa"/>
              <w:left w:w="80" w:type="dxa"/>
              <w:bottom w:w="70" w:type="dxa"/>
              <w:right w:w="80" w:type="dxa"/>
            </w:tcMar>
            <w:vAlign w:val="center"/>
          </w:tcPr>
          <w:p w14:paraId="61AE3403">
            <w:pPr>
              <w:widowControl/>
              <w:snapToGrid w:val="0"/>
              <w:spacing w:before="0" w:after="0" w:line="240" w:lineRule="auto"/>
              <w:jc w:val="center"/>
              <w:rPr>
                <w:rFonts w:ascii="宋体" w:hAnsi="宋体" w:cs="宋体"/>
                <w:b w:val="0"/>
                <w:bCs/>
                <w:color w:val="auto"/>
                <w:kern w:val="0"/>
                <w:szCs w:val="21"/>
              </w:rPr>
            </w:pPr>
            <w:r>
              <w:rPr>
                <w:rFonts w:hint="eastAsia" w:ascii="宋体" w:hAnsi="宋体" w:cs="宋体"/>
                <w:b w:val="0"/>
                <w:bCs/>
                <w:color w:val="auto"/>
                <w:kern w:val="0"/>
                <w:szCs w:val="21"/>
              </w:rPr>
              <w:t>财务收费系统床位项目价格自动同步</w:t>
            </w:r>
          </w:p>
        </w:tc>
        <w:tc>
          <w:tcPr>
            <w:tcW w:w="652" w:type="dxa"/>
            <w:tcBorders>
              <w:bottom w:val="single" w:color="000000" w:sz="8" w:space="0"/>
              <w:right w:val="single" w:color="000000" w:sz="8" w:space="0"/>
            </w:tcBorders>
            <w:tcMar>
              <w:top w:w="70" w:type="dxa"/>
              <w:left w:w="80" w:type="dxa"/>
              <w:bottom w:w="70" w:type="dxa"/>
              <w:right w:w="80" w:type="dxa"/>
            </w:tcMar>
            <w:vAlign w:val="center"/>
          </w:tcPr>
          <w:p w14:paraId="53C4CF06">
            <w:pPr>
              <w:widowControl/>
              <w:snapToGrid w:val="0"/>
              <w:spacing w:before="0" w:after="0" w:line="240" w:lineRule="auto"/>
              <w:jc w:val="center"/>
              <w:rPr>
                <w:rFonts w:ascii="宋体" w:hAnsi="宋体" w:cs="宋体"/>
                <w:color w:val="auto"/>
                <w:kern w:val="0"/>
                <w:szCs w:val="21"/>
              </w:rPr>
            </w:pPr>
            <w:r>
              <w:rPr>
                <w:rFonts w:ascii="宋体" w:hAnsi="宋体" w:cs="宋体"/>
                <w:color w:val="auto"/>
                <w:kern w:val="0"/>
                <w:szCs w:val="21"/>
              </w:rPr>
              <w:t>12</w:t>
            </w:r>
          </w:p>
        </w:tc>
        <w:tc>
          <w:tcPr>
            <w:tcW w:w="6582" w:type="dxa"/>
            <w:tcBorders>
              <w:bottom w:val="single" w:color="000000" w:sz="8" w:space="0"/>
              <w:right w:val="single" w:color="000000" w:sz="8" w:space="0"/>
            </w:tcBorders>
            <w:tcMar>
              <w:top w:w="70" w:type="dxa"/>
              <w:left w:w="80" w:type="dxa"/>
              <w:bottom w:w="70" w:type="dxa"/>
              <w:right w:w="80" w:type="dxa"/>
            </w:tcMar>
            <w:vAlign w:val="center"/>
          </w:tcPr>
          <w:p w14:paraId="4B5A0E98">
            <w:pPr>
              <w:widowControl/>
              <w:snapToGrid w:val="0"/>
              <w:spacing w:before="0" w:after="0" w:line="240" w:lineRule="auto"/>
              <w:jc w:val="left"/>
              <w:rPr>
                <w:rFonts w:ascii="宋体" w:hAnsi="宋体" w:cs="宋体"/>
                <w:color w:val="auto"/>
                <w:kern w:val="0"/>
                <w:szCs w:val="21"/>
              </w:rPr>
            </w:pPr>
            <w:r>
              <w:rPr>
                <w:rFonts w:hint="eastAsia" w:ascii="宋体" w:hAnsi="宋体" w:cs="宋体"/>
                <w:color w:val="auto"/>
                <w:kern w:val="0"/>
                <w:szCs w:val="21"/>
              </w:rPr>
              <w:t>路径：财务收费系统—D.代码维护—X.住院相关设置—C.床位设置。目前选定床位项目后对应的床位费未同步至床位费处，需手动输入价格。需求：①选定床位项目后自动将对应项目的价格同步至床位费处；②</w:t>
            </w:r>
            <w:r>
              <w:rPr>
                <w:rFonts w:hint="eastAsia" w:ascii="宋体" w:hAnsi="宋体" w:cs="宋体"/>
                <w:color w:val="auto"/>
                <w:kern w:val="0"/>
                <w:szCs w:val="21"/>
                <w:lang w:val="en-US" w:eastAsia="zh-CN"/>
              </w:rPr>
              <w:t>若床位类型为非虚拟床位时，</w:t>
            </w:r>
            <w:r>
              <w:rPr>
                <w:rFonts w:hint="eastAsia" w:ascii="宋体" w:hAnsi="宋体" w:cs="宋体"/>
                <w:color w:val="auto"/>
                <w:kern w:val="0"/>
                <w:szCs w:val="21"/>
              </w:rPr>
              <w:t>将“自动收费1”处自动变为“住院诊查费（普通）”。</w:t>
            </w:r>
          </w:p>
        </w:tc>
      </w:tr>
      <w:tr w14:paraId="1E3EF3F5">
        <w:tblPrEx>
          <w:tblCellMar>
            <w:top w:w="0" w:type="dxa"/>
            <w:left w:w="108" w:type="dxa"/>
            <w:bottom w:w="0" w:type="dxa"/>
            <w:right w:w="108" w:type="dxa"/>
          </w:tblCellMar>
        </w:tblPrEx>
        <w:trPr>
          <w:trHeight w:val="687" w:hRule="atLeast"/>
        </w:trPr>
        <w:tc>
          <w:tcPr>
            <w:tcW w:w="1744" w:type="dxa"/>
            <w:tcBorders>
              <w:left w:val="single" w:color="000000" w:sz="8" w:space="0"/>
              <w:bottom w:val="single" w:color="000000" w:sz="8" w:space="0"/>
              <w:right w:val="single" w:color="000000" w:sz="8" w:space="0"/>
            </w:tcBorders>
            <w:tcMar>
              <w:top w:w="70" w:type="dxa"/>
              <w:left w:w="80" w:type="dxa"/>
              <w:bottom w:w="70" w:type="dxa"/>
              <w:right w:w="80" w:type="dxa"/>
            </w:tcMar>
            <w:vAlign w:val="center"/>
          </w:tcPr>
          <w:p w14:paraId="599BBC38">
            <w:pPr>
              <w:widowControl/>
              <w:snapToGrid w:val="0"/>
              <w:spacing w:before="0" w:after="0" w:line="240" w:lineRule="auto"/>
              <w:jc w:val="center"/>
              <w:rPr>
                <w:rFonts w:ascii="宋体" w:hAnsi="宋体" w:cs="宋体"/>
                <w:b w:val="0"/>
                <w:bCs/>
                <w:color w:val="auto"/>
                <w:kern w:val="0"/>
                <w:szCs w:val="21"/>
              </w:rPr>
            </w:pPr>
            <w:r>
              <w:rPr>
                <w:rFonts w:hint="eastAsia" w:ascii="宋体" w:hAnsi="宋体" w:cs="宋体"/>
                <w:b w:val="0"/>
                <w:bCs/>
                <w:color w:val="auto"/>
                <w:kern w:val="0"/>
                <w:szCs w:val="21"/>
              </w:rPr>
              <w:t>药品处方号全量上传医保系统</w:t>
            </w:r>
          </w:p>
        </w:tc>
        <w:tc>
          <w:tcPr>
            <w:tcW w:w="652" w:type="dxa"/>
            <w:tcBorders>
              <w:bottom w:val="single" w:color="000000" w:sz="8" w:space="0"/>
              <w:right w:val="single" w:color="000000" w:sz="8" w:space="0"/>
            </w:tcBorders>
            <w:tcMar>
              <w:top w:w="70" w:type="dxa"/>
              <w:left w:w="80" w:type="dxa"/>
              <w:bottom w:w="70" w:type="dxa"/>
              <w:right w:w="80" w:type="dxa"/>
            </w:tcMar>
            <w:vAlign w:val="center"/>
          </w:tcPr>
          <w:p w14:paraId="02DAB3CC">
            <w:pPr>
              <w:widowControl/>
              <w:snapToGrid w:val="0"/>
              <w:spacing w:before="0" w:after="0" w:line="240" w:lineRule="auto"/>
              <w:jc w:val="center"/>
              <w:rPr>
                <w:rFonts w:ascii="宋体" w:hAnsi="宋体" w:cs="宋体"/>
                <w:color w:val="auto"/>
                <w:kern w:val="0"/>
                <w:szCs w:val="21"/>
              </w:rPr>
            </w:pPr>
            <w:r>
              <w:rPr>
                <w:rFonts w:ascii="宋体" w:hAnsi="宋体" w:cs="宋体"/>
                <w:color w:val="auto"/>
                <w:kern w:val="0"/>
                <w:szCs w:val="21"/>
              </w:rPr>
              <w:t>13</w:t>
            </w:r>
          </w:p>
        </w:tc>
        <w:tc>
          <w:tcPr>
            <w:tcW w:w="6582" w:type="dxa"/>
            <w:tcBorders>
              <w:bottom w:val="single" w:color="000000" w:sz="8" w:space="0"/>
              <w:right w:val="single" w:color="000000" w:sz="8" w:space="0"/>
            </w:tcBorders>
            <w:tcMar>
              <w:top w:w="70" w:type="dxa"/>
              <w:left w:w="80" w:type="dxa"/>
              <w:bottom w:w="70" w:type="dxa"/>
              <w:right w:w="80" w:type="dxa"/>
            </w:tcMar>
            <w:vAlign w:val="center"/>
          </w:tcPr>
          <w:p w14:paraId="60E906CE">
            <w:pPr>
              <w:widowControl/>
              <w:snapToGrid w:val="0"/>
              <w:spacing w:before="0" w:after="0" w:line="240" w:lineRule="auto"/>
              <w:jc w:val="left"/>
              <w:rPr>
                <w:rFonts w:ascii="宋体" w:hAnsi="宋体" w:cs="宋体"/>
                <w:color w:val="auto"/>
                <w:kern w:val="0"/>
                <w:szCs w:val="21"/>
              </w:rPr>
            </w:pPr>
            <w:r>
              <w:rPr>
                <w:rFonts w:hint="eastAsia" w:ascii="宋体" w:hAnsi="宋体" w:cs="宋体"/>
                <w:color w:val="auto"/>
                <w:kern w:val="0"/>
                <w:szCs w:val="21"/>
              </w:rPr>
              <w:t>排查药品处方号未上传的原因，完善处方号上传功能，确保处方号按规定全量上传至医保系统（拟</w:t>
            </w:r>
            <w:r>
              <w:rPr>
                <w:rFonts w:hint="eastAsia" w:ascii="宋体" w:hAnsi="宋体" w:cs="宋体"/>
                <w:color w:val="auto"/>
                <w:kern w:val="0"/>
                <w:szCs w:val="21"/>
                <w:lang w:val="en-US" w:eastAsia="zh-CN"/>
              </w:rPr>
              <w:t>10</w:t>
            </w:r>
            <w:r>
              <w:rPr>
                <w:rFonts w:hint="eastAsia" w:ascii="宋体" w:hAnsi="宋体" w:cs="宋体"/>
                <w:color w:val="auto"/>
                <w:kern w:val="0"/>
                <w:szCs w:val="21"/>
              </w:rPr>
              <w:t>月底完成上传，医保分局已下发日审数据）。</w:t>
            </w:r>
          </w:p>
        </w:tc>
      </w:tr>
      <w:tr w14:paraId="23507004">
        <w:tblPrEx>
          <w:tblCellMar>
            <w:top w:w="0" w:type="dxa"/>
            <w:left w:w="108" w:type="dxa"/>
            <w:bottom w:w="0" w:type="dxa"/>
            <w:right w:w="108" w:type="dxa"/>
          </w:tblCellMar>
        </w:tblPrEx>
        <w:trPr>
          <w:trHeight w:val="1236" w:hRule="atLeast"/>
        </w:trPr>
        <w:tc>
          <w:tcPr>
            <w:tcW w:w="1744" w:type="dxa"/>
            <w:tcBorders>
              <w:left w:val="single" w:color="000000" w:sz="8" w:space="0"/>
              <w:bottom w:val="single" w:color="000000" w:sz="8" w:space="0"/>
              <w:right w:val="single" w:color="000000" w:sz="8" w:space="0"/>
            </w:tcBorders>
            <w:tcMar>
              <w:top w:w="70" w:type="dxa"/>
              <w:left w:w="80" w:type="dxa"/>
              <w:bottom w:w="70" w:type="dxa"/>
              <w:right w:w="80" w:type="dxa"/>
            </w:tcMar>
            <w:vAlign w:val="center"/>
          </w:tcPr>
          <w:p w14:paraId="7F36D1CB">
            <w:pPr>
              <w:widowControl/>
              <w:snapToGrid w:val="0"/>
              <w:spacing w:before="0" w:after="0" w:line="240" w:lineRule="auto"/>
              <w:jc w:val="center"/>
              <w:rPr>
                <w:rFonts w:ascii="宋体" w:hAnsi="宋体" w:cs="宋体"/>
                <w:b w:val="0"/>
                <w:bCs/>
                <w:color w:val="auto"/>
                <w:kern w:val="0"/>
                <w:szCs w:val="21"/>
              </w:rPr>
            </w:pPr>
            <w:r>
              <w:rPr>
                <w:rFonts w:hint="eastAsia" w:ascii="宋体" w:hAnsi="宋体" w:cs="宋体"/>
                <w:b w:val="0"/>
                <w:bCs/>
                <w:color w:val="auto"/>
                <w:kern w:val="0"/>
                <w:szCs w:val="21"/>
              </w:rPr>
              <w:t>按就诊专科限制医保报销项目</w:t>
            </w:r>
          </w:p>
        </w:tc>
        <w:tc>
          <w:tcPr>
            <w:tcW w:w="652" w:type="dxa"/>
            <w:tcBorders>
              <w:bottom w:val="single" w:color="000000" w:sz="8" w:space="0"/>
              <w:right w:val="single" w:color="000000" w:sz="8" w:space="0"/>
            </w:tcBorders>
            <w:tcMar>
              <w:top w:w="70" w:type="dxa"/>
              <w:left w:w="80" w:type="dxa"/>
              <w:bottom w:w="70" w:type="dxa"/>
              <w:right w:w="80" w:type="dxa"/>
            </w:tcMar>
            <w:vAlign w:val="center"/>
          </w:tcPr>
          <w:p w14:paraId="0E9F68BA">
            <w:pPr>
              <w:widowControl/>
              <w:snapToGrid w:val="0"/>
              <w:spacing w:before="0" w:after="0" w:line="240" w:lineRule="auto"/>
              <w:jc w:val="center"/>
              <w:rPr>
                <w:rFonts w:ascii="宋体" w:hAnsi="宋体" w:cs="宋体"/>
                <w:color w:val="auto"/>
                <w:kern w:val="0"/>
                <w:szCs w:val="21"/>
              </w:rPr>
            </w:pPr>
            <w:r>
              <w:rPr>
                <w:rFonts w:ascii="宋体" w:hAnsi="宋体" w:cs="宋体"/>
                <w:color w:val="auto"/>
                <w:kern w:val="0"/>
                <w:szCs w:val="21"/>
              </w:rPr>
              <w:t>14</w:t>
            </w:r>
          </w:p>
        </w:tc>
        <w:tc>
          <w:tcPr>
            <w:tcW w:w="6582" w:type="dxa"/>
            <w:tcBorders>
              <w:bottom w:val="single" w:color="000000" w:sz="8" w:space="0"/>
              <w:right w:val="single" w:color="000000" w:sz="8" w:space="0"/>
            </w:tcBorders>
            <w:tcMar>
              <w:top w:w="70" w:type="dxa"/>
              <w:left w:w="80" w:type="dxa"/>
              <w:bottom w:w="70" w:type="dxa"/>
              <w:right w:w="80" w:type="dxa"/>
            </w:tcMar>
            <w:vAlign w:val="center"/>
          </w:tcPr>
          <w:p w14:paraId="13D3E06B">
            <w:pPr>
              <w:widowControl/>
              <w:snapToGrid w:val="0"/>
              <w:spacing w:before="0" w:after="0" w:line="240" w:lineRule="auto"/>
              <w:jc w:val="left"/>
              <w:rPr>
                <w:rFonts w:ascii="宋体" w:hAnsi="宋体" w:cs="宋体"/>
                <w:color w:val="auto"/>
                <w:kern w:val="0"/>
                <w:szCs w:val="21"/>
              </w:rPr>
            </w:pPr>
            <w:r>
              <w:rPr>
                <w:rFonts w:hint="eastAsia" w:ascii="宋体" w:hAnsi="宋体" w:cs="宋体"/>
                <w:color w:val="auto"/>
                <w:kern w:val="0"/>
                <w:szCs w:val="21"/>
              </w:rPr>
              <w:t>按就诊专科限制医保报销项目，特定专科除挂号费外均需自费，涉及专科：中医减肥门诊、美容皮肤科、美容抗衰与黄褐斑门诊、体重管理门诊（减重、增重）、口腔正畸科</w:t>
            </w:r>
            <w:r>
              <w:rPr>
                <w:rFonts w:hint="eastAsia" w:ascii="宋体" w:hAnsi="宋体" w:cs="宋体"/>
                <w:color w:val="auto"/>
                <w:kern w:val="0"/>
                <w:szCs w:val="21"/>
                <w:lang w:val="en-US" w:eastAsia="zh-CN"/>
              </w:rPr>
              <w:t>等；设置控制功能，业务部门可按实际动态调整控制专科名单、启用时间等。</w:t>
            </w:r>
          </w:p>
        </w:tc>
      </w:tr>
      <w:tr w14:paraId="06293ED3">
        <w:tblPrEx>
          <w:tblCellMar>
            <w:top w:w="0" w:type="dxa"/>
            <w:left w:w="108" w:type="dxa"/>
            <w:bottom w:w="0" w:type="dxa"/>
            <w:right w:w="108" w:type="dxa"/>
          </w:tblCellMar>
        </w:tblPrEx>
        <w:trPr>
          <w:trHeight w:val="2057" w:hRule="atLeast"/>
        </w:trPr>
        <w:tc>
          <w:tcPr>
            <w:tcW w:w="1744" w:type="dxa"/>
            <w:tcBorders>
              <w:left w:val="single" w:color="000000" w:sz="8" w:space="0"/>
              <w:bottom w:val="single" w:color="auto" w:sz="4" w:space="0"/>
              <w:right w:val="single" w:color="000000" w:sz="8" w:space="0"/>
            </w:tcBorders>
            <w:tcMar>
              <w:top w:w="70" w:type="dxa"/>
              <w:left w:w="80" w:type="dxa"/>
              <w:bottom w:w="70" w:type="dxa"/>
              <w:right w:w="80" w:type="dxa"/>
            </w:tcMar>
            <w:vAlign w:val="center"/>
          </w:tcPr>
          <w:p w14:paraId="23D7B5EA">
            <w:pPr>
              <w:widowControl/>
              <w:snapToGrid w:val="0"/>
              <w:spacing w:before="0" w:after="0" w:line="240" w:lineRule="auto"/>
              <w:jc w:val="center"/>
              <w:rPr>
                <w:rFonts w:hint="default" w:ascii="宋体" w:hAnsi="宋体" w:eastAsia="宋体" w:cs="宋体"/>
                <w:b w:val="0"/>
                <w:bCs/>
                <w:color w:val="auto"/>
                <w:kern w:val="0"/>
                <w:szCs w:val="21"/>
                <w:lang w:val="en-US" w:eastAsia="zh-CN"/>
              </w:rPr>
            </w:pPr>
            <w:r>
              <w:rPr>
                <w:rFonts w:hint="eastAsia" w:ascii="宋体" w:hAnsi="宋体" w:cs="宋体"/>
                <w:b w:val="0"/>
                <w:bCs/>
                <w:color w:val="auto"/>
                <w:kern w:val="0"/>
                <w:szCs w:val="21"/>
              </w:rPr>
              <w:t>门特按病种目录分流结算</w:t>
            </w:r>
            <w:r>
              <w:rPr>
                <w:rFonts w:hint="eastAsia" w:ascii="宋体" w:hAnsi="宋体" w:cs="宋体"/>
                <w:b w:val="0"/>
                <w:bCs/>
                <w:color w:val="auto"/>
                <w:kern w:val="0"/>
                <w:szCs w:val="21"/>
                <w:lang w:val="en-US" w:eastAsia="zh-CN"/>
              </w:rPr>
              <w:t>及科室授权设置</w:t>
            </w:r>
          </w:p>
        </w:tc>
        <w:tc>
          <w:tcPr>
            <w:tcW w:w="652" w:type="dxa"/>
            <w:tcBorders>
              <w:bottom w:val="single" w:color="auto" w:sz="4" w:space="0"/>
              <w:right w:val="single" w:color="000000" w:sz="8" w:space="0"/>
            </w:tcBorders>
            <w:tcMar>
              <w:top w:w="70" w:type="dxa"/>
              <w:left w:w="80" w:type="dxa"/>
              <w:bottom w:w="70" w:type="dxa"/>
              <w:right w:w="80" w:type="dxa"/>
            </w:tcMar>
            <w:vAlign w:val="center"/>
          </w:tcPr>
          <w:p w14:paraId="184A6464">
            <w:pPr>
              <w:widowControl/>
              <w:snapToGrid w:val="0"/>
              <w:spacing w:before="0" w:after="0" w:line="240" w:lineRule="auto"/>
              <w:jc w:val="center"/>
              <w:rPr>
                <w:rFonts w:ascii="宋体" w:hAnsi="宋体" w:cs="宋体"/>
                <w:color w:val="auto"/>
                <w:kern w:val="0"/>
                <w:szCs w:val="21"/>
              </w:rPr>
            </w:pPr>
            <w:r>
              <w:rPr>
                <w:rFonts w:ascii="宋体" w:hAnsi="宋体" w:cs="宋体"/>
                <w:color w:val="auto"/>
                <w:kern w:val="0"/>
                <w:szCs w:val="21"/>
              </w:rPr>
              <w:t>15</w:t>
            </w:r>
          </w:p>
        </w:tc>
        <w:tc>
          <w:tcPr>
            <w:tcW w:w="6582" w:type="dxa"/>
            <w:tcBorders>
              <w:bottom w:val="single" w:color="auto" w:sz="4" w:space="0"/>
              <w:right w:val="single" w:color="000000" w:sz="8" w:space="0"/>
            </w:tcBorders>
            <w:tcMar>
              <w:top w:w="70" w:type="dxa"/>
              <w:left w:w="80" w:type="dxa"/>
              <w:bottom w:w="70" w:type="dxa"/>
              <w:right w:w="80" w:type="dxa"/>
            </w:tcMar>
            <w:vAlign w:val="center"/>
          </w:tcPr>
          <w:p w14:paraId="0D96B0B0">
            <w:pPr>
              <w:widowControl/>
              <w:snapToGrid w:val="0"/>
              <w:spacing w:before="0" w:after="0" w:line="240" w:lineRule="auto"/>
              <w:jc w:val="left"/>
              <w:rPr>
                <w:rFonts w:hint="eastAsia" w:ascii="宋体" w:hAnsi="宋体" w:cs="宋体"/>
                <w:color w:val="auto"/>
                <w:kern w:val="0"/>
                <w:szCs w:val="21"/>
                <w:lang w:val="en-US" w:eastAsia="zh-CN"/>
              </w:rPr>
            </w:pPr>
            <w:r>
              <w:rPr>
                <w:rFonts w:hint="eastAsia" w:ascii="宋体" w:hAnsi="宋体" w:cs="宋体"/>
                <w:color w:val="auto"/>
                <w:kern w:val="0"/>
                <w:szCs w:val="21"/>
                <w:lang w:val="en-US" w:eastAsia="zh-CN"/>
              </w:rPr>
              <w:t>1.</w:t>
            </w:r>
            <w:r>
              <w:rPr>
                <w:rFonts w:hint="eastAsia" w:ascii="宋体" w:hAnsi="宋体" w:cs="宋体"/>
                <w:color w:val="auto"/>
                <w:kern w:val="0"/>
                <w:szCs w:val="21"/>
              </w:rPr>
              <w:t>院内门诊特定病种需按《以此件为准-深圳市门诊特定病种目录数据库电子版（2026.1.1版）》目录分流结算：医师通过门特通道开单的西药、中药、耗材、诊疗项目，符合该病种对应目录时使用门特待遇结算，不符合目录时使用普通门诊待遇结算；诊查费仍按原规定单列计算，不纳入门特病种结算范围</w:t>
            </w:r>
            <w:r>
              <w:rPr>
                <w:rFonts w:hint="eastAsia" w:ascii="宋体" w:hAnsi="宋体" w:cs="宋体"/>
                <w:color w:val="auto"/>
                <w:kern w:val="0"/>
                <w:szCs w:val="21"/>
                <w:lang w:eastAsia="zh-CN"/>
              </w:rPr>
              <w:t>；</w:t>
            </w:r>
            <w:r>
              <w:rPr>
                <w:rFonts w:hint="eastAsia" w:ascii="宋体" w:hAnsi="宋体" w:cs="宋体"/>
                <w:color w:val="auto"/>
                <w:kern w:val="0"/>
                <w:szCs w:val="21"/>
                <w:lang w:val="en-US" w:eastAsia="zh-CN"/>
              </w:rPr>
              <w:t>设目录维护功能，可按医院实际情况增删不同病种对应目录范围。</w:t>
            </w:r>
          </w:p>
          <w:p w14:paraId="1E1EBAD0">
            <w:pPr>
              <w:widowControl/>
              <w:snapToGrid w:val="0"/>
              <w:spacing w:before="0" w:after="0" w:line="240" w:lineRule="auto"/>
              <w:jc w:val="left"/>
              <w:rPr>
                <w:rFonts w:hint="default" w:ascii="宋体" w:hAnsi="宋体" w:eastAsia="宋体" w:cs="宋体"/>
                <w:color w:val="auto"/>
                <w:kern w:val="0"/>
                <w:szCs w:val="21"/>
                <w:lang w:val="en-US" w:eastAsia="zh-CN"/>
              </w:rPr>
            </w:pPr>
            <w:r>
              <w:rPr>
                <w:rFonts w:hint="eastAsia" w:ascii="宋体" w:hAnsi="宋体" w:cs="宋体"/>
                <w:color w:val="auto"/>
                <w:kern w:val="0"/>
                <w:szCs w:val="21"/>
                <w:lang w:val="en-US" w:eastAsia="zh-CN"/>
              </w:rPr>
              <w:t>2.设控制功能，可对不同科室授权不同病种目录。</w:t>
            </w:r>
          </w:p>
        </w:tc>
      </w:tr>
      <w:tr w14:paraId="41C98C81">
        <w:tblPrEx>
          <w:tblCellMar>
            <w:top w:w="0" w:type="dxa"/>
            <w:left w:w="108" w:type="dxa"/>
            <w:bottom w:w="0" w:type="dxa"/>
            <w:right w:w="108" w:type="dxa"/>
          </w:tblCellMar>
        </w:tblPrEx>
        <w:trPr>
          <w:trHeight w:val="5628" w:hRule="atLeast"/>
        </w:trPr>
        <w:tc>
          <w:tcPr>
            <w:tcW w:w="1744" w:type="dxa"/>
            <w:tcBorders>
              <w:top w:val="single" w:color="auto" w:sz="4" w:space="0"/>
              <w:left w:val="single" w:color="auto" w:sz="4" w:space="0"/>
              <w:bottom w:val="single" w:color="auto" w:sz="4" w:space="0"/>
              <w:right w:val="single" w:color="auto" w:sz="4" w:space="0"/>
            </w:tcBorders>
            <w:tcMar>
              <w:top w:w="70" w:type="dxa"/>
              <w:left w:w="80" w:type="dxa"/>
              <w:bottom w:w="70" w:type="dxa"/>
              <w:right w:w="80" w:type="dxa"/>
            </w:tcMar>
            <w:vAlign w:val="center"/>
          </w:tcPr>
          <w:p w14:paraId="4D6918AA">
            <w:pPr>
              <w:widowControl/>
              <w:snapToGrid w:val="0"/>
              <w:spacing w:before="0" w:after="0" w:line="240" w:lineRule="auto"/>
              <w:jc w:val="center"/>
              <w:rPr>
                <w:rFonts w:ascii="宋体" w:hAnsi="宋体" w:cs="宋体"/>
                <w:b w:val="0"/>
                <w:bCs/>
                <w:color w:val="auto"/>
                <w:kern w:val="0"/>
                <w:szCs w:val="21"/>
              </w:rPr>
            </w:pPr>
            <w:r>
              <w:rPr>
                <w:rFonts w:hint="eastAsia" w:ascii="宋体" w:hAnsi="宋体" w:cs="宋体"/>
                <w:b w:val="0"/>
                <w:bCs/>
                <w:color w:val="auto"/>
                <w:kern w:val="0"/>
                <w:szCs w:val="21"/>
              </w:rPr>
              <w:t>生育保险待遇相关功能上线改造</w:t>
            </w:r>
          </w:p>
        </w:tc>
        <w:tc>
          <w:tcPr>
            <w:tcW w:w="652" w:type="dxa"/>
            <w:tcBorders>
              <w:top w:val="single" w:color="auto" w:sz="4" w:space="0"/>
              <w:left w:val="single" w:color="auto" w:sz="4" w:space="0"/>
              <w:bottom w:val="single" w:color="auto" w:sz="4" w:space="0"/>
              <w:right w:val="single" w:color="auto" w:sz="4" w:space="0"/>
            </w:tcBorders>
            <w:tcMar>
              <w:top w:w="70" w:type="dxa"/>
              <w:left w:w="80" w:type="dxa"/>
              <w:bottom w:w="70" w:type="dxa"/>
              <w:right w:w="80" w:type="dxa"/>
            </w:tcMar>
            <w:vAlign w:val="center"/>
          </w:tcPr>
          <w:p w14:paraId="620959CC">
            <w:pPr>
              <w:widowControl/>
              <w:snapToGrid w:val="0"/>
              <w:spacing w:before="0" w:after="0" w:line="240" w:lineRule="auto"/>
              <w:jc w:val="center"/>
              <w:rPr>
                <w:rFonts w:ascii="宋体" w:hAnsi="宋体" w:cs="宋体"/>
                <w:color w:val="auto"/>
                <w:kern w:val="0"/>
                <w:szCs w:val="21"/>
              </w:rPr>
            </w:pPr>
            <w:r>
              <w:rPr>
                <w:rFonts w:ascii="宋体" w:hAnsi="宋体" w:cs="宋体"/>
                <w:color w:val="auto"/>
                <w:kern w:val="0"/>
                <w:szCs w:val="21"/>
              </w:rPr>
              <w:t>16</w:t>
            </w:r>
          </w:p>
        </w:tc>
        <w:tc>
          <w:tcPr>
            <w:tcW w:w="6582" w:type="dxa"/>
            <w:tcBorders>
              <w:top w:val="single" w:color="auto" w:sz="4" w:space="0"/>
              <w:left w:val="single" w:color="auto" w:sz="4" w:space="0"/>
              <w:bottom w:val="single" w:color="auto" w:sz="4" w:space="0"/>
              <w:right w:val="single" w:color="auto" w:sz="4" w:space="0"/>
            </w:tcBorders>
            <w:tcMar>
              <w:top w:w="70" w:type="dxa"/>
              <w:left w:w="80" w:type="dxa"/>
              <w:bottom w:w="70" w:type="dxa"/>
              <w:right w:w="80" w:type="dxa"/>
            </w:tcMar>
            <w:vAlign w:val="center"/>
          </w:tcPr>
          <w:p w14:paraId="56E7989A">
            <w:pPr>
              <w:widowControl/>
              <w:snapToGrid w:val="0"/>
              <w:spacing w:before="0" w:after="0" w:line="240" w:lineRule="auto"/>
              <w:jc w:val="left"/>
              <w:rPr>
                <w:rFonts w:ascii="宋体" w:hAnsi="宋体" w:cs="宋体"/>
                <w:color w:val="auto"/>
                <w:kern w:val="0"/>
                <w:szCs w:val="21"/>
              </w:rPr>
            </w:pPr>
            <w:r>
              <w:rPr>
                <w:rFonts w:hint="eastAsia" w:ascii="宋体" w:hAnsi="宋体" w:cs="宋体"/>
                <w:color w:val="auto"/>
                <w:kern w:val="0"/>
                <w:szCs w:val="21"/>
              </w:rPr>
              <w:t>根据《深圳市医疗保险基金管理中心关于生育保险待遇相关功能上线的通知》（深医保中心发〔2026〕25号），HIS等系统需同步改造以支持生育保险待遇相关功能上线。①男职工未就业配偶直接结算（本次改造重点）：适用于职工（含用人单位在职职工、领取失业金期间参加生育保险的失业人员）未就业配偶在市内生育就医场景。就诊结算前需在医疗机构办理夫妻关系登记，登记有效期为10个月；有效期内在本市定点医疗机构可享受未就业配偶生育医疗费用直接结算待遇，结算时通过职工（参保方）身份信息结算。医疗类别为51-生育门诊（产检）、9921-生育门诊（终止妊娠）、52-生育住院（分娩）、9931-生育住院（终止妊娠）的，系统需校验参保方性别：参保方性别为男性的，办理夫妻关系登记且在登记有效期内方可使其未就业配偶享受待遇，即HIS需改造支持男性参保人为女性患者（未就业配偶）办理生育医疗费用结算。②产前住院生育费用保障：自2026年7月1日起，职工基本医疗保险参保人、居民基本医疗保险参保人、职工未就业配偶因晚期先兆流产、宫颈功能不全、先兆早产、前置胎盘伴出血及胎位异常外倒转发生的住院医疗费用，市内医疗机构通过生育类别“902-保胎”结算，符合国家和省规定的药品、诊疗项目和医用耗材支付范围的，按生育保险有关住院医疗费用待遇予以保障。③生育津贴“即申即享”：参保人在市内医疗机构完成生育医疗费用直接结算后，系统读取医疗机构上传的生育津贴相关数据，对符合申领条件的企业职工/失业人员通过短信主动告知并指引办理申领。</w:t>
            </w:r>
          </w:p>
        </w:tc>
      </w:tr>
      <w:tr w14:paraId="4369146A">
        <w:tblPrEx>
          <w:tblCellMar>
            <w:top w:w="0" w:type="dxa"/>
            <w:left w:w="108" w:type="dxa"/>
            <w:bottom w:w="0" w:type="dxa"/>
            <w:right w:w="108" w:type="dxa"/>
          </w:tblCellMar>
        </w:tblPrEx>
        <w:trPr>
          <w:trHeight w:val="972" w:hRule="atLeast"/>
        </w:trPr>
        <w:tc>
          <w:tcPr>
            <w:tcW w:w="1744" w:type="dxa"/>
            <w:tcBorders>
              <w:top w:val="single" w:color="auto" w:sz="4" w:space="0"/>
              <w:left w:val="single" w:color="auto" w:sz="4" w:space="0"/>
              <w:bottom w:val="single" w:color="auto" w:sz="4" w:space="0"/>
              <w:right w:val="single" w:color="auto" w:sz="4" w:space="0"/>
            </w:tcBorders>
            <w:tcMar>
              <w:top w:w="70" w:type="dxa"/>
              <w:left w:w="80" w:type="dxa"/>
              <w:bottom w:w="70" w:type="dxa"/>
              <w:right w:w="80" w:type="dxa"/>
            </w:tcMar>
            <w:vAlign w:val="center"/>
          </w:tcPr>
          <w:p w14:paraId="5AFA2084">
            <w:pPr>
              <w:widowControl/>
              <w:snapToGrid w:val="0"/>
              <w:spacing w:before="0" w:after="0" w:line="240" w:lineRule="auto"/>
              <w:jc w:val="center"/>
              <w:rPr>
                <w:rFonts w:hint="default" w:ascii="宋体" w:hAnsi="宋体" w:eastAsia="宋体" w:cs="宋体"/>
                <w:b w:val="0"/>
                <w:bCs/>
                <w:color w:val="auto"/>
                <w:kern w:val="0"/>
                <w:szCs w:val="21"/>
                <w:lang w:val="en-US" w:eastAsia="zh-CN"/>
              </w:rPr>
            </w:pPr>
            <w:r>
              <w:rPr>
                <w:rFonts w:hint="eastAsia" w:ascii="宋体" w:hAnsi="宋体" w:cs="宋体"/>
                <w:b w:val="0"/>
                <w:bCs/>
                <w:color w:val="auto"/>
                <w:kern w:val="0"/>
                <w:szCs w:val="21"/>
                <w:lang w:val="en-US" w:eastAsia="zh-CN"/>
              </w:rPr>
              <w:t>转费用地补报销范围选项</w:t>
            </w:r>
          </w:p>
        </w:tc>
        <w:tc>
          <w:tcPr>
            <w:tcW w:w="652" w:type="dxa"/>
            <w:tcBorders>
              <w:top w:val="single" w:color="auto" w:sz="4" w:space="0"/>
              <w:left w:val="single" w:color="auto" w:sz="4" w:space="0"/>
              <w:bottom w:val="single" w:color="auto" w:sz="4" w:space="0"/>
              <w:right w:val="single" w:color="auto" w:sz="4" w:space="0"/>
            </w:tcBorders>
            <w:tcMar>
              <w:top w:w="70" w:type="dxa"/>
              <w:left w:w="80" w:type="dxa"/>
              <w:bottom w:w="70" w:type="dxa"/>
              <w:right w:w="80" w:type="dxa"/>
            </w:tcMar>
            <w:vAlign w:val="center"/>
          </w:tcPr>
          <w:p w14:paraId="0F50AED0">
            <w:pPr>
              <w:widowControl/>
              <w:snapToGrid w:val="0"/>
              <w:spacing w:before="0" w:after="0" w:line="240" w:lineRule="auto"/>
              <w:jc w:val="center"/>
              <w:rPr>
                <w:rFonts w:hint="default" w:ascii="宋体" w:hAnsi="宋体" w:eastAsia="宋体" w:cs="宋体"/>
                <w:color w:val="auto"/>
                <w:kern w:val="0"/>
                <w:szCs w:val="21"/>
                <w:lang w:val="en-US" w:eastAsia="zh-CN"/>
              </w:rPr>
            </w:pPr>
            <w:r>
              <w:rPr>
                <w:rFonts w:hint="eastAsia" w:ascii="宋体" w:hAnsi="宋体" w:cs="宋体"/>
                <w:color w:val="auto"/>
                <w:kern w:val="0"/>
                <w:szCs w:val="21"/>
                <w:lang w:val="en-US" w:eastAsia="zh-CN"/>
              </w:rPr>
              <w:t>17</w:t>
            </w:r>
          </w:p>
        </w:tc>
        <w:tc>
          <w:tcPr>
            <w:tcW w:w="6582" w:type="dxa"/>
            <w:tcBorders>
              <w:top w:val="single" w:color="auto" w:sz="4" w:space="0"/>
              <w:left w:val="single" w:color="auto" w:sz="4" w:space="0"/>
              <w:bottom w:val="single" w:color="auto" w:sz="4" w:space="0"/>
              <w:right w:val="single" w:color="auto" w:sz="4" w:space="0"/>
            </w:tcBorders>
            <w:tcMar>
              <w:top w:w="70" w:type="dxa"/>
              <w:left w:w="80" w:type="dxa"/>
              <w:bottom w:w="70" w:type="dxa"/>
              <w:right w:w="80" w:type="dxa"/>
            </w:tcMar>
            <w:vAlign w:val="center"/>
          </w:tcPr>
          <w:p w14:paraId="17E9B66B">
            <w:pPr>
              <w:widowControl/>
              <w:snapToGrid w:val="0"/>
              <w:spacing w:before="0" w:after="0" w:line="240" w:lineRule="auto"/>
              <w:jc w:val="left"/>
              <w:rPr>
                <w:rFonts w:hint="default" w:ascii="宋体" w:hAnsi="宋体" w:eastAsia="宋体" w:cs="宋体"/>
                <w:color w:val="auto"/>
                <w:kern w:val="0"/>
                <w:szCs w:val="21"/>
                <w:lang w:val="en-US" w:eastAsia="zh-CN"/>
              </w:rPr>
            </w:pPr>
            <w:r>
              <w:rPr>
                <w:rFonts w:hint="eastAsia" w:ascii="宋体" w:hAnsi="宋体" w:cs="宋体"/>
                <w:color w:val="auto"/>
                <w:kern w:val="0"/>
                <w:szCs w:val="21"/>
                <w:lang w:val="en-US" w:eastAsia="zh-CN"/>
              </w:rPr>
              <w:t>根据《深圳市地方补充目录数据库》，部分项目不符合普通医保统筹报销范围，但符合地补条件，需在财务系统提供按钮，用于转费用阶段选择是否符合地补报销范围。</w:t>
            </w:r>
          </w:p>
        </w:tc>
      </w:tr>
      <w:tr w14:paraId="1D036047">
        <w:tblPrEx>
          <w:tblCellMar>
            <w:top w:w="0" w:type="dxa"/>
            <w:left w:w="108" w:type="dxa"/>
            <w:bottom w:w="0" w:type="dxa"/>
            <w:right w:w="108" w:type="dxa"/>
          </w:tblCellMar>
        </w:tblPrEx>
        <w:trPr>
          <w:trHeight w:val="697" w:hRule="atLeast"/>
        </w:trPr>
        <w:tc>
          <w:tcPr>
            <w:tcW w:w="1744" w:type="dxa"/>
            <w:tcBorders>
              <w:top w:val="single" w:color="auto" w:sz="4" w:space="0"/>
              <w:left w:val="single" w:color="auto" w:sz="4" w:space="0"/>
              <w:bottom w:val="single" w:color="auto" w:sz="4" w:space="0"/>
              <w:right w:val="single" w:color="auto" w:sz="4" w:space="0"/>
            </w:tcBorders>
            <w:tcMar>
              <w:top w:w="70" w:type="dxa"/>
              <w:left w:w="80" w:type="dxa"/>
              <w:bottom w:w="70" w:type="dxa"/>
              <w:right w:w="80" w:type="dxa"/>
            </w:tcMar>
            <w:vAlign w:val="center"/>
          </w:tcPr>
          <w:p w14:paraId="4C0B97D4">
            <w:pPr>
              <w:widowControl/>
              <w:snapToGrid w:val="0"/>
              <w:spacing w:before="0" w:after="0" w:line="240" w:lineRule="auto"/>
              <w:jc w:val="center"/>
              <w:rPr>
                <w:rFonts w:hint="default" w:ascii="宋体" w:hAnsi="宋体" w:cs="宋体"/>
                <w:b w:val="0"/>
                <w:bCs/>
                <w:color w:val="auto"/>
                <w:kern w:val="0"/>
                <w:szCs w:val="21"/>
                <w:lang w:val="en-US" w:eastAsia="zh-CN"/>
              </w:rPr>
            </w:pPr>
            <w:r>
              <w:rPr>
                <w:rFonts w:hint="eastAsia" w:ascii="宋体" w:hAnsi="宋体" w:cs="宋体"/>
                <w:b w:val="0"/>
                <w:bCs/>
                <w:color w:val="auto"/>
                <w:kern w:val="0"/>
                <w:szCs w:val="21"/>
                <w:lang w:val="en-US" w:eastAsia="zh-CN"/>
              </w:rPr>
              <w:t>门诊收费明细查询模块增加检索框</w:t>
            </w:r>
          </w:p>
        </w:tc>
        <w:tc>
          <w:tcPr>
            <w:tcW w:w="652" w:type="dxa"/>
            <w:tcBorders>
              <w:top w:val="single" w:color="auto" w:sz="4" w:space="0"/>
              <w:left w:val="single" w:color="auto" w:sz="4" w:space="0"/>
              <w:bottom w:val="single" w:color="auto" w:sz="4" w:space="0"/>
              <w:right w:val="single" w:color="auto" w:sz="4" w:space="0"/>
            </w:tcBorders>
            <w:tcMar>
              <w:top w:w="70" w:type="dxa"/>
              <w:left w:w="80" w:type="dxa"/>
              <w:bottom w:w="70" w:type="dxa"/>
              <w:right w:w="80" w:type="dxa"/>
            </w:tcMar>
            <w:vAlign w:val="center"/>
          </w:tcPr>
          <w:p w14:paraId="0A076457">
            <w:pPr>
              <w:widowControl/>
              <w:snapToGrid w:val="0"/>
              <w:spacing w:before="0" w:after="0" w:line="240" w:lineRule="auto"/>
              <w:jc w:val="center"/>
              <w:rPr>
                <w:rFonts w:hint="default" w:ascii="宋体" w:hAnsi="宋体" w:cs="宋体"/>
                <w:color w:val="auto"/>
                <w:kern w:val="0"/>
                <w:szCs w:val="21"/>
                <w:lang w:val="en-US" w:eastAsia="zh-CN"/>
              </w:rPr>
            </w:pPr>
            <w:r>
              <w:rPr>
                <w:rFonts w:hint="eastAsia" w:ascii="宋体" w:hAnsi="宋体" w:cs="宋体"/>
                <w:color w:val="auto"/>
                <w:kern w:val="0"/>
                <w:szCs w:val="21"/>
                <w:lang w:val="en-US" w:eastAsia="zh-CN"/>
              </w:rPr>
              <w:t>18</w:t>
            </w:r>
          </w:p>
        </w:tc>
        <w:tc>
          <w:tcPr>
            <w:tcW w:w="6582" w:type="dxa"/>
            <w:tcBorders>
              <w:top w:val="single" w:color="auto" w:sz="4" w:space="0"/>
              <w:left w:val="single" w:color="auto" w:sz="4" w:space="0"/>
              <w:bottom w:val="single" w:color="auto" w:sz="4" w:space="0"/>
              <w:right w:val="single" w:color="auto" w:sz="4" w:space="0"/>
            </w:tcBorders>
            <w:tcMar>
              <w:top w:w="70" w:type="dxa"/>
              <w:left w:w="80" w:type="dxa"/>
              <w:bottom w:w="70" w:type="dxa"/>
              <w:right w:w="80" w:type="dxa"/>
            </w:tcMar>
            <w:vAlign w:val="center"/>
          </w:tcPr>
          <w:p w14:paraId="5C0C5197">
            <w:pPr>
              <w:widowControl/>
              <w:snapToGrid w:val="0"/>
              <w:spacing w:before="0" w:after="0" w:line="240" w:lineRule="auto"/>
              <w:jc w:val="left"/>
              <w:rPr>
                <w:rFonts w:hint="default" w:ascii="宋体" w:hAnsi="宋体" w:cs="宋体"/>
                <w:color w:val="auto"/>
                <w:kern w:val="0"/>
                <w:szCs w:val="21"/>
                <w:lang w:val="en-US" w:eastAsia="zh-CN"/>
              </w:rPr>
            </w:pPr>
            <w:r>
              <w:rPr>
                <w:rFonts w:hint="eastAsia" w:ascii="宋体" w:hAnsi="宋体" w:cs="宋体"/>
                <w:b w:val="0"/>
                <w:bCs/>
                <w:color w:val="auto"/>
                <w:kern w:val="0"/>
                <w:szCs w:val="21"/>
                <w:lang w:val="en-US" w:eastAsia="zh-CN"/>
              </w:rPr>
              <w:t>财务收费系统-R.门诊收费明细查询中增加按项目名称或收费名称查询功能</w:t>
            </w:r>
          </w:p>
        </w:tc>
      </w:tr>
      <w:tr w14:paraId="1F5D3E2A">
        <w:tblPrEx>
          <w:tblCellMar>
            <w:top w:w="0" w:type="dxa"/>
            <w:left w:w="108" w:type="dxa"/>
            <w:bottom w:w="0" w:type="dxa"/>
            <w:right w:w="108" w:type="dxa"/>
          </w:tblCellMar>
        </w:tblPrEx>
        <w:trPr>
          <w:trHeight w:val="708" w:hRule="atLeast"/>
        </w:trPr>
        <w:tc>
          <w:tcPr>
            <w:tcW w:w="1744" w:type="dxa"/>
            <w:tcBorders>
              <w:top w:val="single" w:color="auto" w:sz="4" w:space="0"/>
              <w:left w:val="single" w:color="auto" w:sz="4" w:space="0"/>
              <w:bottom w:val="single" w:color="auto" w:sz="4" w:space="0"/>
              <w:right w:val="single" w:color="auto" w:sz="4" w:space="0"/>
            </w:tcBorders>
            <w:tcMar>
              <w:top w:w="70" w:type="dxa"/>
              <w:left w:w="80" w:type="dxa"/>
              <w:bottom w:w="70" w:type="dxa"/>
              <w:right w:w="80" w:type="dxa"/>
            </w:tcMar>
            <w:vAlign w:val="center"/>
          </w:tcPr>
          <w:p w14:paraId="59F58B7E">
            <w:pPr>
              <w:widowControl/>
              <w:snapToGrid w:val="0"/>
              <w:spacing w:before="0" w:after="0" w:line="240" w:lineRule="auto"/>
              <w:jc w:val="center"/>
              <w:rPr>
                <w:rFonts w:hint="default" w:ascii="宋体" w:hAnsi="宋体" w:cs="宋体"/>
                <w:b w:val="0"/>
                <w:bCs/>
                <w:color w:val="auto"/>
                <w:kern w:val="0"/>
                <w:szCs w:val="21"/>
                <w:lang w:val="en-US" w:eastAsia="zh-CN"/>
              </w:rPr>
            </w:pPr>
            <w:r>
              <w:rPr>
                <w:rFonts w:hint="eastAsia" w:ascii="宋体" w:hAnsi="宋体" w:cs="宋体"/>
                <w:b w:val="0"/>
                <w:bCs/>
                <w:color w:val="auto"/>
                <w:kern w:val="0"/>
                <w:szCs w:val="21"/>
                <w:lang w:val="en-US" w:eastAsia="zh-CN"/>
              </w:rPr>
              <w:t>门诊医生站增加患者费用明细显示</w:t>
            </w:r>
          </w:p>
        </w:tc>
        <w:tc>
          <w:tcPr>
            <w:tcW w:w="652" w:type="dxa"/>
            <w:tcBorders>
              <w:top w:val="single" w:color="auto" w:sz="4" w:space="0"/>
              <w:left w:val="single" w:color="auto" w:sz="4" w:space="0"/>
              <w:bottom w:val="single" w:color="auto" w:sz="4" w:space="0"/>
              <w:right w:val="single" w:color="auto" w:sz="4" w:space="0"/>
            </w:tcBorders>
            <w:tcMar>
              <w:top w:w="70" w:type="dxa"/>
              <w:left w:w="80" w:type="dxa"/>
              <w:bottom w:w="70" w:type="dxa"/>
              <w:right w:w="80" w:type="dxa"/>
            </w:tcMar>
            <w:vAlign w:val="center"/>
          </w:tcPr>
          <w:p w14:paraId="23D67948">
            <w:pPr>
              <w:widowControl/>
              <w:snapToGrid w:val="0"/>
              <w:spacing w:before="0" w:after="0" w:line="240" w:lineRule="auto"/>
              <w:jc w:val="center"/>
              <w:rPr>
                <w:rFonts w:hint="default" w:ascii="宋体" w:hAnsi="宋体" w:cs="宋体"/>
                <w:color w:val="auto"/>
                <w:kern w:val="0"/>
                <w:szCs w:val="21"/>
                <w:lang w:val="en-US" w:eastAsia="zh-CN"/>
              </w:rPr>
            </w:pPr>
            <w:r>
              <w:rPr>
                <w:rFonts w:hint="eastAsia" w:ascii="宋体" w:hAnsi="宋体" w:cs="宋体"/>
                <w:color w:val="auto"/>
                <w:kern w:val="0"/>
                <w:szCs w:val="21"/>
                <w:lang w:val="en-US" w:eastAsia="zh-CN"/>
              </w:rPr>
              <w:t>19</w:t>
            </w:r>
          </w:p>
        </w:tc>
        <w:tc>
          <w:tcPr>
            <w:tcW w:w="6582" w:type="dxa"/>
            <w:tcBorders>
              <w:top w:val="single" w:color="auto" w:sz="4" w:space="0"/>
              <w:left w:val="single" w:color="auto" w:sz="4" w:space="0"/>
              <w:bottom w:val="single" w:color="auto" w:sz="4" w:space="0"/>
              <w:right w:val="single" w:color="auto" w:sz="4" w:space="0"/>
            </w:tcBorders>
            <w:tcMar>
              <w:top w:w="70" w:type="dxa"/>
              <w:left w:w="80" w:type="dxa"/>
              <w:bottom w:w="70" w:type="dxa"/>
              <w:right w:w="80" w:type="dxa"/>
            </w:tcMar>
            <w:vAlign w:val="center"/>
          </w:tcPr>
          <w:p w14:paraId="7E986FCA">
            <w:pPr>
              <w:widowControl/>
              <w:snapToGrid w:val="0"/>
              <w:spacing w:before="0" w:after="0" w:line="240" w:lineRule="auto"/>
              <w:jc w:val="left"/>
              <w:rPr>
                <w:rFonts w:hint="eastAsia" w:ascii="宋体" w:hAnsi="宋体" w:cs="宋体"/>
                <w:b w:val="0"/>
                <w:bCs/>
                <w:color w:val="auto"/>
                <w:kern w:val="0"/>
                <w:szCs w:val="21"/>
                <w:lang w:val="en-US" w:eastAsia="zh-CN"/>
              </w:rPr>
            </w:pPr>
            <w:r>
              <w:rPr>
                <w:rFonts w:hint="eastAsia" w:ascii="宋体" w:hAnsi="宋体" w:cs="宋体"/>
                <w:b w:val="0"/>
                <w:bCs/>
                <w:color w:val="auto"/>
                <w:kern w:val="0"/>
                <w:szCs w:val="21"/>
                <w:lang w:val="en-US" w:eastAsia="zh-CN"/>
              </w:rPr>
              <w:t>门诊医生站增加</w:t>
            </w:r>
            <w:bookmarkStart w:id="0" w:name="_GoBack"/>
            <w:bookmarkEnd w:id="0"/>
            <w:r>
              <w:rPr>
                <w:rFonts w:hint="eastAsia" w:ascii="宋体" w:hAnsi="宋体" w:cs="宋体"/>
                <w:b w:val="0"/>
                <w:bCs/>
                <w:color w:val="auto"/>
                <w:kern w:val="0"/>
                <w:szCs w:val="21"/>
                <w:lang w:val="en-US" w:eastAsia="zh-CN"/>
              </w:rPr>
              <w:t>结算后费用显示功能，按照财务收费系统门诊费用清单显示明细，提供给临床医师查看。</w:t>
            </w:r>
          </w:p>
        </w:tc>
      </w:tr>
      <w:tr w14:paraId="14D02F56">
        <w:tblPrEx>
          <w:tblCellMar>
            <w:top w:w="0" w:type="dxa"/>
            <w:left w:w="108" w:type="dxa"/>
            <w:bottom w:w="0" w:type="dxa"/>
            <w:right w:w="108" w:type="dxa"/>
          </w:tblCellMar>
        </w:tblPrEx>
        <w:trPr>
          <w:trHeight w:val="708" w:hRule="atLeast"/>
        </w:trPr>
        <w:tc>
          <w:tcPr>
            <w:tcW w:w="1744" w:type="dxa"/>
            <w:tcBorders>
              <w:top w:val="single" w:color="auto" w:sz="4" w:space="0"/>
              <w:left w:val="single" w:color="auto" w:sz="4" w:space="0"/>
              <w:bottom w:val="single" w:color="auto" w:sz="4" w:space="0"/>
              <w:right w:val="single" w:color="auto" w:sz="4" w:space="0"/>
            </w:tcBorders>
            <w:shd w:val="clear" w:color="auto" w:fill="auto"/>
            <w:tcMar>
              <w:top w:w="70" w:type="dxa"/>
              <w:left w:w="80" w:type="dxa"/>
              <w:bottom w:w="70" w:type="dxa"/>
              <w:right w:w="80" w:type="dxa"/>
            </w:tcMar>
            <w:vAlign w:val="center"/>
          </w:tcPr>
          <w:p w14:paraId="421B8F08">
            <w:pPr>
              <w:widowControl/>
              <w:snapToGrid w:val="0"/>
              <w:spacing w:before="0" w:after="0" w:line="240" w:lineRule="auto"/>
              <w:jc w:val="center"/>
              <w:rPr>
                <w:rFonts w:hint="eastAsia" w:ascii="宋体" w:hAnsi="宋体" w:eastAsia="宋体" w:cs="宋体"/>
                <w:b w:val="0"/>
                <w:bCs/>
                <w:color w:val="auto"/>
                <w:kern w:val="0"/>
                <w:sz w:val="21"/>
                <w:szCs w:val="21"/>
                <w:lang w:val="en-US" w:eastAsia="zh-CN" w:bidi="ar-SA"/>
              </w:rPr>
            </w:pPr>
            <w:r>
              <w:rPr>
                <w:rFonts w:ascii="宋体" w:hAnsi="宋体" w:eastAsia="宋体" w:cs="宋体"/>
                <w:sz w:val="24"/>
                <w:szCs w:val="24"/>
              </w:rPr>
              <w:t>医保结算数据院内关联展示</w:t>
            </w:r>
          </w:p>
        </w:tc>
        <w:tc>
          <w:tcPr>
            <w:tcW w:w="652" w:type="dxa"/>
            <w:tcBorders>
              <w:top w:val="single" w:color="auto" w:sz="4" w:space="0"/>
              <w:left w:val="single" w:color="auto" w:sz="4" w:space="0"/>
              <w:bottom w:val="single" w:color="auto" w:sz="4" w:space="0"/>
              <w:right w:val="single" w:color="auto" w:sz="4" w:space="0"/>
            </w:tcBorders>
            <w:shd w:val="clear" w:color="auto" w:fill="auto"/>
            <w:tcMar>
              <w:top w:w="70" w:type="dxa"/>
              <w:left w:w="80" w:type="dxa"/>
              <w:bottom w:w="70" w:type="dxa"/>
              <w:right w:w="80" w:type="dxa"/>
            </w:tcMar>
            <w:vAlign w:val="center"/>
          </w:tcPr>
          <w:p w14:paraId="751F334B">
            <w:pPr>
              <w:widowControl/>
              <w:snapToGrid w:val="0"/>
              <w:spacing w:before="0" w:after="0" w:line="240" w:lineRule="auto"/>
              <w:jc w:val="center"/>
              <w:rPr>
                <w:rFonts w:hint="eastAsia" w:ascii="宋体" w:hAnsi="宋体" w:eastAsia="宋体" w:cs="宋体"/>
                <w:color w:val="auto"/>
                <w:kern w:val="0"/>
                <w:sz w:val="21"/>
                <w:szCs w:val="21"/>
                <w:lang w:val="en-US" w:eastAsia="zh-CN" w:bidi="ar-SA"/>
              </w:rPr>
            </w:pPr>
            <w:r>
              <w:rPr>
                <w:rFonts w:hint="eastAsia" w:ascii="宋体" w:hAnsi="宋体" w:cs="宋体"/>
                <w:color w:val="auto"/>
                <w:kern w:val="0"/>
                <w:szCs w:val="21"/>
                <w:lang w:val="en-US" w:eastAsia="zh-CN"/>
              </w:rPr>
              <w:t>20</w:t>
            </w:r>
          </w:p>
        </w:tc>
        <w:tc>
          <w:tcPr>
            <w:tcW w:w="6582" w:type="dxa"/>
            <w:tcBorders>
              <w:top w:val="single" w:color="auto" w:sz="4" w:space="0"/>
              <w:left w:val="single" w:color="auto" w:sz="4" w:space="0"/>
              <w:bottom w:val="single" w:color="auto" w:sz="4" w:space="0"/>
              <w:right w:val="single" w:color="auto" w:sz="4" w:space="0"/>
            </w:tcBorders>
            <w:shd w:val="clear" w:color="auto" w:fill="auto"/>
            <w:tcMar>
              <w:top w:w="70" w:type="dxa"/>
              <w:left w:w="80" w:type="dxa"/>
              <w:bottom w:w="70" w:type="dxa"/>
              <w:right w:w="80" w:type="dxa"/>
            </w:tcMar>
            <w:vAlign w:val="center"/>
          </w:tcPr>
          <w:p w14:paraId="7AB424C7">
            <w:pPr>
              <w:widowControl/>
              <w:snapToGrid w:val="0"/>
              <w:spacing w:before="0" w:after="0" w:line="240" w:lineRule="auto"/>
              <w:jc w:val="left"/>
              <w:rPr>
                <w:rFonts w:hint="eastAsia" w:ascii="宋体" w:hAnsi="宋体" w:eastAsia="宋体" w:cs="宋体"/>
                <w:b w:val="0"/>
                <w:bCs/>
                <w:color w:val="auto"/>
                <w:kern w:val="0"/>
                <w:sz w:val="21"/>
                <w:szCs w:val="21"/>
                <w:lang w:val="en-US" w:eastAsia="zh-CN" w:bidi="ar-SA"/>
              </w:rPr>
            </w:pPr>
            <w:r>
              <w:rPr>
                <w:rFonts w:ascii="宋体" w:hAnsi="宋体" w:eastAsia="宋体" w:cs="宋体"/>
                <w:sz w:val="24"/>
                <w:szCs w:val="24"/>
              </w:rPr>
              <w:t>实现医保结算数据与院内门诊、住院费用明细、医嘱、费用执行记录、患者就诊信息、诊断信息、医保登记信息、关键病历信息的关联匹配，在 Web 网页端集中一体化展示；系统支持按患者、收费项目、时间范围多维度检索查询，支持查询结果导出，支持批量检索（例如，通过excel批量上传患者、收费项目信息，并实现根据上传的信息检索查询）。</w:t>
            </w:r>
          </w:p>
        </w:tc>
      </w:tr>
    </w:tbl>
    <w:p w14:paraId="41BA16F9">
      <w:pPr>
        <w:pStyle w:val="9"/>
        <w:numPr>
          <w:ilvl w:val="-1"/>
          <w:numId w:val="0"/>
        </w:numPr>
        <w:bidi w:val="0"/>
        <w:ind w:left="0" w:firstLine="0"/>
        <w:rPr>
          <w:color w:val="000000"/>
          <w:sz w:val="24"/>
          <w:szCs w:val="28"/>
          <w:lang w:val="en-US" w:eastAsia="zh-CN"/>
        </w:rPr>
      </w:pPr>
      <w:r>
        <w:rPr>
          <w:rFonts w:ascii="宋体" w:hAnsi="宋体" w:eastAsia="宋体"/>
          <w:color w:val="000000"/>
          <w:sz w:val="24"/>
          <w:szCs w:val="28"/>
          <w:lang w:val="en-US" w:eastAsia="zh-CN"/>
        </w:rPr>
        <w:t>2.2</w:t>
      </w:r>
      <w:r>
        <w:rPr>
          <w:rFonts w:hint="eastAsia" w:ascii="宋体" w:hAnsi="宋体" w:eastAsia="宋体" w:cs="Times New Roman"/>
          <w:color w:val="000000"/>
          <w:sz w:val="24"/>
          <w:szCs w:val="28"/>
          <w:lang w:val="en-US" w:eastAsia="zh-CN"/>
        </w:rPr>
        <w:t>系统主要功能说明：</w:t>
      </w:r>
    </w:p>
    <w:tbl>
      <w:tblPr>
        <w:tblStyle w:val="29"/>
        <w:tblW w:w="8940" w:type="dxa"/>
        <w:tblInd w:w="-176" w:type="dxa"/>
        <w:tblLayout w:type="fixed"/>
        <w:tblCellMar>
          <w:top w:w="0" w:type="dxa"/>
          <w:left w:w="108" w:type="dxa"/>
          <w:bottom w:w="0" w:type="dxa"/>
          <w:right w:w="108" w:type="dxa"/>
        </w:tblCellMar>
      </w:tblPr>
      <w:tblGrid>
        <w:gridCol w:w="8940"/>
      </w:tblGrid>
      <w:tr w14:paraId="6096C746">
        <w:tblPrEx>
          <w:tblCellMar>
            <w:top w:w="0" w:type="dxa"/>
            <w:left w:w="108" w:type="dxa"/>
            <w:bottom w:w="0" w:type="dxa"/>
            <w:right w:w="108" w:type="dxa"/>
          </w:tblCellMar>
        </w:tblPrEx>
        <w:trPr>
          <w:trHeight w:val="3364" w:hRule="atLeast"/>
        </w:trPr>
        <w:tc>
          <w:tcPr>
            <w:tcW w:w="8940" w:type="dxa"/>
            <w:tcBorders>
              <w:top w:val="single" w:color="000000" w:sz="4" w:space="0"/>
              <w:left w:val="single" w:color="000000" w:sz="4" w:space="0"/>
              <w:bottom w:val="single" w:color="000000" w:sz="4" w:space="0"/>
              <w:right w:val="single" w:color="000000" w:sz="4" w:space="0"/>
            </w:tcBorders>
            <w:tcMar>
              <w:top w:w="70" w:type="dxa"/>
              <w:left w:w="80" w:type="dxa"/>
              <w:bottom w:w="70" w:type="dxa"/>
              <w:right w:w="80" w:type="dxa"/>
            </w:tcMar>
            <w:vAlign w:val="center"/>
          </w:tcPr>
          <w:p w14:paraId="5BF3CBD4">
            <w:pPr>
              <w:widowControl w:val="0"/>
              <w:numPr>
                <w:ilvl w:val="0"/>
                <w:numId w:val="0"/>
              </w:numPr>
              <w:snapToGrid w:val="0"/>
              <w:spacing w:before="0" w:after="0" w:line="240" w:lineRule="auto"/>
              <w:ind w:left="0" w:right="-113" w:firstLine="480"/>
              <w:jc w:val="left"/>
              <w:rPr>
                <w:rFonts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本项目依托医院现有HIS、电子病历系统、财务收费系统、自助终端及医保接口平台进行功能优化与接口改造，不新增独立系统。主要功能包括：①医保结算前置校验与提醒——门诊医保控费弹窗提醒、体检类型校验、就诊专科报销范围限制、外伤结算流程控制、住院主诊断强制自费控制；②医保数据上传规范化——药品处方号全量上传、影像云索引与医保结算ID关联、生育津贴相关数据上传；③医保接口对接——罕见病门诊通道、医保多渠道公服系统（自助终端）、医保刷脸支付；④医保结算一致性——电子病历与HIS费用清单结算类型显示口径统一；⑤业务功能完善——治疗项目单次剂量/频次/治疗次数录入、床位项目价格自动同步、门特按病种目录分流结算、门诊控费限额数据导入；⑥生育保险待遇功能——男职工未就业配偶生育医疗费用直接结算（男性参保人为女性配偶办理结算）、产前住院“902-保胎”生育类别结算。</w:t>
            </w:r>
          </w:p>
        </w:tc>
      </w:tr>
    </w:tbl>
    <w:p w14:paraId="244CCD65">
      <w:pPr>
        <w:pStyle w:val="9"/>
        <w:bidi w:val="0"/>
        <w:ind w:left="0" w:firstLine="0"/>
        <w:rPr>
          <w:rFonts w:ascii="宋体" w:hAnsi="宋体" w:eastAsia="宋体" w:cs="宋体"/>
          <w:color w:val="000000"/>
          <w:kern w:val="0"/>
          <w:szCs w:val="21"/>
          <w:lang w:val="en-US" w:eastAsia="zh-CN"/>
        </w:rPr>
      </w:pPr>
      <w:r>
        <w:rPr>
          <w:rFonts w:hint="eastAsia" w:ascii="宋体" w:hAnsi="宋体" w:eastAsia="宋体" w:cs="宋体"/>
          <w:color w:val="000000"/>
          <w:kern w:val="0"/>
          <w:szCs w:val="21"/>
          <w:lang w:val="en-US" w:eastAsia="zh-CN"/>
        </w:rPr>
        <w:t>2.3其他需求：</w:t>
      </w:r>
    </w:p>
    <w:tbl>
      <w:tblPr>
        <w:tblStyle w:val="29"/>
        <w:tblW w:w="8940" w:type="dxa"/>
        <w:tblInd w:w="-176" w:type="dxa"/>
        <w:tblLayout w:type="fixed"/>
        <w:tblCellMar>
          <w:top w:w="0" w:type="dxa"/>
          <w:left w:w="108" w:type="dxa"/>
          <w:bottom w:w="0" w:type="dxa"/>
          <w:right w:w="108" w:type="dxa"/>
        </w:tblCellMar>
      </w:tblPr>
      <w:tblGrid>
        <w:gridCol w:w="8940"/>
      </w:tblGrid>
      <w:tr w14:paraId="28CA3546">
        <w:tblPrEx>
          <w:tblCellMar>
            <w:top w:w="0" w:type="dxa"/>
            <w:left w:w="108" w:type="dxa"/>
            <w:bottom w:w="0" w:type="dxa"/>
            <w:right w:w="108" w:type="dxa"/>
          </w:tblCellMar>
        </w:tblPrEx>
        <w:trPr>
          <w:trHeight w:val="699" w:hRule="atLeast"/>
        </w:trPr>
        <w:tc>
          <w:tcPr>
            <w:tcW w:w="8940" w:type="dxa"/>
            <w:tcBorders>
              <w:top w:val="single" w:color="000000" w:sz="4" w:space="0"/>
              <w:left w:val="single" w:color="000000" w:sz="8" w:space="0"/>
              <w:bottom w:val="single" w:color="000000" w:sz="4" w:space="0"/>
              <w:right w:val="single" w:color="000000" w:sz="8" w:space="0"/>
            </w:tcBorders>
            <w:tcMar>
              <w:top w:w="70" w:type="dxa"/>
              <w:left w:w="80" w:type="dxa"/>
              <w:bottom w:w="70" w:type="dxa"/>
              <w:right w:w="80" w:type="dxa"/>
            </w:tcMar>
            <w:vAlign w:val="center"/>
          </w:tcPr>
          <w:p w14:paraId="05EE9D0E">
            <w:pPr>
              <w:widowControl/>
              <w:snapToGrid w:val="0"/>
              <w:spacing w:before="0" w:after="0" w:line="240" w:lineRule="auto"/>
              <w:jc w:val="left"/>
              <w:rPr>
                <w:rFonts w:ascii="宋体" w:hAnsi="宋体" w:eastAsia="宋体" w:cs="宋体"/>
                <w:color w:val="000000"/>
                <w:kern w:val="0"/>
                <w:szCs w:val="21"/>
                <w:lang w:eastAsia="zh-CN"/>
              </w:rPr>
            </w:pPr>
            <w:r>
              <w:rPr>
                <w:rFonts w:hint="eastAsia" w:ascii="宋体" w:hAnsi="宋体" w:eastAsia="宋体" w:cs="宋体"/>
                <w:color w:val="000000"/>
                <w:kern w:val="0"/>
                <w:szCs w:val="21"/>
                <w:lang w:eastAsia="zh-CN"/>
              </w:rPr>
              <w:t>1. 系统改造须与医院现有HIS、电子病历系统、财务收费系统、自助终端及医保结算平台对接，保证各系统间费用类型、结算通道等数据口径一致。</w:t>
            </w:r>
          </w:p>
        </w:tc>
      </w:tr>
      <w:tr w14:paraId="5EF98177">
        <w:tblPrEx>
          <w:tblCellMar>
            <w:top w:w="0" w:type="dxa"/>
            <w:left w:w="108" w:type="dxa"/>
            <w:bottom w:w="0" w:type="dxa"/>
            <w:right w:w="108" w:type="dxa"/>
          </w:tblCellMar>
        </w:tblPrEx>
        <w:trPr>
          <w:trHeight w:val="699" w:hRule="atLeast"/>
        </w:trPr>
        <w:tc>
          <w:tcPr>
            <w:tcW w:w="8940" w:type="dxa"/>
            <w:tcBorders>
              <w:top w:val="single" w:color="000000" w:sz="4" w:space="0"/>
              <w:left w:val="single" w:color="000000" w:sz="4" w:space="0"/>
              <w:bottom w:val="single" w:color="000000" w:sz="4" w:space="0"/>
              <w:right w:val="single" w:color="000000" w:sz="4" w:space="0"/>
            </w:tcBorders>
            <w:tcMar>
              <w:top w:w="70" w:type="dxa"/>
              <w:left w:w="80" w:type="dxa"/>
              <w:bottom w:w="70" w:type="dxa"/>
              <w:right w:w="80" w:type="dxa"/>
            </w:tcMar>
            <w:vAlign w:val="center"/>
          </w:tcPr>
          <w:p w14:paraId="2249E8A3">
            <w:pPr>
              <w:widowControl/>
              <w:snapToGrid w:val="0"/>
              <w:spacing w:before="0" w:after="0" w:line="240" w:lineRule="auto"/>
              <w:jc w:val="left"/>
              <w:rPr>
                <w:rFonts w:ascii="宋体" w:hAnsi="宋体" w:eastAsia="宋体" w:cs="宋体"/>
                <w:bCs/>
                <w:color w:val="000000"/>
                <w:kern w:val="0"/>
                <w:szCs w:val="21"/>
                <w:highlight w:val="none"/>
                <w:lang w:val="en-US" w:eastAsia="zh-CN"/>
              </w:rPr>
            </w:pPr>
            <w:r>
              <w:rPr>
                <w:rFonts w:hint="eastAsia" w:ascii="宋体" w:hAnsi="宋体" w:eastAsia="宋体" w:cs="宋体"/>
                <w:bCs/>
                <w:color w:val="000000"/>
                <w:kern w:val="0"/>
                <w:szCs w:val="21"/>
                <w:highlight w:val="none"/>
                <w:lang w:val="en-US" w:eastAsia="zh-CN"/>
              </w:rPr>
              <w:t>2. 弹窗提醒、医嘱拦截等关键环节须留存操作记录（如医师确认弹窗记录、当次诊疗数据），支持后期调用、导出与分析。</w:t>
            </w:r>
          </w:p>
        </w:tc>
      </w:tr>
      <w:tr w14:paraId="353D845F">
        <w:tblPrEx>
          <w:tblCellMar>
            <w:top w:w="0" w:type="dxa"/>
            <w:left w:w="108" w:type="dxa"/>
            <w:bottom w:w="0" w:type="dxa"/>
            <w:right w:w="108" w:type="dxa"/>
          </w:tblCellMar>
        </w:tblPrEx>
        <w:trPr>
          <w:trHeight w:val="709" w:hRule="atLeast"/>
        </w:trPr>
        <w:tc>
          <w:tcPr>
            <w:tcW w:w="8940" w:type="dxa"/>
            <w:tcBorders>
              <w:top w:val="single" w:color="000000" w:sz="4" w:space="0"/>
              <w:left w:val="single" w:color="000000" w:sz="4" w:space="0"/>
              <w:bottom w:val="single" w:color="000000" w:sz="4" w:space="0"/>
              <w:right w:val="single" w:color="000000" w:sz="4" w:space="0"/>
            </w:tcBorders>
            <w:tcMar>
              <w:top w:w="70" w:type="dxa"/>
              <w:left w:w="80" w:type="dxa"/>
              <w:bottom w:w="70" w:type="dxa"/>
              <w:right w:w="80" w:type="dxa"/>
            </w:tcMar>
            <w:vAlign w:val="center"/>
          </w:tcPr>
          <w:p w14:paraId="2686A487">
            <w:pPr>
              <w:widowControl/>
              <w:snapToGrid w:val="0"/>
              <w:spacing w:before="0" w:after="0" w:line="240" w:lineRule="auto"/>
              <w:jc w:val="left"/>
              <w:rPr>
                <w:rFonts w:ascii="宋体" w:hAnsi="宋体" w:cs="宋体"/>
                <w:color w:val="000000"/>
                <w:kern w:val="0"/>
                <w:szCs w:val="21"/>
                <w:lang w:val="en-US" w:eastAsia="zh-CN"/>
              </w:rPr>
            </w:pPr>
            <w:r>
              <w:rPr>
                <w:rFonts w:hint="eastAsia" w:ascii="宋体" w:hAnsi="宋体" w:cs="宋体"/>
                <w:color w:val="000000"/>
                <w:kern w:val="0"/>
                <w:szCs w:val="21"/>
                <w:lang w:val="en-US" w:eastAsia="zh-CN"/>
              </w:rPr>
              <w:t>3. 接口改造须符合国家及深圳市医保部门最新接口标准与目录要求，并能随医保政策、目录及限额数据调整持续提供更新维护。</w:t>
            </w:r>
          </w:p>
        </w:tc>
      </w:tr>
    </w:tbl>
    <w:p w14:paraId="3C29CE2F">
      <w:pPr>
        <w:pStyle w:val="9"/>
        <w:bidi w:val="0"/>
        <w:ind w:left="0" w:firstLine="0"/>
        <w:rPr>
          <w:rFonts w:ascii="宋体" w:hAnsi="宋体" w:cs="宋体"/>
          <w:color w:val="000000"/>
          <w:kern w:val="0"/>
          <w:szCs w:val="21"/>
        </w:rPr>
      </w:pPr>
      <w:r>
        <w:rPr>
          <w:rFonts w:ascii="宋体" w:hAnsi="宋体" w:eastAsia="宋体" w:cs="宋体"/>
          <w:color w:val="000000"/>
          <w:kern w:val="0"/>
          <w:szCs w:val="21"/>
          <w:lang w:val="en-US" w:eastAsia="zh-CN"/>
        </w:rPr>
        <w:t>2.4</w:t>
      </w:r>
      <w:r>
        <w:rPr>
          <w:rFonts w:hint="eastAsia" w:ascii="宋体" w:hAnsi="宋体" w:eastAsia="宋体" w:cs="Times New Roman"/>
          <w:lang w:val="en-US" w:eastAsia="zh-CN"/>
        </w:rPr>
        <w:t>商务需求：</w:t>
      </w:r>
    </w:p>
    <w:p w14:paraId="0891C3F2">
      <w:pPr>
        <w:spacing w:before="0" w:after="40" w:line="276" w:lineRule="auto"/>
        <w:ind w:left="420"/>
        <w:jc w:val="left"/>
      </w:pPr>
      <w:r>
        <w:rPr>
          <w:rFonts w:hint="eastAsia" w:ascii="宋体" w:hAnsi="宋体" w:eastAsia="宋体"/>
          <w:b w:val="0"/>
          <w:sz w:val="21"/>
        </w:rPr>
        <w:t>1. 实施范围、优先级和上线计划由</w:t>
      </w:r>
      <w:r>
        <w:rPr>
          <w:rFonts w:hint="eastAsia" w:ascii="宋体" w:hAnsi="宋体"/>
          <w:b w:val="0"/>
          <w:sz w:val="21"/>
          <w:lang w:val="en-US" w:eastAsia="zh-CN"/>
        </w:rPr>
        <w:t>采购人</w:t>
      </w:r>
      <w:r>
        <w:rPr>
          <w:rFonts w:hint="eastAsia" w:ascii="宋体" w:hAnsi="宋体" w:eastAsia="宋体"/>
          <w:b w:val="0"/>
          <w:sz w:val="21"/>
        </w:rPr>
        <w:t>确认后分阶段执行。</w:t>
      </w:r>
    </w:p>
    <w:p w14:paraId="701A9007">
      <w:pPr>
        <w:spacing w:before="0" w:after="40" w:line="276" w:lineRule="auto"/>
        <w:ind w:left="420"/>
        <w:jc w:val="left"/>
      </w:pPr>
      <w:r>
        <w:rPr>
          <w:rFonts w:hint="eastAsia" w:ascii="宋体" w:hAnsi="宋体" w:eastAsia="宋体"/>
          <w:b w:val="0"/>
          <w:sz w:val="21"/>
        </w:rPr>
        <w:t>2. 中标人应提供实施、试运行、培训和质保服务，具体期限以合同约定为准。</w:t>
      </w:r>
    </w:p>
    <w:p w14:paraId="64E71B70">
      <w:pPr>
        <w:spacing w:before="0" w:after="40" w:line="276" w:lineRule="auto"/>
        <w:ind w:left="420"/>
        <w:jc w:val="left"/>
        <w:rPr>
          <w:rFonts w:hint="eastAsia" w:ascii="宋体" w:hAnsi="宋体" w:eastAsia="宋体"/>
          <w:b w:val="0"/>
          <w:sz w:val="21"/>
        </w:rPr>
      </w:pPr>
      <w:r>
        <w:rPr>
          <w:rFonts w:hint="eastAsia" w:ascii="宋体" w:hAnsi="宋体" w:eastAsia="宋体"/>
          <w:b w:val="0"/>
          <w:sz w:val="21"/>
        </w:rPr>
        <w:t>3. 定制开发源代码、数据库脚本及技术文档须完整移交医院。</w:t>
      </w:r>
    </w:p>
    <w:p w14:paraId="72EC19BE">
      <w:pPr>
        <w:spacing w:before="0" w:after="40" w:line="276" w:lineRule="auto"/>
        <w:ind w:left="420"/>
        <w:jc w:val="left"/>
        <w:rPr>
          <w:rFonts w:ascii="宋体" w:hAnsi="宋体" w:eastAsia="宋体" w:cs="宋体"/>
          <w:i w:val="0"/>
          <w:iCs w:val="0"/>
          <w:caps w:val="0"/>
          <w:color w:val="auto"/>
          <w:spacing w:val="0"/>
          <w:sz w:val="21"/>
          <w:szCs w:val="21"/>
          <w:shd w:val="clear" w:color="auto" w:fill="FFFFFF"/>
        </w:rPr>
      </w:pPr>
      <w:r>
        <w:rPr>
          <w:rFonts w:hint="eastAsia" w:ascii="宋体" w:hAnsi="宋体"/>
          <w:b w:val="0"/>
          <w:sz w:val="21"/>
          <w:lang w:val="en-US" w:eastAsia="zh-CN"/>
        </w:rPr>
        <w:t>4. 免费维保期：3年。</w:t>
      </w:r>
      <w:r>
        <w:rPr>
          <w:rFonts w:hint="eastAsia" w:ascii="宋体" w:hAnsi="宋体"/>
          <w:color w:val="auto"/>
          <w:spacing w:val="-3"/>
          <w:szCs w:val="21"/>
          <w:lang w:val="en-US" w:eastAsia="zh-CN"/>
        </w:rPr>
        <w:t>自项目最终验收合格之日起开始计算。</w:t>
      </w:r>
      <w:r>
        <w:rPr>
          <w:rFonts w:ascii="宋体" w:hAnsi="宋体" w:eastAsia="宋体" w:cs="宋体"/>
          <w:i w:val="0"/>
          <w:iCs w:val="0"/>
          <w:caps w:val="0"/>
          <w:color w:val="auto"/>
          <w:spacing w:val="0"/>
          <w:sz w:val="21"/>
          <w:szCs w:val="21"/>
          <w:shd w:val="clear" w:color="auto" w:fill="FFFFFF"/>
        </w:rPr>
        <w:t>（以上服务的相关费用均包含在项目报价中，采购人不另行支付费用）</w:t>
      </w:r>
    </w:p>
    <w:p w14:paraId="2F8EB119">
      <w:pPr>
        <w:spacing w:before="0" w:after="40" w:line="276" w:lineRule="auto"/>
        <w:ind w:left="0"/>
        <w:jc w:val="left"/>
        <w:rPr>
          <w:rFonts w:hint="default" w:ascii="宋体" w:hAnsi="宋体" w:eastAsia="宋体" w:cs="宋体"/>
          <w:i w:val="0"/>
          <w:iCs w:val="0"/>
          <w:caps w:val="0"/>
          <w:color w:val="auto"/>
          <w:spacing w:val="0"/>
          <w:sz w:val="21"/>
          <w:szCs w:val="21"/>
          <w:shd w:val="clear" w:color="auto" w:fill="FFFFFF"/>
          <w:lang w:val="en-US" w:eastAsia="zh-CN"/>
        </w:rPr>
      </w:pPr>
    </w:p>
    <w:p w14:paraId="706D363D">
      <w:pPr>
        <w:pStyle w:val="240"/>
        <w:ind w:right="0" w:firstLine="0"/>
        <w:rPr>
          <w:b/>
          <w:bCs/>
        </w:rPr>
      </w:pPr>
    </w:p>
    <w:sectPr>
      <w:headerReference r:id="rId4" w:type="first"/>
      <w:footerReference r:id="rId6" w:type="first"/>
      <w:headerReference r:id="rId3" w:type="default"/>
      <w:footerReference r:id="rId5" w:type="default"/>
      <w:pgSz w:w="11906" w:h="16838"/>
      <w:pgMar w:top="1440" w:right="1797" w:bottom="1440" w:left="1797" w:header="851" w:footer="992" w:gutter="0"/>
      <w:pgNumType w:fmt="decimal"/>
      <w:cols w:space="720" w:num="1"/>
      <w:formProt w:val="0"/>
      <w:titlePg/>
      <w:docGrid w:linePitch="46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Lohit Devanagari">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Liberation Serif">
    <w:altName w:val="Times New Roman"/>
    <w:panose1 w:val="00000000000000000000"/>
    <w:charset w:val="00"/>
    <w:family w:val="roman"/>
    <w:pitch w:val="default"/>
    <w:sig w:usb0="00000000" w:usb1="00000000" w:usb2="00000000" w:usb3="00000000" w:csb0="00000000" w:csb1="00000000"/>
  </w:font>
  <w:font w:name="Noto Serif CJK SC">
    <w:altName w:val="宋体"/>
    <w:panose1 w:val="00000000000000000000"/>
    <w:charset w:val="86"/>
    <w:family w:val="auto"/>
    <w:pitch w:val="default"/>
    <w:sig w:usb0="00000000" w:usb1="00000000" w:usb2="00000000" w:usb3="00000000" w:csb0="00000000" w:csb1="00000000"/>
  </w:font>
  <w:font w:name="Verdana">
    <w:panose1 w:val="020B0604030504040204"/>
    <w:charset w:val="00"/>
    <w:family w:val="swiss"/>
    <w:pitch w:val="default"/>
    <w:sig w:usb0="A00006FF" w:usb1="4000205B" w:usb2="0000001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Arial Unicode MS">
    <w:panose1 w:val="020B0604020202020204"/>
    <w:charset w:val="86"/>
    <w:family w:val="swiss"/>
    <w:pitch w:val="default"/>
    <w:sig w:usb0="FFFFFFFF" w:usb1="E9FFFFFF" w:usb2="0000003F" w:usb3="00000000" w:csb0="603F01FF" w:csb1="FFFF0000"/>
  </w:font>
  <w:font w:name="等线">
    <w:panose1 w:val="02010600030101010101"/>
    <w:charset w:val="86"/>
    <w:family w:val="auto"/>
    <w:pitch w:val="default"/>
    <w:sig w:usb0="A00002BF" w:usb1="38CF7CFA" w:usb2="00000016" w:usb3="00000000" w:csb0="0004000F" w:csb1="00000000"/>
  </w:font>
  <w:font w:name="Tahoma">
    <w:panose1 w:val="020B0604030504040204"/>
    <w:charset w:val="00"/>
    <w:family w:val="swiss"/>
    <w:pitch w:val="default"/>
    <w:sig w:usb0="E1002EFF" w:usb1="C000605B" w:usb2="00000029" w:usb3="00000000" w:csb0="200101FF" w:csb1="20280000"/>
  </w:font>
  <w:font w:name="ˎ̥;微软雅黑">
    <w:altName w:val="黑体"/>
    <w:panose1 w:val="00000000000000000000"/>
    <w:charset w:val="00"/>
    <w:family w:val="auto"/>
    <w:pitch w:val="default"/>
    <w:sig w:usb0="00000000" w:usb1="00000000" w:usb2="00000000" w:usb3="00000000" w:csb0="00000000" w:csb1="00000000"/>
  </w:font>
  <w:font w:name="Cambria">
    <w:panose1 w:val="02040503050406030204"/>
    <w:charset w:val="00"/>
    <w:family w:val="roman"/>
    <w:pitch w:val="default"/>
    <w:sig w:usb0="E00006FF" w:usb1="420024FF" w:usb2="02000000" w:usb3="00000000" w:csb0="2000019F" w:csb1="00000000"/>
  </w:font>
  <w:font w:name="幼圆">
    <w:panose1 w:val="02010509060101010101"/>
    <w:charset w:val="86"/>
    <w:family w:val="auto"/>
    <w:pitch w:val="default"/>
    <w:sig w:usb0="00000001" w:usb1="080E0000" w:usb2="00000000" w:usb3="00000000" w:csb0="00040000" w:csb1="00000000"/>
  </w:font>
  <w:font w:name="隶书">
    <w:panose1 w:val="02010509060101010101"/>
    <w:charset w:val="86"/>
    <w:family w:val="auto"/>
    <w:pitch w:val="default"/>
    <w:sig w:usb0="00000001" w:usb1="080E0000" w:usb2="00000000" w:usb3="00000000" w:csb0="00040000" w:csb1="00000000"/>
  </w:font>
  <w:font w:name="汉仪细等线简;宋体">
    <w:altName w:val="宋体"/>
    <w:panose1 w:val="00000000000000000000"/>
    <w:charset w:val="00"/>
    <w:family w:val="auto"/>
    <w:pitch w:val="default"/>
    <w:sig w:usb0="00000000" w:usb1="00000000" w:usb2="00000000" w:usb3="00000000" w:csb0="00000000" w:csb1="00000000"/>
  </w:font>
  <w:font w:name="H Yb 2gj;宋体">
    <w:altName w:val="宋体"/>
    <w:panose1 w:val="00000000000000000000"/>
    <w:charset w:val="00"/>
    <w:family w:val="auto"/>
    <w:pitch w:val="default"/>
    <w:sig w:usb0="00000000" w:usb1="00000000" w:usb2="00000000" w:usb3="00000000" w:csb0="00000000" w:csb1="00000000"/>
  </w:font>
  <w:font w:name="??;Segoe Print">
    <w:altName w:val="Segoe Print"/>
    <w:panose1 w:val="00000000000000000000"/>
    <w:charset w:val="00"/>
    <w:family w:val="auto"/>
    <w:pitch w:val="default"/>
    <w:sig w:usb0="00000000" w:usb1="00000000" w:usb2="00000000" w:usb3="00000000" w:csb0="00000000" w:csb1="00000000"/>
  </w:font>
  <w:font w:name="Arial (W1);Arial">
    <w:altName w:val="Arial"/>
    <w:panose1 w:val="00000000000000000000"/>
    <w:charset w:val="00"/>
    <w:family w:val="auto"/>
    <w:pitch w:val="default"/>
    <w:sig w:usb0="00000000" w:usb1="00000000" w:usb2="00000000" w:usb3="00000000" w:csb0="00000000" w:csb1="00000000"/>
  </w:font>
  <w:font w:name="华文仿宋">
    <w:panose1 w:val="02010600040101010101"/>
    <w:charset w:val="86"/>
    <w:family w:val="auto"/>
    <w:pitch w:val="default"/>
    <w:sig w:usb0="00000287" w:usb1="080F0000" w:usb2="00000000" w:usb3="00000000" w:csb0="0004009F" w:csb1="DFD70000"/>
  </w:font>
  <w:font w:name="Helvetica;Arial">
    <w:altName w:val="Segoe Print"/>
    <w:panose1 w:val="00000000000000000000"/>
    <w:charset w:val="00"/>
    <w:family w:val="auto"/>
    <w:pitch w:val="default"/>
    <w:sig w:usb0="00000000" w:usb1="00000000" w:usb2="00000000" w:usb3="00000000" w:csb0="00000000" w:csb1="00000000"/>
  </w:font>
  <w:font w:name="文鼎粗黑;黑体">
    <w:altName w:val="黑体"/>
    <w:panose1 w:val="00000000000000000000"/>
    <w:charset w:val="00"/>
    <w:family w:val="auto"/>
    <w:pitch w:val="default"/>
    <w:sig w:usb0="00000000" w:usb1="00000000" w:usb2="00000000" w:usb3="00000000" w:csb0="00000000" w:csb1="00000000"/>
  </w:font>
  <w:font w:name="长城仿宋;仿宋">
    <w:altName w:val="仿宋"/>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9AB97B">
    <w:pPr>
      <w:pStyle w:val="20"/>
    </w:pPr>
    <w:r>
      <mc:AlternateContent>
        <mc:Choice Requires="wps">
          <w:drawing>
            <wp:anchor distT="0" distB="0" distL="114935" distR="114935" simplePos="0" relativeHeight="251659264" behindDoc="1" locked="0" layoutInCell="0" allowOverlap="1">
              <wp:simplePos x="0" y="0"/>
              <wp:positionH relativeFrom="margin">
                <wp:align>center</wp:align>
              </wp:positionH>
              <wp:positionV relativeFrom="paragraph">
                <wp:posOffset>635</wp:posOffset>
              </wp:positionV>
              <wp:extent cx="191135" cy="132715"/>
              <wp:effectExtent l="0" t="0" r="0" b="0"/>
              <wp:wrapNone/>
              <wp:docPr id="2" name="Frame1"/>
              <wp:cNvGraphicFramePr/>
              <a:graphic xmlns:a="http://schemas.openxmlformats.org/drawingml/2006/main">
                <a:graphicData uri="http://schemas.microsoft.com/office/word/2010/wordprocessingShape">
                  <wps:wsp>
                    <wps:cNvSpPr txBox="1"/>
                    <wps:spPr>
                      <a:xfrm>
                        <a:off x="0" y="0"/>
                        <a:ext cx="191135" cy="132715"/>
                      </a:xfrm>
                      <a:prstGeom prst="rect">
                        <a:avLst/>
                      </a:prstGeom>
                      <a:solidFill>
                        <a:srgbClr val="FFFFFF">
                          <a:alpha val="0"/>
                        </a:srgbClr>
                      </a:solidFill>
                    </wps:spPr>
                    <wps:txbx>
                      <w:txbxContent>
                        <w:p w14:paraId="0125AC96">
                          <w:pPr>
                            <w:pStyle w:val="20"/>
                          </w:pPr>
                          <w:r>
                            <w:t xml:space="preserve">- </w:t>
                          </w:r>
                          <w:r>
                            <w:fldChar w:fldCharType="begin"/>
                          </w:r>
                          <w:r>
                            <w:instrText xml:space="preserve"> PAGE </w:instrText>
                          </w:r>
                          <w:r>
                            <w:fldChar w:fldCharType="separate"/>
                          </w:r>
                          <w:r>
                            <w:t>3</w:t>
                          </w:r>
                          <w:r>
                            <w:fldChar w:fldCharType="end"/>
                          </w:r>
                          <w:r>
                            <w:t xml:space="preserve"> -</w:t>
                          </w:r>
                        </w:p>
                      </w:txbxContent>
                    </wps:txbx>
                    <wps:bodyPr lIns="635" tIns="635" rIns="635" bIns="635" anchor="t">
                      <a:spAutoFit/>
                    </wps:bodyPr>
                  </wps:wsp>
                </a:graphicData>
              </a:graphic>
            </wp:anchor>
          </w:drawing>
        </mc:Choice>
        <mc:Fallback>
          <w:pict>
            <v:shape id="Frame1" o:spid="_x0000_s1026" o:spt="202" type="#_x0000_t202" style="position:absolute;left:0pt;margin-top:0.05pt;height:10.45pt;width:15.05pt;mso-position-horizontal:center;mso-position-horizontal-relative:margin;z-index:-251657216;mso-width-relative:page;mso-height-relative:page;" fillcolor="#FFFFFF" filled="t" stroked="f" coordsize="21600,21600" o:allowincell="f" o:gfxdata="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RkCrxtIAAAADAQAADwAAAAAAAAABACAAAAAiAAAAZHJzL2Rvd25y&#10;ZXYueG1sUEsBAhQAFAAAAAgAh07iQC4B6F3LAQAAuwMAAA4AAAAAAAAAAQAgAAAAIQEAAGRycy9l&#10;Mm9Eb2MueG1sUEsFBgAAAAAGAAYAWQEAAF4FAAAAAA==&#10;">
              <v:fill on="t" opacity="0f" focussize="0,0"/>
              <v:stroke on="f"/>
              <v:imagedata o:title=""/>
              <o:lock v:ext="edit" aspectratio="f"/>
              <v:textbox inset="0.05pt,0.05pt,0.05pt,0.05pt" style="mso-fit-shape-to-text:t;">
                <w:txbxContent>
                  <w:p w14:paraId="0125AC96">
                    <w:pPr>
                      <w:pStyle w:val="20"/>
                    </w:pPr>
                    <w:r>
                      <w:t xml:space="preserve">- </w:t>
                    </w:r>
                    <w:r>
                      <w:fldChar w:fldCharType="begin"/>
                    </w:r>
                    <w:r>
                      <w:instrText xml:space="preserve"> PAGE </w:instrText>
                    </w:r>
                    <w:r>
                      <w:fldChar w:fldCharType="separate"/>
                    </w:r>
                    <w:r>
                      <w:t>3</w:t>
                    </w:r>
                    <w:r>
                      <w:fldChar w:fldCharType="end"/>
                    </w:r>
                    <w: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FC6A97">
    <w:pPr>
      <w:pStyle w:val="2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D11015">
    <w:pPr>
      <w:pStyle w:val="2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BE04AB">
    <w:pPr>
      <w:pStyle w:val="21"/>
      <w:pBdr>
        <w:bottom w:val="none" w:color="auto" w:sz="0" w:space="0"/>
      </w:pBdr>
      <w:jc w:val="both"/>
      <w:rPr>
        <w:rFonts w:ascii="宋体" w:hAnsi="宋体" w:cs="宋体"/>
        <w:bCs/>
        <w:sz w:val="13"/>
        <w:szCs w:val="13"/>
      </w:rPr>
    </w:pPr>
    <w:r>
      <w:rPr>
        <w:rFonts w:ascii="宋体" w:hAnsi="宋体" w:cs="宋体"/>
        <w:bCs/>
        <w:sz w:val="13"/>
        <w:szCs w:val="13"/>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5E306ED"/>
    <w:multiLevelType w:val="multilevel"/>
    <w:tmpl w:val="B5E306ED"/>
    <w:lvl w:ilvl="0" w:tentative="0">
      <w:start w:val="1"/>
      <w:numFmt w:val="bullet"/>
      <w:pStyle w:val="157"/>
      <w:lvlText w:val=""/>
      <w:lvlJc w:val="left"/>
      <w:pPr>
        <w:tabs>
          <w:tab w:val="left" w:pos="0"/>
        </w:tabs>
        <w:ind w:left="360" w:hanging="360"/>
      </w:pPr>
      <w:rPr>
        <w:rFonts w:hint="default" w:ascii="Symbol" w:hAnsi="Symbol" w:cs="Symbol"/>
      </w:rPr>
    </w:lvl>
    <w:lvl w:ilvl="1" w:tentative="0">
      <w:start w:val="1"/>
      <w:numFmt w:val="bullet"/>
      <w:lvlText w:val=""/>
      <w:lvlJc w:val="left"/>
      <w:pPr>
        <w:tabs>
          <w:tab w:val="left" w:pos="0"/>
        </w:tabs>
        <w:ind w:left="1140" w:hanging="420"/>
      </w:pPr>
      <w:rPr>
        <w:rFonts w:hint="default" w:ascii="Wingdings" w:hAnsi="Wingdings" w:cs="Wingdings"/>
      </w:rPr>
    </w:lvl>
    <w:lvl w:ilvl="2" w:tentative="0">
      <w:start w:val="1"/>
      <w:numFmt w:val="bullet"/>
      <w:lvlText w:val=""/>
      <w:lvlJc w:val="left"/>
      <w:pPr>
        <w:tabs>
          <w:tab w:val="left" w:pos="0"/>
        </w:tabs>
        <w:ind w:left="1800" w:hanging="360"/>
      </w:pPr>
      <w:rPr>
        <w:rFonts w:hint="default" w:ascii="Wingdings" w:hAnsi="Wingdings" w:cs="Wingdings"/>
      </w:rPr>
    </w:lvl>
    <w:lvl w:ilvl="3" w:tentative="0">
      <w:start w:val="1"/>
      <w:numFmt w:val="bullet"/>
      <w:lvlText w:val=""/>
      <w:lvlJc w:val="left"/>
      <w:pPr>
        <w:tabs>
          <w:tab w:val="left" w:pos="0"/>
        </w:tabs>
        <w:ind w:left="2520" w:hanging="360"/>
      </w:pPr>
      <w:rPr>
        <w:rFonts w:hint="default" w:ascii="Symbol" w:hAnsi="Symbol" w:cs="Symbol"/>
      </w:rPr>
    </w:lvl>
    <w:lvl w:ilvl="4" w:tentative="0">
      <w:start w:val="1"/>
      <w:numFmt w:val="bullet"/>
      <w:lvlText w:val="o"/>
      <w:lvlJc w:val="left"/>
      <w:pPr>
        <w:tabs>
          <w:tab w:val="left" w:pos="0"/>
        </w:tabs>
        <w:ind w:left="3240" w:hanging="360"/>
      </w:pPr>
      <w:rPr>
        <w:rFonts w:hint="default" w:ascii="Courier New" w:hAnsi="Courier New" w:cs="Courier New"/>
      </w:rPr>
    </w:lvl>
    <w:lvl w:ilvl="5" w:tentative="0">
      <w:start w:val="1"/>
      <w:numFmt w:val="bullet"/>
      <w:lvlText w:val=""/>
      <w:lvlJc w:val="left"/>
      <w:pPr>
        <w:tabs>
          <w:tab w:val="left" w:pos="0"/>
        </w:tabs>
        <w:ind w:left="3960" w:hanging="360"/>
      </w:pPr>
      <w:rPr>
        <w:rFonts w:hint="default" w:ascii="Wingdings" w:hAnsi="Wingdings" w:cs="Wingdings"/>
      </w:rPr>
    </w:lvl>
    <w:lvl w:ilvl="6" w:tentative="0">
      <w:start w:val="1"/>
      <w:numFmt w:val="bullet"/>
      <w:lvlText w:val=""/>
      <w:lvlJc w:val="left"/>
      <w:pPr>
        <w:tabs>
          <w:tab w:val="left" w:pos="0"/>
        </w:tabs>
        <w:ind w:left="4680" w:hanging="360"/>
      </w:pPr>
      <w:rPr>
        <w:rFonts w:hint="default" w:ascii="Symbol" w:hAnsi="Symbol" w:cs="Symbol"/>
      </w:rPr>
    </w:lvl>
    <w:lvl w:ilvl="7" w:tentative="0">
      <w:start w:val="1"/>
      <w:numFmt w:val="bullet"/>
      <w:lvlText w:val="o"/>
      <w:lvlJc w:val="left"/>
      <w:pPr>
        <w:tabs>
          <w:tab w:val="left" w:pos="0"/>
        </w:tabs>
        <w:ind w:left="5400" w:hanging="360"/>
      </w:pPr>
      <w:rPr>
        <w:rFonts w:hint="default" w:ascii="Courier New" w:hAnsi="Courier New" w:cs="Courier New"/>
      </w:rPr>
    </w:lvl>
    <w:lvl w:ilvl="8" w:tentative="0">
      <w:start w:val="1"/>
      <w:numFmt w:val="bullet"/>
      <w:lvlText w:val=""/>
      <w:lvlJc w:val="left"/>
      <w:pPr>
        <w:tabs>
          <w:tab w:val="left" w:pos="0"/>
        </w:tabs>
        <w:ind w:left="6120" w:hanging="360"/>
      </w:pPr>
      <w:rPr>
        <w:rFonts w:hint="default" w:ascii="Wingdings" w:hAnsi="Wingdings" w:cs="Wingdings"/>
      </w:rPr>
    </w:lvl>
  </w:abstractNum>
  <w:abstractNum w:abstractNumId="1">
    <w:nsid w:val="BF205925"/>
    <w:multiLevelType w:val="multilevel"/>
    <w:tmpl w:val="BF205925"/>
    <w:lvl w:ilvl="0" w:tentative="0">
      <w:start w:val="1"/>
      <w:numFmt w:val="bullet"/>
      <w:pStyle w:val="230"/>
      <w:lvlText w:val=""/>
      <w:lvlJc w:val="left"/>
      <w:pPr>
        <w:tabs>
          <w:tab w:val="left" w:pos="0"/>
        </w:tabs>
        <w:ind w:left="420" w:hanging="420"/>
      </w:pPr>
      <w:rPr>
        <w:rFonts w:hint="default" w:ascii="Wingdings" w:hAnsi="Wingdings" w:cs="Wingdings"/>
      </w:rPr>
    </w:lvl>
    <w:lvl w:ilvl="1" w:tentative="0">
      <w:start w:val="1"/>
      <w:numFmt w:val="bullet"/>
      <w:lvlText w:val=""/>
      <w:lvlJc w:val="left"/>
      <w:pPr>
        <w:tabs>
          <w:tab w:val="left" w:pos="0"/>
        </w:tabs>
        <w:ind w:left="840" w:hanging="420"/>
      </w:pPr>
      <w:rPr>
        <w:rFonts w:hint="default" w:ascii="Wingdings" w:hAnsi="Wingdings" w:cs="Wingdings"/>
      </w:rPr>
    </w:lvl>
    <w:lvl w:ilvl="2" w:tentative="0">
      <w:start w:val="1"/>
      <w:numFmt w:val="bullet"/>
      <w:lvlText w:val=""/>
      <w:lvlJc w:val="left"/>
      <w:pPr>
        <w:tabs>
          <w:tab w:val="left" w:pos="0"/>
        </w:tabs>
        <w:ind w:left="1260" w:hanging="420"/>
      </w:pPr>
      <w:rPr>
        <w:rFonts w:hint="default" w:ascii="Wingdings" w:hAnsi="Wingdings" w:cs="Wingdings"/>
      </w:rPr>
    </w:lvl>
    <w:lvl w:ilvl="3" w:tentative="0">
      <w:start w:val="1"/>
      <w:numFmt w:val="bullet"/>
      <w:lvlText w:val=""/>
      <w:lvlJc w:val="left"/>
      <w:pPr>
        <w:tabs>
          <w:tab w:val="left" w:pos="0"/>
        </w:tabs>
        <w:ind w:left="1680" w:hanging="420"/>
      </w:pPr>
      <w:rPr>
        <w:rFonts w:hint="default" w:ascii="Wingdings" w:hAnsi="Wingdings" w:cs="Wingdings"/>
      </w:rPr>
    </w:lvl>
    <w:lvl w:ilvl="4" w:tentative="0">
      <w:start w:val="1"/>
      <w:numFmt w:val="bullet"/>
      <w:lvlText w:val=""/>
      <w:lvlJc w:val="left"/>
      <w:pPr>
        <w:tabs>
          <w:tab w:val="left" w:pos="0"/>
        </w:tabs>
        <w:ind w:left="2100" w:hanging="420"/>
      </w:pPr>
      <w:rPr>
        <w:rFonts w:hint="default" w:ascii="Wingdings" w:hAnsi="Wingdings" w:cs="Wingdings"/>
      </w:rPr>
    </w:lvl>
    <w:lvl w:ilvl="5" w:tentative="0">
      <w:start w:val="1"/>
      <w:numFmt w:val="bullet"/>
      <w:lvlText w:val=""/>
      <w:lvlJc w:val="left"/>
      <w:pPr>
        <w:tabs>
          <w:tab w:val="left" w:pos="0"/>
        </w:tabs>
        <w:ind w:left="2520" w:hanging="420"/>
      </w:pPr>
      <w:rPr>
        <w:rFonts w:hint="default" w:ascii="Wingdings" w:hAnsi="Wingdings" w:cs="Wingdings"/>
      </w:rPr>
    </w:lvl>
    <w:lvl w:ilvl="6" w:tentative="0">
      <w:start w:val="1"/>
      <w:numFmt w:val="bullet"/>
      <w:lvlText w:val=""/>
      <w:lvlJc w:val="left"/>
      <w:pPr>
        <w:tabs>
          <w:tab w:val="left" w:pos="0"/>
        </w:tabs>
        <w:ind w:left="2940" w:hanging="420"/>
      </w:pPr>
      <w:rPr>
        <w:rFonts w:hint="default" w:ascii="Wingdings" w:hAnsi="Wingdings" w:cs="Wingdings"/>
      </w:rPr>
    </w:lvl>
    <w:lvl w:ilvl="7" w:tentative="0">
      <w:start w:val="1"/>
      <w:numFmt w:val="bullet"/>
      <w:lvlText w:val=""/>
      <w:lvlJc w:val="left"/>
      <w:pPr>
        <w:tabs>
          <w:tab w:val="left" w:pos="0"/>
        </w:tabs>
        <w:ind w:left="3360" w:hanging="420"/>
      </w:pPr>
      <w:rPr>
        <w:rFonts w:hint="default" w:ascii="Wingdings" w:hAnsi="Wingdings" w:cs="Wingdings"/>
      </w:rPr>
    </w:lvl>
    <w:lvl w:ilvl="8" w:tentative="0">
      <w:start w:val="1"/>
      <w:numFmt w:val="bullet"/>
      <w:lvlText w:val=""/>
      <w:lvlJc w:val="left"/>
      <w:pPr>
        <w:tabs>
          <w:tab w:val="left" w:pos="0"/>
        </w:tabs>
        <w:ind w:left="3780" w:hanging="420"/>
      </w:pPr>
      <w:rPr>
        <w:rFonts w:hint="default" w:ascii="Wingdings" w:hAnsi="Wingdings" w:cs="Wingdings"/>
      </w:rPr>
    </w:lvl>
  </w:abstractNum>
  <w:abstractNum w:abstractNumId="2">
    <w:nsid w:val="CF092B84"/>
    <w:multiLevelType w:val="singleLevel"/>
    <w:tmpl w:val="CF092B84"/>
    <w:lvl w:ilvl="0" w:tentative="0">
      <w:start w:val="1"/>
      <w:numFmt w:val="bullet"/>
      <w:pStyle w:val="97"/>
      <w:lvlText w:val=""/>
      <w:lvlJc w:val="left"/>
      <w:pPr>
        <w:tabs>
          <w:tab w:val="left" w:pos="0"/>
        </w:tabs>
        <w:ind w:left="360" w:hanging="360"/>
      </w:pPr>
      <w:rPr>
        <w:rFonts w:hint="default" w:ascii="Wingdings" w:hAnsi="Wingdings" w:cs="Wingdings"/>
      </w:rPr>
    </w:lvl>
  </w:abstractNum>
  <w:abstractNum w:abstractNumId="3">
    <w:nsid w:val="0053208E"/>
    <w:multiLevelType w:val="multilevel"/>
    <w:tmpl w:val="0053208E"/>
    <w:lvl w:ilvl="0" w:tentative="0">
      <w:start w:val="1"/>
      <w:numFmt w:val="none"/>
      <w:pStyle w:val="2"/>
      <w:suff w:val="nothing"/>
      <w:lvlText w:val=""/>
      <w:lvlJc w:val="left"/>
      <w:pPr>
        <w:tabs>
          <w:tab w:val="left" w:pos="0"/>
        </w:tabs>
        <w:ind w:left="0" w:firstLine="0"/>
      </w:pPr>
    </w:lvl>
    <w:lvl w:ilvl="1" w:tentative="0">
      <w:start w:val="1"/>
      <w:numFmt w:val="none"/>
      <w:pStyle w:val="3"/>
      <w:suff w:val="nothing"/>
      <w:lvlText w:val=""/>
      <w:lvlJc w:val="left"/>
      <w:pPr>
        <w:tabs>
          <w:tab w:val="left" w:pos="0"/>
        </w:tabs>
        <w:ind w:left="0" w:firstLine="0"/>
      </w:pPr>
    </w:lvl>
    <w:lvl w:ilvl="2" w:tentative="0">
      <w:start w:val="1"/>
      <w:numFmt w:val="none"/>
      <w:pStyle w:val="4"/>
      <w:suff w:val="nothing"/>
      <w:lvlText w:val=""/>
      <w:lvlJc w:val="left"/>
      <w:pPr>
        <w:tabs>
          <w:tab w:val="left" w:pos="0"/>
        </w:tabs>
        <w:ind w:left="0" w:firstLine="0"/>
      </w:pPr>
    </w:lvl>
    <w:lvl w:ilvl="3" w:tentative="0">
      <w:start w:val="1"/>
      <w:numFmt w:val="none"/>
      <w:pStyle w:val="5"/>
      <w:suff w:val="nothing"/>
      <w:lvlText w:val=""/>
      <w:lvlJc w:val="left"/>
      <w:pPr>
        <w:tabs>
          <w:tab w:val="left" w:pos="0"/>
        </w:tabs>
        <w:ind w:left="0" w:firstLine="0"/>
      </w:pPr>
    </w:lvl>
    <w:lvl w:ilvl="4" w:tentative="0">
      <w:start w:val="1"/>
      <w:numFmt w:val="none"/>
      <w:pStyle w:val="6"/>
      <w:suff w:val="nothing"/>
      <w:lvlText w:val=""/>
      <w:lvlJc w:val="left"/>
      <w:pPr>
        <w:tabs>
          <w:tab w:val="left" w:pos="0"/>
        </w:tabs>
        <w:ind w:left="0" w:firstLine="0"/>
      </w:pPr>
    </w:lvl>
    <w:lvl w:ilvl="5" w:tentative="0">
      <w:start w:val="1"/>
      <w:numFmt w:val="none"/>
      <w:pStyle w:val="8"/>
      <w:suff w:val="nothing"/>
      <w:lvlText w:val=""/>
      <w:lvlJc w:val="left"/>
      <w:pPr>
        <w:tabs>
          <w:tab w:val="left" w:pos="0"/>
        </w:tabs>
        <w:ind w:left="0" w:firstLine="0"/>
      </w:pPr>
    </w:lvl>
    <w:lvl w:ilvl="6" w:tentative="0">
      <w:start w:val="1"/>
      <w:numFmt w:val="none"/>
      <w:pStyle w:val="9"/>
      <w:suff w:val="nothing"/>
      <w:lvlText w:val=""/>
      <w:lvlJc w:val="left"/>
      <w:pPr>
        <w:tabs>
          <w:tab w:val="left" w:pos="0"/>
        </w:tabs>
        <w:ind w:left="0" w:firstLine="0"/>
      </w:pPr>
    </w:lvl>
    <w:lvl w:ilvl="7" w:tentative="0">
      <w:start w:val="1"/>
      <w:numFmt w:val="none"/>
      <w:pStyle w:val="10"/>
      <w:suff w:val="nothing"/>
      <w:lvlText w:val=""/>
      <w:lvlJc w:val="left"/>
      <w:pPr>
        <w:tabs>
          <w:tab w:val="left" w:pos="0"/>
        </w:tabs>
        <w:ind w:left="0" w:firstLine="0"/>
      </w:pPr>
    </w:lvl>
    <w:lvl w:ilvl="8" w:tentative="0">
      <w:start w:val="1"/>
      <w:numFmt w:val="none"/>
      <w:pStyle w:val="11"/>
      <w:suff w:val="nothing"/>
      <w:lvlText w:val=""/>
      <w:lvlJc w:val="left"/>
      <w:pPr>
        <w:tabs>
          <w:tab w:val="left" w:pos="0"/>
        </w:tabs>
        <w:ind w:left="0" w:firstLine="0"/>
      </w:pPr>
    </w:lvl>
  </w:abstractNum>
  <w:abstractNum w:abstractNumId="4">
    <w:nsid w:val="0248C179"/>
    <w:multiLevelType w:val="singleLevel"/>
    <w:tmpl w:val="0248C179"/>
    <w:lvl w:ilvl="0" w:tentative="0">
      <w:start w:val="2"/>
      <w:numFmt w:val="chineseCountingThousand"/>
      <w:suff w:val="nothing"/>
      <w:lvlText w:val="（%1）"/>
      <w:lvlJc w:val="left"/>
      <w:pPr>
        <w:tabs>
          <w:tab w:val="left" w:pos="0"/>
        </w:tabs>
        <w:ind w:left="0" w:firstLine="0"/>
      </w:pPr>
    </w:lvl>
  </w:abstractNum>
  <w:abstractNum w:abstractNumId="5">
    <w:nsid w:val="03D62ECE"/>
    <w:multiLevelType w:val="multilevel"/>
    <w:tmpl w:val="03D62ECE"/>
    <w:lvl w:ilvl="0" w:tentative="0">
      <w:start w:val="1"/>
      <w:numFmt w:val="bullet"/>
      <w:pStyle w:val="210"/>
      <w:lvlText w:val=""/>
      <w:lvlJc w:val="left"/>
      <w:pPr>
        <w:tabs>
          <w:tab w:val="left" w:pos="0"/>
        </w:tabs>
        <w:ind w:left="840" w:hanging="420"/>
      </w:pPr>
      <w:rPr>
        <w:rFonts w:hint="default" w:ascii="Wingdings" w:hAnsi="Wingdings" w:cs="Wingdings"/>
      </w:rPr>
    </w:lvl>
    <w:lvl w:ilvl="1" w:tentative="0">
      <w:start w:val="1"/>
      <w:numFmt w:val="bullet"/>
      <w:lvlText w:val=""/>
      <w:lvlJc w:val="left"/>
      <w:pPr>
        <w:tabs>
          <w:tab w:val="left" w:pos="0"/>
        </w:tabs>
        <w:ind w:left="1260" w:hanging="420"/>
      </w:pPr>
      <w:rPr>
        <w:rFonts w:hint="default" w:ascii="Wingdings" w:hAnsi="Wingdings" w:cs="Wingdings"/>
      </w:rPr>
    </w:lvl>
    <w:lvl w:ilvl="2" w:tentative="0">
      <w:start w:val="1"/>
      <w:numFmt w:val="bullet"/>
      <w:lvlText w:val=""/>
      <w:lvlJc w:val="left"/>
      <w:pPr>
        <w:tabs>
          <w:tab w:val="left" w:pos="0"/>
        </w:tabs>
        <w:ind w:left="1680" w:hanging="420"/>
      </w:pPr>
      <w:rPr>
        <w:rFonts w:hint="default" w:ascii="Wingdings" w:hAnsi="Wingdings" w:cs="Wingdings"/>
      </w:rPr>
    </w:lvl>
    <w:lvl w:ilvl="3" w:tentative="0">
      <w:start w:val="1"/>
      <w:numFmt w:val="bullet"/>
      <w:lvlText w:val=""/>
      <w:lvlJc w:val="left"/>
      <w:pPr>
        <w:tabs>
          <w:tab w:val="left" w:pos="0"/>
        </w:tabs>
        <w:ind w:left="2100" w:hanging="420"/>
      </w:pPr>
      <w:rPr>
        <w:rFonts w:hint="default" w:ascii="Wingdings" w:hAnsi="Wingdings" w:cs="Wingdings"/>
      </w:rPr>
    </w:lvl>
    <w:lvl w:ilvl="4" w:tentative="0">
      <w:start w:val="1"/>
      <w:numFmt w:val="bullet"/>
      <w:lvlText w:val=""/>
      <w:lvlJc w:val="left"/>
      <w:pPr>
        <w:tabs>
          <w:tab w:val="left" w:pos="0"/>
        </w:tabs>
        <w:ind w:left="2520" w:hanging="420"/>
      </w:pPr>
      <w:rPr>
        <w:rFonts w:hint="default" w:ascii="Wingdings" w:hAnsi="Wingdings" w:cs="Wingdings"/>
      </w:rPr>
    </w:lvl>
    <w:lvl w:ilvl="5" w:tentative="0">
      <w:start w:val="1"/>
      <w:numFmt w:val="bullet"/>
      <w:lvlText w:val=""/>
      <w:lvlJc w:val="left"/>
      <w:pPr>
        <w:tabs>
          <w:tab w:val="left" w:pos="0"/>
        </w:tabs>
        <w:ind w:left="2940" w:hanging="420"/>
      </w:pPr>
      <w:rPr>
        <w:rFonts w:hint="default" w:ascii="Wingdings" w:hAnsi="Wingdings" w:cs="Wingdings"/>
      </w:rPr>
    </w:lvl>
    <w:lvl w:ilvl="6" w:tentative="0">
      <w:start w:val="1"/>
      <w:numFmt w:val="bullet"/>
      <w:lvlText w:val=""/>
      <w:lvlJc w:val="left"/>
      <w:pPr>
        <w:tabs>
          <w:tab w:val="left" w:pos="0"/>
        </w:tabs>
        <w:ind w:left="3360" w:hanging="420"/>
      </w:pPr>
      <w:rPr>
        <w:rFonts w:hint="default" w:ascii="Wingdings" w:hAnsi="Wingdings" w:cs="Wingdings"/>
      </w:rPr>
    </w:lvl>
    <w:lvl w:ilvl="7" w:tentative="0">
      <w:start w:val="1"/>
      <w:numFmt w:val="bullet"/>
      <w:lvlText w:val=""/>
      <w:lvlJc w:val="left"/>
      <w:pPr>
        <w:tabs>
          <w:tab w:val="left" w:pos="0"/>
        </w:tabs>
        <w:ind w:left="3780" w:hanging="420"/>
      </w:pPr>
      <w:rPr>
        <w:rFonts w:hint="default" w:ascii="Wingdings" w:hAnsi="Wingdings" w:cs="Wingdings"/>
      </w:rPr>
    </w:lvl>
    <w:lvl w:ilvl="8" w:tentative="0">
      <w:start w:val="1"/>
      <w:numFmt w:val="bullet"/>
      <w:lvlText w:val=""/>
      <w:lvlJc w:val="left"/>
      <w:pPr>
        <w:tabs>
          <w:tab w:val="left" w:pos="0"/>
        </w:tabs>
        <w:ind w:left="4200" w:hanging="420"/>
      </w:pPr>
      <w:rPr>
        <w:rFonts w:hint="default" w:ascii="Wingdings" w:hAnsi="Wingdings" w:cs="Wingdings"/>
      </w:rPr>
    </w:lvl>
  </w:abstractNum>
  <w:abstractNum w:abstractNumId="6">
    <w:nsid w:val="25B654F3"/>
    <w:multiLevelType w:val="multilevel"/>
    <w:tmpl w:val="25B654F3"/>
    <w:lvl w:ilvl="0" w:tentative="0">
      <w:start w:val="1"/>
      <w:numFmt w:val="chineseCountingThousand"/>
      <w:pStyle w:val="225"/>
      <w:lvlText w:val="%1"/>
      <w:lvlJc w:val="left"/>
      <w:pPr>
        <w:tabs>
          <w:tab w:val="left" w:pos="0"/>
        </w:tabs>
        <w:ind w:left="630" w:hanging="420"/>
      </w:pPr>
      <w:rPr>
        <w:sz w:val="32"/>
        <w:szCs w:val="32"/>
      </w:rPr>
    </w:lvl>
    <w:lvl w:ilvl="1" w:tentative="0">
      <w:start w:val="1"/>
      <w:numFmt w:val="lowerLetter"/>
      <w:lvlText w:val="%2)"/>
      <w:lvlJc w:val="left"/>
      <w:pPr>
        <w:tabs>
          <w:tab w:val="left" w:pos="0"/>
        </w:tabs>
        <w:ind w:left="840" w:hanging="420"/>
      </w:pPr>
    </w:lvl>
    <w:lvl w:ilvl="2" w:tentative="0">
      <w:start w:val="1"/>
      <w:numFmt w:val="lowerRoman"/>
      <w:lvlText w:val="%3."/>
      <w:lvlJc w:val="right"/>
      <w:pPr>
        <w:tabs>
          <w:tab w:val="left" w:pos="0"/>
        </w:tabs>
        <w:ind w:left="1260" w:hanging="420"/>
      </w:pPr>
    </w:lvl>
    <w:lvl w:ilvl="3" w:tentative="0">
      <w:start w:val="1"/>
      <w:numFmt w:val="decimal"/>
      <w:lvlText w:val="%4."/>
      <w:lvlJc w:val="left"/>
      <w:pPr>
        <w:tabs>
          <w:tab w:val="left" w:pos="0"/>
        </w:tabs>
        <w:ind w:left="1680" w:hanging="420"/>
      </w:pPr>
    </w:lvl>
    <w:lvl w:ilvl="4" w:tentative="0">
      <w:start w:val="1"/>
      <w:numFmt w:val="lowerLetter"/>
      <w:lvlText w:val="%5)"/>
      <w:lvlJc w:val="left"/>
      <w:pPr>
        <w:tabs>
          <w:tab w:val="left" w:pos="0"/>
        </w:tabs>
        <w:ind w:left="2100" w:hanging="420"/>
      </w:pPr>
    </w:lvl>
    <w:lvl w:ilvl="5" w:tentative="0">
      <w:start w:val="1"/>
      <w:numFmt w:val="lowerRoman"/>
      <w:lvlText w:val="%6."/>
      <w:lvlJc w:val="right"/>
      <w:pPr>
        <w:tabs>
          <w:tab w:val="left" w:pos="0"/>
        </w:tabs>
        <w:ind w:left="2520" w:hanging="420"/>
      </w:pPr>
    </w:lvl>
    <w:lvl w:ilvl="6" w:tentative="0">
      <w:start w:val="1"/>
      <w:numFmt w:val="decimal"/>
      <w:lvlText w:val="%7."/>
      <w:lvlJc w:val="left"/>
      <w:pPr>
        <w:tabs>
          <w:tab w:val="left" w:pos="0"/>
        </w:tabs>
        <w:ind w:left="2940" w:hanging="420"/>
      </w:pPr>
    </w:lvl>
    <w:lvl w:ilvl="7" w:tentative="0">
      <w:start w:val="1"/>
      <w:numFmt w:val="lowerLetter"/>
      <w:lvlText w:val="%8)"/>
      <w:lvlJc w:val="left"/>
      <w:pPr>
        <w:tabs>
          <w:tab w:val="left" w:pos="0"/>
        </w:tabs>
        <w:ind w:left="3360" w:hanging="420"/>
      </w:pPr>
    </w:lvl>
    <w:lvl w:ilvl="8" w:tentative="0">
      <w:start w:val="1"/>
      <w:numFmt w:val="lowerRoman"/>
      <w:lvlText w:val="%9."/>
      <w:lvlJc w:val="right"/>
      <w:pPr>
        <w:tabs>
          <w:tab w:val="left" w:pos="0"/>
        </w:tabs>
        <w:ind w:left="3780" w:hanging="420"/>
      </w:pPr>
    </w:lvl>
  </w:abstractNum>
  <w:abstractNum w:abstractNumId="7">
    <w:nsid w:val="59ADCABA"/>
    <w:multiLevelType w:val="multilevel"/>
    <w:tmpl w:val="59ADCABA"/>
    <w:lvl w:ilvl="0" w:tentative="0">
      <w:start w:val="1"/>
      <w:numFmt w:val="decimal"/>
      <w:pStyle w:val="237"/>
      <w:lvlText w:val="%1."/>
      <w:lvlJc w:val="left"/>
      <w:pPr>
        <w:tabs>
          <w:tab w:val="left" w:pos="0"/>
        </w:tabs>
        <w:ind w:left="420" w:hanging="420"/>
      </w:pPr>
    </w:lvl>
    <w:lvl w:ilvl="1" w:tentative="0">
      <w:start w:val="1"/>
      <w:numFmt w:val="decimal"/>
      <w:lvlText w:val="%1.%2"/>
      <w:lvlJc w:val="left"/>
      <w:pPr>
        <w:tabs>
          <w:tab w:val="left" w:pos="0"/>
        </w:tabs>
        <w:ind w:left="700" w:hanging="700"/>
      </w:pPr>
    </w:lvl>
    <w:lvl w:ilvl="2" w:tentative="0">
      <w:start w:val="1"/>
      <w:numFmt w:val="decimal"/>
      <w:lvlText w:val="%1.%2.%3"/>
      <w:lvlJc w:val="left"/>
      <w:pPr>
        <w:tabs>
          <w:tab w:val="left" w:pos="0"/>
        </w:tabs>
        <w:ind w:left="1418" w:hanging="1418"/>
      </w:pPr>
    </w:lvl>
    <w:lvl w:ilvl="3" w:tentative="0">
      <w:start w:val="1"/>
      <w:numFmt w:val="decimal"/>
      <w:lvlText w:val="%1.%2.%3.%4"/>
      <w:lvlJc w:val="left"/>
      <w:pPr>
        <w:tabs>
          <w:tab w:val="left" w:pos="0"/>
        </w:tabs>
        <w:ind w:left="1984" w:hanging="1984"/>
      </w:pPr>
    </w:lvl>
    <w:lvl w:ilvl="4" w:tentative="0">
      <w:start w:val="1"/>
      <w:numFmt w:val="decimal"/>
      <w:lvlText w:val="%1.%2.%3.%4.%5"/>
      <w:lvlJc w:val="left"/>
      <w:pPr>
        <w:tabs>
          <w:tab w:val="left" w:pos="0"/>
        </w:tabs>
        <w:ind w:left="2551" w:hanging="850"/>
      </w:pPr>
    </w:lvl>
    <w:lvl w:ilvl="5" w:tentative="0">
      <w:start w:val="1"/>
      <w:numFmt w:val="decimal"/>
      <w:lvlText w:val="%1.%2.%3.%4.%5.%6"/>
      <w:lvlJc w:val="left"/>
      <w:pPr>
        <w:tabs>
          <w:tab w:val="left" w:pos="0"/>
        </w:tabs>
        <w:ind w:left="3260" w:hanging="1134"/>
      </w:pPr>
    </w:lvl>
    <w:lvl w:ilvl="6" w:tentative="0">
      <w:start w:val="1"/>
      <w:numFmt w:val="decimal"/>
      <w:lvlText w:val="%1.%2.%3.%4.%5.%6.%7"/>
      <w:lvlJc w:val="left"/>
      <w:pPr>
        <w:tabs>
          <w:tab w:val="left" w:pos="0"/>
        </w:tabs>
        <w:ind w:left="3827" w:hanging="1276"/>
      </w:pPr>
    </w:lvl>
    <w:lvl w:ilvl="7" w:tentative="0">
      <w:start w:val="1"/>
      <w:numFmt w:val="decimal"/>
      <w:lvlText w:val="%1.%2.%3.%4.%5.%6.%7.%8"/>
      <w:lvlJc w:val="left"/>
      <w:pPr>
        <w:tabs>
          <w:tab w:val="left" w:pos="0"/>
        </w:tabs>
        <w:ind w:left="4394" w:hanging="1418"/>
      </w:pPr>
    </w:lvl>
    <w:lvl w:ilvl="8" w:tentative="0">
      <w:start w:val="1"/>
      <w:numFmt w:val="decimal"/>
      <w:lvlText w:val="%1.%2.%3.%4.%5.%6.%7.%8.%9"/>
      <w:lvlJc w:val="left"/>
      <w:pPr>
        <w:tabs>
          <w:tab w:val="left" w:pos="0"/>
        </w:tabs>
        <w:ind w:left="5102" w:hanging="1700"/>
      </w:pPr>
    </w:lvl>
  </w:abstractNum>
  <w:abstractNum w:abstractNumId="8">
    <w:nsid w:val="72183CF9"/>
    <w:multiLevelType w:val="singleLevel"/>
    <w:tmpl w:val="72183CF9"/>
    <w:lvl w:ilvl="0" w:tentative="0">
      <w:start w:val="1"/>
      <w:numFmt w:val="decimal"/>
      <w:pStyle w:val="67"/>
      <w:lvlText w:val="%1."/>
      <w:lvlJc w:val="left"/>
      <w:pPr>
        <w:tabs>
          <w:tab w:val="left" w:pos="0"/>
        </w:tabs>
        <w:ind w:left="2040" w:hanging="360"/>
      </w:pPr>
    </w:lvl>
  </w:abstractNum>
  <w:num w:numId="1">
    <w:abstractNumId w:val="3"/>
  </w:num>
  <w:num w:numId="2">
    <w:abstractNumId w:val="8"/>
  </w:num>
  <w:num w:numId="3">
    <w:abstractNumId w:val="2"/>
  </w:num>
  <w:num w:numId="4">
    <w:abstractNumId w:val="0"/>
  </w:num>
  <w:num w:numId="5">
    <w:abstractNumId w:val="1"/>
  </w:num>
  <w:num w:numId="6">
    <w:abstractNumId w:val="5"/>
  </w:num>
  <w:num w:numId="7">
    <w:abstractNumId w:val="6"/>
  </w:num>
  <w:num w:numId="8">
    <w:abstractNumId w:val="7"/>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8"/>
  <w:trackRevisions w:val="1"/>
  <w:documentProtection w:enforcement="0"/>
  <w:defaultTabStop w:val="420"/>
  <w:autoHyphenation/>
  <w:hyphenationZone w:val="0"/>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FkNGJhZWYyYmZmMTgwMjU4NGZjNTljODIwYjVjN2UifQ=="/>
  </w:docVars>
  <w:rsids>
    <w:rsidRoot w:val="00000000"/>
    <w:rsid w:val="000B2DD5"/>
    <w:rsid w:val="00524264"/>
    <w:rsid w:val="014A5A34"/>
    <w:rsid w:val="0A9960D1"/>
    <w:rsid w:val="19EB6F67"/>
    <w:rsid w:val="27E227DC"/>
    <w:rsid w:val="2FC924E7"/>
    <w:rsid w:val="40093900"/>
    <w:rsid w:val="53D1020F"/>
    <w:rsid w:val="57B571A4"/>
    <w:rsid w:val="6FBE03F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Liberation Serif" w:hAnsi="Liberation Serif" w:eastAsia="Noto Serif CJK SC" w:cs="Lohit Devanagar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uppressAutoHyphens/>
      <w:bidi w:val="0"/>
      <w:jc w:val="both"/>
    </w:pPr>
    <w:rPr>
      <w:rFonts w:ascii="Times New Roman" w:hAnsi="Times New Roman" w:eastAsia="宋体" w:cs="Times New Roman"/>
      <w:color w:val="auto"/>
      <w:kern w:val="2"/>
      <w:sz w:val="21"/>
      <w:szCs w:val="24"/>
      <w:lang w:val="en-US" w:eastAsia="zh-CN" w:bidi="ar-SA"/>
    </w:rPr>
  </w:style>
  <w:style w:type="paragraph" w:styleId="2">
    <w:name w:val="heading 1"/>
    <w:basedOn w:val="1"/>
    <w:next w:val="1"/>
    <w:qFormat/>
    <w:uiPriority w:val="0"/>
    <w:pPr>
      <w:numPr>
        <w:ilvl w:val="0"/>
        <w:numId w:val="1"/>
      </w:numPr>
      <w:spacing w:before="340" w:after="330" w:line="360" w:lineRule="auto"/>
      <w:jc w:val="center"/>
      <w:outlineLvl w:val="0"/>
    </w:pPr>
    <w:rPr>
      <w:rFonts w:eastAsia="黑体"/>
      <w:kern w:val="2"/>
      <w:szCs w:val="44"/>
    </w:rPr>
  </w:style>
  <w:style w:type="paragraph" w:styleId="3">
    <w:name w:val="heading 2"/>
    <w:basedOn w:val="1"/>
    <w:next w:val="1"/>
    <w:qFormat/>
    <w:uiPriority w:val="0"/>
    <w:pPr>
      <w:numPr>
        <w:ilvl w:val="1"/>
        <w:numId w:val="1"/>
      </w:numPr>
      <w:jc w:val="center"/>
      <w:textAlignment w:val="baseline"/>
      <w:outlineLvl w:val="1"/>
    </w:pPr>
    <w:rPr>
      <w:kern w:val="0"/>
      <w:sz w:val="24"/>
      <w:szCs w:val="20"/>
    </w:rPr>
  </w:style>
  <w:style w:type="paragraph" w:styleId="4">
    <w:name w:val="heading 3"/>
    <w:basedOn w:val="5"/>
    <w:next w:val="1"/>
    <w:qFormat/>
    <w:uiPriority w:val="0"/>
    <w:pPr>
      <w:numPr>
        <w:ilvl w:val="2"/>
        <w:numId w:val="1"/>
      </w:numPr>
      <w:spacing w:before="260" w:after="260"/>
      <w:outlineLvl w:val="2"/>
    </w:pPr>
    <w:rPr>
      <w:rFonts w:ascii="宋体" w:hAnsi="宋体" w:cs="宋体"/>
      <w:kern w:val="0"/>
      <w:szCs w:val="32"/>
    </w:rPr>
  </w:style>
  <w:style w:type="paragraph" w:styleId="5">
    <w:name w:val="heading 4"/>
    <w:basedOn w:val="1"/>
    <w:next w:val="1"/>
    <w:qFormat/>
    <w:uiPriority w:val="0"/>
    <w:pPr>
      <w:keepNext/>
      <w:keepLines/>
      <w:numPr>
        <w:ilvl w:val="3"/>
        <w:numId w:val="1"/>
      </w:numPr>
      <w:spacing w:before="280" w:after="290" w:line="374" w:lineRule="auto"/>
      <w:outlineLvl w:val="3"/>
    </w:pPr>
    <w:rPr>
      <w:rFonts w:ascii="Arial" w:hAnsi="Arial" w:eastAsia="黑体" w:cs="Arial"/>
      <w:b/>
      <w:bCs/>
      <w:sz w:val="28"/>
      <w:szCs w:val="28"/>
    </w:rPr>
  </w:style>
  <w:style w:type="paragraph" w:styleId="6">
    <w:name w:val="heading 5"/>
    <w:basedOn w:val="1"/>
    <w:next w:val="7"/>
    <w:qFormat/>
    <w:uiPriority w:val="0"/>
    <w:pPr>
      <w:keepNext/>
      <w:keepLines/>
      <w:numPr>
        <w:ilvl w:val="4"/>
        <w:numId w:val="1"/>
      </w:numPr>
      <w:spacing w:before="280" w:after="290" w:line="374" w:lineRule="auto"/>
      <w:outlineLvl w:val="4"/>
    </w:pPr>
    <w:rPr>
      <w:b/>
      <w:sz w:val="28"/>
      <w:szCs w:val="20"/>
    </w:rPr>
  </w:style>
  <w:style w:type="paragraph" w:styleId="8">
    <w:name w:val="heading 6"/>
    <w:basedOn w:val="1"/>
    <w:next w:val="7"/>
    <w:qFormat/>
    <w:uiPriority w:val="0"/>
    <w:pPr>
      <w:keepNext/>
      <w:keepLines/>
      <w:numPr>
        <w:ilvl w:val="5"/>
        <w:numId w:val="1"/>
      </w:numPr>
      <w:spacing w:before="240" w:after="64" w:line="319" w:lineRule="auto"/>
      <w:outlineLvl w:val="5"/>
    </w:pPr>
    <w:rPr>
      <w:rFonts w:ascii="Arial" w:hAnsi="Arial" w:eastAsia="黑体" w:cs="Arial"/>
      <w:b/>
      <w:sz w:val="24"/>
      <w:szCs w:val="20"/>
    </w:rPr>
  </w:style>
  <w:style w:type="paragraph" w:styleId="9">
    <w:name w:val="heading 7"/>
    <w:basedOn w:val="1"/>
    <w:next w:val="7"/>
    <w:qFormat/>
    <w:uiPriority w:val="0"/>
    <w:pPr>
      <w:keepNext/>
      <w:keepLines/>
      <w:numPr>
        <w:ilvl w:val="6"/>
        <w:numId w:val="1"/>
      </w:numPr>
      <w:spacing w:before="240" w:after="64" w:line="319" w:lineRule="auto"/>
      <w:outlineLvl w:val="6"/>
    </w:pPr>
    <w:rPr>
      <w:b/>
      <w:sz w:val="24"/>
      <w:szCs w:val="20"/>
    </w:rPr>
  </w:style>
  <w:style w:type="paragraph" w:styleId="10">
    <w:name w:val="heading 8"/>
    <w:basedOn w:val="1"/>
    <w:next w:val="7"/>
    <w:qFormat/>
    <w:uiPriority w:val="0"/>
    <w:pPr>
      <w:keepNext/>
      <w:keepLines/>
      <w:numPr>
        <w:ilvl w:val="7"/>
        <w:numId w:val="1"/>
      </w:numPr>
      <w:spacing w:before="240" w:after="64" w:line="319" w:lineRule="auto"/>
      <w:outlineLvl w:val="7"/>
    </w:pPr>
    <w:rPr>
      <w:rFonts w:ascii="Arial" w:hAnsi="Arial" w:eastAsia="黑体" w:cs="Arial"/>
      <w:sz w:val="24"/>
      <w:szCs w:val="20"/>
    </w:rPr>
  </w:style>
  <w:style w:type="paragraph" w:styleId="11">
    <w:name w:val="heading 9"/>
    <w:basedOn w:val="1"/>
    <w:next w:val="7"/>
    <w:qFormat/>
    <w:uiPriority w:val="0"/>
    <w:pPr>
      <w:keepNext/>
      <w:keepLines/>
      <w:numPr>
        <w:ilvl w:val="8"/>
        <w:numId w:val="1"/>
      </w:numPr>
      <w:spacing w:before="240" w:after="64" w:line="319" w:lineRule="auto"/>
      <w:outlineLvl w:val="8"/>
    </w:pPr>
    <w:rPr>
      <w:rFonts w:ascii="Arial" w:hAnsi="Arial" w:eastAsia="黑体" w:cs="Arial"/>
      <w:szCs w:val="20"/>
    </w:rPr>
  </w:style>
  <w:style w:type="character" w:default="1" w:styleId="30">
    <w:name w:val="Default Paragraph Font"/>
    <w:semiHidden/>
    <w:qFormat/>
    <w:uiPriority w:val="0"/>
  </w:style>
  <w:style w:type="table" w:default="1" w:styleId="29">
    <w:name w:val="Normal Table"/>
    <w:semiHidden/>
    <w:qFormat/>
    <w:uiPriority w:val="0"/>
    <w:tblPr>
      <w:tblCellMar>
        <w:top w:w="0" w:type="dxa"/>
        <w:left w:w="108" w:type="dxa"/>
        <w:bottom w:w="0" w:type="dxa"/>
        <w:right w:w="108" w:type="dxa"/>
      </w:tblCellMar>
    </w:tblPr>
  </w:style>
  <w:style w:type="paragraph" w:customStyle="1" w:styleId="7">
    <w:name w:val="正文缩进1"/>
    <w:basedOn w:val="1"/>
    <w:next w:val="1"/>
    <w:qFormat/>
    <w:uiPriority w:val="0"/>
    <w:pPr>
      <w:ind w:left="0" w:right="0" w:firstLine="420"/>
    </w:pPr>
    <w:rPr>
      <w:kern w:val="0"/>
      <w:sz w:val="20"/>
      <w:szCs w:val="20"/>
    </w:rPr>
  </w:style>
  <w:style w:type="paragraph" w:styleId="12">
    <w:name w:val="toc 7"/>
    <w:basedOn w:val="1"/>
    <w:next w:val="1"/>
    <w:qFormat/>
    <w:uiPriority w:val="0"/>
    <w:pPr>
      <w:ind w:left="1260" w:right="0" w:firstLine="0"/>
      <w:jc w:val="left"/>
    </w:pPr>
    <w:rPr>
      <w:szCs w:val="21"/>
    </w:rPr>
  </w:style>
  <w:style w:type="paragraph" w:styleId="13">
    <w:name w:val="caption"/>
    <w:basedOn w:val="1"/>
    <w:next w:val="1"/>
    <w:qFormat/>
    <w:uiPriority w:val="0"/>
    <w:pPr>
      <w:suppressLineNumbers/>
      <w:spacing w:before="120" w:after="120"/>
    </w:pPr>
    <w:rPr>
      <w:rFonts w:cs="Lohit Devanagari"/>
      <w:i/>
      <w:iCs/>
      <w:sz w:val="24"/>
      <w:szCs w:val="24"/>
    </w:rPr>
  </w:style>
  <w:style w:type="paragraph" w:styleId="14">
    <w:name w:val="annotation text"/>
    <w:basedOn w:val="1"/>
    <w:qFormat/>
    <w:uiPriority w:val="0"/>
    <w:pPr>
      <w:jc w:val="left"/>
    </w:pPr>
  </w:style>
  <w:style w:type="paragraph" w:styleId="15">
    <w:name w:val="Body Text"/>
    <w:basedOn w:val="1"/>
    <w:next w:val="1"/>
    <w:qFormat/>
    <w:uiPriority w:val="0"/>
    <w:pPr>
      <w:spacing w:line="360" w:lineRule="auto"/>
    </w:pPr>
    <w:rPr>
      <w:b/>
      <w:bCs/>
      <w:sz w:val="24"/>
    </w:rPr>
  </w:style>
  <w:style w:type="paragraph" w:styleId="16">
    <w:name w:val="Body Text Indent"/>
    <w:basedOn w:val="1"/>
    <w:qFormat/>
    <w:uiPriority w:val="0"/>
    <w:pPr>
      <w:spacing w:line="360" w:lineRule="auto"/>
      <w:ind w:left="0" w:right="0" w:firstLine="420"/>
    </w:pPr>
  </w:style>
  <w:style w:type="paragraph" w:styleId="17">
    <w:name w:val="toc 5"/>
    <w:basedOn w:val="1"/>
    <w:next w:val="1"/>
    <w:qFormat/>
    <w:uiPriority w:val="0"/>
    <w:pPr>
      <w:ind w:left="840" w:right="0" w:firstLine="0"/>
      <w:jc w:val="left"/>
    </w:pPr>
    <w:rPr>
      <w:szCs w:val="21"/>
    </w:rPr>
  </w:style>
  <w:style w:type="paragraph" w:styleId="18">
    <w:name w:val="toc 3"/>
    <w:basedOn w:val="1"/>
    <w:next w:val="1"/>
    <w:qFormat/>
    <w:uiPriority w:val="0"/>
    <w:pPr>
      <w:ind w:left="420" w:right="0" w:firstLine="0"/>
      <w:jc w:val="left"/>
    </w:pPr>
    <w:rPr>
      <w:i/>
      <w:iCs/>
    </w:rPr>
  </w:style>
  <w:style w:type="paragraph" w:styleId="19">
    <w:name w:val="toc 8"/>
    <w:basedOn w:val="1"/>
    <w:next w:val="1"/>
    <w:qFormat/>
    <w:uiPriority w:val="0"/>
    <w:pPr>
      <w:ind w:left="1470" w:right="0" w:firstLine="0"/>
      <w:jc w:val="left"/>
    </w:pPr>
    <w:rPr>
      <w:szCs w:val="21"/>
    </w:rPr>
  </w:style>
  <w:style w:type="paragraph" w:styleId="20">
    <w:name w:val="footer"/>
    <w:basedOn w:val="1"/>
    <w:qFormat/>
    <w:uiPriority w:val="0"/>
    <w:pPr>
      <w:tabs>
        <w:tab w:val="center" w:pos="4153"/>
        <w:tab w:val="right" w:pos="8306"/>
      </w:tabs>
      <w:snapToGrid w:val="0"/>
      <w:jc w:val="left"/>
    </w:pPr>
    <w:rPr>
      <w:sz w:val="18"/>
      <w:szCs w:val="18"/>
    </w:rPr>
  </w:style>
  <w:style w:type="paragraph" w:styleId="21">
    <w:name w:val="header"/>
    <w:basedOn w:val="1"/>
    <w:qFormat/>
    <w:uiPriority w:val="0"/>
    <w:pPr>
      <w:pBdr>
        <w:bottom w:val="single" w:color="000000" w:sz="6" w:space="1"/>
      </w:pBdr>
      <w:tabs>
        <w:tab w:val="center" w:pos="4153"/>
        <w:tab w:val="right" w:pos="8306"/>
      </w:tabs>
      <w:snapToGrid w:val="0"/>
      <w:jc w:val="center"/>
    </w:pPr>
    <w:rPr>
      <w:sz w:val="18"/>
      <w:szCs w:val="18"/>
    </w:rPr>
  </w:style>
  <w:style w:type="paragraph" w:styleId="22">
    <w:name w:val="toc 1"/>
    <w:basedOn w:val="1"/>
    <w:next w:val="1"/>
    <w:qFormat/>
    <w:uiPriority w:val="0"/>
    <w:pPr>
      <w:spacing w:before="120" w:after="120"/>
      <w:jc w:val="left"/>
    </w:pPr>
    <w:rPr>
      <w:b/>
      <w:bCs/>
      <w:caps/>
    </w:rPr>
  </w:style>
  <w:style w:type="paragraph" w:styleId="23">
    <w:name w:val="toc 4"/>
    <w:basedOn w:val="1"/>
    <w:next w:val="1"/>
    <w:qFormat/>
    <w:uiPriority w:val="0"/>
    <w:pPr>
      <w:ind w:left="630" w:right="0" w:firstLine="0"/>
      <w:jc w:val="left"/>
    </w:pPr>
    <w:rPr>
      <w:szCs w:val="21"/>
    </w:rPr>
  </w:style>
  <w:style w:type="paragraph" w:styleId="24">
    <w:name w:val="List"/>
    <w:basedOn w:val="15"/>
    <w:qFormat/>
    <w:uiPriority w:val="0"/>
    <w:rPr>
      <w:rFonts w:cs="Lohit Devanagari"/>
    </w:rPr>
  </w:style>
  <w:style w:type="paragraph" w:styleId="25">
    <w:name w:val="toc 6"/>
    <w:basedOn w:val="1"/>
    <w:next w:val="1"/>
    <w:qFormat/>
    <w:uiPriority w:val="0"/>
    <w:pPr>
      <w:ind w:left="1050" w:right="0" w:firstLine="0"/>
      <w:jc w:val="left"/>
    </w:pPr>
    <w:rPr>
      <w:szCs w:val="21"/>
    </w:rPr>
  </w:style>
  <w:style w:type="paragraph" w:styleId="26">
    <w:name w:val="toc 2"/>
    <w:basedOn w:val="1"/>
    <w:next w:val="1"/>
    <w:qFormat/>
    <w:uiPriority w:val="0"/>
    <w:pPr>
      <w:tabs>
        <w:tab w:val="right" w:leader="dot" w:pos="8296"/>
      </w:tabs>
      <w:ind w:left="210" w:right="0" w:firstLine="0"/>
      <w:jc w:val="left"/>
    </w:pPr>
    <w:rPr>
      <w:smallCaps/>
    </w:rPr>
  </w:style>
  <w:style w:type="paragraph" w:styleId="27">
    <w:name w:val="toc 9"/>
    <w:basedOn w:val="1"/>
    <w:next w:val="1"/>
    <w:qFormat/>
    <w:uiPriority w:val="0"/>
    <w:pPr>
      <w:ind w:left="1680" w:right="0" w:firstLine="0"/>
      <w:jc w:val="left"/>
    </w:pPr>
    <w:rPr>
      <w:szCs w:val="21"/>
    </w:rPr>
  </w:style>
  <w:style w:type="paragraph" w:styleId="28">
    <w:name w:val="index 1"/>
    <w:basedOn w:val="1"/>
    <w:next w:val="1"/>
    <w:qFormat/>
    <w:uiPriority w:val="0"/>
    <w:pPr>
      <w:tabs>
        <w:tab w:val="left" w:pos="3360"/>
      </w:tabs>
      <w:spacing w:line="520" w:lineRule="exact"/>
      <w:ind w:left="419" w:right="0" w:hanging="314"/>
      <w:jc w:val="center"/>
      <w:outlineLvl w:val="3"/>
    </w:pPr>
    <w:rPr>
      <w:rFonts w:ascii="宋体" w:hAnsi="宋体" w:cs="宋体"/>
      <w:sz w:val="24"/>
    </w:rPr>
  </w:style>
  <w:style w:type="character" w:styleId="31">
    <w:name w:val="Strong"/>
    <w:qFormat/>
    <w:uiPriority w:val="0"/>
    <w:rPr>
      <w:b/>
      <w:bCs/>
    </w:rPr>
  </w:style>
  <w:style w:type="character" w:styleId="32">
    <w:name w:val="page number"/>
    <w:basedOn w:val="33"/>
    <w:qFormat/>
    <w:uiPriority w:val="0"/>
  </w:style>
  <w:style w:type="character" w:customStyle="1" w:styleId="33">
    <w:name w:val="默认段落字体1"/>
    <w:qFormat/>
    <w:uiPriority w:val="0"/>
  </w:style>
  <w:style w:type="character" w:styleId="34">
    <w:name w:val="FollowedHyperlink"/>
    <w:qFormat/>
    <w:uiPriority w:val="0"/>
    <w:rPr>
      <w:rFonts w:ascii="宋体" w:hAnsi="宋体" w:eastAsia="宋体" w:cs="宋体"/>
      <w:color w:val="0031C1"/>
      <w:sz w:val="18"/>
      <w:szCs w:val="18"/>
      <w:u w:val="none"/>
    </w:rPr>
  </w:style>
  <w:style w:type="character" w:styleId="35">
    <w:name w:val="Emphasis"/>
    <w:basedOn w:val="33"/>
    <w:qFormat/>
    <w:uiPriority w:val="0"/>
  </w:style>
  <w:style w:type="character" w:styleId="36">
    <w:name w:val="Hyperlink"/>
    <w:qFormat/>
    <w:uiPriority w:val="0"/>
    <w:rPr>
      <w:rFonts w:ascii="宋体" w:hAnsi="宋体" w:eastAsia="宋体" w:cs="宋体"/>
      <w:color w:val="0031C1"/>
      <w:sz w:val="18"/>
      <w:szCs w:val="18"/>
      <w:u w:val="none"/>
    </w:rPr>
  </w:style>
  <w:style w:type="paragraph" w:customStyle="1" w:styleId="37">
    <w:name w:val="xl28"/>
    <w:basedOn w:val="1"/>
    <w:qFormat/>
    <w:uiPriority w:val="0"/>
    <w:pPr>
      <w:widowControl/>
      <w:pBdr>
        <w:top w:val="single" w:color="000000" w:sz="4" w:space="0"/>
        <w:left w:val="single" w:color="000000" w:sz="4" w:space="0"/>
        <w:bottom w:val="single" w:color="000000" w:sz="4" w:space="0"/>
        <w:right w:val="single" w:color="000000" w:sz="4" w:space="0"/>
      </w:pBdr>
      <w:spacing w:before="100" w:after="100"/>
      <w:jc w:val="center"/>
    </w:pPr>
    <w:rPr>
      <w:rFonts w:ascii="宋体" w:hAnsi="宋体" w:cs="宋体"/>
      <w:kern w:val="0"/>
      <w:sz w:val="20"/>
      <w:szCs w:val="20"/>
    </w:rPr>
  </w:style>
  <w:style w:type="paragraph" w:customStyle="1" w:styleId="38">
    <w:name w:val="Char Char Char Char"/>
    <w:basedOn w:val="1"/>
    <w:qFormat/>
    <w:uiPriority w:val="0"/>
    <w:pPr>
      <w:widowControl/>
      <w:spacing w:before="0" w:after="160" w:line="240" w:lineRule="exact"/>
      <w:jc w:val="left"/>
    </w:pPr>
    <w:rPr>
      <w:rFonts w:ascii="Verdana" w:hAnsi="Verdana" w:eastAsia="仿宋_GB2312" w:cs="Verdana"/>
      <w:kern w:val="0"/>
      <w:sz w:val="24"/>
      <w:szCs w:val="20"/>
      <w:lang w:eastAsia="en-US"/>
    </w:rPr>
  </w:style>
  <w:style w:type="paragraph" w:customStyle="1" w:styleId="39">
    <w:name w:val="Index"/>
    <w:basedOn w:val="1"/>
    <w:qFormat/>
    <w:uiPriority w:val="0"/>
    <w:pPr>
      <w:suppressLineNumbers/>
    </w:pPr>
    <w:rPr>
      <w:rFonts w:cs="Lohit Devanagari"/>
    </w:rPr>
  </w:style>
  <w:style w:type="character" w:customStyle="1" w:styleId="40">
    <w:name w:val="标题 3 字符"/>
    <w:qFormat/>
    <w:uiPriority w:val="0"/>
    <w:rPr>
      <w:rFonts w:ascii="宋体" w:hAnsi="宋体" w:eastAsia="黑体" w:cs="Times New Roman"/>
      <w:b/>
      <w:bCs/>
      <w:sz w:val="28"/>
      <w:szCs w:val="32"/>
    </w:rPr>
  </w:style>
  <w:style w:type="paragraph" w:customStyle="1" w:styleId="41">
    <w:name w:val="--编号内缩进"/>
    <w:basedOn w:val="1"/>
    <w:qFormat/>
    <w:uiPriority w:val="0"/>
    <w:pPr>
      <w:spacing w:line="360" w:lineRule="auto"/>
      <w:ind w:left="420" w:right="0" w:firstLine="200"/>
    </w:pPr>
    <w:rPr>
      <w:szCs w:val="21"/>
    </w:rPr>
  </w:style>
  <w:style w:type="character" w:customStyle="1" w:styleId="42">
    <w:name w:val="WW8Num9z0"/>
    <w:qFormat/>
    <w:uiPriority w:val="0"/>
    <w:rPr>
      <w:sz w:val="32"/>
      <w:szCs w:val="32"/>
    </w:rPr>
  </w:style>
  <w:style w:type="paragraph" w:customStyle="1" w:styleId="43">
    <w:name w:val="Char11"/>
    <w:basedOn w:val="1"/>
    <w:qFormat/>
    <w:uiPriority w:val="0"/>
    <w:pPr>
      <w:widowControl/>
      <w:spacing w:before="0" w:after="160" w:line="240" w:lineRule="exact"/>
      <w:jc w:val="left"/>
    </w:pPr>
    <w:rPr>
      <w:rFonts w:ascii="Verdana" w:hAnsi="Verdana" w:eastAsia="仿宋_GB2312" w:cs="Verdana"/>
      <w:kern w:val="0"/>
      <w:sz w:val="24"/>
      <w:szCs w:val="20"/>
      <w:lang w:eastAsia="en-US"/>
    </w:rPr>
  </w:style>
  <w:style w:type="paragraph" w:customStyle="1" w:styleId="44">
    <w:name w:val="正文文本缩进 21"/>
    <w:basedOn w:val="1"/>
    <w:qFormat/>
    <w:uiPriority w:val="0"/>
    <w:pPr>
      <w:spacing w:line="120" w:lineRule="auto"/>
      <w:ind w:left="0" w:right="0" w:firstLine="840"/>
      <w:jc w:val="left"/>
    </w:pPr>
    <w:rPr>
      <w:rFonts w:ascii="宋体" w:hAnsi="宋体" w:cs="宋体"/>
    </w:rPr>
  </w:style>
  <w:style w:type="paragraph" w:customStyle="1" w:styleId="45">
    <w:name w:val="Char2"/>
    <w:basedOn w:val="1"/>
    <w:qFormat/>
    <w:uiPriority w:val="0"/>
    <w:pPr>
      <w:widowControl/>
      <w:spacing w:before="0" w:after="160" w:line="240" w:lineRule="exact"/>
      <w:jc w:val="left"/>
    </w:pPr>
    <w:rPr>
      <w:rFonts w:ascii="Verdana" w:hAnsi="Verdana" w:eastAsia="仿宋_GB2312" w:cs="Verdana"/>
      <w:kern w:val="0"/>
      <w:sz w:val="24"/>
      <w:szCs w:val="20"/>
      <w:lang w:eastAsia="en-US"/>
    </w:rPr>
  </w:style>
  <w:style w:type="character" w:customStyle="1" w:styleId="46">
    <w:name w:val="标题 4 字符"/>
    <w:qFormat/>
    <w:uiPriority w:val="0"/>
    <w:rPr>
      <w:rFonts w:ascii="Arial" w:hAnsi="Arial" w:eastAsia="黑体" w:cs="Times New Roman"/>
      <w:b/>
      <w:bCs/>
      <w:sz w:val="28"/>
      <w:szCs w:val="28"/>
    </w:rPr>
  </w:style>
  <w:style w:type="paragraph" w:customStyle="1" w:styleId="47">
    <w:name w:val="_Style 126"/>
    <w:basedOn w:val="1"/>
    <w:next w:val="48"/>
    <w:qFormat/>
    <w:uiPriority w:val="0"/>
    <w:pPr>
      <w:ind w:left="0" w:right="0" w:firstLine="420"/>
    </w:pPr>
    <w:rPr>
      <w:szCs w:val="22"/>
    </w:rPr>
  </w:style>
  <w:style w:type="paragraph" w:customStyle="1" w:styleId="48">
    <w:name w:val="列表段落"/>
    <w:basedOn w:val="1"/>
    <w:qFormat/>
    <w:uiPriority w:val="0"/>
    <w:pPr>
      <w:ind w:left="0" w:right="0" w:firstLine="420"/>
    </w:pPr>
    <w:rPr>
      <w:szCs w:val="22"/>
    </w:rPr>
  </w:style>
  <w:style w:type="character" w:customStyle="1" w:styleId="49">
    <w:name w:val="WW8Num6z4"/>
    <w:qFormat/>
    <w:uiPriority w:val="0"/>
    <w:rPr>
      <w:rFonts w:ascii="Courier New" w:hAnsi="Courier New" w:cs="Courier New"/>
    </w:rPr>
  </w:style>
  <w:style w:type="character" w:customStyle="1" w:styleId="50">
    <w:name w:val="WW8Num5z0"/>
    <w:qFormat/>
    <w:uiPriority w:val="0"/>
    <w:rPr>
      <w:rFonts w:ascii="Wingdings" w:hAnsi="Wingdings" w:cs="Wingdings"/>
    </w:rPr>
  </w:style>
  <w:style w:type="character" w:customStyle="1" w:styleId="51">
    <w:name w:val="HTML 预设格式 字符"/>
    <w:qFormat/>
    <w:uiPriority w:val="0"/>
    <w:rPr>
      <w:rFonts w:ascii="Arial Unicode MS" w:hAnsi="Arial Unicode MS" w:eastAsia="Arial Unicode MS" w:cs="Times New Roman"/>
      <w:color w:val="000000"/>
      <w:kern w:val="0"/>
      <w:sz w:val="20"/>
      <w:szCs w:val="20"/>
    </w:rPr>
  </w:style>
  <w:style w:type="character" w:customStyle="1" w:styleId="52">
    <w:name w:val="正文文字首行缩进 Char"/>
    <w:qFormat/>
    <w:uiPriority w:val="0"/>
    <w:rPr>
      <w:kern w:val="2"/>
      <w:sz w:val="21"/>
      <w:szCs w:val="24"/>
    </w:rPr>
  </w:style>
  <w:style w:type="character" w:customStyle="1" w:styleId="53">
    <w:name w:val="proddescription"/>
    <w:basedOn w:val="33"/>
    <w:qFormat/>
    <w:uiPriority w:val="0"/>
  </w:style>
  <w:style w:type="character" w:customStyle="1" w:styleId="54">
    <w:name w:val="缩进正文 Char"/>
    <w:qFormat/>
    <w:uiPriority w:val="0"/>
    <w:rPr>
      <w:rFonts w:ascii="Calibri" w:hAnsi="Calibri" w:eastAsia="仿宋_GB2312" w:cs="宋体"/>
      <w:sz w:val="28"/>
      <w:szCs w:val="20"/>
    </w:rPr>
  </w:style>
  <w:style w:type="character" w:customStyle="1" w:styleId="55">
    <w:name w:val="标题 7 字符"/>
    <w:qFormat/>
    <w:uiPriority w:val="0"/>
    <w:rPr>
      <w:rFonts w:ascii="Calibri" w:hAnsi="Calibri" w:eastAsia="宋体" w:cs="Times New Roman"/>
      <w:b/>
      <w:sz w:val="24"/>
      <w:szCs w:val="20"/>
    </w:rPr>
  </w:style>
  <w:style w:type="paragraph" w:customStyle="1" w:styleId="56">
    <w:name w:val="正文(首行缩进)"/>
    <w:qFormat/>
    <w:uiPriority w:val="0"/>
    <w:pPr>
      <w:widowControl/>
      <w:suppressAutoHyphens/>
      <w:bidi w:val="0"/>
      <w:spacing w:line="360" w:lineRule="auto"/>
      <w:ind w:left="0" w:right="0" w:firstLine="488"/>
      <w:jc w:val="both"/>
    </w:pPr>
    <w:rPr>
      <w:rFonts w:ascii="Times New Roman" w:hAnsi="Times New Roman" w:eastAsia="仿宋_GB2312" w:cs="Times New Roman"/>
      <w:color w:val="auto"/>
      <w:spacing w:val="2"/>
      <w:sz w:val="24"/>
      <w:szCs w:val="24"/>
      <w:lang w:val="en-US" w:eastAsia="zh-CN" w:bidi="ar-SA"/>
    </w:rPr>
  </w:style>
  <w:style w:type="character" w:customStyle="1" w:styleId="57">
    <w:name w:val="标题 1 字符"/>
    <w:qFormat/>
    <w:uiPriority w:val="0"/>
    <w:rPr>
      <w:rFonts w:ascii="宋体" w:hAnsi="宋体" w:eastAsia="黑体" w:cs="宋体"/>
      <w:b/>
      <w:bCs/>
      <w:kern w:val="2"/>
      <w:sz w:val="28"/>
      <w:szCs w:val="44"/>
      <w:lang w:val="en-US" w:eastAsia="zh-CN" w:bidi="ar-SA"/>
    </w:rPr>
  </w:style>
  <w:style w:type="character" w:customStyle="1" w:styleId="58">
    <w:name w:val="active2"/>
    <w:qFormat/>
    <w:uiPriority w:val="0"/>
    <w:rPr>
      <w:color w:val="FFFFFF"/>
    </w:rPr>
  </w:style>
  <w:style w:type="paragraph" w:customStyle="1" w:styleId="59">
    <w:name w:val="正文规范"/>
    <w:basedOn w:val="1"/>
    <w:qFormat/>
    <w:uiPriority w:val="0"/>
    <w:pPr>
      <w:spacing w:line="420" w:lineRule="auto"/>
      <w:ind w:left="0" w:right="0" w:firstLine="200"/>
    </w:pPr>
    <w:rPr>
      <w:rFonts w:cs="Calibri"/>
      <w:kern w:val="0"/>
      <w:sz w:val="24"/>
      <w:szCs w:val="21"/>
    </w:rPr>
  </w:style>
  <w:style w:type="paragraph" w:customStyle="1" w:styleId="60">
    <w:name w:val="9"/>
    <w:basedOn w:val="1"/>
    <w:next w:val="7"/>
    <w:qFormat/>
    <w:uiPriority w:val="0"/>
    <w:pPr>
      <w:autoSpaceDE w:val="0"/>
      <w:ind w:left="0" w:right="0" w:firstLine="420"/>
      <w:jc w:val="left"/>
      <w:textAlignment w:val="baseline"/>
    </w:pPr>
    <w:rPr>
      <w:rFonts w:ascii="宋体" w:hAnsi="宋体"/>
      <w:kern w:val="0"/>
      <w:sz w:val="34"/>
      <w:szCs w:val="20"/>
    </w:rPr>
  </w:style>
  <w:style w:type="paragraph" w:customStyle="1" w:styleId="61">
    <w:name w:val="blue1"/>
    <w:basedOn w:val="1"/>
    <w:qFormat/>
    <w:uiPriority w:val="0"/>
    <w:pPr>
      <w:widowControl/>
      <w:spacing w:before="100" w:after="100"/>
      <w:jc w:val="left"/>
    </w:pPr>
    <w:rPr>
      <w:rFonts w:ascii="宋体" w:hAnsi="宋体" w:cs="宋体"/>
      <w:kern w:val="0"/>
      <w:sz w:val="24"/>
    </w:rPr>
  </w:style>
  <w:style w:type="paragraph" w:customStyle="1" w:styleId="62">
    <w:name w:val="xl72"/>
    <w:basedOn w:val="1"/>
    <w:qFormat/>
    <w:uiPriority w:val="0"/>
    <w:pPr>
      <w:widowControl/>
      <w:spacing w:before="100" w:after="100"/>
      <w:jc w:val="left"/>
    </w:pPr>
    <w:rPr>
      <w:rFonts w:ascii="宋体" w:hAnsi="宋体" w:cs="宋体"/>
      <w:b/>
      <w:bCs/>
      <w:kern w:val="0"/>
      <w:sz w:val="28"/>
      <w:szCs w:val="28"/>
    </w:rPr>
  </w:style>
  <w:style w:type="paragraph" w:customStyle="1" w:styleId="63">
    <w:name w:val="z-窗体底端1"/>
    <w:basedOn w:val="1"/>
    <w:next w:val="1"/>
    <w:qFormat/>
    <w:uiPriority w:val="0"/>
    <w:pPr>
      <w:widowControl/>
      <w:pBdr>
        <w:top w:val="single" w:color="000000" w:sz="6" w:space="1"/>
      </w:pBdr>
      <w:jc w:val="center"/>
    </w:pPr>
    <w:rPr>
      <w:rFonts w:ascii="Arial" w:hAnsi="Arial" w:cs="Arial"/>
      <w:vanish/>
      <w:kern w:val="0"/>
      <w:sz w:val="16"/>
      <w:szCs w:val="16"/>
    </w:rPr>
  </w:style>
  <w:style w:type="paragraph" w:customStyle="1" w:styleId="64">
    <w:name w:val="È±Ê¡ÎÄ±¾"/>
    <w:basedOn w:val="1"/>
    <w:qFormat/>
    <w:uiPriority w:val="0"/>
    <w:pPr>
      <w:widowControl/>
      <w:overflowPunct w:val="0"/>
      <w:autoSpaceDE w:val="0"/>
      <w:jc w:val="left"/>
      <w:textAlignment w:val="baseline"/>
    </w:pPr>
    <w:rPr>
      <w:kern w:val="0"/>
      <w:sz w:val="24"/>
      <w:szCs w:val="20"/>
    </w:rPr>
  </w:style>
  <w:style w:type="character" w:customStyle="1" w:styleId="65">
    <w:name w:val="第*章 Char"/>
    <w:qFormat/>
    <w:uiPriority w:val="0"/>
    <w:rPr>
      <w:rFonts w:ascii="Arial" w:hAnsi="Arial" w:eastAsia="黑体" w:cs="Arial"/>
      <w:b/>
      <w:bCs/>
      <w:kern w:val="2"/>
      <w:sz w:val="32"/>
      <w:szCs w:val="32"/>
    </w:rPr>
  </w:style>
  <w:style w:type="character" w:customStyle="1" w:styleId="66">
    <w:name w:val="fielderror"/>
    <w:qFormat/>
    <w:uiPriority w:val="0"/>
    <w:rPr>
      <w:color w:val="800000"/>
    </w:rPr>
  </w:style>
  <w:style w:type="paragraph" w:customStyle="1" w:styleId="67">
    <w:name w:val="样式41"/>
    <w:basedOn w:val="1"/>
    <w:qFormat/>
    <w:uiPriority w:val="0"/>
    <w:pPr>
      <w:numPr>
        <w:ilvl w:val="0"/>
        <w:numId w:val="2"/>
      </w:numPr>
      <w:tabs>
        <w:tab w:val="left" w:pos="945"/>
        <w:tab w:val="left" w:pos="2040"/>
      </w:tabs>
      <w:spacing w:line="360" w:lineRule="auto"/>
    </w:pPr>
    <w:rPr>
      <w:b/>
      <w:color w:val="000000"/>
      <w:sz w:val="24"/>
      <w:szCs w:val="20"/>
    </w:rPr>
  </w:style>
  <w:style w:type="character" w:customStyle="1" w:styleId="68">
    <w:name w:val="标题 1 Char1"/>
    <w:qFormat/>
    <w:uiPriority w:val="0"/>
    <w:rPr>
      <w:rFonts w:ascii="Times New Roman" w:hAnsi="Times New Roman" w:eastAsia="宋体" w:cs="Times New Roman"/>
      <w:b/>
      <w:bCs/>
      <w:kern w:val="2"/>
      <w:sz w:val="44"/>
      <w:szCs w:val="44"/>
      <w:lang w:val="en-US" w:eastAsia="zh-CN" w:bidi="ar-SA"/>
    </w:rPr>
  </w:style>
  <w:style w:type="paragraph" w:customStyle="1" w:styleId="69">
    <w:name w:val="Frame Contents"/>
    <w:basedOn w:val="1"/>
    <w:qFormat/>
    <w:uiPriority w:val="0"/>
  </w:style>
  <w:style w:type="character" w:customStyle="1" w:styleId="70">
    <w:name w:val="--规划正文 Char1"/>
    <w:qFormat/>
    <w:uiPriority w:val="0"/>
    <w:rPr>
      <w:rFonts w:eastAsia="宋体"/>
      <w:kern w:val="2"/>
      <w:sz w:val="21"/>
      <w:lang w:val="en-US" w:eastAsia="zh-CN" w:bidi="ar-SA"/>
    </w:rPr>
  </w:style>
  <w:style w:type="paragraph" w:customStyle="1" w:styleId="71">
    <w:name w:val="8"/>
    <w:basedOn w:val="1"/>
    <w:next w:val="16"/>
    <w:qFormat/>
    <w:uiPriority w:val="0"/>
    <w:pPr>
      <w:spacing w:before="0" w:after="120"/>
      <w:ind w:left="420" w:right="0" w:firstLine="0"/>
    </w:pPr>
  </w:style>
  <w:style w:type="paragraph" w:customStyle="1" w:styleId="72">
    <w:name w:val="5"/>
    <w:basedOn w:val="1"/>
    <w:qFormat/>
    <w:uiPriority w:val="0"/>
    <w:pPr>
      <w:autoSpaceDE w:val="0"/>
      <w:jc w:val="left"/>
    </w:pPr>
    <w:rPr>
      <w:rFonts w:ascii="宋体" w:hAnsi="宋体"/>
      <w:b/>
      <w:bCs/>
      <w:kern w:val="0"/>
      <w:sz w:val="18"/>
      <w:szCs w:val="18"/>
    </w:rPr>
  </w:style>
  <w:style w:type="character" w:customStyle="1" w:styleId="73">
    <w:name w:val="blue"/>
    <w:basedOn w:val="33"/>
    <w:qFormat/>
    <w:uiPriority w:val="0"/>
  </w:style>
  <w:style w:type="character" w:customStyle="1" w:styleId="74">
    <w:name w:val="标题 8 字符"/>
    <w:qFormat/>
    <w:uiPriority w:val="0"/>
    <w:rPr>
      <w:rFonts w:ascii="Arial" w:hAnsi="Arial" w:eastAsia="黑体" w:cs="Times New Roman"/>
      <w:sz w:val="24"/>
      <w:szCs w:val="20"/>
    </w:rPr>
  </w:style>
  <w:style w:type="paragraph" w:customStyle="1" w:styleId="75">
    <w:name w:val="表内容不缩进"/>
    <w:basedOn w:val="1"/>
    <w:qFormat/>
    <w:uiPriority w:val="0"/>
    <w:pPr>
      <w:spacing w:line="560" w:lineRule="exact"/>
    </w:pPr>
    <w:rPr>
      <w:rFonts w:ascii="仿宋_GB2312" w:hAnsi="仿宋_GB2312" w:eastAsia="仿宋_GB2312" w:cs="等线"/>
      <w:sz w:val="24"/>
      <w:szCs w:val="22"/>
    </w:rPr>
  </w:style>
  <w:style w:type="paragraph" w:customStyle="1" w:styleId="76">
    <w:name w:val="修订1"/>
    <w:qFormat/>
    <w:uiPriority w:val="0"/>
    <w:pPr>
      <w:widowControl/>
      <w:suppressAutoHyphens/>
      <w:bidi w:val="0"/>
    </w:pPr>
    <w:rPr>
      <w:rFonts w:ascii="Times New Roman" w:hAnsi="Times New Roman" w:eastAsia="宋体" w:cs="Times New Roman"/>
      <w:color w:val="auto"/>
      <w:kern w:val="2"/>
      <w:sz w:val="21"/>
      <w:szCs w:val="24"/>
      <w:lang w:val="en-US" w:eastAsia="zh-CN" w:bidi="ar-SA"/>
    </w:rPr>
  </w:style>
  <w:style w:type="paragraph" w:customStyle="1" w:styleId="77">
    <w:name w:val="Char1"/>
    <w:basedOn w:val="1"/>
    <w:qFormat/>
    <w:uiPriority w:val="0"/>
    <w:pPr>
      <w:jc w:val="left"/>
    </w:pPr>
    <w:rPr>
      <w:rFonts w:ascii="Tahoma" w:hAnsi="Tahoma" w:cs="Tahoma"/>
      <w:sz w:val="24"/>
      <w:szCs w:val="20"/>
    </w:rPr>
  </w:style>
  <w:style w:type="character" w:customStyle="1" w:styleId="78">
    <w:name w:val="hilite6"/>
    <w:qFormat/>
    <w:uiPriority w:val="0"/>
    <w:rPr>
      <w:color w:val="000000"/>
    </w:rPr>
  </w:style>
  <w:style w:type="paragraph" w:customStyle="1" w:styleId="79">
    <w:name w:val="word"/>
    <w:basedOn w:val="1"/>
    <w:qFormat/>
    <w:uiPriority w:val="0"/>
    <w:pPr>
      <w:widowControl/>
      <w:spacing w:before="100" w:after="100" w:line="301" w:lineRule="atLeast"/>
      <w:jc w:val="left"/>
    </w:pPr>
    <w:rPr>
      <w:rFonts w:ascii="ˎ̥;微软雅黑" w:hAnsi="ˎ̥;微软雅黑" w:cs="ˎ̥;微软雅黑"/>
      <w:color w:val="000000"/>
      <w:kern w:val="0"/>
      <w:sz w:val="20"/>
      <w:szCs w:val="20"/>
    </w:rPr>
  </w:style>
  <w:style w:type="paragraph" w:customStyle="1" w:styleId="80">
    <w:name w:val="font0"/>
    <w:basedOn w:val="1"/>
    <w:qFormat/>
    <w:uiPriority w:val="0"/>
    <w:pPr>
      <w:widowControl/>
      <w:spacing w:before="100" w:after="100"/>
      <w:jc w:val="left"/>
    </w:pPr>
    <w:rPr>
      <w:rFonts w:ascii="宋体" w:hAnsi="宋体" w:cs="宋体"/>
      <w:kern w:val="0"/>
      <w:sz w:val="24"/>
    </w:rPr>
  </w:style>
  <w:style w:type="paragraph" w:customStyle="1" w:styleId="81">
    <w:name w:val="批注主题1"/>
    <w:basedOn w:val="82"/>
    <w:next w:val="82"/>
    <w:qFormat/>
    <w:uiPriority w:val="0"/>
    <w:pPr>
      <w:autoSpaceDE/>
      <w:textAlignment w:val="auto"/>
    </w:pPr>
  </w:style>
  <w:style w:type="paragraph" w:customStyle="1" w:styleId="82">
    <w:name w:val="批注文字1"/>
    <w:basedOn w:val="1"/>
    <w:qFormat/>
    <w:uiPriority w:val="0"/>
    <w:pPr>
      <w:autoSpaceDE w:val="0"/>
      <w:jc w:val="left"/>
      <w:textAlignment w:val="baseline"/>
    </w:pPr>
    <w:rPr>
      <w:rFonts w:ascii="宋体" w:hAnsi="宋体"/>
      <w:kern w:val="0"/>
      <w:sz w:val="34"/>
      <w:szCs w:val="20"/>
    </w:rPr>
  </w:style>
  <w:style w:type="character" w:customStyle="1" w:styleId="83">
    <w:name w:val="文档结构图 字符"/>
    <w:qFormat/>
    <w:uiPriority w:val="0"/>
    <w:rPr>
      <w:rFonts w:ascii="Calibri" w:hAnsi="Calibri" w:eastAsia="宋体" w:cs="Times New Roman"/>
      <w:szCs w:val="24"/>
      <w:shd w:val="clear" w:fill="000080"/>
    </w:rPr>
  </w:style>
  <w:style w:type="character" w:customStyle="1" w:styleId="84">
    <w:name w:val="unnamed4"/>
    <w:basedOn w:val="33"/>
    <w:qFormat/>
    <w:uiPriority w:val="0"/>
  </w:style>
  <w:style w:type="paragraph" w:customStyle="1" w:styleId="85">
    <w:name w:val="00"/>
    <w:basedOn w:val="1"/>
    <w:qFormat/>
    <w:uiPriority w:val="0"/>
    <w:pPr>
      <w:autoSpaceDE w:val="0"/>
      <w:jc w:val="left"/>
    </w:pPr>
    <w:rPr>
      <w:rFonts w:ascii="黑体" w:hAnsi="黑体" w:eastAsia="黑体"/>
      <w:b/>
      <w:bCs/>
      <w:kern w:val="0"/>
      <w:sz w:val="20"/>
      <w:szCs w:val="20"/>
    </w:rPr>
  </w:style>
  <w:style w:type="character" w:customStyle="1" w:styleId="86">
    <w:name w:val="mode"/>
    <w:basedOn w:val="33"/>
    <w:qFormat/>
    <w:uiPriority w:val="0"/>
  </w:style>
  <w:style w:type="character" w:customStyle="1" w:styleId="87">
    <w:name w:val="批注引用1"/>
    <w:qFormat/>
    <w:uiPriority w:val="0"/>
    <w:rPr>
      <w:sz w:val="21"/>
      <w:szCs w:val="21"/>
    </w:rPr>
  </w:style>
  <w:style w:type="paragraph" w:customStyle="1" w:styleId="88">
    <w:name w:val="样式 标题 2 + 段前: 13 磅 段后: 13 磅 行距: 单倍行距"/>
    <w:basedOn w:val="3"/>
    <w:qFormat/>
    <w:uiPriority w:val="0"/>
    <w:pPr>
      <w:numPr>
        <w:ilvl w:val="0"/>
        <w:numId w:val="0"/>
      </w:numPr>
      <w:jc w:val="both"/>
      <w:textAlignment w:val="auto"/>
      <w:outlineLvl w:val="9"/>
    </w:pPr>
    <w:rPr>
      <w:rFonts w:ascii="Cambria" w:hAnsi="Cambria" w:cs="宋体"/>
      <w:kern w:val="2"/>
      <w:sz w:val="32"/>
    </w:rPr>
  </w:style>
  <w:style w:type="paragraph" w:customStyle="1" w:styleId="89">
    <w:name w:val="--规划正文 Char"/>
    <w:basedOn w:val="1"/>
    <w:qFormat/>
    <w:uiPriority w:val="0"/>
    <w:pPr>
      <w:spacing w:line="360" w:lineRule="auto"/>
      <w:ind w:left="0" w:right="0" w:firstLine="200"/>
    </w:pPr>
    <w:rPr>
      <w:sz w:val="24"/>
    </w:rPr>
  </w:style>
  <w:style w:type="character" w:customStyle="1" w:styleId="90">
    <w:name w:val="标题 1 字符1"/>
    <w:qFormat/>
    <w:uiPriority w:val="0"/>
    <w:rPr>
      <w:rFonts w:ascii="Calibri" w:hAnsi="Calibri" w:eastAsia="黑体" w:cs="Times New Roman"/>
      <w:kern w:val="2"/>
      <w:szCs w:val="44"/>
    </w:rPr>
  </w:style>
  <w:style w:type="character" w:customStyle="1" w:styleId="91">
    <w:name w:val="页脚 字符"/>
    <w:qFormat/>
    <w:uiPriority w:val="0"/>
    <w:rPr>
      <w:sz w:val="18"/>
      <w:szCs w:val="18"/>
    </w:rPr>
  </w:style>
  <w:style w:type="character" w:customStyle="1" w:styleId="92">
    <w:name w:val="标题 Char"/>
    <w:qFormat/>
    <w:uiPriority w:val="0"/>
    <w:rPr>
      <w:rFonts w:ascii="Cambria" w:hAnsi="Cambria" w:eastAsia="宋体" w:cs="Times New Roman"/>
      <w:b/>
      <w:bCs/>
      <w:sz w:val="32"/>
      <w:szCs w:val="32"/>
    </w:rPr>
  </w:style>
  <w:style w:type="character" w:customStyle="1" w:styleId="93">
    <w:name w:val="样式 小三 加粗"/>
    <w:qFormat/>
    <w:uiPriority w:val="0"/>
    <w:rPr>
      <w:rFonts w:eastAsia="宋体"/>
      <w:b/>
      <w:bCs/>
      <w:sz w:val="32"/>
    </w:rPr>
  </w:style>
  <w:style w:type="character" w:customStyle="1" w:styleId="94">
    <w:name w:val="WW8Num3z0"/>
    <w:qFormat/>
    <w:uiPriority w:val="0"/>
    <w:rPr>
      <w:rFonts w:ascii="Wingdings" w:hAnsi="Wingdings" w:cs="Wingdings"/>
    </w:rPr>
  </w:style>
  <w:style w:type="character" w:customStyle="1" w:styleId="95">
    <w:name w:val="NormalCharacter"/>
    <w:qFormat/>
    <w:uiPriority w:val="0"/>
    <w:rPr>
      <w:rFonts w:ascii="Calibri" w:hAnsi="Calibri" w:eastAsia="宋体" w:cs="Times New Roman"/>
      <w:kern w:val="2"/>
      <w:sz w:val="21"/>
      <w:szCs w:val="24"/>
      <w:lang w:val="en-US" w:eastAsia="zh-CN" w:bidi="ar-SA"/>
    </w:rPr>
  </w:style>
  <w:style w:type="character" w:customStyle="1" w:styleId="96">
    <w:name w:val="alt-edited1"/>
    <w:qFormat/>
    <w:uiPriority w:val="0"/>
    <w:rPr>
      <w:color w:val="4D90F0"/>
    </w:rPr>
  </w:style>
  <w:style w:type="paragraph" w:customStyle="1" w:styleId="97">
    <w:name w:val="列表项目符号1"/>
    <w:basedOn w:val="1"/>
    <w:qFormat/>
    <w:uiPriority w:val="0"/>
    <w:pPr>
      <w:numPr>
        <w:ilvl w:val="0"/>
        <w:numId w:val="3"/>
      </w:numPr>
      <w:tabs>
        <w:tab w:val="left" w:pos="360"/>
      </w:tabs>
    </w:pPr>
    <w:rPr>
      <w:szCs w:val="20"/>
    </w:rPr>
  </w:style>
  <w:style w:type="character" w:customStyle="1" w:styleId="98">
    <w:name w:val="WW8Num6z1"/>
    <w:qFormat/>
    <w:uiPriority w:val="0"/>
    <w:rPr>
      <w:rFonts w:ascii="Wingdings" w:hAnsi="Wingdings" w:cs="Wingdings"/>
    </w:rPr>
  </w:style>
  <w:style w:type="paragraph" w:customStyle="1" w:styleId="99">
    <w:name w:val="--规划-题注"/>
    <w:basedOn w:val="1"/>
    <w:next w:val="100"/>
    <w:qFormat/>
    <w:uiPriority w:val="0"/>
    <w:pPr>
      <w:spacing w:line="360" w:lineRule="auto"/>
      <w:jc w:val="center"/>
    </w:pPr>
    <w:rPr>
      <w:rFonts w:eastAsia="黑体"/>
    </w:rPr>
  </w:style>
  <w:style w:type="paragraph" w:customStyle="1" w:styleId="100">
    <w:name w:val="--规划正文"/>
    <w:basedOn w:val="1"/>
    <w:qFormat/>
    <w:uiPriority w:val="0"/>
    <w:pPr>
      <w:spacing w:line="360" w:lineRule="auto"/>
      <w:ind w:left="0" w:right="0" w:firstLine="200"/>
    </w:pPr>
    <w:rPr>
      <w:szCs w:val="20"/>
    </w:rPr>
  </w:style>
  <w:style w:type="paragraph" w:customStyle="1" w:styleId="101">
    <w:name w:val="Char Char"/>
    <w:basedOn w:val="1"/>
    <w:qFormat/>
    <w:uiPriority w:val="0"/>
    <w:rPr>
      <w:rFonts w:ascii="Tahoma" w:hAnsi="Tahoma" w:cs="Tahoma"/>
      <w:sz w:val="24"/>
      <w:szCs w:val="20"/>
    </w:rPr>
  </w:style>
  <w:style w:type="paragraph" w:customStyle="1" w:styleId="102">
    <w:name w:val="qw"/>
    <w:qFormat/>
    <w:uiPriority w:val="0"/>
    <w:pPr>
      <w:widowControl w:val="0"/>
      <w:suppressAutoHyphens/>
      <w:bidi w:val="0"/>
      <w:spacing w:line="312" w:lineRule="atLeast"/>
      <w:jc w:val="both"/>
      <w:textAlignment w:val="baseline"/>
    </w:pPr>
    <w:rPr>
      <w:rFonts w:ascii="宋体" w:hAnsi="宋体" w:eastAsia="宋体" w:cs="Times New Roman"/>
      <w:color w:val="auto"/>
      <w:sz w:val="24"/>
      <w:szCs w:val="20"/>
      <w:lang w:val="en-US" w:eastAsia="zh-CN" w:bidi="ar-SA"/>
    </w:rPr>
  </w:style>
  <w:style w:type="paragraph" w:customStyle="1" w:styleId="103">
    <w:name w:val="批注框文本1"/>
    <w:basedOn w:val="1"/>
    <w:qFormat/>
    <w:uiPriority w:val="0"/>
    <w:rPr>
      <w:sz w:val="18"/>
      <w:szCs w:val="18"/>
    </w:rPr>
  </w:style>
  <w:style w:type="paragraph" w:customStyle="1" w:styleId="104">
    <w:name w:val="正文文本 31"/>
    <w:basedOn w:val="1"/>
    <w:qFormat/>
    <w:uiPriority w:val="0"/>
    <w:pPr>
      <w:spacing w:before="0" w:after="120"/>
    </w:pPr>
    <w:rPr>
      <w:sz w:val="16"/>
      <w:szCs w:val="16"/>
    </w:rPr>
  </w:style>
  <w:style w:type="paragraph" w:customStyle="1" w:styleId="105">
    <w:name w:val="2册标题4"/>
    <w:basedOn w:val="1"/>
    <w:next w:val="1"/>
    <w:qFormat/>
    <w:uiPriority w:val="0"/>
    <w:pPr>
      <w:spacing w:line="300" w:lineRule="auto"/>
      <w:ind w:left="420" w:right="0" w:firstLine="0"/>
      <w:outlineLvl w:val="3"/>
    </w:pPr>
    <w:rPr>
      <w:rFonts w:ascii="Arial" w:hAnsi="Arial" w:eastAsia="幼圆" w:cs="Arial"/>
      <w:b/>
      <w:sz w:val="24"/>
    </w:rPr>
  </w:style>
  <w:style w:type="paragraph" w:customStyle="1" w:styleId="106">
    <w:name w:val="段落正文"/>
    <w:basedOn w:val="107"/>
    <w:qFormat/>
    <w:uiPriority w:val="0"/>
    <w:pPr>
      <w:ind w:left="0" w:right="0" w:firstLine="560"/>
    </w:pPr>
    <w:rPr>
      <w:sz w:val="28"/>
    </w:rPr>
  </w:style>
  <w:style w:type="paragraph" w:customStyle="1" w:styleId="107">
    <w:name w:val="纯文本1"/>
    <w:basedOn w:val="1"/>
    <w:qFormat/>
    <w:uiPriority w:val="0"/>
    <w:rPr>
      <w:rFonts w:ascii="宋体" w:hAnsi="宋体" w:cs="Courier New"/>
      <w:szCs w:val="20"/>
    </w:rPr>
  </w:style>
  <w:style w:type="paragraph" w:customStyle="1" w:styleId="108">
    <w:name w:val="评价"/>
    <w:basedOn w:val="1"/>
    <w:qFormat/>
    <w:uiPriority w:val="0"/>
    <w:pPr>
      <w:ind w:left="0" w:right="0" w:firstLine="1446"/>
    </w:pPr>
    <w:rPr>
      <w:sz w:val="24"/>
    </w:rPr>
  </w:style>
  <w:style w:type="character" w:customStyle="1" w:styleId="109">
    <w:name w:val="layui-this"/>
    <w:qFormat/>
    <w:uiPriority w:val="0"/>
    <w:rPr>
      <w:bdr w:val="single" w:color="EEEEEE" w:sz="6" w:space="0"/>
      <w:shd w:val="clear" w:fill="FFFFFF"/>
    </w:rPr>
  </w:style>
  <w:style w:type="paragraph" w:customStyle="1" w:styleId="110">
    <w:name w:val="cont"/>
    <w:basedOn w:val="1"/>
    <w:qFormat/>
    <w:uiPriority w:val="0"/>
    <w:pPr>
      <w:spacing w:before="100" w:after="100" w:line="360" w:lineRule="auto"/>
      <w:ind w:left="0" w:right="0" w:firstLine="200"/>
      <w:jc w:val="left"/>
      <w:textAlignment w:val="baseline"/>
    </w:pPr>
    <w:rPr>
      <w:rFonts w:ascii="Arial" w:hAnsi="Arial" w:cs="Arial"/>
      <w:kern w:val="0"/>
      <w:sz w:val="24"/>
      <w:szCs w:val="20"/>
    </w:rPr>
  </w:style>
  <w:style w:type="paragraph" w:customStyle="1" w:styleId="111">
    <w:name w:val="Char Char Char Char Char Char1 Char Char Char Char Char Char Char Char Char Char Char Char Char"/>
    <w:basedOn w:val="1"/>
    <w:qFormat/>
    <w:uiPriority w:val="0"/>
    <w:pPr>
      <w:widowControl/>
      <w:spacing w:before="0" w:after="160" w:line="240" w:lineRule="exact"/>
      <w:jc w:val="left"/>
    </w:pPr>
    <w:rPr>
      <w:rFonts w:ascii="Arial" w:hAnsi="Arial" w:eastAsia="Times New Roman" w:cs="Verdana"/>
      <w:b/>
      <w:kern w:val="0"/>
      <w:sz w:val="24"/>
      <w:lang w:eastAsia="en-US"/>
    </w:rPr>
  </w:style>
  <w:style w:type="paragraph" w:customStyle="1" w:styleId="112">
    <w:name w:val="--规划-表格-居中"/>
    <w:basedOn w:val="100"/>
    <w:qFormat/>
    <w:uiPriority w:val="0"/>
    <w:pPr>
      <w:spacing w:line="240" w:lineRule="auto"/>
      <w:ind w:left="0" w:right="0" w:firstLine="0"/>
      <w:jc w:val="center"/>
    </w:pPr>
    <w:rPr>
      <w:sz w:val="20"/>
    </w:rPr>
  </w:style>
  <w:style w:type="paragraph" w:customStyle="1" w:styleId="113">
    <w:name w:val="样式2"/>
    <w:basedOn w:val="114"/>
    <w:next w:val="115"/>
    <w:qFormat/>
    <w:uiPriority w:val="0"/>
    <w:pPr>
      <w:spacing w:before="120" w:after="120"/>
    </w:pPr>
    <w:rPr>
      <w:rFonts w:eastAsia="黑体"/>
      <w:b w:val="0"/>
      <w:sz w:val="30"/>
      <w:szCs w:val="30"/>
    </w:rPr>
  </w:style>
  <w:style w:type="paragraph" w:customStyle="1" w:styleId="114">
    <w:name w:val="Heading"/>
    <w:basedOn w:val="1"/>
    <w:next w:val="15"/>
    <w:qFormat/>
    <w:uiPriority w:val="0"/>
    <w:pPr>
      <w:spacing w:before="240" w:after="60"/>
      <w:jc w:val="center"/>
      <w:outlineLvl w:val="0"/>
    </w:pPr>
    <w:rPr>
      <w:rFonts w:ascii="Arial" w:hAnsi="Arial" w:eastAsia="隶书" w:cs="Arial"/>
      <w:b/>
      <w:bCs/>
      <w:kern w:val="0"/>
      <w:sz w:val="32"/>
      <w:szCs w:val="32"/>
    </w:rPr>
  </w:style>
  <w:style w:type="paragraph" w:customStyle="1" w:styleId="115">
    <w:name w:val="样式1"/>
    <w:basedOn w:val="114"/>
    <w:qFormat/>
    <w:uiPriority w:val="0"/>
    <w:pPr>
      <w:spacing w:before="120" w:after="120"/>
    </w:pPr>
    <w:rPr>
      <w:rFonts w:eastAsia="黑体"/>
      <w:b w:val="0"/>
      <w:sz w:val="30"/>
      <w:szCs w:val="21"/>
    </w:rPr>
  </w:style>
  <w:style w:type="paragraph" w:customStyle="1" w:styleId="116">
    <w:name w:val="6"/>
    <w:basedOn w:val="72"/>
    <w:qFormat/>
    <w:uiPriority w:val="0"/>
    <w:pPr>
      <w:spacing w:line="270" w:lineRule="atLeast"/>
      <w:jc w:val="both"/>
    </w:pPr>
    <w:rPr>
      <w:b w:val="0"/>
      <w:bCs w:val="0"/>
    </w:rPr>
  </w:style>
  <w:style w:type="paragraph" w:customStyle="1" w:styleId="117">
    <w:name w:val="text1"/>
    <w:basedOn w:val="1"/>
    <w:qFormat/>
    <w:uiPriority w:val="0"/>
    <w:pPr>
      <w:widowControl/>
      <w:spacing w:before="100" w:after="100"/>
      <w:jc w:val="left"/>
    </w:pPr>
    <w:rPr>
      <w:rFonts w:ascii="宋体" w:hAnsi="宋体" w:cs="宋体"/>
      <w:kern w:val="0"/>
      <w:sz w:val="24"/>
    </w:rPr>
  </w:style>
  <w:style w:type="paragraph" w:customStyle="1" w:styleId="118">
    <w:name w:val="图"/>
    <w:basedOn w:val="1"/>
    <w:qFormat/>
    <w:uiPriority w:val="0"/>
    <w:pPr>
      <w:keepNext/>
      <w:snapToGrid w:val="0"/>
      <w:spacing w:before="60" w:after="60" w:line="300" w:lineRule="auto"/>
      <w:jc w:val="center"/>
    </w:pPr>
    <w:rPr>
      <w:spacing w:val="20"/>
      <w:kern w:val="0"/>
      <w:sz w:val="24"/>
      <w:szCs w:val="20"/>
    </w:rPr>
  </w:style>
  <w:style w:type="character" w:customStyle="1" w:styleId="119">
    <w:name w:val="WW8Num7z0"/>
    <w:qFormat/>
    <w:uiPriority w:val="0"/>
  </w:style>
  <w:style w:type="paragraph" w:customStyle="1" w:styleId="120">
    <w:name w:val="封面文档标题"/>
    <w:basedOn w:val="1"/>
    <w:qFormat/>
    <w:uiPriority w:val="0"/>
    <w:pPr>
      <w:autoSpaceDE w:val="0"/>
      <w:spacing w:line="360" w:lineRule="auto"/>
      <w:jc w:val="center"/>
    </w:pPr>
    <w:rPr>
      <w:rFonts w:ascii="Arial" w:hAnsi="Arial" w:cs="Arial"/>
      <w:b/>
      <w:kern w:val="0"/>
      <w:sz w:val="56"/>
    </w:rPr>
  </w:style>
  <w:style w:type="paragraph" w:customStyle="1" w:styleId="121">
    <w:name w:val="HTML 预设格式1"/>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Unicode MS" w:hAnsi="Arial Unicode MS" w:eastAsia="Arial Unicode MS" w:cs="Arial Unicode MS"/>
      <w:color w:val="000000"/>
      <w:kern w:val="0"/>
      <w:sz w:val="20"/>
      <w:szCs w:val="20"/>
    </w:rPr>
  </w:style>
  <w:style w:type="character" w:customStyle="1" w:styleId="122">
    <w:name w:val="正文文本缩进 字符"/>
    <w:qFormat/>
    <w:uiPriority w:val="0"/>
    <w:rPr>
      <w:rFonts w:ascii="Calibri" w:hAnsi="Calibri" w:eastAsia="宋体" w:cs="Times New Roman"/>
      <w:szCs w:val="24"/>
    </w:rPr>
  </w:style>
  <w:style w:type="paragraph" w:customStyle="1" w:styleId="123">
    <w:name w:val="汉议细等线简8"/>
    <w:qFormat/>
    <w:uiPriority w:val="0"/>
    <w:pPr>
      <w:widowControl w:val="0"/>
      <w:suppressAutoHyphens/>
      <w:autoSpaceDE w:val="0"/>
      <w:bidi w:val="0"/>
      <w:spacing w:line="260" w:lineRule="atLeast"/>
      <w:jc w:val="both"/>
    </w:pPr>
    <w:rPr>
      <w:rFonts w:ascii="汉仪细等线简;宋体" w:hAnsi="汉仪细等线简;宋体" w:eastAsia="汉仪细等线简;宋体" w:cs="Times New Roman"/>
      <w:color w:val="000000"/>
      <w:sz w:val="16"/>
      <w:szCs w:val="16"/>
      <w:lang w:val="en-US" w:eastAsia="zh-CN" w:bidi="ar-SA"/>
    </w:rPr>
  </w:style>
  <w:style w:type="character" w:customStyle="1" w:styleId="124">
    <w:name w:val="批注主题 字符"/>
    <w:basedOn w:val="125"/>
    <w:qFormat/>
    <w:uiPriority w:val="0"/>
  </w:style>
  <w:style w:type="character" w:customStyle="1" w:styleId="125">
    <w:name w:val="批注文字 字符"/>
    <w:qFormat/>
    <w:uiPriority w:val="0"/>
    <w:rPr>
      <w:rFonts w:ascii="宋体" w:hAnsi="宋体" w:eastAsia="宋体" w:cs="Times New Roman"/>
      <w:kern w:val="0"/>
      <w:sz w:val="34"/>
      <w:szCs w:val="20"/>
    </w:rPr>
  </w:style>
  <w:style w:type="paragraph" w:customStyle="1" w:styleId="126">
    <w:name w:val="Header and Footer"/>
    <w:basedOn w:val="1"/>
    <w:qFormat/>
    <w:uiPriority w:val="0"/>
    <w:pPr>
      <w:suppressLineNumbers/>
      <w:tabs>
        <w:tab w:val="center" w:pos="4819"/>
        <w:tab w:val="right" w:pos="9638"/>
      </w:tabs>
    </w:pPr>
  </w:style>
  <w:style w:type="paragraph" w:customStyle="1" w:styleId="127">
    <w:name w:val="xl24"/>
    <w:basedOn w:val="1"/>
    <w:qFormat/>
    <w:uiPriority w:val="0"/>
    <w:pPr>
      <w:widowControl/>
      <w:pBdr>
        <w:top w:val="single" w:color="000000" w:sz="4" w:space="0"/>
        <w:left w:val="single" w:color="000000" w:sz="4" w:space="0"/>
        <w:bottom w:val="single" w:color="000000" w:sz="4" w:space="0"/>
        <w:right w:val="single" w:color="000000" w:sz="4" w:space="0"/>
      </w:pBdr>
      <w:spacing w:before="100" w:after="100"/>
      <w:jc w:val="left"/>
    </w:pPr>
    <w:rPr>
      <w:rFonts w:ascii="宋体" w:hAnsi="宋体" w:cs="宋体"/>
      <w:kern w:val="0"/>
      <w:sz w:val="24"/>
    </w:rPr>
  </w:style>
  <w:style w:type="paragraph" w:customStyle="1" w:styleId="128">
    <w:name w:val="a14"/>
    <w:basedOn w:val="1"/>
    <w:qFormat/>
    <w:uiPriority w:val="0"/>
    <w:pPr>
      <w:widowControl/>
      <w:spacing w:before="100" w:after="100" w:line="300" w:lineRule="atLeast"/>
      <w:ind w:left="0" w:right="0" w:firstLine="375"/>
      <w:jc w:val="left"/>
    </w:pPr>
    <w:rPr>
      <w:rFonts w:ascii="宋体" w:hAnsi="宋体" w:cs="宋体"/>
      <w:kern w:val="0"/>
      <w:szCs w:val="21"/>
    </w:rPr>
  </w:style>
  <w:style w:type="paragraph" w:customStyle="1" w:styleId="129">
    <w:name w:val="缩进正文"/>
    <w:basedOn w:val="1"/>
    <w:qFormat/>
    <w:uiPriority w:val="0"/>
    <w:pPr>
      <w:ind w:left="0" w:right="0" w:firstLine="560"/>
    </w:pPr>
    <w:rPr>
      <w:rFonts w:eastAsia="仿宋_GB2312"/>
      <w:kern w:val="0"/>
      <w:sz w:val="28"/>
      <w:szCs w:val="20"/>
    </w:rPr>
  </w:style>
  <w:style w:type="paragraph" w:customStyle="1" w:styleId="130">
    <w:name w:val="题注1"/>
    <w:basedOn w:val="1"/>
    <w:next w:val="1"/>
    <w:qFormat/>
    <w:uiPriority w:val="0"/>
    <w:pPr>
      <w:widowControl/>
      <w:spacing w:line="360" w:lineRule="auto"/>
      <w:ind w:left="0" w:right="0" w:firstLine="1940"/>
      <w:jc w:val="left"/>
    </w:pPr>
    <w:rPr>
      <w:rFonts w:ascii="宋体" w:hAnsi="宋体" w:cs="宋体"/>
      <w:b/>
      <w:bCs/>
      <w:kern w:val="0"/>
      <w:sz w:val="20"/>
      <w:szCs w:val="20"/>
    </w:rPr>
  </w:style>
  <w:style w:type="paragraph" w:customStyle="1" w:styleId="131">
    <w:name w:val="正文1"/>
    <w:basedOn w:val="1"/>
    <w:qFormat/>
    <w:uiPriority w:val="0"/>
    <w:pPr>
      <w:spacing w:line="318" w:lineRule="atLeast"/>
      <w:ind w:left="369" w:right="0" w:firstLine="369"/>
    </w:pPr>
    <w:rPr>
      <w:rFonts w:ascii="宋体" w:hAnsi="宋体"/>
    </w:rPr>
  </w:style>
  <w:style w:type="character" w:customStyle="1" w:styleId="132">
    <w:name w:val="Default Char"/>
    <w:qFormat/>
    <w:uiPriority w:val="0"/>
    <w:rPr>
      <w:rFonts w:ascii="H Yb 2gj;宋体" w:hAnsi="H Yb 2gj;宋体" w:eastAsia="H Yb 2gj;宋体"/>
      <w:color w:val="000000"/>
      <w:sz w:val="24"/>
      <w:szCs w:val="24"/>
      <w:lang w:bidi="ar-SA"/>
    </w:rPr>
  </w:style>
  <w:style w:type="paragraph" w:customStyle="1" w:styleId="133">
    <w:name w:val="首行缩进:  0.85 厘米"/>
    <w:basedOn w:val="1"/>
    <w:qFormat/>
    <w:uiPriority w:val="0"/>
    <w:pPr>
      <w:widowControl/>
      <w:spacing w:before="0" w:after="100" w:line="360" w:lineRule="auto"/>
      <w:ind w:left="0" w:right="0" w:firstLine="482"/>
      <w:jc w:val="left"/>
    </w:pPr>
    <w:rPr>
      <w:rFonts w:cs="宋体"/>
      <w:kern w:val="0"/>
      <w:sz w:val="24"/>
      <w:szCs w:val="20"/>
      <w:lang w:eastAsia="en-US" w:bidi="en-US"/>
    </w:rPr>
  </w:style>
  <w:style w:type="character" w:customStyle="1" w:styleId="134">
    <w:name w:val="_Style 192"/>
    <w:qFormat/>
    <w:uiPriority w:val="0"/>
    <w:rPr>
      <w:color w:val="605E5C"/>
      <w:shd w:val="clear" w:fill="E1DFDD"/>
    </w:rPr>
  </w:style>
  <w:style w:type="paragraph" w:customStyle="1" w:styleId="135">
    <w:name w:val="样式4"/>
    <w:basedOn w:val="1"/>
    <w:qFormat/>
    <w:uiPriority w:val="0"/>
    <w:pPr>
      <w:tabs>
        <w:tab w:val="left" w:pos="842"/>
      </w:tabs>
      <w:spacing w:line="360" w:lineRule="auto"/>
      <w:ind w:left="842" w:right="0" w:hanging="420"/>
    </w:pPr>
    <w:rPr>
      <w:sz w:val="24"/>
    </w:rPr>
  </w:style>
  <w:style w:type="character" w:customStyle="1" w:styleId="136">
    <w:name w:val="标题 字符"/>
    <w:qFormat/>
    <w:uiPriority w:val="0"/>
    <w:rPr>
      <w:rFonts w:ascii="Arial" w:hAnsi="Arial" w:eastAsia="隶书" w:cs="Arial"/>
      <w:b/>
      <w:bCs/>
      <w:sz w:val="32"/>
      <w:szCs w:val="32"/>
    </w:rPr>
  </w:style>
  <w:style w:type="character" w:customStyle="1" w:styleId="137">
    <w:name w:val="content1"/>
    <w:qFormat/>
    <w:uiPriority w:val="0"/>
    <w:rPr>
      <w:rFonts w:ascii="??;Segoe Print" w:hAnsi="??;Segoe Print" w:cs="??;Segoe Print"/>
      <w:sz w:val="16"/>
      <w:szCs w:val="16"/>
      <w:u w:val="none"/>
    </w:rPr>
  </w:style>
  <w:style w:type="paragraph" w:customStyle="1" w:styleId="138">
    <w:name w:val="普通(网站)1"/>
    <w:basedOn w:val="1"/>
    <w:qFormat/>
    <w:uiPriority w:val="0"/>
    <w:pPr>
      <w:spacing w:before="280" w:after="280"/>
      <w:jc w:val="left"/>
    </w:pPr>
    <w:rPr>
      <w:kern w:val="0"/>
      <w:sz w:val="24"/>
    </w:rPr>
  </w:style>
  <w:style w:type="paragraph" w:customStyle="1" w:styleId="139">
    <w:name w:val="--规划-图和表"/>
    <w:next w:val="100"/>
    <w:qFormat/>
    <w:uiPriority w:val="0"/>
    <w:pPr>
      <w:widowControl/>
      <w:suppressAutoHyphens/>
      <w:bidi w:val="0"/>
      <w:jc w:val="center"/>
    </w:pPr>
    <w:rPr>
      <w:rFonts w:ascii="Times New Roman" w:hAnsi="Times New Roman" w:eastAsia="宋体" w:cs="Times New Roman"/>
      <w:color w:val="auto"/>
      <w:kern w:val="2"/>
      <w:sz w:val="21"/>
      <w:szCs w:val="20"/>
      <w:lang w:val="en-US" w:eastAsia="zh-CN" w:bidi="ar-SA"/>
    </w:rPr>
  </w:style>
  <w:style w:type="character" w:customStyle="1" w:styleId="140">
    <w:name w:val="font11"/>
    <w:qFormat/>
    <w:uiPriority w:val="0"/>
    <w:rPr>
      <w:rFonts w:ascii="ˎ̥;微软雅黑" w:hAnsi="ˎ̥;微软雅黑" w:cs="ˎ̥;微软雅黑"/>
    </w:rPr>
  </w:style>
  <w:style w:type="character" w:customStyle="1" w:styleId="141">
    <w:name w:val="正文文本首行缩进 2 字符"/>
    <w:qFormat/>
    <w:uiPriority w:val="0"/>
    <w:rPr>
      <w:rFonts w:ascii="Times New Roman" w:hAnsi="Times New Roman" w:eastAsia="宋体" w:cs="Times New Roman"/>
      <w:szCs w:val="24"/>
    </w:rPr>
  </w:style>
  <w:style w:type="paragraph" w:customStyle="1" w:styleId="142">
    <w:name w:val="*正文"/>
    <w:basedOn w:val="1"/>
    <w:qFormat/>
    <w:uiPriority w:val="0"/>
    <w:pPr>
      <w:spacing w:line="360" w:lineRule="auto"/>
      <w:ind w:left="0" w:right="0" w:firstLine="200"/>
    </w:pPr>
    <w:rPr>
      <w:rFonts w:ascii="宋体" w:hAnsi="宋体" w:cs="宋体"/>
      <w:kern w:val="0"/>
      <w:sz w:val="24"/>
    </w:rPr>
  </w:style>
  <w:style w:type="character" w:customStyle="1" w:styleId="143">
    <w:name w:val="font21"/>
    <w:qFormat/>
    <w:uiPriority w:val="0"/>
    <w:rPr>
      <w:rFonts w:ascii="宋体" w:hAnsi="宋体" w:eastAsia="宋体" w:cs="宋体"/>
      <w:color w:val="000000"/>
      <w:sz w:val="24"/>
      <w:szCs w:val="24"/>
      <w:u w:val="none"/>
    </w:rPr>
  </w:style>
  <w:style w:type="paragraph" w:customStyle="1" w:styleId="144">
    <w:name w:val="USE 1"/>
    <w:basedOn w:val="1"/>
    <w:qFormat/>
    <w:uiPriority w:val="0"/>
    <w:pPr>
      <w:spacing w:line="200" w:lineRule="atLeast"/>
      <w:jc w:val="left"/>
    </w:pPr>
    <w:rPr>
      <w:rFonts w:ascii="宋体" w:hAnsi="宋体" w:cs="宋体"/>
      <w:b/>
      <w:sz w:val="24"/>
      <w:szCs w:val="28"/>
    </w:rPr>
  </w:style>
  <w:style w:type="character" w:customStyle="1" w:styleId="145">
    <w:name w:val="hilite"/>
    <w:qFormat/>
    <w:uiPriority w:val="0"/>
    <w:rPr>
      <w:color w:val="000000"/>
    </w:rPr>
  </w:style>
  <w:style w:type="character" w:customStyle="1" w:styleId="146">
    <w:name w:val="WW8Num6z0"/>
    <w:qFormat/>
    <w:uiPriority w:val="0"/>
    <w:rPr>
      <w:rFonts w:ascii="Symbol" w:hAnsi="Symbol" w:cs="Symbol"/>
    </w:rPr>
  </w:style>
  <w:style w:type="paragraph" w:customStyle="1" w:styleId="147">
    <w:name w:val="文档结构图1"/>
    <w:basedOn w:val="1"/>
    <w:qFormat/>
    <w:uiPriority w:val="0"/>
    <w:pPr>
      <w:shd w:val="clear" w:fill="000080"/>
    </w:pPr>
  </w:style>
  <w:style w:type="paragraph" w:customStyle="1" w:styleId="148">
    <w:name w:val="列出段落1"/>
    <w:basedOn w:val="1"/>
    <w:qFormat/>
    <w:uiPriority w:val="0"/>
    <w:pPr>
      <w:ind w:left="0" w:right="0" w:firstLine="420"/>
    </w:pPr>
    <w:rPr>
      <w:rFonts w:cs="Calibri"/>
      <w:szCs w:val="21"/>
    </w:rPr>
  </w:style>
  <w:style w:type="paragraph" w:customStyle="1" w:styleId="149">
    <w:name w:val="姜文清定义的正文"/>
    <w:basedOn w:val="1"/>
    <w:qFormat/>
    <w:uiPriority w:val="0"/>
    <w:pPr>
      <w:spacing w:line="240" w:lineRule="atLeast"/>
      <w:ind w:left="0" w:right="0" w:firstLine="567"/>
    </w:pPr>
    <w:rPr>
      <w:szCs w:val="20"/>
    </w:rPr>
  </w:style>
  <w:style w:type="paragraph" w:customStyle="1" w:styleId="150">
    <w:name w:val="Char Char Char Char1"/>
    <w:basedOn w:val="1"/>
    <w:qFormat/>
    <w:uiPriority w:val="0"/>
    <w:pPr>
      <w:widowControl/>
      <w:spacing w:before="0" w:after="160" w:line="240" w:lineRule="exact"/>
      <w:jc w:val="left"/>
    </w:pPr>
    <w:rPr>
      <w:rFonts w:ascii="Verdana" w:hAnsi="Verdana" w:eastAsia="仿宋_GB2312" w:cs="Verdana"/>
      <w:kern w:val="0"/>
      <w:sz w:val="24"/>
      <w:szCs w:val="20"/>
      <w:lang w:eastAsia="en-US"/>
    </w:rPr>
  </w:style>
  <w:style w:type="paragraph" w:customStyle="1" w:styleId="151">
    <w:name w:val="表格文字"/>
    <w:basedOn w:val="1"/>
    <w:qFormat/>
    <w:uiPriority w:val="0"/>
    <w:pPr>
      <w:spacing w:before="25" w:after="25"/>
      <w:jc w:val="left"/>
    </w:pPr>
    <w:rPr>
      <w:bCs/>
      <w:spacing w:val="10"/>
      <w:kern w:val="0"/>
      <w:sz w:val="24"/>
    </w:rPr>
  </w:style>
  <w:style w:type="character" w:customStyle="1" w:styleId="152">
    <w:name w:val="style9"/>
    <w:basedOn w:val="33"/>
    <w:qFormat/>
    <w:uiPriority w:val="0"/>
  </w:style>
  <w:style w:type="character" w:customStyle="1" w:styleId="153">
    <w:name w:val="批注框文本 字符"/>
    <w:qFormat/>
    <w:uiPriority w:val="0"/>
    <w:rPr>
      <w:rFonts w:ascii="Calibri" w:hAnsi="Calibri" w:eastAsia="宋体" w:cs="Times New Roman"/>
      <w:sz w:val="18"/>
      <w:szCs w:val="18"/>
    </w:rPr>
  </w:style>
  <w:style w:type="paragraph" w:customStyle="1" w:styleId="154">
    <w:name w:val="保留正文"/>
    <w:basedOn w:val="15"/>
    <w:qFormat/>
    <w:uiPriority w:val="0"/>
    <w:pPr>
      <w:keepNext/>
      <w:tabs>
        <w:tab w:val="left" w:pos="562"/>
        <w:tab w:val="left" w:pos="3372"/>
        <w:tab w:val="left" w:pos="3653"/>
      </w:tabs>
      <w:spacing w:before="0" w:after="160"/>
    </w:pPr>
    <w:rPr>
      <w:sz w:val="21"/>
    </w:rPr>
  </w:style>
  <w:style w:type="paragraph" w:customStyle="1" w:styleId="155">
    <w:name w:val="--规划-表格-居左"/>
    <w:basedOn w:val="100"/>
    <w:qFormat/>
    <w:uiPriority w:val="0"/>
    <w:pPr>
      <w:spacing w:line="240" w:lineRule="auto"/>
      <w:ind w:left="0" w:right="0" w:firstLine="0"/>
    </w:pPr>
    <w:rPr>
      <w:sz w:val="20"/>
    </w:rPr>
  </w:style>
  <w:style w:type="paragraph" w:customStyle="1" w:styleId="156">
    <w:name w:val="Char Char Char Char Char Char1 Char"/>
    <w:basedOn w:val="1"/>
    <w:qFormat/>
    <w:uiPriority w:val="0"/>
    <w:pPr>
      <w:widowControl/>
      <w:spacing w:before="0" w:after="160" w:line="240" w:lineRule="exact"/>
      <w:jc w:val="left"/>
    </w:pPr>
    <w:rPr>
      <w:rFonts w:ascii="Verdana" w:hAnsi="Verdana" w:cs="Verdana"/>
      <w:kern w:val="0"/>
      <w:szCs w:val="20"/>
      <w:lang w:eastAsia="en-US"/>
    </w:rPr>
  </w:style>
  <w:style w:type="paragraph" w:customStyle="1" w:styleId="157">
    <w:name w:val="编号1"/>
    <w:basedOn w:val="1"/>
    <w:qFormat/>
    <w:uiPriority w:val="0"/>
    <w:pPr>
      <w:numPr>
        <w:ilvl w:val="0"/>
        <w:numId w:val="4"/>
      </w:numPr>
      <w:tabs>
        <w:tab w:val="left" w:pos="360"/>
      </w:tabs>
      <w:spacing w:line="300" w:lineRule="auto"/>
      <w:ind w:left="0" w:right="210" w:firstLine="0"/>
      <w:textAlignment w:val="center"/>
    </w:pPr>
    <w:rPr>
      <w:rFonts w:ascii="宋体" w:hAnsi="宋体" w:cs="宋体"/>
      <w:spacing w:val="10"/>
      <w:kern w:val="2"/>
    </w:rPr>
  </w:style>
  <w:style w:type="paragraph" w:customStyle="1" w:styleId="158">
    <w:name w:val="style2"/>
    <w:basedOn w:val="1"/>
    <w:qFormat/>
    <w:uiPriority w:val="0"/>
    <w:pPr>
      <w:widowControl/>
      <w:spacing w:before="100" w:after="100"/>
      <w:jc w:val="left"/>
    </w:pPr>
    <w:rPr>
      <w:rFonts w:ascii="宋体" w:hAnsi="宋体" w:cs="宋体"/>
      <w:kern w:val="0"/>
      <w:sz w:val="18"/>
      <w:szCs w:val="18"/>
    </w:rPr>
  </w:style>
  <w:style w:type="character" w:customStyle="1" w:styleId="159">
    <w:name w:val="H4 Char2"/>
    <w:qFormat/>
    <w:uiPriority w:val="0"/>
    <w:rPr>
      <w:rFonts w:ascii="Arial" w:hAnsi="Arial" w:eastAsia="黑体" w:cs="Arial"/>
      <w:b/>
      <w:bCs/>
      <w:kern w:val="2"/>
      <w:sz w:val="28"/>
      <w:szCs w:val="28"/>
      <w:lang w:val="en-US" w:eastAsia="zh-CN" w:bidi="ar-SA"/>
    </w:rPr>
  </w:style>
  <w:style w:type="paragraph" w:customStyle="1" w:styleId="160">
    <w:name w:val="正文样式"/>
    <w:basedOn w:val="1"/>
    <w:qFormat/>
    <w:uiPriority w:val="0"/>
    <w:pPr>
      <w:spacing w:line="400" w:lineRule="atLeast"/>
      <w:ind w:left="0" w:right="0" w:firstLine="570"/>
      <w:textAlignment w:val="baseline"/>
    </w:pPr>
    <w:rPr>
      <w:rFonts w:eastAsia="仿宋_GB2312"/>
      <w:kern w:val="0"/>
      <w:sz w:val="28"/>
      <w:szCs w:val="20"/>
    </w:rPr>
  </w:style>
  <w:style w:type="character" w:customStyle="1" w:styleId="161">
    <w:name w:val="章标题1 Char"/>
    <w:qFormat/>
    <w:uiPriority w:val="0"/>
    <w:rPr>
      <w:rFonts w:eastAsia="宋体"/>
      <w:b/>
      <w:bCs/>
      <w:kern w:val="2"/>
      <w:sz w:val="32"/>
      <w:szCs w:val="32"/>
      <w:lang w:val="en-US" w:eastAsia="zh-CN" w:bidi="ar-SA"/>
    </w:rPr>
  </w:style>
  <w:style w:type="paragraph" w:customStyle="1" w:styleId="162">
    <w:name w:val="z-窗体顶端1"/>
    <w:basedOn w:val="1"/>
    <w:next w:val="1"/>
    <w:qFormat/>
    <w:uiPriority w:val="0"/>
    <w:pPr>
      <w:widowControl/>
      <w:pBdr>
        <w:bottom w:val="single" w:color="000000" w:sz="6" w:space="1"/>
      </w:pBdr>
      <w:jc w:val="center"/>
    </w:pPr>
    <w:rPr>
      <w:rFonts w:ascii="Arial" w:hAnsi="Arial" w:cs="Arial"/>
      <w:vanish/>
      <w:kern w:val="0"/>
      <w:sz w:val="16"/>
      <w:szCs w:val="16"/>
    </w:rPr>
  </w:style>
  <w:style w:type="paragraph" w:customStyle="1" w:styleId="163">
    <w:name w:val="表格字"/>
    <w:basedOn w:val="1"/>
    <w:qFormat/>
    <w:uiPriority w:val="0"/>
    <w:pPr>
      <w:jc w:val="center"/>
    </w:pPr>
    <w:rPr>
      <w:rFonts w:ascii="宋体" w:hAnsi="宋体"/>
      <w:sz w:val="24"/>
      <w:szCs w:val="20"/>
    </w:rPr>
  </w:style>
  <w:style w:type="paragraph" w:customStyle="1" w:styleId="164">
    <w:name w:val="设计依据"/>
    <w:basedOn w:val="15"/>
    <w:qFormat/>
    <w:uiPriority w:val="0"/>
    <w:pPr>
      <w:numPr>
        <w:ilvl w:val="0"/>
        <w:numId w:val="5"/>
      </w:numPr>
      <w:tabs>
        <w:tab w:val="left" w:pos="1440"/>
      </w:tabs>
      <w:ind w:left="1440" w:right="0" w:firstLine="0"/>
      <w:textAlignment w:val="baseline"/>
    </w:pPr>
    <w:rPr>
      <w:rFonts w:ascii="宋体" w:hAnsi="宋体" w:cs="宋体"/>
      <w:b w:val="0"/>
      <w:kern w:val="0"/>
      <w:sz w:val="28"/>
      <w:szCs w:val="18"/>
    </w:rPr>
  </w:style>
  <w:style w:type="character" w:customStyle="1" w:styleId="165">
    <w:name w:val="纯文本 字符"/>
    <w:qFormat/>
    <w:uiPriority w:val="0"/>
    <w:rPr>
      <w:rFonts w:ascii="宋体" w:hAnsi="宋体" w:eastAsia="宋体" w:cs="Times New Roman"/>
      <w:szCs w:val="20"/>
    </w:rPr>
  </w:style>
  <w:style w:type="character" w:customStyle="1" w:styleId="166">
    <w:name w:val="inline-help"/>
    <w:basedOn w:val="33"/>
    <w:qFormat/>
    <w:uiPriority w:val="0"/>
  </w:style>
  <w:style w:type="character" w:customStyle="1" w:styleId="167">
    <w:name w:val="text"/>
    <w:basedOn w:val="33"/>
    <w:qFormat/>
    <w:uiPriority w:val="0"/>
  </w:style>
  <w:style w:type="character" w:customStyle="1" w:styleId="168">
    <w:name w:val="grame"/>
    <w:basedOn w:val="33"/>
    <w:qFormat/>
    <w:uiPriority w:val="0"/>
  </w:style>
  <w:style w:type="paragraph" w:customStyle="1" w:styleId="169">
    <w:name w:val="Char"/>
    <w:basedOn w:val="1"/>
    <w:qFormat/>
    <w:uiPriority w:val="0"/>
    <w:pPr>
      <w:widowControl/>
      <w:spacing w:before="0" w:after="160" w:line="240" w:lineRule="exact"/>
      <w:jc w:val="left"/>
    </w:pPr>
    <w:rPr>
      <w:rFonts w:ascii="Verdana" w:hAnsi="Verdana" w:eastAsia="仿宋_GB2312" w:cs="Verdana"/>
      <w:kern w:val="0"/>
      <w:sz w:val="24"/>
      <w:szCs w:val="20"/>
      <w:lang w:eastAsia="en-US"/>
    </w:rPr>
  </w:style>
  <w:style w:type="paragraph" w:customStyle="1" w:styleId="170">
    <w:name w:val=".."/>
    <w:basedOn w:val="1"/>
    <w:next w:val="1"/>
    <w:qFormat/>
    <w:uiPriority w:val="0"/>
    <w:pPr>
      <w:autoSpaceDE w:val="0"/>
      <w:jc w:val="left"/>
    </w:pPr>
    <w:rPr>
      <w:rFonts w:ascii="Arial Unicode MS" w:hAnsi="Arial Unicode MS" w:eastAsia="Arial Unicode MS" w:cs="Times New Roman"/>
      <w:kern w:val="0"/>
      <w:sz w:val="24"/>
    </w:rPr>
  </w:style>
  <w:style w:type="character" w:customStyle="1" w:styleId="171">
    <w:name w:val="正文文本首行缩进 字符"/>
    <w:basedOn w:val="172"/>
    <w:qFormat/>
    <w:uiPriority w:val="0"/>
  </w:style>
  <w:style w:type="character" w:customStyle="1" w:styleId="172">
    <w:name w:val="正文文本 字符"/>
    <w:qFormat/>
    <w:uiPriority w:val="0"/>
    <w:rPr>
      <w:rFonts w:ascii="Calibri" w:hAnsi="Calibri" w:eastAsia="宋体" w:cs="Times New Roman"/>
      <w:b/>
      <w:bCs/>
      <w:sz w:val="24"/>
      <w:szCs w:val="24"/>
    </w:rPr>
  </w:style>
  <w:style w:type="character" w:customStyle="1" w:styleId="173">
    <w:name w:val="unnamed3"/>
    <w:basedOn w:val="33"/>
    <w:qFormat/>
    <w:uiPriority w:val="0"/>
  </w:style>
  <w:style w:type="character" w:customStyle="1" w:styleId="174">
    <w:name w:val="WW8Num4z0"/>
    <w:qFormat/>
    <w:uiPriority w:val="0"/>
    <w:rPr>
      <w:rFonts w:ascii="Wingdings" w:hAnsi="Wingdings" w:cs="Wingdings"/>
    </w:rPr>
  </w:style>
  <w:style w:type="paragraph" w:customStyle="1" w:styleId="175">
    <w:name w:val="日期1"/>
    <w:basedOn w:val="1"/>
    <w:next w:val="1"/>
    <w:qFormat/>
    <w:uiPriority w:val="0"/>
    <w:rPr>
      <w:rFonts w:ascii="宋体" w:hAnsi="宋体" w:cs="Courier New"/>
      <w:sz w:val="32"/>
      <w:szCs w:val="20"/>
    </w:rPr>
  </w:style>
  <w:style w:type="paragraph" w:customStyle="1" w:styleId="176">
    <w:name w:val="正文文本 21"/>
    <w:basedOn w:val="1"/>
    <w:qFormat/>
    <w:uiPriority w:val="0"/>
    <w:pPr>
      <w:spacing w:line="360" w:lineRule="auto"/>
    </w:pPr>
    <w:rPr>
      <w:sz w:val="24"/>
    </w:rPr>
  </w:style>
  <w:style w:type="paragraph" w:customStyle="1" w:styleId="177">
    <w:name w:val="font5"/>
    <w:basedOn w:val="1"/>
    <w:qFormat/>
    <w:uiPriority w:val="0"/>
    <w:pPr>
      <w:widowControl/>
      <w:spacing w:before="100" w:after="100"/>
      <w:jc w:val="left"/>
    </w:pPr>
    <w:rPr>
      <w:rFonts w:ascii="宋体" w:hAnsi="宋体" w:cs="宋体"/>
      <w:kern w:val="0"/>
      <w:sz w:val="18"/>
      <w:szCs w:val="18"/>
    </w:rPr>
  </w:style>
  <w:style w:type="character" w:customStyle="1" w:styleId="178">
    <w:name w:val="标题 3 Char Char"/>
    <w:qFormat/>
    <w:uiPriority w:val="0"/>
    <w:rPr>
      <w:rFonts w:eastAsia="宋体"/>
      <w:b/>
      <w:bCs/>
      <w:kern w:val="2"/>
      <w:sz w:val="32"/>
      <w:szCs w:val="32"/>
      <w:lang w:val="en-US" w:eastAsia="zh-CN" w:bidi="ar-SA"/>
    </w:rPr>
  </w:style>
  <w:style w:type="character" w:customStyle="1" w:styleId="179">
    <w:name w:val="标题 2 字符"/>
    <w:qFormat/>
    <w:uiPriority w:val="0"/>
    <w:rPr>
      <w:rFonts w:ascii="Calibri" w:hAnsi="Calibri" w:eastAsia="宋体" w:cs="Times New Roman"/>
      <w:kern w:val="0"/>
      <w:sz w:val="24"/>
      <w:szCs w:val="20"/>
    </w:rPr>
  </w:style>
  <w:style w:type="character" w:customStyle="1" w:styleId="180">
    <w:name w:val="页眉 字符"/>
    <w:qFormat/>
    <w:uiPriority w:val="0"/>
    <w:rPr>
      <w:sz w:val="18"/>
      <w:szCs w:val="18"/>
    </w:rPr>
  </w:style>
  <w:style w:type="paragraph" w:customStyle="1" w:styleId="181">
    <w:name w:val="自定义正文"/>
    <w:basedOn w:val="1"/>
    <w:qFormat/>
    <w:uiPriority w:val="0"/>
    <w:pPr>
      <w:ind w:left="600" w:right="0" w:firstLine="0"/>
    </w:pPr>
  </w:style>
  <w:style w:type="character" w:customStyle="1" w:styleId="182">
    <w:name w:val="标题 6 字符"/>
    <w:qFormat/>
    <w:uiPriority w:val="0"/>
    <w:rPr>
      <w:rFonts w:ascii="Arial" w:hAnsi="Arial" w:eastAsia="黑体" w:cs="Times New Roman"/>
      <w:b/>
      <w:sz w:val="24"/>
      <w:szCs w:val="20"/>
    </w:rPr>
  </w:style>
  <w:style w:type="paragraph" w:customStyle="1" w:styleId="183">
    <w:name w:val="xl25"/>
    <w:basedOn w:val="1"/>
    <w:qFormat/>
    <w:uiPriority w:val="0"/>
    <w:pPr>
      <w:widowControl/>
      <w:pBdr>
        <w:top w:val="single" w:color="000000" w:sz="4" w:space="0"/>
        <w:left w:val="single" w:color="000000" w:sz="4" w:space="0"/>
        <w:bottom w:val="single" w:color="000000" w:sz="4" w:space="0"/>
        <w:right w:val="single" w:color="000000" w:sz="4" w:space="0"/>
      </w:pBdr>
      <w:spacing w:before="100" w:after="100"/>
      <w:jc w:val="center"/>
    </w:pPr>
    <w:rPr>
      <w:rFonts w:ascii="宋体" w:hAnsi="宋体" w:cs="宋体"/>
      <w:kern w:val="0"/>
      <w:sz w:val="24"/>
    </w:rPr>
  </w:style>
  <w:style w:type="paragraph" w:customStyle="1" w:styleId="184">
    <w:name w:val="_Style 1"/>
    <w:qFormat/>
    <w:uiPriority w:val="0"/>
    <w:pPr>
      <w:widowControl/>
      <w:suppressAutoHyphens/>
      <w:bidi w:val="0"/>
      <w:snapToGrid w:val="0"/>
    </w:pPr>
    <w:rPr>
      <w:rFonts w:ascii="Tahoma" w:hAnsi="Tahoma" w:eastAsia="宋体" w:cs="Tahoma"/>
      <w:color w:val="auto"/>
      <w:sz w:val="22"/>
      <w:szCs w:val="22"/>
      <w:lang w:val="en-US" w:eastAsia="zh-CN" w:bidi="ar-SA"/>
    </w:rPr>
  </w:style>
  <w:style w:type="paragraph" w:customStyle="1" w:styleId="185">
    <w:name w:val="Char Char Char Char Char Char Char Char Char Char Char Char Char Char Char Char Char Char Char Char Char Char"/>
    <w:basedOn w:val="1"/>
    <w:qFormat/>
    <w:uiPriority w:val="0"/>
    <w:pPr>
      <w:widowControl/>
      <w:spacing w:line="400" w:lineRule="exact"/>
      <w:jc w:val="center"/>
    </w:pPr>
    <w:rPr>
      <w:rFonts w:ascii="Verdana" w:hAnsi="Verdana" w:cs="Verdana"/>
      <w:kern w:val="0"/>
      <w:szCs w:val="20"/>
      <w:lang w:eastAsia="en-US"/>
    </w:rPr>
  </w:style>
  <w:style w:type="paragraph" w:customStyle="1" w:styleId="186">
    <w:name w:val="RFI text from 3rd Level"/>
    <w:basedOn w:val="1"/>
    <w:qFormat/>
    <w:uiPriority w:val="0"/>
    <w:pPr>
      <w:widowControl/>
      <w:numPr>
        <w:ilvl w:val="0"/>
        <w:numId w:val="6"/>
      </w:numPr>
      <w:tabs>
        <w:tab w:val="left" w:pos="1080"/>
      </w:tabs>
      <w:spacing w:line="360" w:lineRule="auto"/>
      <w:ind w:left="0" w:right="0" w:firstLine="0"/>
    </w:pPr>
    <w:rPr>
      <w:rFonts w:ascii="Arial (W1);Arial" w:hAnsi="Arial (W1);Arial" w:cs="Arial (W1);Arial"/>
      <w:bCs/>
      <w:kern w:val="0"/>
      <w:sz w:val="24"/>
      <w:lang w:val="en-GB"/>
    </w:rPr>
  </w:style>
  <w:style w:type="character" w:customStyle="1" w:styleId="187">
    <w:name w:val="二 Char"/>
    <w:qFormat/>
    <w:uiPriority w:val="0"/>
    <w:rPr>
      <w:rFonts w:ascii="宋体" w:hAnsi="宋体" w:cs="宋体"/>
      <w:b/>
      <w:color w:val="000000"/>
      <w:sz w:val="24"/>
      <w:szCs w:val="24"/>
    </w:rPr>
  </w:style>
  <w:style w:type="paragraph" w:customStyle="1" w:styleId="188">
    <w:name w:val="正文首行缩进1"/>
    <w:basedOn w:val="15"/>
    <w:qFormat/>
    <w:uiPriority w:val="0"/>
    <w:pPr>
      <w:spacing w:before="0" w:after="120" w:line="240" w:lineRule="auto"/>
      <w:ind w:left="0" w:right="0" w:firstLine="420"/>
    </w:pPr>
    <w:rPr>
      <w:sz w:val="21"/>
    </w:rPr>
  </w:style>
  <w:style w:type="character" w:customStyle="1" w:styleId="189">
    <w:name w:val="标题 9 字符"/>
    <w:qFormat/>
    <w:uiPriority w:val="0"/>
    <w:rPr>
      <w:rFonts w:ascii="Arial" w:hAnsi="Arial" w:eastAsia="黑体" w:cs="Times New Roman"/>
      <w:szCs w:val="20"/>
    </w:rPr>
  </w:style>
  <w:style w:type="paragraph" w:customStyle="1" w:styleId="190">
    <w:name w:val=".正文"/>
    <w:basedOn w:val="1"/>
    <w:qFormat/>
    <w:uiPriority w:val="0"/>
    <w:pPr>
      <w:ind w:left="0" w:right="0" w:firstLine="200"/>
    </w:pPr>
    <w:rPr>
      <w:rFonts w:eastAsia="华文仿宋"/>
      <w:szCs w:val="22"/>
    </w:rPr>
  </w:style>
  <w:style w:type="paragraph" w:customStyle="1" w:styleId="191">
    <w:name w:val="缺省文本"/>
    <w:basedOn w:val="1"/>
    <w:qFormat/>
    <w:uiPriority w:val="0"/>
    <w:pPr>
      <w:autoSpaceDE w:val="0"/>
      <w:jc w:val="left"/>
    </w:pPr>
    <w:rPr>
      <w:kern w:val="0"/>
    </w:rPr>
  </w:style>
  <w:style w:type="paragraph" w:customStyle="1" w:styleId="192">
    <w:name w:val="--规划-小标题"/>
    <w:basedOn w:val="1"/>
    <w:next w:val="100"/>
    <w:qFormat/>
    <w:uiPriority w:val="0"/>
    <w:pPr>
      <w:keepNext/>
      <w:keepLines/>
      <w:spacing w:line="360" w:lineRule="auto"/>
      <w:outlineLvl w:val="4"/>
    </w:pPr>
    <w:rPr>
      <w:rFonts w:eastAsia="黑体"/>
    </w:rPr>
  </w:style>
  <w:style w:type="character" w:customStyle="1" w:styleId="193">
    <w:name w:val="prodheadlines"/>
    <w:basedOn w:val="33"/>
    <w:qFormat/>
    <w:uiPriority w:val="0"/>
  </w:style>
  <w:style w:type="paragraph" w:customStyle="1" w:styleId="194">
    <w:name w:val="二"/>
    <w:basedOn w:val="1"/>
    <w:qFormat/>
    <w:uiPriority w:val="0"/>
    <w:pPr>
      <w:widowControl/>
      <w:tabs>
        <w:tab w:val="left" w:pos="360"/>
      </w:tabs>
      <w:spacing w:line="360" w:lineRule="auto"/>
      <w:ind w:left="360" w:right="0" w:hanging="360"/>
      <w:jc w:val="left"/>
      <w:outlineLvl w:val="0"/>
    </w:pPr>
    <w:rPr>
      <w:rFonts w:ascii="宋体" w:hAnsi="宋体" w:cs="宋体"/>
      <w:b/>
      <w:color w:val="000000"/>
      <w:kern w:val="0"/>
      <w:sz w:val="24"/>
    </w:rPr>
  </w:style>
  <w:style w:type="character" w:customStyle="1" w:styleId="195">
    <w:name w:val="info4"/>
    <w:basedOn w:val="33"/>
    <w:qFormat/>
    <w:uiPriority w:val="0"/>
  </w:style>
  <w:style w:type="paragraph" w:customStyle="1" w:styleId="196">
    <w:name w:val="Table Heading"/>
    <w:basedOn w:val="197"/>
    <w:qFormat/>
    <w:uiPriority w:val="0"/>
    <w:pPr>
      <w:suppressLineNumbers/>
      <w:jc w:val="center"/>
    </w:pPr>
    <w:rPr>
      <w:b/>
      <w:bCs/>
    </w:rPr>
  </w:style>
  <w:style w:type="paragraph" w:customStyle="1" w:styleId="197">
    <w:name w:val="Table Contents"/>
    <w:basedOn w:val="1"/>
    <w:qFormat/>
    <w:uiPriority w:val="0"/>
    <w:pPr>
      <w:suppressAutoHyphens/>
      <w:autoSpaceDE w:val="0"/>
      <w:spacing w:before="0" w:after="120"/>
      <w:jc w:val="left"/>
    </w:pPr>
    <w:rPr>
      <w:rFonts w:ascii="Helvetica;Arial" w:hAnsi="Helvetica;Arial" w:cs="Helvetica;Arial"/>
      <w:kern w:val="2"/>
      <w:sz w:val="20"/>
      <w:szCs w:val="20"/>
    </w:rPr>
  </w:style>
  <w:style w:type="character" w:customStyle="1" w:styleId="198">
    <w:name w:val="标题 1 Char"/>
    <w:qFormat/>
    <w:uiPriority w:val="0"/>
    <w:rPr>
      <w:rFonts w:ascii="Calibri" w:hAnsi="Calibri" w:eastAsia="宋体" w:cs="Times New Roman"/>
      <w:b/>
      <w:bCs/>
      <w:kern w:val="2"/>
      <w:sz w:val="44"/>
      <w:szCs w:val="44"/>
    </w:rPr>
  </w:style>
  <w:style w:type="character" w:customStyle="1" w:styleId="199">
    <w:name w:val="font"/>
    <w:basedOn w:val="33"/>
    <w:qFormat/>
    <w:uiPriority w:val="0"/>
  </w:style>
  <w:style w:type="paragraph" w:customStyle="1" w:styleId="200">
    <w:name w:val="Default"/>
    <w:qFormat/>
    <w:uiPriority w:val="0"/>
    <w:pPr>
      <w:widowControl w:val="0"/>
      <w:suppressAutoHyphens/>
      <w:autoSpaceDE w:val="0"/>
      <w:bidi w:val="0"/>
    </w:pPr>
    <w:rPr>
      <w:rFonts w:ascii="H Yb 2gj;宋体" w:hAnsi="H Yb 2gj;宋体" w:eastAsia="H Yb 2gj;宋体" w:cs="Times New Roman"/>
      <w:color w:val="000000"/>
      <w:sz w:val="24"/>
      <w:szCs w:val="24"/>
      <w:lang w:val="en-US" w:eastAsia="zh-CN" w:bidi="ar-SA"/>
    </w:rPr>
  </w:style>
  <w:style w:type="paragraph" w:customStyle="1" w:styleId="201">
    <w:name w:val="Char Char Char"/>
    <w:basedOn w:val="1"/>
    <w:qFormat/>
    <w:uiPriority w:val="0"/>
    <w:rPr>
      <w:rFonts w:ascii="Tahoma" w:hAnsi="Tahoma" w:cs="Tahoma"/>
      <w:sz w:val="24"/>
      <w:szCs w:val="20"/>
    </w:rPr>
  </w:style>
  <w:style w:type="paragraph" w:customStyle="1" w:styleId="202">
    <w:name w:val="正文首行缩进 21"/>
    <w:basedOn w:val="16"/>
    <w:qFormat/>
    <w:uiPriority w:val="0"/>
    <w:pPr>
      <w:spacing w:line="240" w:lineRule="auto"/>
      <w:ind w:left="420" w:right="0" w:firstLine="420"/>
    </w:pPr>
    <w:rPr>
      <w:rFonts w:ascii="Times New Roman" w:hAnsi="Times New Roman"/>
    </w:rPr>
  </w:style>
  <w:style w:type="character" w:customStyle="1" w:styleId="203">
    <w:name w:val="日期 字符"/>
    <w:qFormat/>
    <w:uiPriority w:val="0"/>
    <w:rPr>
      <w:rFonts w:ascii="宋体" w:hAnsi="宋体" w:eastAsia="宋体" w:cs="Times New Roman"/>
      <w:sz w:val="32"/>
      <w:szCs w:val="20"/>
    </w:rPr>
  </w:style>
  <w:style w:type="character" w:customStyle="1" w:styleId="204">
    <w:name w:val="正文文本 3 字符"/>
    <w:qFormat/>
    <w:uiPriority w:val="0"/>
    <w:rPr>
      <w:rFonts w:ascii="Calibri" w:hAnsi="Calibri" w:eastAsia="宋体" w:cs="Times New Roman"/>
      <w:sz w:val="16"/>
      <w:szCs w:val="16"/>
    </w:rPr>
  </w:style>
  <w:style w:type="character" w:customStyle="1" w:styleId="205">
    <w:name w:val="正文文本缩进 2 字符"/>
    <w:qFormat/>
    <w:uiPriority w:val="0"/>
    <w:rPr>
      <w:rFonts w:ascii="宋体" w:hAnsi="宋体" w:eastAsia="宋体" w:cs="Times New Roman"/>
      <w:szCs w:val="24"/>
    </w:rPr>
  </w:style>
  <w:style w:type="character" w:customStyle="1" w:styleId="206">
    <w:name w:val="gray6"/>
    <w:basedOn w:val="33"/>
    <w:qFormat/>
    <w:uiPriority w:val="0"/>
  </w:style>
  <w:style w:type="paragraph" w:customStyle="1" w:styleId="207">
    <w:name w:val="Normal Paragraph"/>
    <w:basedOn w:val="1"/>
    <w:qFormat/>
    <w:uiPriority w:val="0"/>
    <w:pPr>
      <w:widowControl/>
      <w:spacing w:before="120" w:after="0" w:line="360" w:lineRule="auto"/>
      <w:ind w:left="0" w:right="0" w:firstLine="425"/>
    </w:pPr>
    <w:rPr>
      <w:kern w:val="0"/>
      <w:sz w:val="24"/>
    </w:rPr>
  </w:style>
  <w:style w:type="paragraph" w:customStyle="1" w:styleId="208">
    <w:name w:val="font6"/>
    <w:basedOn w:val="1"/>
    <w:qFormat/>
    <w:uiPriority w:val="0"/>
    <w:pPr>
      <w:widowControl/>
      <w:spacing w:before="100" w:after="100"/>
      <w:jc w:val="left"/>
    </w:pPr>
    <w:rPr>
      <w:kern w:val="0"/>
      <w:sz w:val="24"/>
    </w:rPr>
  </w:style>
  <w:style w:type="character" w:customStyle="1" w:styleId="209">
    <w:name w:val="layui-layer-tabnow"/>
    <w:qFormat/>
    <w:uiPriority w:val="0"/>
    <w:rPr>
      <w:bdr w:val="single" w:color="CCCCCC" w:sz="6" w:space="0"/>
      <w:shd w:val="clear" w:fill="FFFFFF"/>
    </w:rPr>
  </w:style>
  <w:style w:type="paragraph" w:customStyle="1" w:styleId="210">
    <w:name w:val="正文文字缩进项目"/>
    <w:basedOn w:val="16"/>
    <w:qFormat/>
    <w:uiPriority w:val="0"/>
    <w:pPr>
      <w:numPr>
        <w:ilvl w:val="0"/>
        <w:numId w:val="6"/>
      </w:numPr>
      <w:tabs>
        <w:tab w:val="left" w:pos="840"/>
      </w:tabs>
      <w:spacing w:before="0" w:after="120" w:line="240" w:lineRule="auto"/>
      <w:ind w:left="840" w:right="0" w:firstLine="0"/>
    </w:pPr>
    <w:rPr>
      <w:rFonts w:ascii="Tahoma" w:hAnsi="Tahoma" w:cs="Tahoma"/>
      <w:sz w:val="22"/>
      <w:szCs w:val="20"/>
    </w:rPr>
  </w:style>
  <w:style w:type="paragraph" w:customStyle="1" w:styleId="211">
    <w:name w:val="正文文本缩进 31"/>
    <w:basedOn w:val="1"/>
    <w:qFormat/>
    <w:uiPriority w:val="0"/>
    <w:pPr>
      <w:spacing w:line="360" w:lineRule="auto"/>
      <w:ind w:left="0" w:right="0" w:firstLine="482"/>
    </w:pPr>
    <w:rPr>
      <w:rFonts w:ascii="宋体" w:hAnsi="宋体"/>
      <w:b/>
      <w:bCs/>
      <w:sz w:val="24"/>
    </w:rPr>
  </w:style>
  <w:style w:type="character" w:customStyle="1" w:styleId="212">
    <w:name w:val="正文文本缩进 3 字符"/>
    <w:qFormat/>
    <w:uiPriority w:val="0"/>
    <w:rPr>
      <w:rFonts w:ascii="宋体" w:hAnsi="宋体" w:eastAsia="宋体" w:cs="Times New Roman"/>
      <w:b/>
      <w:bCs/>
      <w:sz w:val="24"/>
      <w:szCs w:val="24"/>
    </w:rPr>
  </w:style>
  <w:style w:type="character" w:customStyle="1" w:styleId="213">
    <w:name w:val="WW8Num8z0"/>
    <w:qFormat/>
    <w:uiPriority w:val="0"/>
  </w:style>
  <w:style w:type="paragraph" w:customStyle="1" w:styleId="214">
    <w:name w:val="无间隔1"/>
    <w:qFormat/>
    <w:uiPriority w:val="0"/>
    <w:pPr>
      <w:widowControl/>
      <w:suppressAutoHyphens/>
      <w:bidi w:val="0"/>
    </w:pPr>
    <w:rPr>
      <w:rFonts w:ascii="Times New Roman" w:hAnsi="Times New Roman" w:eastAsia="宋体" w:cs="Times New Roman"/>
      <w:color w:val="auto"/>
      <w:sz w:val="24"/>
      <w:szCs w:val="24"/>
      <w:lang w:val="en-US" w:eastAsia="zh-CN" w:bidi="ar-SA"/>
    </w:rPr>
  </w:style>
  <w:style w:type="paragraph" w:customStyle="1" w:styleId="215">
    <w:name w:val="汉仪细等线简9BOLD"/>
    <w:basedOn w:val="1"/>
    <w:qFormat/>
    <w:uiPriority w:val="0"/>
    <w:pPr>
      <w:autoSpaceDE w:val="0"/>
      <w:spacing w:line="240" w:lineRule="atLeast"/>
    </w:pPr>
    <w:rPr>
      <w:rFonts w:ascii="汉仪细等线简;宋体" w:hAnsi="汉仪细等线简;宋体" w:eastAsia="汉仪细等线简;宋体"/>
      <w:b/>
      <w:bCs/>
      <w:kern w:val="0"/>
      <w:sz w:val="18"/>
      <w:szCs w:val="18"/>
    </w:rPr>
  </w:style>
  <w:style w:type="paragraph" w:customStyle="1" w:styleId="216">
    <w:name w:val="Char Char Char Char Char"/>
    <w:basedOn w:val="1"/>
    <w:qFormat/>
    <w:uiPriority w:val="0"/>
    <w:rPr>
      <w:rFonts w:ascii="Tahoma" w:hAnsi="Tahoma" w:cs="Tahoma"/>
      <w:sz w:val="24"/>
      <w:szCs w:val="20"/>
    </w:rPr>
  </w:style>
  <w:style w:type="character" w:customStyle="1" w:styleId="217">
    <w:name w:val="标题 3 Char"/>
    <w:qFormat/>
    <w:uiPriority w:val="0"/>
    <w:rPr>
      <w:rFonts w:ascii="Calibri" w:hAnsi="Calibri" w:eastAsia="宋体" w:cs="Times New Roman"/>
      <w:b/>
      <w:bCs/>
      <w:sz w:val="32"/>
      <w:szCs w:val="32"/>
    </w:rPr>
  </w:style>
  <w:style w:type="character" w:customStyle="1" w:styleId="218">
    <w:name w:val="正文缩进 字符"/>
    <w:qFormat/>
    <w:uiPriority w:val="0"/>
    <w:rPr>
      <w:rFonts w:ascii="Calibri" w:hAnsi="Calibri" w:eastAsia="宋体" w:cs="Times New Roman"/>
      <w:szCs w:val="20"/>
    </w:rPr>
  </w:style>
  <w:style w:type="character" w:customStyle="1" w:styleId="219">
    <w:name w:val="font2"/>
    <w:basedOn w:val="33"/>
    <w:qFormat/>
    <w:uiPriority w:val="0"/>
  </w:style>
  <w:style w:type="paragraph" w:customStyle="1" w:styleId="220">
    <w:name w:val="xl34"/>
    <w:basedOn w:val="1"/>
    <w:qFormat/>
    <w:uiPriority w:val="0"/>
    <w:pPr>
      <w:widowControl/>
      <w:pBdr>
        <w:left w:val="single" w:color="000000" w:sz="4" w:space="0"/>
      </w:pBdr>
      <w:spacing w:before="100" w:after="100"/>
      <w:jc w:val="center"/>
      <w:textAlignment w:val="center"/>
    </w:pPr>
    <w:rPr>
      <w:rFonts w:ascii="宋体" w:hAnsi="宋体" w:cs="宋体"/>
      <w:kern w:val="0"/>
      <w:sz w:val="24"/>
    </w:rPr>
  </w:style>
  <w:style w:type="paragraph" w:customStyle="1" w:styleId="221">
    <w:name w:val="小标题 1"/>
    <w:basedOn w:val="1"/>
    <w:qFormat/>
    <w:uiPriority w:val="0"/>
    <w:pPr>
      <w:autoSpaceDE w:val="0"/>
      <w:spacing w:line="360" w:lineRule="atLeast"/>
    </w:pPr>
    <w:rPr>
      <w:rFonts w:ascii="文鼎粗黑;黑体" w:hAnsi="文鼎粗黑;黑体" w:eastAsia="文鼎粗黑;黑体"/>
      <w:kern w:val="0"/>
      <w:sz w:val="22"/>
      <w:szCs w:val="20"/>
    </w:rPr>
  </w:style>
  <w:style w:type="character" w:customStyle="1" w:styleId="222">
    <w:name w:val="font41"/>
    <w:qFormat/>
    <w:uiPriority w:val="0"/>
    <w:rPr>
      <w:color w:val="000000"/>
      <w:spacing w:val="260"/>
      <w:sz w:val="18"/>
      <w:szCs w:val="18"/>
      <w:u w:val="none"/>
    </w:rPr>
  </w:style>
  <w:style w:type="paragraph" w:customStyle="1" w:styleId="223">
    <w:name w:val="7"/>
    <w:basedOn w:val="1"/>
    <w:qFormat/>
    <w:uiPriority w:val="0"/>
    <w:pPr>
      <w:autoSpaceDE w:val="0"/>
      <w:spacing w:line="270" w:lineRule="atLeast"/>
      <w:jc w:val="left"/>
    </w:pPr>
    <w:rPr>
      <w:rFonts w:ascii="宋体" w:hAnsi="宋体"/>
      <w:kern w:val="0"/>
      <w:sz w:val="18"/>
      <w:szCs w:val="18"/>
    </w:rPr>
  </w:style>
  <w:style w:type="character" w:customStyle="1" w:styleId="224">
    <w:name w:val="active"/>
    <w:qFormat/>
    <w:uiPriority w:val="0"/>
    <w:rPr>
      <w:color w:val="FFFFFF"/>
    </w:rPr>
  </w:style>
  <w:style w:type="paragraph" w:customStyle="1" w:styleId="225">
    <w:name w:val="样式3"/>
    <w:basedOn w:val="2"/>
    <w:qFormat/>
    <w:uiPriority w:val="0"/>
    <w:pPr>
      <w:numPr>
        <w:ilvl w:val="0"/>
        <w:numId w:val="7"/>
      </w:numPr>
      <w:tabs>
        <w:tab w:val="left" w:pos="1290"/>
      </w:tabs>
      <w:spacing w:before="240" w:after="240" w:line="480" w:lineRule="auto"/>
      <w:ind w:left="0" w:right="210" w:firstLine="0"/>
      <w:jc w:val="left"/>
      <w:outlineLvl w:val="9"/>
    </w:pPr>
    <w:rPr>
      <w:sz w:val="32"/>
    </w:rPr>
  </w:style>
  <w:style w:type="character" w:customStyle="1" w:styleId="226">
    <w:name w:val="--规划正文 Char Char"/>
    <w:qFormat/>
    <w:uiPriority w:val="0"/>
    <w:rPr>
      <w:rFonts w:eastAsia="宋体"/>
      <w:kern w:val="2"/>
      <w:sz w:val="24"/>
      <w:szCs w:val="24"/>
      <w:lang w:val="en-US" w:eastAsia="zh-CN" w:bidi="ar-SA"/>
    </w:rPr>
  </w:style>
  <w:style w:type="paragraph" w:customStyle="1" w:styleId="227">
    <w:name w:val="正文(首行缩进) Char"/>
    <w:qFormat/>
    <w:uiPriority w:val="0"/>
    <w:pPr>
      <w:widowControl/>
      <w:suppressAutoHyphens/>
      <w:bidi w:val="0"/>
      <w:spacing w:before="120" w:after="60" w:line="360" w:lineRule="auto"/>
      <w:ind w:left="0" w:right="0" w:firstLine="200"/>
    </w:pPr>
    <w:rPr>
      <w:rFonts w:ascii="Times New Roman" w:hAnsi="Times New Roman" w:eastAsia="仿宋_GB2312" w:cs="Times New Roman"/>
      <w:color w:val="auto"/>
      <w:spacing w:val="2"/>
      <w:kern w:val="2"/>
      <w:sz w:val="24"/>
      <w:szCs w:val="24"/>
      <w:lang w:val="en-US" w:eastAsia="zh-CN" w:bidi="ar-SA"/>
    </w:rPr>
  </w:style>
  <w:style w:type="paragraph" w:customStyle="1" w:styleId="228">
    <w:name w:val="列表项目"/>
    <w:basedOn w:val="1"/>
    <w:qFormat/>
    <w:uiPriority w:val="0"/>
    <w:pPr>
      <w:tabs>
        <w:tab w:val="left" w:pos="420"/>
        <w:tab w:val="left" w:pos="1080"/>
      </w:tabs>
      <w:spacing w:line="288" w:lineRule="auto"/>
      <w:ind w:left="1080" w:right="0" w:hanging="360"/>
    </w:pPr>
    <w:rPr>
      <w:sz w:val="24"/>
      <w:szCs w:val="20"/>
    </w:rPr>
  </w:style>
  <w:style w:type="character" w:customStyle="1" w:styleId="229">
    <w:name w:val="标题 5 字符"/>
    <w:qFormat/>
    <w:uiPriority w:val="0"/>
    <w:rPr>
      <w:rFonts w:ascii="Calibri" w:hAnsi="Calibri" w:eastAsia="宋体" w:cs="Times New Roman"/>
      <w:b/>
      <w:sz w:val="28"/>
      <w:szCs w:val="20"/>
    </w:rPr>
  </w:style>
  <w:style w:type="paragraph" w:customStyle="1" w:styleId="230">
    <w:name w:val="方案要点"/>
    <w:basedOn w:val="1"/>
    <w:qFormat/>
    <w:uiPriority w:val="0"/>
    <w:pPr>
      <w:numPr>
        <w:ilvl w:val="0"/>
        <w:numId w:val="5"/>
      </w:numPr>
      <w:tabs>
        <w:tab w:val="left" w:pos="420"/>
      </w:tabs>
      <w:spacing w:line="360" w:lineRule="auto"/>
    </w:pPr>
    <w:rPr>
      <w:rFonts w:ascii="仿宋_GB2312" w:hAnsi="仿宋_GB2312" w:eastAsia="仿宋_GB2312" w:cs="宋体"/>
      <w:color w:val="000000"/>
      <w:sz w:val="28"/>
      <w:szCs w:val="28"/>
    </w:rPr>
  </w:style>
  <w:style w:type="character" w:customStyle="1" w:styleId="231">
    <w:name w:val="正文文本 2 字符"/>
    <w:qFormat/>
    <w:uiPriority w:val="0"/>
    <w:rPr>
      <w:rFonts w:ascii="Calibri" w:hAnsi="Calibri" w:eastAsia="宋体" w:cs="Times New Roman"/>
      <w:sz w:val="24"/>
      <w:szCs w:val="24"/>
    </w:rPr>
  </w:style>
  <w:style w:type="paragraph" w:customStyle="1" w:styleId="232">
    <w:name w:val="文字"/>
    <w:basedOn w:val="1"/>
    <w:qFormat/>
    <w:uiPriority w:val="0"/>
    <w:pPr>
      <w:tabs>
        <w:tab w:val="left" w:pos="8520"/>
      </w:tabs>
      <w:spacing w:line="312" w:lineRule="auto"/>
      <w:ind w:left="0" w:right="-210" w:firstLine="556"/>
    </w:pPr>
    <w:rPr>
      <w:rFonts w:ascii="宋体" w:hAnsi="宋体"/>
      <w:sz w:val="28"/>
      <w:szCs w:val="20"/>
    </w:rPr>
  </w:style>
  <w:style w:type="paragraph" w:customStyle="1" w:styleId="233">
    <w:name w:val="CM2"/>
    <w:basedOn w:val="200"/>
    <w:next w:val="200"/>
    <w:qFormat/>
    <w:uiPriority w:val="0"/>
    <w:pPr>
      <w:spacing w:line="200" w:lineRule="atLeast"/>
    </w:pPr>
    <w:rPr>
      <w:rFonts w:ascii="Arial" w:hAnsi="Arial" w:eastAsia="宋体" w:cs="Times New Roman"/>
      <w:color w:val="000000"/>
    </w:rPr>
  </w:style>
  <w:style w:type="character" w:customStyle="1" w:styleId="234">
    <w:name w:val="active6"/>
    <w:qFormat/>
    <w:uiPriority w:val="0"/>
    <w:rPr>
      <w:color w:val="FFFFFF"/>
    </w:rPr>
  </w:style>
  <w:style w:type="paragraph" w:customStyle="1" w:styleId="235">
    <w:name w:val="Table Paragraph"/>
    <w:basedOn w:val="1"/>
    <w:qFormat/>
    <w:uiPriority w:val="0"/>
    <w:pPr>
      <w:autoSpaceDE w:val="0"/>
      <w:jc w:val="left"/>
    </w:pPr>
    <w:rPr>
      <w:rFonts w:ascii="宋体" w:hAnsi="宋体" w:cs="宋体"/>
      <w:kern w:val="0"/>
      <w:sz w:val="24"/>
    </w:rPr>
  </w:style>
  <w:style w:type="paragraph" w:customStyle="1" w:styleId="236">
    <w:name w:val="正文_0"/>
    <w:qFormat/>
    <w:uiPriority w:val="0"/>
    <w:pPr>
      <w:widowControl/>
      <w:suppressAutoHyphens/>
      <w:bidi w:val="0"/>
    </w:pPr>
    <w:rPr>
      <w:rFonts w:ascii="Times New Roman" w:hAnsi="Times New Roman" w:eastAsia="宋体" w:cs="Times New Roman"/>
      <w:color w:val="auto"/>
      <w:sz w:val="21"/>
      <w:szCs w:val="20"/>
      <w:lang w:val="en-US" w:eastAsia="zh-CN" w:bidi="ar-SA"/>
    </w:rPr>
  </w:style>
  <w:style w:type="paragraph" w:customStyle="1" w:styleId="237">
    <w:name w:val="1111111111111"/>
    <w:basedOn w:val="1"/>
    <w:qFormat/>
    <w:uiPriority w:val="0"/>
    <w:pPr>
      <w:numPr>
        <w:ilvl w:val="0"/>
        <w:numId w:val="8"/>
      </w:numPr>
    </w:pPr>
  </w:style>
  <w:style w:type="character" w:customStyle="1" w:styleId="238">
    <w:name w:val="first-child"/>
    <w:basedOn w:val="33"/>
    <w:qFormat/>
    <w:uiPriority w:val="0"/>
  </w:style>
  <w:style w:type="paragraph" w:customStyle="1" w:styleId="239">
    <w:name w:val="产品描述"/>
    <w:qFormat/>
    <w:uiPriority w:val="0"/>
    <w:pPr>
      <w:widowControl w:val="0"/>
      <w:suppressAutoHyphens/>
      <w:autoSpaceDE w:val="0"/>
      <w:bidi w:val="0"/>
      <w:spacing w:line="270" w:lineRule="atLeast"/>
      <w:ind w:left="0" w:right="0" w:firstLine="397"/>
      <w:jc w:val="both"/>
    </w:pPr>
    <w:rPr>
      <w:rFonts w:ascii="宋体" w:hAnsi="宋体" w:eastAsia="宋体" w:cs="Times New Roman"/>
      <w:color w:val="auto"/>
      <w:sz w:val="18"/>
      <w:szCs w:val="18"/>
      <w:lang w:val="en-US" w:eastAsia="zh-CN" w:bidi="ar-SA"/>
    </w:rPr>
  </w:style>
  <w:style w:type="paragraph" w:customStyle="1" w:styleId="240">
    <w:name w:val="文档正文"/>
    <w:basedOn w:val="1"/>
    <w:qFormat/>
    <w:uiPriority w:val="0"/>
    <w:pPr>
      <w:spacing w:line="480" w:lineRule="atLeast"/>
      <w:ind w:left="0" w:right="0" w:firstLine="567"/>
      <w:textAlignment w:val="baseline"/>
    </w:pPr>
    <w:rPr>
      <w:rFonts w:ascii="长城仿宋;仿宋" w:hAnsi="长城仿宋;仿宋"/>
      <w:kern w:val="0"/>
      <w:szCs w:val="20"/>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na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5</Pages>
  <Words>4237</Words>
  <Characters>4340</Characters>
  <TotalTime>1</TotalTime>
  <ScaleCrop>false</ScaleCrop>
  <LinksUpToDate>false</LinksUpToDate>
  <CharactersWithSpaces>4350</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2026-09-20T15:48:00Z</dcterms:created>
  <dc:creator>Administrator</dc:creator>
  <cp:lastModifiedBy>鱼儿</cp:lastModifiedBy>
  <dcterms:modified xsi:type="dcterms:W3CDTF">2026-10-15T03:45:08Z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eyJoZGlkIjoiZjA1MjA2N2IxZWZhMTRjMDhmYjUyZDg3NjJkNmMxOWUiLCJ1c2VySWQiOiIyMTgwNTAzMjUifQ==</vt:lpwstr>
  </property>
  <property fmtid="{D5CDD505-2E9C-101B-9397-08002B2CF9AE}" pid="3" name="KSOProductBuildVer">
    <vt:lpwstr>2052-12.1.0.28505</vt:lpwstr>
  </property>
  <property fmtid="{D5CDD505-2E9C-101B-9397-08002B2CF9AE}" pid="4" name="ICV">
    <vt:lpwstr>AF17A8F6014C4BDAA23C8158F375CF5E_12</vt:lpwstr>
  </property>
</Properties>
</file>