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28D8E2">
      <w:pPr>
        <w:jc w:val="center"/>
        <w:outlineLvl w:val="0"/>
        <w:rPr>
          <w:rFonts w:ascii="宋体" w:hAnsi="宋体" w:cs="宋体"/>
          <w:kern w:val="0"/>
          <w:sz w:val="36"/>
          <w:szCs w:val="36"/>
        </w:rPr>
      </w:pPr>
      <w:bookmarkStart w:id="0" w:name="_Toc14652"/>
      <w:bookmarkStart w:id="1" w:name="_Toc31030"/>
      <w:bookmarkStart w:id="2" w:name="_Toc29517"/>
      <w:bookmarkStart w:id="3" w:name="_Toc3487"/>
      <w:r>
        <w:rPr>
          <w:rFonts w:hint="eastAsia" w:ascii="宋体" w:hAnsi="宋体" w:cs="宋体"/>
          <w:kern w:val="0"/>
          <w:sz w:val="36"/>
          <w:szCs w:val="36"/>
        </w:rPr>
        <w:t>中山大学附属第七医院科研管理信息系统</w:t>
      </w:r>
    </w:p>
    <w:p w14:paraId="74CF8297">
      <w:pPr>
        <w:jc w:val="center"/>
        <w:outlineLvl w:val="0"/>
      </w:pPr>
      <w:r>
        <w:rPr>
          <w:rFonts w:hint="eastAsia" w:ascii="宋体" w:hAnsi="宋体" w:cs="宋体"/>
          <w:kern w:val="0"/>
          <w:sz w:val="36"/>
          <w:szCs w:val="36"/>
        </w:rPr>
        <w:t>项目调研需求确认书</w:t>
      </w:r>
    </w:p>
    <w:p w14:paraId="03C008B7">
      <w:pPr>
        <w:rPr>
          <w:b/>
          <w:bCs/>
          <w:sz w:val="28"/>
          <w:szCs w:val="36"/>
        </w:rPr>
      </w:pPr>
      <w:r>
        <w:rPr>
          <w:rFonts w:hint="eastAsia" w:ascii="宋体" w:hAnsi="宋体" w:cs="宋体"/>
          <w:b/>
          <w:bCs/>
          <w:kern w:val="0"/>
          <w:sz w:val="28"/>
          <w:szCs w:val="28"/>
        </w:rPr>
        <w:t>（一）项目基本信息表</w:t>
      </w:r>
    </w:p>
    <w:tbl>
      <w:tblPr>
        <w:tblStyle w:val="11"/>
        <w:tblW w:w="4901" w:type="pct"/>
        <w:tblInd w:w="-180" w:type="dxa"/>
        <w:tblLayout w:type="autofit"/>
        <w:tblCellMar>
          <w:top w:w="0" w:type="dxa"/>
          <w:left w:w="108" w:type="dxa"/>
          <w:bottom w:w="0" w:type="dxa"/>
          <w:right w:w="108" w:type="dxa"/>
        </w:tblCellMar>
      </w:tblPr>
      <w:tblGrid>
        <w:gridCol w:w="829"/>
        <w:gridCol w:w="1431"/>
        <w:gridCol w:w="2675"/>
        <w:gridCol w:w="656"/>
        <w:gridCol w:w="695"/>
        <w:gridCol w:w="1215"/>
        <w:gridCol w:w="641"/>
      </w:tblGrid>
      <w:tr w14:paraId="4C56F32F">
        <w:tblPrEx>
          <w:tblCellMar>
            <w:top w:w="0" w:type="dxa"/>
            <w:left w:w="108" w:type="dxa"/>
            <w:bottom w:w="0" w:type="dxa"/>
            <w:right w:w="108" w:type="dxa"/>
          </w:tblCellMar>
        </w:tblPrEx>
        <w:trPr>
          <w:trHeight w:val="575" w:hRule="atLeast"/>
        </w:trPr>
        <w:tc>
          <w:tcPr>
            <w:tcW w:w="509" w:type="pct"/>
            <w:tcBorders>
              <w:top w:val="single" w:color="auto" w:sz="4" w:space="0"/>
              <w:left w:val="single" w:color="auto" w:sz="4" w:space="0"/>
              <w:bottom w:val="single" w:color="auto" w:sz="4" w:space="0"/>
              <w:right w:val="single" w:color="auto" w:sz="4" w:space="0"/>
            </w:tcBorders>
            <w:vAlign w:val="center"/>
          </w:tcPr>
          <w:p w14:paraId="264C1CDA">
            <w:pPr>
              <w:widowControl/>
              <w:jc w:val="center"/>
              <w:rPr>
                <w:rFonts w:ascii="宋体" w:hAnsi="宋体" w:cs="宋体"/>
                <w:b/>
                <w:bCs/>
                <w:kern w:val="0"/>
                <w:szCs w:val="21"/>
                <w:highlight w:val="none"/>
              </w:rPr>
            </w:pPr>
            <w:r>
              <w:rPr>
                <w:rFonts w:hint="eastAsia" w:ascii="宋体" w:hAnsi="宋体" w:cs="宋体"/>
                <w:b/>
                <w:bCs/>
                <w:kern w:val="0"/>
                <w:szCs w:val="21"/>
                <w:highlight w:val="none"/>
              </w:rPr>
              <w:t>序号</w:t>
            </w:r>
          </w:p>
        </w:tc>
        <w:tc>
          <w:tcPr>
            <w:tcW w:w="879" w:type="pct"/>
            <w:tcBorders>
              <w:top w:val="single" w:color="auto" w:sz="4" w:space="0"/>
              <w:left w:val="nil"/>
              <w:bottom w:val="single" w:color="auto" w:sz="4" w:space="0"/>
              <w:right w:val="single" w:color="auto" w:sz="4" w:space="0"/>
            </w:tcBorders>
            <w:vAlign w:val="center"/>
          </w:tcPr>
          <w:p w14:paraId="562125C0">
            <w:pPr>
              <w:widowControl/>
              <w:jc w:val="center"/>
              <w:rPr>
                <w:rFonts w:ascii="宋体" w:hAnsi="宋体"/>
                <w:b/>
                <w:bCs/>
                <w:szCs w:val="21"/>
                <w:highlight w:val="none"/>
              </w:rPr>
            </w:pPr>
            <w:r>
              <w:rPr>
                <w:rFonts w:hint="eastAsia" w:ascii="宋体" w:hAnsi="宋体"/>
                <w:b/>
                <w:bCs/>
                <w:szCs w:val="21"/>
                <w:highlight w:val="none"/>
              </w:rPr>
              <w:t>项目名称</w:t>
            </w:r>
          </w:p>
        </w:tc>
        <w:tc>
          <w:tcPr>
            <w:tcW w:w="1643" w:type="pct"/>
            <w:tcBorders>
              <w:top w:val="single" w:color="auto" w:sz="4" w:space="0"/>
              <w:left w:val="single" w:color="auto" w:sz="4" w:space="0"/>
              <w:bottom w:val="single" w:color="auto" w:sz="4" w:space="0"/>
              <w:right w:val="single" w:color="auto" w:sz="4" w:space="0"/>
            </w:tcBorders>
            <w:vAlign w:val="center"/>
          </w:tcPr>
          <w:p w14:paraId="0BF2265F">
            <w:pPr>
              <w:widowControl/>
              <w:jc w:val="center"/>
              <w:rPr>
                <w:rFonts w:ascii="宋体" w:hAnsi="宋体"/>
                <w:b/>
                <w:bCs/>
                <w:szCs w:val="21"/>
                <w:highlight w:val="none"/>
              </w:rPr>
            </w:pPr>
            <w:r>
              <w:rPr>
                <w:rFonts w:hint="eastAsia" w:ascii="宋体" w:hAnsi="宋体"/>
                <w:b/>
                <w:bCs/>
                <w:szCs w:val="21"/>
                <w:highlight w:val="none"/>
              </w:rPr>
              <w:t>项目概述</w:t>
            </w:r>
          </w:p>
        </w:tc>
        <w:tc>
          <w:tcPr>
            <w:tcW w:w="403" w:type="pct"/>
            <w:tcBorders>
              <w:top w:val="single" w:color="auto" w:sz="4" w:space="0"/>
              <w:left w:val="single" w:color="auto" w:sz="4" w:space="0"/>
              <w:bottom w:val="single" w:color="auto" w:sz="4" w:space="0"/>
              <w:right w:val="single" w:color="auto" w:sz="4" w:space="0"/>
            </w:tcBorders>
            <w:vAlign w:val="center"/>
          </w:tcPr>
          <w:p w14:paraId="2D914F4C">
            <w:pPr>
              <w:widowControl/>
              <w:jc w:val="center"/>
              <w:rPr>
                <w:rFonts w:ascii="宋体" w:hAnsi="宋体" w:cs="宋体"/>
                <w:b/>
                <w:bCs/>
                <w:kern w:val="0"/>
                <w:szCs w:val="21"/>
                <w:highlight w:val="none"/>
              </w:rPr>
            </w:pPr>
            <w:r>
              <w:rPr>
                <w:rFonts w:hint="eastAsia" w:ascii="宋体" w:hAnsi="宋体" w:cs="宋体"/>
                <w:b/>
                <w:bCs/>
                <w:kern w:val="0"/>
                <w:szCs w:val="21"/>
                <w:highlight w:val="none"/>
              </w:rPr>
              <w:t>数量</w:t>
            </w:r>
          </w:p>
        </w:tc>
        <w:tc>
          <w:tcPr>
            <w:tcW w:w="427" w:type="pct"/>
            <w:tcBorders>
              <w:top w:val="single" w:color="auto" w:sz="4" w:space="0"/>
              <w:left w:val="single" w:color="auto" w:sz="4" w:space="0"/>
              <w:bottom w:val="single" w:color="auto" w:sz="4" w:space="0"/>
              <w:right w:val="single" w:color="auto" w:sz="4" w:space="0"/>
            </w:tcBorders>
            <w:vAlign w:val="center"/>
          </w:tcPr>
          <w:p w14:paraId="320B5E94">
            <w:pPr>
              <w:widowControl/>
              <w:jc w:val="center"/>
              <w:rPr>
                <w:rFonts w:ascii="宋体" w:hAnsi="宋体" w:cs="宋体"/>
                <w:b/>
                <w:bCs/>
                <w:kern w:val="0"/>
                <w:szCs w:val="21"/>
                <w:highlight w:val="none"/>
              </w:rPr>
            </w:pPr>
            <w:r>
              <w:rPr>
                <w:rFonts w:hint="eastAsia" w:ascii="宋体" w:hAnsi="宋体" w:cs="宋体"/>
                <w:b/>
                <w:bCs/>
                <w:kern w:val="0"/>
                <w:szCs w:val="21"/>
                <w:highlight w:val="none"/>
              </w:rPr>
              <w:t>单位</w:t>
            </w:r>
          </w:p>
        </w:tc>
        <w:tc>
          <w:tcPr>
            <w:tcW w:w="746" w:type="pct"/>
            <w:tcBorders>
              <w:top w:val="single" w:color="auto" w:sz="4" w:space="0"/>
              <w:left w:val="nil"/>
              <w:bottom w:val="single" w:color="auto" w:sz="4" w:space="0"/>
              <w:right w:val="single" w:color="auto" w:sz="4" w:space="0"/>
            </w:tcBorders>
            <w:vAlign w:val="center"/>
          </w:tcPr>
          <w:p w14:paraId="395E007C">
            <w:pPr>
              <w:widowControl/>
              <w:jc w:val="center"/>
              <w:rPr>
                <w:rFonts w:ascii="宋体" w:hAnsi="宋体" w:cs="宋体"/>
                <w:b/>
                <w:bCs/>
                <w:kern w:val="0"/>
                <w:szCs w:val="21"/>
                <w:highlight w:val="none"/>
              </w:rPr>
            </w:pPr>
            <w:r>
              <w:rPr>
                <w:rFonts w:hint="eastAsia" w:ascii="宋体" w:hAnsi="宋体" w:cs="宋体"/>
                <w:b/>
                <w:bCs/>
                <w:kern w:val="0"/>
                <w:szCs w:val="21"/>
                <w:highlight w:val="none"/>
              </w:rPr>
              <w:t>预算金额（元）</w:t>
            </w:r>
          </w:p>
        </w:tc>
        <w:tc>
          <w:tcPr>
            <w:tcW w:w="394" w:type="pct"/>
            <w:tcBorders>
              <w:top w:val="single" w:color="auto" w:sz="4" w:space="0"/>
              <w:left w:val="nil"/>
              <w:bottom w:val="single" w:color="auto" w:sz="4" w:space="0"/>
              <w:right w:val="single" w:color="auto" w:sz="4" w:space="0"/>
            </w:tcBorders>
            <w:vAlign w:val="center"/>
          </w:tcPr>
          <w:p w14:paraId="3E87C8CF">
            <w:pPr>
              <w:widowControl/>
              <w:jc w:val="center"/>
              <w:rPr>
                <w:rFonts w:ascii="宋体" w:hAnsi="宋体" w:cs="宋体"/>
                <w:b/>
                <w:bCs/>
                <w:kern w:val="0"/>
                <w:szCs w:val="21"/>
                <w:highlight w:val="none"/>
              </w:rPr>
            </w:pPr>
            <w:r>
              <w:rPr>
                <w:rFonts w:hint="eastAsia" w:ascii="宋体" w:hAnsi="宋体" w:cs="宋体"/>
                <w:b/>
                <w:bCs/>
                <w:kern w:val="0"/>
                <w:szCs w:val="21"/>
                <w:highlight w:val="none"/>
              </w:rPr>
              <w:t>备注</w:t>
            </w:r>
          </w:p>
        </w:tc>
      </w:tr>
      <w:tr w14:paraId="794768E3">
        <w:tblPrEx>
          <w:tblCellMar>
            <w:top w:w="0" w:type="dxa"/>
            <w:left w:w="108" w:type="dxa"/>
            <w:bottom w:w="0" w:type="dxa"/>
            <w:right w:w="108" w:type="dxa"/>
          </w:tblCellMar>
        </w:tblPrEx>
        <w:trPr>
          <w:trHeight w:val="1953" w:hRule="atLeast"/>
        </w:trPr>
        <w:tc>
          <w:tcPr>
            <w:tcW w:w="507" w:type="pct"/>
            <w:tcBorders>
              <w:top w:val="single" w:color="auto" w:sz="4" w:space="0"/>
              <w:left w:val="single" w:color="auto" w:sz="4" w:space="0"/>
              <w:bottom w:val="single" w:color="auto" w:sz="4" w:space="0"/>
              <w:right w:val="single" w:color="auto" w:sz="4" w:space="0"/>
            </w:tcBorders>
            <w:vAlign w:val="center"/>
          </w:tcPr>
          <w:p w14:paraId="1F752C6B">
            <w:pPr>
              <w:widowControl/>
              <w:jc w:val="center"/>
              <w:rPr>
                <w:rFonts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w:t>
            </w:r>
          </w:p>
        </w:tc>
        <w:tc>
          <w:tcPr>
            <w:tcW w:w="877" w:type="pct"/>
            <w:tcBorders>
              <w:top w:val="single" w:color="auto" w:sz="4" w:space="0"/>
              <w:left w:val="nil"/>
              <w:bottom w:val="single" w:color="auto" w:sz="4" w:space="0"/>
              <w:right w:val="single" w:color="auto" w:sz="4" w:space="0"/>
            </w:tcBorders>
            <w:vAlign w:val="center"/>
          </w:tcPr>
          <w:p w14:paraId="25821F5C">
            <w:pPr>
              <w:widowControl/>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中山大学附属第七医院科研管理信息系统</w:t>
            </w:r>
          </w:p>
        </w:tc>
        <w:tc>
          <w:tcPr>
            <w:tcW w:w="1642" w:type="pct"/>
            <w:tcBorders>
              <w:top w:val="single" w:color="auto" w:sz="4" w:space="0"/>
              <w:left w:val="single" w:color="auto" w:sz="4" w:space="0"/>
              <w:bottom w:val="single" w:color="auto" w:sz="4" w:space="0"/>
              <w:right w:val="single" w:color="auto" w:sz="4" w:space="0"/>
            </w:tcBorders>
            <w:vAlign w:val="center"/>
          </w:tcPr>
          <w:p w14:paraId="0F4676C6">
            <w:pPr>
              <w:widowControl/>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szCs w:val="21"/>
                <w:highlight w:val="none"/>
              </w:rPr>
              <w:t>本项目建设一套覆盖科研全过程的一体化科研管理系统，实现科研项目立项、过程管理、结题验收的全流程管理，并支持项目与产出成果的自动关联追溯；集成论文自动抓取、推送、认领、专利、成果转化、科技奖项、学术著作、任职等成果管理；打通人事、财务、OA 系统、湖仓一体化系统等、实现业财人事协同；支持科研经费预算支出全流程管控、自动绩效核算；院科研指标可视化分析，系统的各项业务审批、管控标准、统计口径支持规则配置化，灵活适配院内科研管理制度动态调整。</w:t>
            </w:r>
          </w:p>
        </w:tc>
        <w:tc>
          <w:tcPr>
            <w:tcW w:w="403" w:type="pct"/>
            <w:tcBorders>
              <w:top w:val="single" w:color="auto" w:sz="4" w:space="0"/>
              <w:left w:val="single" w:color="auto" w:sz="4" w:space="0"/>
              <w:bottom w:val="single" w:color="auto" w:sz="4" w:space="0"/>
              <w:right w:val="single" w:color="auto" w:sz="4" w:space="0"/>
            </w:tcBorders>
            <w:vAlign w:val="center"/>
          </w:tcPr>
          <w:p w14:paraId="6E61603C">
            <w:pPr>
              <w:widowControl/>
              <w:jc w:val="center"/>
              <w:rPr>
                <w:rFonts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w:t>
            </w:r>
          </w:p>
        </w:tc>
        <w:tc>
          <w:tcPr>
            <w:tcW w:w="427" w:type="pct"/>
            <w:tcBorders>
              <w:top w:val="single" w:color="auto" w:sz="4" w:space="0"/>
              <w:left w:val="single" w:color="auto" w:sz="4" w:space="0"/>
              <w:bottom w:val="single" w:color="auto" w:sz="4" w:space="0"/>
              <w:right w:val="single" w:color="auto" w:sz="4" w:space="0"/>
            </w:tcBorders>
            <w:vAlign w:val="center"/>
          </w:tcPr>
          <w:p w14:paraId="15117031">
            <w:pPr>
              <w:widowControl/>
              <w:jc w:val="center"/>
              <w:rPr>
                <w:rFonts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套</w:t>
            </w:r>
          </w:p>
        </w:tc>
        <w:tc>
          <w:tcPr>
            <w:tcW w:w="746" w:type="pct"/>
            <w:vMerge w:val="restart"/>
            <w:tcBorders>
              <w:top w:val="single" w:color="auto" w:sz="4" w:space="0"/>
              <w:left w:val="nil"/>
              <w:right w:val="single" w:color="auto" w:sz="4" w:space="0"/>
            </w:tcBorders>
            <w:vAlign w:val="center"/>
          </w:tcPr>
          <w:p w14:paraId="7553B21C">
            <w:pPr>
              <w:widowControl/>
              <w:jc w:val="center"/>
              <w:rPr>
                <w:rFonts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预算编制时的测算价格</w:t>
            </w:r>
          </w:p>
        </w:tc>
        <w:tc>
          <w:tcPr>
            <w:tcW w:w="395" w:type="pct"/>
            <w:vMerge w:val="restart"/>
            <w:tcBorders>
              <w:top w:val="nil"/>
              <w:left w:val="nil"/>
              <w:right w:val="single" w:color="auto" w:sz="4" w:space="0"/>
            </w:tcBorders>
            <w:vAlign w:val="center"/>
          </w:tcPr>
          <w:p w14:paraId="129F2892">
            <w:pPr>
              <w:widowControl/>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特殊说明</w:t>
            </w:r>
          </w:p>
        </w:tc>
      </w:tr>
      <w:tr w14:paraId="018331EC">
        <w:tblPrEx>
          <w:tblCellMar>
            <w:top w:w="0" w:type="dxa"/>
            <w:left w:w="108" w:type="dxa"/>
            <w:bottom w:w="0" w:type="dxa"/>
            <w:right w:w="108" w:type="dxa"/>
          </w:tblCellMar>
        </w:tblPrEx>
        <w:trPr>
          <w:trHeight w:val="1032" w:hRule="atLeast"/>
        </w:trPr>
        <w:tc>
          <w:tcPr>
            <w:tcW w:w="509" w:type="pct"/>
            <w:tcBorders>
              <w:top w:val="single" w:color="auto" w:sz="4" w:space="0"/>
              <w:left w:val="single" w:color="auto" w:sz="4" w:space="0"/>
              <w:bottom w:val="single" w:color="auto" w:sz="4" w:space="0"/>
              <w:right w:val="single" w:color="auto" w:sz="4" w:space="0"/>
            </w:tcBorders>
            <w:vAlign w:val="center"/>
          </w:tcPr>
          <w:p w14:paraId="55E85387">
            <w:pPr>
              <w:widowControl/>
              <w:jc w:val="center"/>
              <w:rPr>
                <w:rFonts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2</w:t>
            </w:r>
          </w:p>
        </w:tc>
        <w:tc>
          <w:tcPr>
            <w:tcW w:w="879" w:type="pct"/>
            <w:tcBorders>
              <w:top w:val="single" w:color="auto" w:sz="4" w:space="0"/>
              <w:left w:val="nil"/>
              <w:bottom w:val="single" w:color="auto" w:sz="4" w:space="0"/>
              <w:right w:val="single" w:color="auto" w:sz="4" w:space="0"/>
            </w:tcBorders>
            <w:vAlign w:val="center"/>
          </w:tcPr>
          <w:p w14:paraId="6B59F3F7">
            <w:pPr>
              <w:widowControl/>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配套服务器</w:t>
            </w:r>
          </w:p>
          <w:p w14:paraId="239CEFE0">
            <w:pPr>
              <w:widowControl/>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硬件</w:t>
            </w:r>
          </w:p>
        </w:tc>
        <w:tc>
          <w:tcPr>
            <w:tcW w:w="1643" w:type="pct"/>
            <w:tcBorders>
              <w:top w:val="single" w:color="auto" w:sz="4" w:space="0"/>
              <w:left w:val="single" w:color="auto" w:sz="4" w:space="0"/>
              <w:bottom w:val="single" w:color="auto" w:sz="4" w:space="0"/>
              <w:right w:val="single" w:color="auto" w:sz="4" w:space="0"/>
            </w:tcBorders>
            <w:vAlign w:val="center"/>
          </w:tcPr>
          <w:p w14:paraId="0007A66E">
            <w:pPr>
              <w:widowControl/>
              <w:ind w:firstLine="420" w:firstLineChars="200"/>
              <w:jc w:val="left"/>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szCs w:val="21"/>
                <w:highlight w:val="none"/>
              </w:rPr>
              <w:t>满足系统“高性能数据计算”及未来5-10年科研业务发展需求，配套采购服务器硬件。</w:t>
            </w:r>
          </w:p>
        </w:tc>
        <w:tc>
          <w:tcPr>
            <w:tcW w:w="403" w:type="pct"/>
            <w:tcBorders>
              <w:top w:val="single" w:color="auto" w:sz="4" w:space="0"/>
              <w:left w:val="single" w:color="auto" w:sz="4" w:space="0"/>
              <w:bottom w:val="single" w:color="auto" w:sz="4" w:space="0"/>
              <w:right w:val="single" w:color="auto" w:sz="4" w:space="0"/>
            </w:tcBorders>
            <w:vAlign w:val="center"/>
          </w:tcPr>
          <w:p w14:paraId="65C06166">
            <w:pPr>
              <w:widowControl/>
              <w:jc w:val="center"/>
              <w:rPr>
                <w:rFonts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2</w:t>
            </w:r>
          </w:p>
        </w:tc>
        <w:tc>
          <w:tcPr>
            <w:tcW w:w="427" w:type="pct"/>
            <w:tcBorders>
              <w:top w:val="single" w:color="auto" w:sz="4" w:space="0"/>
              <w:left w:val="single" w:color="auto" w:sz="4" w:space="0"/>
              <w:bottom w:val="single" w:color="auto" w:sz="4" w:space="0"/>
              <w:right w:val="single" w:color="auto" w:sz="4" w:space="0"/>
            </w:tcBorders>
            <w:vAlign w:val="center"/>
          </w:tcPr>
          <w:p w14:paraId="74E6B1BE">
            <w:pPr>
              <w:widowControl/>
              <w:jc w:val="center"/>
              <w:rPr>
                <w:rFonts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台</w:t>
            </w:r>
          </w:p>
        </w:tc>
        <w:tc>
          <w:tcPr>
            <w:tcW w:w="746" w:type="pct"/>
            <w:vMerge w:val="continue"/>
            <w:tcBorders>
              <w:left w:val="nil"/>
              <w:bottom w:val="single" w:color="auto" w:sz="4" w:space="0"/>
              <w:right w:val="single" w:color="auto" w:sz="4" w:space="0"/>
            </w:tcBorders>
            <w:vAlign w:val="center"/>
          </w:tcPr>
          <w:p w14:paraId="7B512ACD">
            <w:pPr>
              <w:widowControl/>
              <w:jc w:val="center"/>
              <w:rPr>
                <w:rFonts w:ascii="宋体" w:hAnsi="宋体" w:eastAsia="宋体" w:cs="宋体"/>
                <w:color w:val="000000" w:themeColor="text1"/>
                <w:kern w:val="0"/>
                <w:szCs w:val="21"/>
                <w:highlight w:val="none"/>
                <w14:textFill>
                  <w14:solidFill>
                    <w14:schemeClr w14:val="tx1"/>
                  </w14:solidFill>
                </w14:textFill>
              </w:rPr>
            </w:pPr>
          </w:p>
        </w:tc>
        <w:tc>
          <w:tcPr>
            <w:tcW w:w="394" w:type="pct"/>
            <w:vMerge w:val="continue"/>
            <w:tcBorders>
              <w:left w:val="nil"/>
              <w:bottom w:val="single" w:color="auto" w:sz="4" w:space="0"/>
              <w:right w:val="single" w:color="auto" w:sz="4" w:space="0"/>
            </w:tcBorders>
            <w:vAlign w:val="center"/>
          </w:tcPr>
          <w:p w14:paraId="23F0E432">
            <w:pPr>
              <w:widowControl/>
              <w:jc w:val="center"/>
              <w:rPr>
                <w:rFonts w:ascii="宋体" w:hAnsi="宋体" w:cs="宋体"/>
                <w:color w:val="000000" w:themeColor="text1"/>
                <w:kern w:val="0"/>
                <w:szCs w:val="21"/>
                <w:highlight w:val="none"/>
                <w14:textFill>
                  <w14:solidFill>
                    <w14:schemeClr w14:val="tx1"/>
                  </w14:solidFill>
                </w14:textFill>
              </w:rPr>
            </w:pPr>
          </w:p>
        </w:tc>
      </w:tr>
    </w:tbl>
    <w:p w14:paraId="06D0301F">
      <w:pPr>
        <w:rPr>
          <w:rFonts w:ascii="宋体" w:hAnsi="宋体" w:eastAsia="宋体" w:cs="宋体"/>
          <w:b/>
          <w:bCs/>
          <w:color w:val="000000" w:themeColor="text1"/>
          <w:kern w:val="0"/>
          <w:sz w:val="28"/>
          <w:szCs w:val="28"/>
          <w14:textFill>
            <w14:solidFill>
              <w14:schemeClr w14:val="tx1"/>
            </w14:solidFill>
          </w14:textFill>
        </w:rPr>
      </w:pPr>
    </w:p>
    <w:bookmarkEnd w:id="0"/>
    <w:bookmarkEnd w:id="1"/>
    <w:bookmarkEnd w:id="2"/>
    <w:bookmarkEnd w:id="3"/>
    <w:p w14:paraId="1D50089A">
      <w:pPr>
        <w:rPr>
          <w:rFonts w:ascii="宋体" w:hAnsi="宋体" w:eastAsia="宋体" w:cs="宋体"/>
          <w:b/>
          <w:bCs/>
          <w:color w:val="000000" w:themeColor="text1"/>
          <w:kern w:val="0"/>
          <w:sz w:val="28"/>
          <w:szCs w:val="28"/>
          <w14:textFill>
            <w14:solidFill>
              <w14:schemeClr w14:val="tx1"/>
            </w14:solidFill>
          </w14:textFill>
        </w:rPr>
      </w:pPr>
      <w:r>
        <w:rPr>
          <w:rFonts w:hint="eastAsia" w:ascii="宋体" w:hAnsi="宋体" w:eastAsia="宋体" w:cs="宋体"/>
          <w:b/>
          <w:bCs/>
          <w:color w:val="000000" w:themeColor="text1"/>
          <w:kern w:val="0"/>
          <w:sz w:val="28"/>
          <w:szCs w:val="28"/>
          <w14:textFill>
            <w14:solidFill>
              <w14:schemeClr w14:val="tx1"/>
            </w14:solidFill>
          </w14:textFill>
        </w:rPr>
        <w:t>（二）具体技术要求</w:t>
      </w:r>
    </w:p>
    <w:tbl>
      <w:tblPr>
        <w:tblStyle w:val="11"/>
        <w:tblW w:w="5025" w:type="pct"/>
        <w:tblInd w:w="-291" w:type="dxa"/>
        <w:tblLayout w:type="autofit"/>
        <w:tblCellMar>
          <w:top w:w="0" w:type="dxa"/>
          <w:left w:w="0" w:type="dxa"/>
          <w:bottom w:w="0" w:type="dxa"/>
          <w:right w:w="0" w:type="dxa"/>
        </w:tblCellMar>
      </w:tblPr>
      <w:tblGrid>
        <w:gridCol w:w="884"/>
        <w:gridCol w:w="949"/>
        <w:gridCol w:w="975"/>
        <w:gridCol w:w="5540"/>
      </w:tblGrid>
      <w:tr w14:paraId="59926D96">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A26EA">
            <w:pPr>
              <w:widowControl/>
              <w:spacing w:line="300" w:lineRule="auto"/>
              <w:jc w:val="center"/>
              <w:textAlignment w:val="center"/>
              <w:rPr>
                <w:rFonts w:cs="Songti SC Regular" w:asciiTheme="minorEastAsia" w:hAnsiTheme="minorEastAsia" w:eastAsiaTheme="minorEastAsia"/>
                <w:b/>
                <w:bCs/>
                <w:color w:val="auto"/>
                <w:szCs w:val="21"/>
                <w:highlight w:val="none"/>
              </w:rPr>
            </w:pPr>
            <w:r>
              <w:rPr>
                <w:rFonts w:hint="eastAsia" w:cs="Songti SC Regular" w:asciiTheme="minorEastAsia" w:hAnsiTheme="minorEastAsia" w:eastAsiaTheme="minorEastAsia"/>
                <w:b/>
                <w:bCs/>
                <w:color w:val="auto"/>
                <w:kern w:val="0"/>
                <w:szCs w:val="21"/>
                <w:highlight w:val="none"/>
                <w:lang w:bidi="ar"/>
              </w:rPr>
              <w:t>序号</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DFCA5">
            <w:pPr>
              <w:widowControl/>
              <w:spacing w:line="300" w:lineRule="auto"/>
              <w:jc w:val="center"/>
              <w:textAlignment w:val="center"/>
              <w:rPr>
                <w:rFonts w:cs="Songti SC Regular" w:asciiTheme="minorEastAsia" w:hAnsiTheme="minorEastAsia" w:eastAsiaTheme="minorEastAsia"/>
                <w:b/>
                <w:bCs/>
                <w:color w:val="auto"/>
                <w:kern w:val="0"/>
                <w:szCs w:val="21"/>
                <w:highlight w:val="none"/>
                <w:lang w:bidi="ar"/>
              </w:rPr>
            </w:pPr>
            <w:r>
              <w:rPr>
                <w:rFonts w:hint="eastAsia" w:cs="Songti SC Regular" w:asciiTheme="minorEastAsia" w:hAnsiTheme="minorEastAsia" w:eastAsiaTheme="minorEastAsia"/>
                <w:b/>
                <w:bCs/>
                <w:color w:val="auto"/>
                <w:kern w:val="0"/>
                <w:szCs w:val="21"/>
                <w:highlight w:val="none"/>
                <w:lang w:bidi="ar"/>
              </w:rPr>
              <w:t>功能</w:t>
            </w:r>
          </w:p>
          <w:p w14:paraId="3223D6B5">
            <w:pPr>
              <w:widowControl/>
              <w:spacing w:line="300" w:lineRule="auto"/>
              <w:jc w:val="center"/>
              <w:textAlignment w:val="center"/>
              <w:rPr>
                <w:rFonts w:cs="Songti SC Regular" w:asciiTheme="minorEastAsia" w:hAnsiTheme="minorEastAsia" w:eastAsiaTheme="minorEastAsia"/>
                <w:b/>
                <w:bCs/>
                <w:color w:val="auto"/>
                <w:szCs w:val="21"/>
                <w:highlight w:val="none"/>
              </w:rPr>
            </w:pPr>
            <w:r>
              <w:rPr>
                <w:rFonts w:hint="eastAsia" w:cs="Songti SC Regular" w:asciiTheme="minorEastAsia" w:hAnsiTheme="minorEastAsia" w:eastAsiaTheme="minorEastAsia"/>
                <w:b/>
                <w:bCs/>
                <w:color w:val="auto"/>
                <w:kern w:val="0"/>
                <w:szCs w:val="21"/>
                <w:highlight w:val="none"/>
                <w:lang w:bidi="ar"/>
              </w:rPr>
              <w:t>名称</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0AB02">
            <w:pPr>
              <w:spacing w:line="300" w:lineRule="auto"/>
              <w:jc w:val="center"/>
              <w:rPr>
                <w:rFonts w:cs="Songti SC Regular" w:asciiTheme="minorEastAsia" w:hAnsiTheme="minorEastAsia" w:eastAsiaTheme="minorEastAsia"/>
                <w:b/>
                <w:bCs/>
                <w:color w:val="auto"/>
                <w:szCs w:val="21"/>
                <w:highlight w:val="none"/>
              </w:rPr>
            </w:pP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D299E">
            <w:pPr>
              <w:widowControl/>
              <w:spacing w:line="300" w:lineRule="auto"/>
              <w:jc w:val="center"/>
              <w:textAlignment w:val="center"/>
              <w:rPr>
                <w:rFonts w:cs="Songti SC Regular" w:asciiTheme="minorEastAsia" w:hAnsiTheme="minorEastAsia" w:eastAsiaTheme="minorEastAsia"/>
                <w:b/>
                <w:bCs/>
                <w:color w:val="auto"/>
                <w:szCs w:val="21"/>
                <w:highlight w:val="none"/>
              </w:rPr>
            </w:pPr>
            <w:r>
              <w:rPr>
                <w:rFonts w:hint="eastAsia" w:cs="Songti SC Regular" w:asciiTheme="minorEastAsia" w:hAnsiTheme="minorEastAsia" w:eastAsiaTheme="minorEastAsia"/>
                <w:b/>
                <w:bCs/>
                <w:color w:val="auto"/>
                <w:kern w:val="0"/>
                <w:szCs w:val="21"/>
                <w:highlight w:val="none"/>
                <w:lang w:bidi="ar"/>
              </w:rPr>
              <w:t>主要技术参数要求</w:t>
            </w:r>
          </w:p>
        </w:tc>
      </w:tr>
      <w:tr w14:paraId="77136988">
        <w:tblPrEx>
          <w:tblCellMar>
            <w:top w:w="0" w:type="dxa"/>
            <w:left w:w="0" w:type="dxa"/>
            <w:bottom w:w="0" w:type="dxa"/>
            <w:right w:w="0" w:type="dxa"/>
          </w:tblCellMar>
        </w:tblPrEx>
        <w:trPr>
          <w:trHeight w:val="9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2EF81">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1</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2B03CC">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科研首页</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DA471">
            <w:pPr>
              <w:widowControl/>
              <w:spacing w:line="300" w:lineRule="auto"/>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通知公告</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E99C0">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1、展示科研相关通知公告（包含项目申报通知、科研相关管理办法、常见问题指引等），可以链接0</w:t>
            </w:r>
            <w:r>
              <w:rPr>
                <w:rFonts w:cs="Songti SC Regular" w:asciiTheme="minorEastAsia" w:hAnsiTheme="minorEastAsia" w:eastAsiaTheme="minorEastAsia"/>
                <w:color w:val="auto"/>
                <w:kern w:val="0"/>
                <w:szCs w:val="21"/>
                <w:highlight w:val="none"/>
                <w:lang w:bidi="ar"/>
              </w:rPr>
              <w:t>A</w:t>
            </w:r>
            <w:r>
              <w:rPr>
                <w:rFonts w:hint="eastAsia" w:cs="Songti SC Regular" w:asciiTheme="minorEastAsia" w:hAnsiTheme="minorEastAsia" w:eastAsiaTheme="minorEastAsia"/>
                <w:color w:val="auto"/>
                <w:kern w:val="0"/>
                <w:szCs w:val="21"/>
                <w:highlight w:val="none"/>
                <w:lang w:bidi="ar"/>
              </w:rPr>
              <w:t>科研公告板块；</w:t>
            </w:r>
            <w:r>
              <w:rPr>
                <w:rFonts w:cs="Songti SC Regular" w:asciiTheme="minorEastAsia" w:hAnsiTheme="minorEastAsia" w:eastAsiaTheme="minorEastAsia"/>
                <w:color w:val="auto"/>
                <w:kern w:val="0"/>
                <w:szCs w:val="21"/>
                <w:highlight w:val="none"/>
                <w:lang w:bidi="ar"/>
              </w:rPr>
              <w:br w:type="textWrapping"/>
            </w:r>
            <w:r>
              <w:rPr>
                <w:rFonts w:hint="eastAsia" w:cs="Songti SC Regular" w:asciiTheme="minorEastAsia" w:hAnsiTheme="minorEastAsia" w:eastAsiaTheme="minorEastAsia"/>
                <w:color w:val="auto"/>
                <w:kern w:val="0"/>
                <w:szCs w:val="21"/>
                <w:highlight w:val="none"/>
                <w:lang w:bidi="ar"/>
              </w:rPr>
              <w:t>2、需实现上述相关通知文件的附件的查看以及快捷下载；</w:t>
            </w:r>
          </w:p>
          <w:p w14:paraId="7FDA5C49">
            <w:pPr>
              <w:widowControl/>
              <w:spacing w:line="300" w:lineRule="auto"/>
              <w:jc w:val="left"/>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3</w:t>
            </w:r>
            <w:r>
              <w:rPr>
                <w:rFonts w:hint="eastAsia" w:cs="Songti SC Regular" w:asciiTheme="minorEastAsia" w:hAnsiTheme="minorEastAsia" w:eastAsiaTheme="minorEastAsia"/>
                <w:color w:val="auto"/>
                <w:kern w:val="0"/>
                <w:szCs w:val="21"/>
                <w:highlight w:val="none"/>
                <w:lang w:bidi="ar"/>
              </w:rPr>
              <w:t xml:space="preserve">、实现按类型筛选及历史公告全文检索；（检索栏的表述待确认） </w:t>
            </w:r>
          </w:p>
        </w:tc>
      </w:tr>
      <w:tr w14:paraId="3DFB584B">
        <w:tblPrEx>
          <w:tblCellMar>
            <w:top w:w="0" w:type="dxa"/>
            <w:left w:w="0" w:type="dxa"/>
            <w:bottom w:w="0" w:type="dxa"/>
            <w:right w:w="0" w:type="dxa"/>
          </w:tblCellMar>
        </w:tblPrEx>
        <w:trPr>
          <w:trHeight w:val="8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480EA">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2</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26A40">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2D989">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待办审批消息</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BDCFE">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1、系统自动抓取所有待审批的申请，集中直接在展示所属模块、数量、时间；</w:t>
            </w:r>
            <w:r>
              <w:rPr>
                <w:rFonts w:cs="Songti SC Regular" w:asciiTheme="minorEastAsia" w:hAnsiTheme="minorEastAsia" w:eastAsiaTheme="minorEastAsia"/>
                <w:color w:val="auto"/>
                <w:kern w:val="0"/>
                <w:szCs w:val="21"/>
                <w:highlight w:val="none"/>
                <w:lang w:bidi="ar"/>
              </w:rPr>
              <w:br w:type="textWrapping"/>
            </w:r>
            <w:r>
              <w:rPr>
                <w:rFonts w:cs="Songti SC Regular" w:asciiTheme="minorEastAsia" w:hAnsiTheme="minorEastAsia" w:eastAsiaTheme="minorEastAsia"/>
                <w:color w:val="auto"/>
                <w:kern w:val="0"/>
                <w:szCs w:val="21"/>
                <w:highlight w:val="none"/>
                <w:lang w:bidi="ar"/>
              </w:rPr>
              <w:t>2</w:t>
            </w:r>
            <w:r>
              <w:rPr>
                <w:rFonts w:hint="eastAsia" w:cs="Songti SC Regular" w:asciiTheme="minorEastAsia" w:hAnsiTheme="minorEastAsia" w:eastAsiaTheme="minorEastAsia"/>
                <w:color w:val="auto"/>
                <w:kern w:val="0"/>
                <w:szCs w:val="21"/>
                <w:highlight w:val="none"/>
                <w:lang w:bidi="ar"/>
              </w:rPr>
              <w:t>、提醒个人用户的待办事项；提供管理人员快捷的审批入口；</w:t>
            </w:r>
          </w:p>
          <w:p w14:paraId="4F605720">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3、重要待办同步邮件\短信通知；（如何定义重要待办，邮件通知是否需要另外收钱）</w:t>
            </w:r>
          </w:p>
        </w:tc>
      </w:tr>
      <w:tr w14:paraId="277D8D50">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6FDC6">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3</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28E89">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3167B">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预警提醒中心</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76059">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1、项目到期预警：根据项目管理要求，在各个时间点（如中期、结题等）前1/3/6个月（可自动定义时限）自动触发预警，且可</w:t>
            </w:r>
            <w:r>
              <w:rPr>
                <w:rFonts w:cs="Segoe UI" w:asciiTheme="minorEastAsia" w:hAnsiTheme="minorEastAsia" w:eastAsiaTheme="minorEastAsia"/>
                <w:color w:val="auto"/>
                <w:szCs w:val="21"/>
                <w:highlight w:val="none"/>
                <w:shd w:val="clear" w:color="auto" w:fill="FFFFFF"/>
              </w:rPr>
              <w:t>快捷定位具体项目</w:t>
            </w:r>
            <w:r>
              <w:rPr>
                <w:rFonts w:hint="eastAsia" w:cs="Segoe UI" w:asciiTheme="minorEastAsia" w:hAnsiTheme="minorEastAsia" w:eastAsiaTheme="minorEastAsia"/>
                <w:color w:val="auto"/>
                <w:szCs w:val="21"/>
                <w:highlight w:val="none"/>
                <w:shd w:val="clear" w:color="auto" w:fill="FFFFFF"/>
              </w:rPr>
              <w:t>；</w:t>
            </w:r>
            <w:r>
              <w:rPr>
                <w:rFonts w:cs="Songti SC Regular" w:asciiTheme="minorEastAsia" w:hAnsiTheme="minorEastAsia" w:eastAsiaTheme="minorEastAsia"/>
                <w:color w:val="auto"/>
                <w:kern w:val="0"/>
                <w:szCs w:val="21"/>
                <w:highlight w:val="none"/>
                <w:lang w:bidi="ar"/>
              </w:rPr>
              <w:t xml:space="preserve"> </w:t>
            </w:r>
            <w:r>
              <w:rPr>
                <w:rFonts w:cs="Songti SC Regular" w:asciiTheme="minorEastAsia" w:hAnsiTheme="minorEastAsia" w:eastAsiaTheme="minorEastAsia"/>
                <w:color w:val="auto"/>
                <w:kern w:val="0"/>
                <w:szCs w:val="21"/>
                <w:highlight w:val="none"/>
                <w:lang w:bidi="ar"/>
              </w:rPr>
              <w:br w:type="textWrapping"/>
            </w:r>
            <w:r>
              <w:rPr>
                <w:rFonts w:cs="Songti SC Regular" w:asciiTheme="minorEastAsia" w:hAnsiTheme="minorEastAsia" w:eastAsiaTheme="minorEastAsia"/>
                <w:color w:val="auto"/>
                <w:kern w:val="0"/>
                <w:szCs w:val="21"/>
                <w:highlight w:val="none"/>
                <w:lang w:bidi="ar"/>
              </w:rPr>
              <w:t>2</w:t>
            </w:r>
            <w:r>
              <w:rPr>
                <w:rFonts w:hint="eastAsia" w:cs="Songti SC Regular" w:asciiTheme="minorEastAsia" w:hAnsiTheme="minorEastAsia" w:eastAsiaTheme="minorEastAsia"/>
                <w:color w:val="auto"/>
                <w:kern w:val="0"/>
                <w:szCs w:val="21"/>
                <w:highlight w:val="none"/>
                <w:lang w:bidi="ar"/>
              </w:rPr>
              <w:t>、经费执行预警：对经费执行率偏低的项目进行提醒</w:t>
            </w:r>
          </w:p>
          <w:p w14:paraId="7F92380F">
            <w:pPr>
              <w:widowControl/>
              <w:spacing w:line="300" w:lineRule="auto"/>
              <w:jc w:val="left"/>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3</w:t>
            </w:r>
            <w:r>
              <w:rPr>
                <w:rFonts w:hint="eastAsia" w:cs="Songti SC Regular" w:asciiTheme="minorEastAsia" w:hAnsiTheme="minorEastAsia" w:eastAsiaTheme="minorEastAsia"/>
                <w:color w:val="auto"/>
                <w:kern w:val="0"/>
                <w:szCs w:val="21"/>
                <w:highlight w:val="none"/>
                <w:lang w:bidi="ar"/>
              </w:rPr>
              <w:t>、预警程度可按紧急程度区分展示，支持一键查看全部预警列表。</w:t>
            </w:r>
          </w:p>
        </w:tc>
      </w:tr>
      <w:tr w14:paraId="2202C4E4">
        <w:tblPrEx>
          <w:tblCellMar>
            <w:top w:w="0" w:type="dxa"/>
            <w:left w:w="0" w:type="dxa"/>
            <w:bottom w:w="0" w:type="dxa"/>
            <w:right w:w="0" w:type="dxa"/>
          </w:tblCellMar>
        </w:tblPrEx>
        <w:trPr>
          <w:trHeight w:val="8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30544">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4</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DB4F5">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3D7C6">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科研成果一站式管理</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05FD6">
            <w:pPr>
              <w:widowControl/>
              <w:spacing w:line="300" w:lineRule="auto"/>
              <w:jc w:val="left"/>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建立统一的成果登记库（涵盖论文、专利、软著、奖项等），实现数据排重与自动校验；支持对科研成果批量导入、数据导出、推送、成果认领、科室智能匹配等，实现科研成果录入、与数据统计自动化。</w:t>
            </w:r>
          </w:p>
          <w:p w14:paraId="2376D3B3">
            <w:pPr>
              <w:widowControl/>
              <w:spacing w:line="300" w:lineRule="auto"/>
              <w:jc w:val="left"/>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1、系统在开放互联网（外网）访问条件下，可支持自动采集学术网站文章数据（WOS、</w:t>
            </w:r>
            <w:r>
              <w:rPr>
                <w:rFonts w:cs="宋体" w:asciiTheme="minorEastAsia" w:hAnsiTheme="minorEastAsia" w:eastAsiaTheme="minorEastAsia"/>
                <w:color w:val="auto"/>
                <w:szCs w:val="21"/>
                <w:highlight w:val="none"/>
              </w:rPr>
              <w:t>PubMed、知网、维普、万方</w:t>
            </w:r>
            <w:r>
              <w:rPr>
                <w:rFonts w:hint="eastAsia" w:cs="宋体" w:asciiTheme="minorEastAsia" w:hAnsiTheme="minorEastAsia" w:eastAsiaTheme="minorEastAsia"/>
                <w:color w:val="auto"/>
                <w:szCs w:val="21"/>
                <w:highlight w:val="none"/>
              </w:rPr>
              <w:t>等</w:t>
            </w:r>
            <w:r>
              <w:rPr>
                <w:rFonts w:hint="eastAsia" w:cs="Songti SC Regular" w:asciiTheme="minorEastAsia" w:hAnsiTheme="minorEastAsia" w:eastAsiaTheme="minorEastAsia"/>
                <w:color w:val="auto"/>
                <w:kern w:val="0"/>
                <w:szCs w:val="21"/>
                <w:highlight w:val="none"/>
                <w:lang w:bidi="ar"/>
              </w:rPr>
              <w:t>），同步最新科研论文到系统，自动下载本院为作者发表机构的文章并匹配本院作者（区分一作/通讯作者），推送到各科研人员账号；待科研人员认领；</w:t>
            </w:r>
          </w:p>
          <w:p w14:paraId="43F840DB">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2、实现认领功能（系统将论文推送至科研人员账户）；</w:t>
            </w:r>
          </w:p>
          <w:p w14:paraId="46D98652">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3、若期刊有撤稿标记，则可实现同步撤稿标记到系统。</w:t>
            </w:r>
          </w:p>
        </w:tc>
      </w:tr>
      <w:tr w14:paraId="347594B4">
        <w:tblPrEx>
          <w:tblCellMar>
            <w:top w:w="0" w:type="dxa"/>
            <w:left w:w="0" w:type="dxa"/>
            <w:bottom w:w="0" w:type="dxa"/>
            <w:right w:w="0" w:type="dxa"/>
          </w:tblCellMar>
        </w:tblPrEx>
        <w:trPr>
          <w:trHeight w:val="1677"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83525">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5</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BAFDE">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6D946">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科研成果统计与可视化展示</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C495F">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cs="Segoe UI" w:asciiTheme="minorEastAsia" w:hAnsiTheme="minorEastAsia" w:eastAsiaTheme="minorEastAsia"/>
                <w:color w:val="auto"/>
                <w:szCs w:val="21"/>
                <w:highlight w:val="none"/>
                <w:shd w:val="clear" w:color="auto" w:fill="FFFFFF"/>
              </w:rPr>
              <w:t>系统可多维度统计并可视化全院科研成果</w:t>
            </w:r>
            <w:r>
              <w:rPr>
                <w:rFonts w:hint="eastAsia" w:cs="Segoe UI" w:asciiTheme="minorEastAsia" w:hAnsiTheme="minorEastAsia" w:eastAsiaTheme="minorEastAsia"/>
                <w:color w:val="auto"/>
                <w:szCs w:val="21"/>
                <w:highlight w:val="none"/>
                <w:shd w:val="clear" w:color="auto" w:fill="FFFFFF"/>
              </w:rPr>
              <w:t>（包含项目数量、经费、论文、专利等）</w:t>
            </w:r>
            <w:r>
              <w:rPr>
                <w:rFonts w:cs="Segoe UI" w:asciiTheme="minorEastAsia" w:hAnsiTheme="minorEastAsia" w:eastAsiaTheme="minorEastAsia"/>
                <w:color w:val="auto"/>
                <w:szCs w:val="21"/>
                <w:highlight w:val="none"/>
                <w:shd w:val="clear" w:color="auto" w:fill="FFFFFF"/>
              </w:rPr>
              <w:t>，且支持按账号权限（个人/科室）筛选展示对应范围的统计报表。</w:t>
            </w:r>
            <w:r>
              <w:rPr>
                <w:rFonts w:hint="eastAsia" w:cs="Segoe UI" w:asciiTheme="minorEastAsia" w:hAnsiTheme="minorEastAsia" w:eastAsiaTheme="minorEastAsia"/>
                <w:color w:val="auto"/>
                <w:szCs w:val="21"/>
                <w:highlight w:val="none"/>
                <w:shd w:val="clear" w:color="auto" w:fill="FFFFFF"/>
              </w:rPr>
              <w:t>核心能力如下：</w:t>
            </w:r>
            <w:r>
              <w:rPr>
                <w:rFonts w:cs="Songti SC Regular" w:asciiTheme="minorEastAsia" w:hAnsiTheme="minorEastAsia" w:eastAsiaTheme="minorEastAsia"/>
                <w:color w:val="auto"/>
                <w:kern w:val="0"/>
                <w:szCs w:val="21"/>
                <w:highlight w:val="none"/>
                <w:lang w:bidi="ar"/>
              </w:rPr>
              <w:br w:type="textWrapping"/>
            </w:r>
            <w:r>
              <w:rPr>
                <w:rFonts w:hint="eastAsia" w:cs="Songti SC Regular" w:asciiTheme="minorEastAsia" w:hAnsiTheme="minorEastAsia" w:eastAsiaTheme="minorEastAsia"/>
                <w:color w:val="auto"/>
                <w:kern w:val="0"/>
                <w:szCs w:val="21"/>
                <w:highlight w:val="none"/>
                <w:lang w:bidi="ar"/>
              </w:rPr>
              <w:t>1、</w:t>
            </w:r>
            <w:r>
              <w:rPr>
                <w:rFonts w:hint="eastAsia" w:cs="Songti SC Regular" w:asciiTheme="minorEastAsia" w:hAnsiTheme="minorEastAsia" w:eastAsiaTheme="minorEastAsia"/>
                <w:b/>
                <w:color w:val="auto"/>
                <w:kern w:val="0"/>
                <w:szCs w:val="21"/>
                <w:highlight w:val="none"/>
                <w:lang w:bidi="ar"/>
              </w:rPr>
              <w:t>多维度筛选：</w:t>
            </w:r>
            <w:r>
              <w:rPr>
                <w:rFonts w:hint="eastAsia" w:cs="Songti SC Regular" w:asciiTheme="minorEastAsia" w:hAnsiTheme="minorEastAsia" w:eastAsiaTheme="minorEastAsia"/>
                <w:color w:val="auto"/>
                <w:kern w:val="0"/>
                <w:szCs w:val="21"/>
                <w:highlight w:val="none"/>
                <w:lang w:bidi="ar"/>
              </w:rPr>
              <w:t>实现按时间（年度/月份/自定义区间）、科室/个人、项目级别、文章类型（中文/英文、J</w:t>
            </w:r>
            <w:r>
              <w:rPr>
                <w:rFonts w:cs="Songti SC Regular" w:asciiTheme="minorEastAsia" w:hAnsiTheme="minorEastAsia" w:eastAsiaTheme="minorEastAsia"/>
                <w:color w:val="auto"/>
                <w:kern w:val="0"/>
                <w:szCs w:val="21"/>
                <w:highlight w:val="none"/>
                <w:lang w:bidi="ar"/>
              </w:rPr>
              <w:t>CR/</w:t>
            </w:r>
            <w:r>
              <w:rPr>
                <w:rFonts w:hint="eastAsia" w:cs="Songti SC Regular" w:asciiTheme="minorEastAsia" w:hAnsiTheme="minorEastAsia" w:eastAsiaTheme="minorEastAsia"/>
                <w:color w:val="auto"/>
                <w:kern w:val="0"/>
                <w:szCs w:val="21"/>
                <w:highlight w:val="none"/>
                <w:lang w:bidi="ar"/>
              </w:rPr>
              <w:t>中科院分区等）等条件筛选，数据图表实时联动更新；</w:t>
            </w:r>
          </w:p>
          <w:p w14:paraId="70BDCD5F">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b/>
                <w:color w:val="auto"/>
                <w:kern w:val="0"/>
                <w:szCs w:val="21"/>
                <w:highlight w:val="none"/>
                <w:lang w:bidi="ar"/>
              </w:rPr>
              <w:t>2、多层级下钻</w:t>
            </w:r>
            <w:r>
              <w:rPr>
                <w:rFonts w:hint="eastAsia" w:cs="Songti SC Regular" w:asciiTheme="minorEastAsia" w:hAnsiTheme="minorEastAsia" w:eastAsiaTheme="minorEastAsia"/>
                <w:color w:val="auto"/>
                <w:kern w:val="0"/>
                <w:szCs w:val="21"/>
                <w:highlight w:val="none"/>
                <w:lang w:bidi="ar"/>
              </w:rPr>
              <w:t>：图表支持点击查看二级明细数据；</w:t>
            </w:r>
            <w:r>
              <w:rPr>
                <w:rFonts w:cs="Songti SC Regular" w:asciiTheme="minorEastAsia" w:hAnsiTheme="minorEastAsia" w:eastAsiaTheme="minorEastAsia"/>
                <w:color w:val="auto"/>
                <w:kern w:val="0"/>
                <w:szCs w:val="21"/>
                <w:highlight w:val="none"/>
                <w:lang w:bidi="ar"/>
              </w:rPr>
              <w:br w:type="textWrapping"/>
            </w:r>
            <w:r>
              <w:rPr>
                <w:rFonts w:hint="eastAsia" w:cs="Songti SC Regular" w:asciiTheme="minorEastAsia" w:hAnsiTheme="minorEastAsia" w:eastAsiaTheme="minorEastAsia"/>
                <w:b/>
                <w:color w:val="auto"/>
                <w:kern w:val="0"/>
                <w:szCs w:val="21"/>
                <w:highlight w:val="none"/>
                <w:lang w:bidi="ar"/>
              </w:rPr>
              <w:t>3、排名与占比</w:t>
            </w:r>
            <w:r>
              <w:rPr>
                <w:rFonts w:hint="eastAsia" w:cs="Songti SC Regular" w:asciiTheme="minorEastAsia" w:hAnsiTheme="minorEastAsia" w:eastAsiaTheme="minorEastAsia"/>
                <w:color w:val="auto"/>
                <w:kern w:val="0"/>
                <w:szCs w:val="21"/>
                <w:highlight w:val="none"/>
                <w:lang w:bidi="ar"/>
              </w:rPr>
              <w:t>：实现按科室或个人进行前N排名（如前20/50/100）及全院排序；</w:t>
            </w:r>
          </w:p>
          <w:p w14:paraId="46D7220A">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b/>
                <w:color w:val="auto"/>
                <w:kern w:val="0"/>
                <w:szCs w:val="21"/>
                <w:highlight w:val="none"/>
                <w:lang w:bidi="ar"/>
              </w:rPr>
              <w:t>4、自定义报表与导出：</w:t>
            </w:r>
            <w:r>
              <w:rPr>
                <w:rFonts w:hint="eastAsia" w:cs="Songti SC Regular" w:asciiTheme="minorEastAsia" w:hAnsiTheme="minorEastAsia" w:eastAsiaTheme="minorEastAsia"/>
                <w:color w:val="auto"/>
                <w:kern w:val="0"/>
                <w:szCs w:val="21"/>
                <w:highlight w:val="none"/>
                <w:lang w:bidi="ar"/>
              </w:rPr>
              <w:t>实现按时间区间（近X年）、科室、成果类别（论文、专利、奖项、著作、任职、临床标准、指南等））等组合条件生成定制报表，并一键导出；</w:t>
            </w:r>
          </w:p>
          <w:p w14:paraId="33C24E39">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b/>
                <w:color w:val="auto"/>
                <w:kern w:val="0"/>
                <w:szCs w:val="21"/>
                <w:highlight w:val="none"/>
                <w:lang w:bidi="ar"/>
              </w:rPr>
              <w:t>5、科研数据可视化驾驶舱：</w:t>
            </w:r>
            <w:r>
              <w:rPr>
                <w:rFonts w:hint="eastAsia" w:cs="Songti SC Regular" w:asciiTheme="minorEastAsia" w:hAnsiTheme="minorEastAsia" w:eastAsiaTheme="minorEastAsia"/>
                <w:color w:val="auto"/>
                <w:kern w:val="0"/>
                <w:szCs w:val="21"/>
                <w:highlight w:val="none"/>
                <w:lang w:bidi="ar"/>
              </w:rPr>
              <w:t>系统可需基于实时业务数据自动生成科研数据可视化驾驶舱，以动态大屏的形式集中呈现全院科研关键指标，为管理层提供直观的宏观态势感知。所有统计模块均需支持按时间、科室、人员级别等多种维度进行灵活组合与数据下钻，并采用高性能数据计算引擎确保大数据量下的流畅响应，让管理人员实时掌控全院科研动态。</w:t>
            </w:r>
          </w:p>
        </w:tc>
      </w:tr>
      <w:tr w14:paraId="68BB4CBA">
        <w:tblPrEx>
          <w:tblCellMar>
            <w:top w:w="0" w:type="dxa"/>
            <w:left w:w="0" w:type="dxa"/>
            <w:bottom w:w="0" w:type="dxa"/>
            <w:right w:w="0" w:type="dxa"/>
          </w:tblCellMar>
        </w:tblPrEx>
        <w:trPr>
          <w:trHeight w:val="8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E670A">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6</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BFAC">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D2FE8">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个人/科室科研画像</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1C050">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深度整合科研人员及科室的多维数据（涵盖课题、经费、论文、专利、学术任职等），利用可视化技术自动生成三维数据画像，展现个体与团队的科研能力与成长轨迹，支持一键导出用于汇报或申报。</w:t>
            </w:r>
          </w:p>
          <w:p w14:paraId="3ABA6CAA">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b/>
                <w:color w:val="auto"/>
                <w:kern w:val="0"/>
                <w:szCs w:val="21"/>
                <w:highlight w:val="none"/>
                <w:lang w:bidi="ar"/>
              </w:rPr>
              <w:t>1、个人画像（个人账户）：</w:t>
            </w:r>
            <w:r>
              <w:rPr>
                <w:rFonts w:hint="eastAsia" w:cs="Songti SC Regular" w:asciiTheme="minorEastAsia" w:hAnsiTheme="minorEastAsia" w:eastAsiaTheme="minorEastAsia"/>
                <w:color w:val="auto"/>
                <w:kern w:val="0"/>
                <w:szCs w:val="21"/>
                <w:highlight w:val="none"/>
                <w:lang w:bidi="ar"/>
              </w:rPr>
              <w:t>展示基本信息、立项/参与的科研项目、发表论文、专利、个人经费趋势(近10个月)等所有个人科研相关科研数据。</w:t>
            </w:r>
          </w:p>
          <w:p w14:paraId="1713AC07">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b/>
                <w:color w:val="auto"/>
                <w:kern w:val="0"/>
                <w:szCs w:val="21"/>
                <w:highlight w:val="none"/>
                <w:lang w:bidi="ar"/>
              </w:rPr>
              <w:t>2、科室画像（科室负责人账户）：</w:t>
            </w:r>
            <w:r>
              <w:rPr>
                <w:rFonts w:cs="Segoe UI" w:asciiTheme="minorEastAsia" w:hAnsiTheme="minorEastAsia" w:eastAsiaTheme="minorEastAsia"/>
                <w:color w:val="auto"/>
                <w:szCs w:val="21"/>
                <w:highlight w:val="none"/>
                <w:shd w:val="clear" w:color="auto" w:fill="FFFFFF"/>
              </w:rPr>
              <w:t>本科室所有</w:t>
            </w:r>
            <w:r>
              <w:rPr>
                <w:rFonts w:hint="eastAsia" w:cs="Segoe UI" w:asciiTheme="minorEastAsia" w:hAnsiTheme="minorEastAsia" w:eastAsiaTheme="minorEastAsia"/>
                <w:color w:val="auto"/>
                <w:szCs w:val="21"/>
                <w:highlight w:val="none"/>
                <w:shd w:val="clear" w:color="auto" w:fill="FFFFFF"/>
              </w:rPr>
              <w:t>员工</w:t>
            </w:r>
            <w:r>
              <w:rPr>
                <w:rFonts w:cs="Segoe UI" w:asciiTheme="minorEastAsia" w:hAnsiTheme="minorEastAsia" w:eastAsiaTheme="minorEastAsia"/>
                <w:color w:val="auto"/>
                <w:szCs w:val="21"/>
                <w:highlight w:val="none"/>
                <w:shd w:val="clear" w:color="auto" w:fill="FFFFFF"/>
              </w:rPr>
              <w:t>的</w:t>
            </w:r>
            <w:r>
              <w:rPr>
                <w:rFonts w:hint="eastAsia" w:cs="Segoe UI" w:asciiTheme="minorEastAsia" w:hAnsiTheme="minorEastAsia" w:eastAsiaTheme="minorEastAsia"/>
                <w:color w:val="auto"/>
                <w:szCs w:val="21"/>
                <w:highlight w:val="none"/>
                <w:shd w:val="clear" w:color="auto" w:fill="FFFFFF"/>
              </w:rPr>
              <w:t>项目</w:t>
            </w:r>
            <w:r>
              <w:rPr>
                <w:rFonts w:cs="Segoe UI" w:asciiTheme="minorEastAsia" w:hAnsiTheme="minorEastAsia" w:eastAsiaTheme="minorEastAsia"/>
                <w:color w:val="auto"/>
                <w:szCs w:val="21"/>
                <w:highlight w:val="none"/>
                <w:shd w:val="clear" w:color="auto" w:fill="FFFFFF"/>
              </w:rPr>
              <w:t>、论文、</w:t>
            </w:r>
            <w:r>
              <w:rPr>
                <w:rFonts w:hint="eastAsia" w:cs="Segoe UI" w:asciiTheme="minorEastAsia" w:hAnsiTheme="minorEastAsia" w:eastAsiaTheme="minorEastAsia"/>
                <w:color w:val="auto"/>
                <w:szCs w:val="21"/>
                <w:highlight w:val="none"/>
                <w:shd w:val="clear" w:color="auto" w:fill="FFFFFF"/>
              </w:rPr>
              <w:t>专利</w:t>
            </w:r>
            <w:r>
              <w:rPr>
                <w:rFonts w:cs="Segoe UI" w:asciiTheme="minorEastAsia" w:hAnsiTheme="minorEastAsia" w:eastAsiaTheme="minorEastAsia"/>
                <w:color w:val="auto"/>
                <w:szCs w:val="21"/>
                <w:highlight w:val="none"/>
                <w:shd w:val="clear" w:color="auto" w:fill="FFFFFF"/>
              </w:rPr>
              <w:t>、获奖、转化、</w:t>
            </w:r>
            <w:r>
              <w:rPr>
                <w:rFonts w:hint="eastAsia" w:cs="Segoe UI" w:asciiTheme="minorEastAsia" w:hAnsiTheme="minorEastAsia" w:eastAsiaTheme="minorEastAsia"/>
                <w:color w:val="auto"/>
                <w:szCs w:val="21"/>
                <w:highlight w:val="none"/>
                <w:shd w:val="clear" w:color="auto" w:fill="FFFFFF"/>
              </w:rPr>
              <w:t>发表指南</w:t>
            </w:r>
            <w:r>
              <w:rPr>
                <w:rFonts w:cs="Segoe UI" w:asciiTheme="minorEastAsia" w:hAnsiTheme="minorEastAsia" w:eastAsiaTheme="minorEastAsia"/>
                <w:color w:val="auto"/>
                <w:szCs w:val="21"/>
                <w:highlight w:val="none"/>
                <w:shd w:val="clear" w:color="auto" w:fill="FFFFFF"/>
              </w:rPr>
              <w:t>等全部科研</w:t>
            </w:r>
            <w:r>
              <w:rPr>
                <w:rFonts w:hint="eastAsia" w:cs="Segoe UI" w:asciiTheme="minorEastAsia" w:hAnsiTheme="minorEastAsia" w:eastAsiaTheme="minorEastAsia"/>
                <w:color w:val="auto"/>
                <w:szCs w:val="21"/>
                <w:highlight w:val="none"/>
                <w:shd w:val="clear" w:color="auto" w:fill="FFFFFF"/>
              </w:rPr>
              <w:t>成果的可视化报表（按照年度等自定义展示情况）</w:t>
            </w:r>
            <w:r>
              <w:rPr>
                <w:rFonts w:hint="eastAsia" w:cs="Songti SC Regular" w:asciiTheme="minorEastAsia" w:hAnsiTheme="minorEastAsia" w:eastAsiaTheme="minorEastAsia"/>
                <w:color w:val="auto"/>
                <w:kern w:val="0"/>
                <w:szCs w:val="21"/>
                <w:highlight w:val="none"/>
                <w:lang w:bidi="ar"/>
              </w:rPr>
              <w:t>。</w:t>
            </w:r>
          </w:p>
        </w:tc>
      </w:tr>
      <w:tr w14:paraId="3FFEA4AF">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6DBA0">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7</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477CB">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48B87">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快捷跳转</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97949">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1、集成快捷跳转系统链接：包括常规项目申报系统、常用文献平台。</w:t>
            </w:r>
            <w:r>
              <w:rPr>
                <w:rFonts w:cs="Songti SC Regular" w:asciiTheme="minorEastAsia" w:hAnsiTheme="minorEastAsia" w:eastAsiaTheme="minorEastAsia"/>
                <w:color w:val="auto"/>
                <w:kern w:val="0"/>
                <w:szCs w:val="21"/>
                <w:highlight w:val="none"/>
                <w:lang w:bidi="ar"/>
              </w:rPr>
              <w:br w:type="textWrapping"/>
            </w:r>
            <w:r>
              <w:rPr>
                <w:rFonts w:cs="Songti SC Regular" w:asciiTheme="minorEastAsia" w:hAnsiTheme="minorEastAsia" w:eastAsiaTheme="minorEastAsia"/>
                <w:color w:val="auto"/>
                <w:szCs w:val="21"/>
                <w:highlight w:val="none"/>
              </w:rPr>
              <w:t>2</w:t>
            </w:r>
            <w:r>
              <w:rPr>
                <w:rFonts w:hint="eastAsia" w:cs="Songti SC Regular" w:asciiTheme="minorEastAsia" w:hAnsiTheme="minorEastAsia" w:eastAsiaTheme="minorEastAsia"/>
                <w:color w:val="auto"/>
                <w:szCs w:val="21"/>
                <w:highlight w:val="none"/>
              </w:rPr>
              <w:t>、</w:t>
            </w:r>
            <w:r>
              <w:rPr>
                <w:rFonts w:cs="Segoe UI" w:asciiTheme="minorEastAsia" w:hAnsiTheme="minorEastAsia" w:eastAsiaTheme="minorEastAsia"/>
                <w:color w:val="auto"/>
                <w:szCs w:val="21"/>
                <w:highlight w:val="none"/>
                <w:shd w:val="clear" w:color="auto" w:fill="FFFFFF"/>
              </w:rPr>
              <w:t>根据用户角色（科研管理人员/科研秘书/普通科研人员）个性化展示常用入口</w:t>
            </w:r>
            <w:r>
              <w:rPr>
                <w:rFonts w:hint="eastAsia" w:cs="Segoe UI" w:asciiTheme="minorEastAsia" w:hAnsiTheme="minorEastAsia" w:eastAsiaTheme="minorEastAsia"/>
                <w:color w:val="auto"/>
                <w:szCs w:val="21"/>
                <w:highlight w:val="none"/>
                <w:shd w:val="clear" w:color="auto" w:fill="FFFFFF"/>
              </w:rPr>
              <w:t>。</w:t>
            </w:r>
          </w:p>
        </w:tc>
      </w:tr>
      <w:tr w14:paraId="6F0DA27B">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0AC23">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8</w:t>
            </w:r>
          </w:p>
        </w:tc>
        <w:tc>
          <w:tcPr>
            <w:tcW w:w="568" w:type="pct"/>
            <w:vMerge w:val="restart"/>
            <w:tcBorders>
              <w:top w:val="single" w:color="000000" w:sz="4" w:space="0"/>
              <w:left w:val="single" w:color="000000" w:sz="4" w:space="0"/>
              <w:right w:val="single" w:color="000000" w:sz="4" w:space="0"/>
            </w:tcBorders>
            <w:shd w:val="clear" w:color="auto" w:fill="auto"/>
            <w:vAlign w:val="center"/>
          </w:tcPr>
          <w:p w14:paraId="5FD87708">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项目申报</w:t>
            </w:r>
          </w:p>
        </w:tc>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5B5037">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项目申报计划与填报</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10D71">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1、实现在系统设定项目申报通知（依据实际情况设置项目申报列表），实现在系统填报申请书以及审核申请书。（项目申报指对于院级项目和其他归口部门项目的预申报，系统提供申报功能。医院可进行申报批次的创建，限定申报人条件和申报时间等。科研人员登录个人账号可查看申报信息，在允许申报的时间段以内进行项目申报。）</w:t>
            </w:r>
          </w:p>
        </w:tc>
      </w:tr>
      <w:tr w14:paraId="3C8F0F7A">
        <w:tblPrEx>
          <w:tblCellMar>
            <w:top w:w="0" w:type="dxa"/>
            <w:left w:w="0" w:type="dxa"/>
            <w:bottom w:w="0" w:type="dxa"/>
            <w:right w:w="0" w:type="dxa"/>
          </w:tblCellMar>
        </w:tblPrEx>
        <w:trPr>
          <w:trHeight w:val="8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F413D">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9</w:t>
            </w:r>
          </w:p>
        </w:tc>
        <w:tc>
          <w:tcPr>
            <w:tcW w:w="568" w:type="pct"/>
            <w:vMerge w:val="continue"/>
            <w:tcBorders>
              <w:left w:val="single" w:color="000000" w:sz="4" w:space="0"/>
              <w:right w:val="single" w:color="000000" w:sz="4" w:space="0"/>
            </w:tcBorders>
            <w:shd w:val="clear" w:color="auto" w:fill="auto"/>
            <w:vAlign w:val="center"/>
          </w:tcPr>
          <w:p w14:paraId="3F16CB67">
            <w:pPr>
              <w:spacing w:line="300" w:lineRule="auto"/>
              <w:jc w:val="center"/>
              <w:rPr>
                <w:rFonts w:cs="Songti SC Regular" w:asciiTheme="minorEastAsia" w:hAnsiTheme="minorEastAsia" w:eastAsiaTheme="minorEastAsia"/>
                <w:color w:val="auto"/>
                <w:szCs w:val="21"/>
                <w:highlight w:val="none"/>
              </w:rPr>
            </w:pPr>
          </w:p>
        </w:tc>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60D33">
            <w:pPr>
              <w:spacing w:line="300" w:lineRule="auto"/>
              <w:jc w:val="center"/>
              <w:rPr>
                <w:rFonts w:cs="Songti SC Regular" w:asciiTheme="minorEastAsia" w:hAnsiTheme="minorEastAsia" w:eastAsiaTheme="minorEastAsia"/>
                <w:color w:val="auto"/>
                <w:szCs w:val="21"/>
                <w:highlight w:val="none"/>
              </w:rPr>
            </w:pP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5551C">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申报书等材料在审核过程中，系统可实现检测申报书是否与以往申报过的课题申报书标题相似，如果相似系统将进行提醒，以提高课题申报质量。</w:t>
            </w:r>
          </w:p>
        </w:tc>
      </w:tr>
      <w:tr w14:paraId="792BFC30">
        <w:tblPrEx>
          <w:tblCellMar>
            <w:top w:w="0" w:type="dxa"/>
            <w:left w:w="0" w:type="dxa"/>
            <w:bottom w:w="0" w:type="dxa"/>
            <w:right w:w="0" w:type="dxa"/>
          </w:tblCellMar>
        </w:tblPrEx>
        <w:trPr>
          <w:trHeight w:val="9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1CD74">
            <w:pPr>
              <w:widowControl/>
              <w:spacing w:line="300" w:lineRule="auto"/>
              <w:jc w:val="center"/>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1</w:t>
            </w:r>
            <w:r>
              <w:rPr>
                <w:rFonts w:cs="Songti SC Regular" w:asciiTheme="minorEastAsia" w:hAnsiTheme="minorEastAsia" w:eastAsiaTheme="minorEastAsia"/>
                <w:color w:val="auto"/>
                <w:kern w:val="0"/>
                <w:szCs w:val="21"/>
                <w:highlight w:val="none"/>
                <w:lang w:bidi="ar"/>
              </w:rPr>
              <w:t>0</w:t>
            </w:r>
          </w:p>
        </w:tc>
        <w:tc>
          <w:tcPr>
            <w:tcW w:w="568" w:type="pct"/>
            <w:vMerge w:val="continue"/>
            <w:tcBorders>
              <w:left w:val="single" w:color="000000" w:sz="4" w:space="0"/>
              <w:bottom w:val="single" w:color="000000" w:sz="4" w:space="0"/>
              <w:right w:val="single" w:color="000000" w:sz="4" w:space="0"/>
            </w:tcBorders>
            <w:shd w:val="clear" w:color="auto" w:fill="auto"/>
            <w:vAlign w:val="center"/>
          </w:tcPr>
          <w:p w14:paraId="0C83D26E">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C8008">
            <w:pPr>
              <w:spacing w:line="300" w:lineRule="auto"/>
              <w:jc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szCs w:val="21"/>
                <w:highlight w:val="none"/>
              </w:rPr>
              <w:t>申报统计</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883FB">
            <w:pPr>
              <w:pStyle w:val="6"/>
              <w:widowControl/>
              <w:spacing w:line="300" w:lineRule="auto"/>
              <w:jc w:val="left"/>
              <w:textAlignment w:val="center"/>
              <w:rPr>
                <w:rFonts w:cs="Songti SC Regular" w:asciiTheme="minorEastAsia" w:hAnsiTheme="minorEastAsia" w:eastAsiaTheme="minorEastAsia"/>
                <w:color w:val="auto"/>
                <w:kern w:val="0"/>
                <w:sz w:val="21"/>
                <w:szCs w:val="21"/>
                <w:highlight w:val="none"/>
                <w:lang w:bidi="ar"/>
              </w:rPr>
            </w:pPr>
            <w:r>
              <w:rPr>
                <w:rFonts w:cs="Songti SC Regular" w:asciiTheme="minorEastAsia" w:hAnsiTheme="minorEastAsia" w:eastAsiaTheme="minorEastAsia"/>
                <w:b w:val="0"/>
                <w:bCs w:val="0"/>
                <w:color w:val="auto"/>
                <w:kern w:val="0"/>
                <w:sz w:val="21"/>
                <w:szCs w:val="21"/>
                <w:highlight w:val="none"/>
                <w:lang w:bidi="ar"/>
              </w:rPr>
              <w:t>申报项目统计</w:t>
            </w:r>
            <w:r>
              <w:rPr>
                <w:rFonts w:hint="eastAsia" w:cs="Songti SC Regular" w:asciiTheme="minorEastAsia" w:hAnsiTheme="minorEastAsia" w:eastAsiaTheme="minorEastAsia"/>
                <w:b w:val="0"/>
                <w:bCs w:val="0"/>
                <w:color w:val="auto"/>
                <w:kern w:val="0"/>
                <w:sz w:val="21"/>
                <w:szCs w:val="21"/>
                <w:highlight w:val="none"/>
                <w:lang w:bidi="ar"/>
              </w:rPr>
              <w:t>：</w:t>
            </w:r>
            <w:r>
              <w:rPr>
                <w:rFonts w:cs="Songti SC Regular" w:asciiTheme="minorEastAsia" w:hAnsiTheme="minorEastAsia" w:eastAsiaTheme="minorEastAsia"/>
                <w:b w:val="0"/>
                <w:bCs w:val="0"/>
                <w:color w:val="auto"/>
                <w:kern w:val="0"/>
                <w:sz w:val="21"/>
                <w:szCs w:val="21"/>
                <w:highlight w:val="none"/>
                <w:lang w:bidi="ar"/>
              </w:rPr>
              <w:t>指系统内所有申报得项目数量统计、分类、数据导出。</w:t>
            </w:r>
            <w:r>
              <w:rPr>
                <w:rFonts w:hint="eastAsia" w:cs="Songti SC Regular" w:asciiTheme="minorEastAsia" w:hAnsiTheme="minorEastAsia" w:eastAsiaTheme="minorEastAsia"/>
                <w:b w:val="0"/>
                <w:bCs w:val="0"/>
                <w:color w:val="auto"/>
                <w:kern w:val="0"/>
                <w:sz w:val="21"/>
                <w:szCs w:val="21"/>
                <w:highlight w:val="none"/>
                <w:lang w:bidi="ar"/>
              </w:rPr>
              <w:t>（是否需要做纵向项目的申报统计）</w:t>
            </w:r>
          </w:p>
        </w:tc>
      </w:tr>
      <w:tr w14:paraId="5D2984FC">
        <w:tblPrEx>
          <w:tblCellMar>
            <w:top w:w="0" w:type="dxa"/>
            <w:left w:w="0" w:type="dxa"/>
            <w:bottom w:w="0" w:type="dxa"/>
            <w:right w:w="0" w:type="dxa"/>
          </w:tblCellMar>
        </w:tblPrEx>
        <w:trPr>
          <w:trHeight w:val="8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1A258">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11</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CE00CD">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项目评审</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1BBD3">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专家信息管理</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F5129">
            <w:pPr>
              <w:widowControl/>
              <w:spacing w:line="300" w:lineRule="auto"/>
              <w:jc w:val="left"/>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专家信息管理：实现对各类专家的管理；专家基本信息登记，包括院内和院外专家；基础信息及研究方向相关信息维护；同个专家支持多个专家身份类型标记。</w:t>
            </w:r>
          </w:p>
        </w:tc>
      </w:tr>
      <w:tr w14:paraId="4C38D586">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F9163">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12</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954A3">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0CA9A">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专家分配</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96A8A">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实现</w:t>
            </w:r>
            <w:r>
              <w:rPr>
                <w:rFonts w:cs="Songti SC Regular" w:asciiTheme="minorEastAsia" w:hAnsiTheme="minorEastAsia" w:eastAsiaTheme="minorEastAsia"/>
                <w:color w:val="auto"/>
                <w:kern w:val="0"/>
                <w:szCs w:val="21"/>
                <w:highlight w:val="none"/>
                <w:lang w:bidi="ar"/>
              </w:rPr>
              <w:t>按项目单独匹配专家；科研各类型项目或需要审查的内容在线分配至指定专家</w:t>
            </w:r>
          </w:p>
        </w:tc>
      </w:tr>
      <w:tr w14:paraId="5A1C1A04">
        <w:tblPrEx>
          <w:tblCellMar>
            <w:top w:w="0" w:type="dxa"/>
            <w:left w:w="0" w:type="dxa"/>
            <w:bottom w:w="0" w:type="dxa"/>
            <w:right w:w="0" w:type="dxa"/>
          </w:tblCellMar>
        </w:tblPrEx>
        <w:trPr>
          <w:trHeight w:val="8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441A8">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13</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7AAEB">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4A787">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专家评审</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BBBB0">
            <w:pPr>
              <w:widowControl/>
              <w:spacing w:line="300" w:lineRule="auto"/>
              <w:jc w:val="left"/>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支持专家在线评审；可设置专家评分表，包括对评审项目评价、审查意见等；对已分配专家的项目，专家可登录本系统对该项目进行评审。支持专家评审结束后，科研管理人员可查看评审结果。</w:t>
            </w:r>
          </w:p>
        </w:tc>
      </w:tr>
      <w:tr w14:paraId="0262D50B">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EE572">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14</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4FFA9">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0C78A">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查询统计</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4057A">
            <w:pPr>
              <w:widowControl/>
              <w:spacing w:line="300" w:lineRule="auto"/>
              <w:jc w:val="left"/>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可以方便的查询到专家信息、 专家参与评审的项目，以及专家对每个项目的评审意见等；支持导出。</w:t>
            </w:r>
          </w:p>
        </w:tc>
      </w:tr>
      <w:tr w14:paraId="7A431A01">
        <w:tblPrEx>
          <w:tblCellMar>
            <w:top w:w="0" w:type="dxa"/>
            <w:left w:w="0" w:type="dxa"/>
            <w:bottom w:w="0" w:type="dxa"/>
            <w:right w:w="0" w:type="dxa"/>
          </w:tblCellMar>
        </w:tblPrEx>
        <w:trPr>
          <w:trHeight w:val="124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3B18F">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1</w:t>
            </w:r>
            <w:r>
              <w:rPr>
                <w:rFonts w:cs="Songti SC Regular" w:asciiTheme="minorEastAsia" w:hAnsiTheme="minorEastAsia" w:eastAsiaTheme="minorEastAsia"/>
                <w:color w:val="auto"/>
                <w:kern w:val="0"/>
                <w:szCs w:val="21"/>
                <w:highlight w:val="none"/>
                <w:lang w:bidi="ar"/>
              </w:rPr>
              <w:t>5</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F7505">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立项课题管理</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928E4">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立项课题登记管理</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29821">
            <w:pPr>
              <w:widowControl/>
              <w:spacing w:line="300" w:lineRule="auto"/>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系统按项目类别设置分级管理，支持管理课题相关的科研项目合同书、合作协议书、课题批文等附件材料，并可关联衍生成果（论文、奖项、专利等）或奖惩情况，形成完整档案。同时，系统构建覆盖项目类别、级别、立项科室、负责人、项目名称、全部参与人、基金来源、经费、各科目预算、实时经费支出、剩余经费等基本信息，支持多条件联合检索、批量筛选、台账统一导出，实现全院立项项目数据统一归集、动态更新。</w:t>
            </w:r>
          </w:p>
        </w:tc>
      </w:tr>
      <w:tr w14:paraId="509700F0">
        <w:tblPrEx>
          <w:tblCellMar>
            <w:top w:w="0" w:type="dxa"/>
            <w:left w:w="0" w:type="dxa"/>
            <w:bottom w:w="0" w:type="dxa"/>
            <w:right w:w="0" w:type="dxa"/>
          </w:tblCellMar>
        </w:tblPrEx>
        <w:trPr>
          <w:trHeight w:val="8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09459">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16</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80C00">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12488">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过程管理</w:t>
            </w:r>
            <w:r>
              <w:rPr>
                <w:rFonts w:hint="eastAsia" w:cs="Songti SC Regular" w:asciiTheme="minorEastAsia" w:hAnsiTheme="minorEastAsia" w:eastAsiaTheme="minorEastAsia"/>
                <w:color w:val="auto"/>
                <w:kern w:val="0"/>
                <w:szCs w:val="21"/>
                <w:highlight w:val="none"/>
                <w:lang w:bidi="ar"/>
              </w:rPr>
              <w:br w:type="textWrapping"/>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CE05E">
            <w:pPr>
              <w:widowControl/>
              <w:spacing w:line="300" w:lineRule="auto"/>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科研精细化管理要求具有项目立项、项目变更、项目中检、项目结题、项目中转、合同管理、合同变更等过程。可实现自定义设置年度进展报告、中期报告模版。实现统计所有待结题课题，实现提前</w:t>
            </w:r>
            <w:r>
              <w:rPr>
                <w:rFonts w:cs="宋体" w:asciiTheme="minorEastAsia" w:hAnsiTheme="minorEastAsia" w:eastAsiaTheme="minorEastAsia"/>
                <w:color w:val="auto"/>
                <w:szCs w:val="21"/>
                <w:highlight w:val="none"/>
              </w:rPr>
              <w:t>1/3/6 个月</w:t>
            </w:r>
            <w:r>
              <w:rPr>
                <w:rFonts w:hint="eastAsia" w:cs="Songti SC Regular" w:asciiTheme="minorEastAsia" w:hAnsiTheme="minorEastAsia" w:eastAsiaTheme="minorEastAsia"/>
                <w:color w:val="auto"/>
                <w:kern w:val="0"/>
                <w:szCs w:val="21"/>
                <w:highlight w:val="none"/>
                <w:lang w:bidi="ar"/>
              </w:rPr>
              <w:t>结题提醒，科研工作者收到提醒后可对课题进行结题申请，自定义设置结题申请书模版，可直接关联或显示相关项目/课题验收申请网站。课题年度报告审批通过后，结题申请也可以通过本系统进行科研课题的结题申请，申请人可以在此模块选择对应的课题进行结题申请以及填写结题报告，提交后进入审批流程，由科研管理人员在后台进行审批。</w:t>
            </w:r>
          </w:p>
          <w:p w14:paraId="6D0EFE64">
            <w:pPr>
              <w:widowControl/>
              <w:spacing w:line="300" w:lineRule="auto"/>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项目验收：实现项目验收登记、查询、导出等。验收内容可根据实际需求作响应调整。</w:t>
            </w:r>
          </w:p>
          <w:p w14:paraId="7CD348A6">
            <w:pPr>
              <w:widowControl/>
              <w:spacing w:line="300" w:lineRule="auto"/>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项目变更：实现项目变更登记、审核、导出等。</w:t>
            </w:r>
          </w:p>
        </w:tc>
      </w:tr>
      <w:tr w14:paraId="1C42DEFB">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5CD7B">
            <w:pPr>
              <w:widowControl/>
              <w:spacing w:line="300" w:lineRule="auto"/>
              <w:jc w:val="center"/>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1</w:t>
            </w:r>
            <w:r>
              <w:rPr>
                <w:rFonts w:cs="Songti SC Regular" w:asciiTheme="minorEastAsia" w:hAnsiTheme="minorEastAsia" w:eastAsiaTheme="minorEastAsia"/>
                <w:color w:val="auto"/>
                <w:kern w:val="0"/>
                <w:szCs w:val="21"/>
                <w:highlight w:val="none"/>
                <w:lang w:bidi="ar"/>
              </w:rPr>
              <w:t>7</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78AE30">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F64B7">
            <w:pPr>
              <w:widowControl/>
              <w:spacing w:line="300" w:lineRule="auto"/>
              <w:jc w:val="center"/>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纵向科研项目</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8B6BB">
            <w:pPr>
              <w:widowControl/>
              <w:spacing w:line="300" w:lineRule="auto"/>
              <w:ind w:firstLine="630" w:firstLineChars="300"/>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纵向项目是指对各级政府来源项目、合作项目以及医院基金项目的过程管理。主要包括项目立项、项目变更、项目中检以及项目结题的管理。</w:t>
            </w:r>
          </w:p>
          <w:p w14:paraId="41E8C828">
            <w:pPr>
              <w:widowControl/>
              <w:spacing w:line="300" w:lineRule="auto"/>
              <w:textAlignment w:val="center"/>
              <w:rPr>
                <w:rFonts w:cs="Songti SC Regular" w:asciiTheme="minorEastAsia" w:hAnsiTheme="minorEastAsia" w:eastAsiaTheme="minorEastAsia"/>
                <w:color w:val="auto"/>
                <w:kern w:val="0"/>
                <w:szCs w:val="21"/>
                <w:highlight w:val="none"/>
                <w:lang w:bidi="ar"/>
              </w:rPr>
            </w:pPr>
            <w:r>
              <w:rPr>
                <w:rFonts w:cs="Songti SC Regular" w:asciiTheme="minorEastAsia" w:hAnsiTheme="minorEastAsia" w:eastAsiaTheme="minorEastAsia"/>
                <w:color w:val="auto"/>
                <w:kern w:val="0"/>
                <w:szCs w:val="21"/>
                <w:highlight w:val="none"/>
                <w:lang w:bidi="ar"/>
              </w:rPr>
              <w:t>1</w:t>
            </w:r>
            <w:r>
              <w:rPr>
                <w:rFonts w:hint="eastAsia" w:cs="Songti SC Regular" w:asciiTheme="minorEastAsia" w:hAnsiTheme="minorEastAsia" w:eastAsiaTheme="minorEastAsia"/>
                <w:color w:val="auto"/>
                <w:kern w:val="0"/>
                <w:szCs w:val="21"/>
                <w:highlight w:val="none"/>
                <w:lang w:bidi="ar"/>
              </w:rPr>
              <w:t>、项目立项：项目立项是指对立项后的项目进行管理。项目信息主要包括立项信息、项目文档、项目预算、预算结余、衍生成果、到账经费、支出经费、外拨经费等信息。</w:t>
            </w:r>
          </w:p>
          <w:p w14:paraId="1A53797B">
            <w:pPr>
              <w:widowControl/>
              <w:spacing w:line="300" w:lineRule="auto"/>
              <w:ind w:firstLine="210" w:firstLineChars="100"/>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对于项目信息数据库，系统需提供审核、导入、查询、导出、数据列表、统计报表、查重等数据挖掘功能。（注明：数据挖掘功能在人员、平台、经费、成果、获奖等所有的基础数据库中都有体现。）</w:t>
            </w:r>
          </w:p>
          <w:p w14:paraId="0F681A16">
            <w:pPr>
              <w:widowControl/>
              <w:spacing w:line="300" w:lineRule="auto"/>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2、审核：系统提供了管理部门直接审核(科研人员~科研管理部门)。</w:t>
            </w:r>
          </w:p>
          <w:p w14:paraId="27BD6C86">
            <w:pPr>
              <w:widowControl/>
              <w:spacing w:line="300" w:lineRule="auto"/>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3、导入：系统实现直接从Excel或PDF批量导入数据的功能。管理员根据指定的业务模板整理好项目数据，课题组PI可以根据已生成的任务书能够导入科研项目的相关数据，有效减少数据录入工作量。</w:t>
            </w:r>
          </w:p>
          <w:p w14:paraId="28F922CE">
            <w:pPr>
              <w:widowControl/>
              <w:spacing w:line="300" w:lineRule="auto"/>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4、查询：针对入库的项目信息，系统实现简单查询和高级查询两种方式，可以根据所需条件进行组合查询，然后对查询结果进一步分析。</w:t>
            </w:r>
          </w:p>
          <w:p w14:paraId="78B8EF4E">
            <w:pPr>
              <w:widowControl/>
              <w:spacing w:line="300" w:lineRule="auto"/>
              <w:textAlignment w:val="center"/>
              <w:rPr>
                <w:rFonts w:cs="Songti SC Regular" w:asciiTheme="minorEastAsia" w:hAnsiTheme="minorEastAsia" w:eastAsiaTheme="minorEastAsia"/>
                <w:color w:val="auto"/>
                <w:kern w:val="0"/>
                <w:szCs w:val="21"/>
                <w:highlight w:val="none"/>
                <w:lang w:bidi="ar"/>
              </w:rPr>
            </w:pPr>
            <w:r>
              <w:rPr>
                <w:rFonts w:cs="Songti SC Regular" w:asciiTheme="minorEastAsia" w:hAnsiTheme="minorEastAsia" w:eastAsiaTheme="minorEastAsia"/>
                <w:color w:val="auto"/>
                <w:kern w:val="0"/>
                <w:szCs w:val="21"/>
                <w:highlight w:val="none"/>
                <w:lang w:bidi="ar"/>
              </w:rPr>
              <w:t>5</w:t>
            </w:r>
            <w:r>
              <w:rPr>
                <w:rFonts w:hint="eastAsia" w:cs="Songti SC Regular" w:asciiTheme="minorEastAsia" w:hAnsiTheme="minorEastAsia" w:eastAsiaTheme="minorEastAsia"/>
                <w:color w:val="auto"/>
                <w:kern w:val="0"/>
                <w:szCs w:val="21"/>
                <w:highlight w:val="none"/>
                <w:lang w:bidi="ar"/>
              </w:rPr>
              <w:t>、导出：针对检索的结果，系统提供了导出功能，并可以针对导出的范围和信息字段进行选择。导出的结果可以进行上报或者进一步分析。</w:t>
            </w:r>
          </w:p>
          <w:p w14:paraId="69C1858F">
            <w:pPr>
              <w:widowControl/>
              <w:spacing w:line="300" w:lineRule="auto"/>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6、数据列表：系统提供了强大的数据列表报表的功能，可以对列表报表进行筛选、设计、打印、导出等操作。并能对常用的列表报表进行保存。</w:t>
            </w:r>
          </w:p>
          <w:p w14:paraId="344AA104">
            <w:pPr>
              <w:widowControl/>
              <w:spacing w:line="300" w:lineRule="auto"/>
              <w:textAlignment w:val="center"/>
              <w:rPr>
                <w:rFonts w:cs="Songti SC Regular" w:asciiTheme="minorEastAsia" w:hAnsiTheme="minorEastAsia" w:eastAsiaTheme="minorEastAsia"/>
                <w:color w:val="auto"/>
                <w:kern w:val="0"/>
                <w:szCs w:val="21"/>
                <w:highlight w:val="none"/>
                <w:lang w:bidi="ar"/>
              </w:rPr>
            </w:pPr>
            <w:r>
              <w:rPr>
                <w:rFonts w:cs="Songti SC Regular" w:asciiTheme="minorEastAsia" w:hAnsiTheme="minorEastAsia" w:eastAsiaTheme="minorEastAsia"/>
                <w:color w:val="auto"/>
                <w:kern w:val="0"/>
                <w:szCs w:val="21"/>
                <w:highlight w:val="none"/>
                <w:lang w:bidi="ar"/>
              </w:rPr>
              <w:t>7</w:t>
            </w:r>
            <w:r>
              <w:rPr>
                <w:rFonts w:hint="eastAsia" w:cs="Songti SC Regular" w:asciiTheme="minorEastAsia" w:hAnsiTheme="minorEastAsia" w:eastAsiaTheme="minorEastAsia"/>
                <w:color w:val="auto"/>
                <w:kern w:val="0"/>
                <w:szCs w:val="21"/>
                <w:highlight w:val="none"/>
                <w:lang w:bidi="ar"/>
              </w:rPr>
              <w:t>、项目变更：在项目管理过程中，可能需要对项目的相关信息发生变更。项目负责人可以对立项信息、项目成员、项目预算等信息提出项目变更申请，项目管理员对变更申请审查后，批准变更。系统会自动记录所有变更的内容。</w:t>
            </w:r>
          </w:p>
          <w:p w14:paraId="330C8FBB">
            <w:pPr>
              <w:widowControl/>
              <w:spacing w:line="300" w:lineRule="auto"/>
              <w:textAlignment w:val="center"/>
              <w:rPr>
                <w:rFonts w:cs="Songti SC Regular" w:asciiTheme="minorEastAsia" w:hAnsiTheme="minorEastAsia" w:eastAsiaTheme="minorEastAsia"/>
                <w:color w:val="auto"/>
                <w:kern w:val="0"/>
                <w:szCs w:val="21"/>
                <w:highlight w:val="none"/>
                <w:lang w:bidi="ar"/>
              </w:rPr>
            </w:pPr>
            <w:r>
              <w:rPr>
                <w:rFonts w:cs="Songti SC Regular" w:asciiTheme="minorEastAsia" w:hAnsiTheme="minorEastAsia" w:eastAsiaTheme="minorEastAsia"/>
                <w:color w:val="auto"/>
                <w:kern w:val="0"/>
                <w:szCs w:val="21"/>
                <w:highlight w:val="none"/>
                <w:lang w:bidi="ar"/>
              </w:rPr>
              <w:t>8</w:t>
            </w:r>
            <w:r>
              <w:rPr>
                <w:rFonts w:hint="eastAsia" w:cs="Songti SC Regular" w:asciiTheme="minorEastAsia" w:hAnsiTheme="minorEastAsia" w:eastAsiaTheme="minorEastAsia"/>
                <w:color w:val="auto"/>
                <w:kern w:val="0"/>
                <w:szCs w:val="21"/>
                <w:highlight w:val="none"/>
                <w:lang w:bidi="ar"/>
              </w:rPr>
              <w:t>、项目中检：根据项目进展情况，项目管理员可以对项目组织中期检查。中检方式一般按照批次进行。</w:t>
            </w:r>
          </w:p>
          <w:p w14:paraId="03F2D0FA">
            <w:pPr>
              <w:widowControl/>
              <w:spacing w:line="300" w:lineRule="auto"/>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9、系统管理员可针对中检项目对项目相关负责人发送预警信息，提醒项目负责人进行中检。并可以根据实际情况选择不同的“提醒方式”（包括业务消息、邮件提醒、短信信息）。</w:t>
            </w:r>
          </w:p>
          <w:p w14:paraId="1547CAB5">
            <w:pPr>
              <w:widowControl/>
              <w:spacing w:line="300" w:lineRule="auto"/>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1</w:t>
            </w:r>
            <w:r>
              <w:rPr>
                <w:rFonts w:cs="Songti SC Regular" w:asciiTheme="minorEastAsia" w:hAnsiTheme="minorEastAsia" w:eastAsiaTheme="minorEastAsia"/>
                <w:color w:val="auto"/>
                <w:kern w:val="0"/>
                <w:szCs w:val="21"/>
                <w:highlight w:val="none"/>
                <w:lang w:bidi="ar"/>
              </w:rPr>
              <w:t>0</w:t>
            </w:r>
            <w:r>
              <w:rPr>
                <w:rFonts w:hint="eastAsia" w:cs="Songti SC Regular" w:asciiTheme="minorEastAsia" w:hAnsiTheme="minorEastAsia" w:eastAsiaTheme="minorEastAsia"/>
                <w:color w:val="auto"/>
                <w:kern w:val="0"/>
                <w:szCs w:val="21"/>
                <w:highlight w:val="none"/>
                <w:lang w:bidi="ar"/>
              </w:rPr>
              <w:t>、如果项目待提交材料涉及专家评审，则由</w:t>
            </w:r>
            <w:r>
              <w:rPr>
                <w:rFonts w:cs="Songti SC Regular" w:asciiTheme="minorEastAsia" w:hAnsiTheme="minorEastAsia" w:eastAsiaTheme="minorEastAsia"/>
                <w:color w:val="auto"/>
                <w:kern w:val="0"/>
                <w:szCs w:val="21"/>
                <w:highlight w:val="none"/>
                <w:lang w:bidi="ar"/>
              </w:rPr>
              <w:t>科研人员提交相关材料，先由相关评审专家进行评价，给出评审意见后再由科</w:t>
            </w:r>
            <w:r>
              <w:rPr>
                <w:rFonts w:hint="eastAsia" w:cs="Songti SC Regular" w:asciiTheme="minorEastAsia" w:hAnsiTheme="minorEastAsia" w:eastAsiaTheme="minorEastAsia"/>
                <w:color w:val="auto"/>
                <w:kern w:val="0"/>
                <w:szCs w:val="21"/>
                <w:highlight w:val="none"/>
                <w:lang w:bidi="ar"/>
              </w:rPr>
              <w:t>管</w:t>
            </w:r>
            <w:r>
              <w:rPr>
                <w:rFonts w:cs="Songti SC Regular" w:asciiTheme="minorEastAsia" w:hAnsiTheme="minorEastAsia" w:eastAsiaTheme="minorEastAsia"/>
                <w:color w:val="auto"/>
                <w:kern w:val="0"/>
                <w:szCs w:val="21"/>
                <w:highlight w:val="none"/>
                <w:lang w:bidi="ar"/>
              </w:rPr>
              <w:t>审核。</w:t>
            </w:r>
          </w:p>
          <w:p w14:paraId="2787B54C">
            <w:pPr>
              <w:widowControl/>
              <w:spacing w:line="300" w:lineRule="auto"/>
              <w:textAlignment w:val="center"/>
              <w:rPr>
                <w:rFonts w:cs="Songti SC Regular" w:asciiTheme="minorEastAsia" w:hAnsiTheme="minorEastAsia" w:eastAsiaTheme="minorEastAsia"/>
                <w:color w:val="auto"/>
                <w:kern w:val="0"/>
                <w:szCs w:val="21"/>
                <w:highlight w:val="none"/>
                <w:lang w:bidi="ar"/>
              </w:rPr>
            </w:pPr>
            <w:r>
              <w:rPr>
                <w:rFonts w:cs="Songti SC Regular" w:asciiTheme="minorEastAsia" w:hAnsiTheme="minorEastAsia" w:eastAsiaTheme="minorEastAsia"/>
                <w:color w:val="auto"/>
                <w:kern w:val="0"/>
                <w:szCs w:val="21"/>
                <w:highlight w:val="none"/>
                <w:lang w:bidi="ar"/>
              </w:rPr>
              <w:t>11</w:t>
            </w:r>
            <w:r>
              <w:rPr>
                <w:rFonts w:hint="eastAsia" w:cs="Songti SC Regular" w:asciiTheme="minorEastAsia" w:hAnsiTheme="minorEastAsia" w:eastAsiaTheme="minorEastAsia"/>
                <w:color w:val="auto"/>
                <w:kern w:val="0"/>
                <w:szCs w:val="21"/>
                <w:highlight w:val="none"/>
                <w:lang w:bidi="ar"/>
              </w:rPr>
              <w:t>、项目结题：项目管理员需要组织项目结项。由项目负责人上传结项报告，完成结项。</w:t>
            </w:r>
          </w:p>
        </w:tc>
      </w:tr>
      <w:tr w14:paraId="247EFDC0">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F1A62">
            <w:pPr>
              <w:widowControl/>
              <w:spacing w:line="300" w:lineRule="auto"/>
              <w:jc w:val="center"/>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1</w:t>
            </w:r>
            <w:r>
              <w:rPr>
                <w:rFonts w:cs="Songti SC Regular" w:asciiTheme="minorEastAsia" w:hAnsiTheme="minorEastAsia" w:eastAsiaTheme="minorEastAsia"/>
                <w:color w:val="auto"/>
                <w:kern w:val="0"/>
                <w:szCs w:val="21"/>
                <w:highlight w:val="none"/>
                <w:lang w:bidi="ar"/>
              </w:rPr>
              <w:t>8</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3E424">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3F7F2">
            <w:pPr>
              <w:widowControl/>
              <w:spacing w:line="300" w:lineRule="auto"/>
              <w:jc w:val="center"/>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横向科研项目（包含i</w:t>
            </w:r>
            <w:r>
              <w:rPr>
                <w:rFonts w:cs="Songti SC Regular" w:asciiTheme="minorEastAsia" w:hAnsiTheme="minorEastAsia" w:eastAsiaTheme="minorEastAsia"/>
                <w:color w:val="auto"/>
                <w:kern w:val="0"/>
                <w:szCs w:val="21"/>
                <w:highlight w:val="none"/>
                <w:lang w:bidi="ar"/>
              </w:rPr>
              <w:t>it</w:t>
            </w:r>
            <w:r>
              <w:rPr>
                <w:rFonts w:hint="eastAsia" w:cs="Songti SC Regular" w:asciiTheme="minorEastAsia" w:hAnsiTheme="minorEastAsia" w:eastAsiaTheme="minorEastAsia"/>
                <w:color w:val="auto"/>
                <w:kern w:val="0"/>
                <w:szCs w:val="21"/>
                <w:highlight w:val="none"/>
                <w:lang w:bidi="ar"/>
              </w:rPr>
              <w:t>项目）</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B2374">
            <w:pPr>
              <w:widowControl/>
              <w:spacing w:line="300" w:lineRule="auto"/>
              <w:ind w:firstLine="630" w:firstLineChars="300"/>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横向项目管理是指医院对外的企事业合作项目的合同管理过程（或任务书）。</w:t>
            </w:r>
          </w:p>
          <w:p w14:paraId="6AB5B420">
            <w:pPr>
              <w:widowControl/>
              <w:spacing w:line="300" w:lineRule="auto"/>
              <w:textAlignment w:val="center"/>
              <w:rPr>
                <w:rFonts w:cs="Songti SC Regular" w:asciiTheme="minorEastAsia" w:hAnsiTheme="minorEastAsia" w:eastAsiaTheme="minorEastAsia"/>
                <w:color w:val="auto"/>
                <w:kern w:val="0"/>
                <w:szCs w:val="21"/>
                <w:highlight w:val="none"/>
                <w:lang w:bidi="ar"/>
              </w:rPr>
            </w:pPr>
            <w:r>
              <w:rPr>
                <w:rFonts w:cs="Songti SC Regular" w:asciiTheme="minorEastAsia" w:hAnsiTheme="minorEastAsia" w:eastAsiaTheme="minorEastAsia"/>
                <w:color w:val="auto"/>
                <w:kern w:val="0"/>
                <w:szCs w:val="21"/>
                <w:highlight w:val="none"/>
                <w:lang w:bidi="ar"/>
              </w:rPr>
              <w:t>1</w:t>
            </w:r>
            <w:r>
              <w:rPr>
                <w:rFonts w:hint="eastAsia" w:cs="Songti SC Regular" w:asciiTheme="minorEastAsia" w:hAnsiTheme="minorEastAsia" w:eastAsiaTheme="minorEastAsia"/>
                <w:color w:val="auto"/>
                <w:kern w:val="0"/>
                <w:szCs w:val="21"/>
                <w:highlight w:val="none"/>
                <w:lang w:bidi="ar"/>
              </w:rPr>
              <w:t>、合同/任务书管理：主要是指项目负责人登记合同信息。合同内容包括合同信息、项目文档、衍生成果、到账经费、支出经费、外拨经费等信息。</w:t>
            </w:r>
          </w:p>
          <w:p w14:paraId="00F874CF">
            <w:pPr>
              <w:widowControl/>
              <w:spacing w:line="300" w:lineRule="auto"/>
              <w:textAlignment w:val="center"/>
              <w:rPr>
                <w:rFonts w:cs="Songti SC Regular" w:asciiTheme="minorEastAsia" w:hAnsiTheme="minorEastAsia" w:eastAsiaTheme="minorEastAsia"/>
                <w:color w:val="auto"/>
                <w:kern w:val="0"/>
                <w:szCs w:val="21"/>
                <w:highlight w:val="none"/>
                <w:lang w:bidi="ar"/>
              </w:rPr>
            </w:pPr>
            <w:r>
              <w:rPr>
                <w:rFonts w:cs="Songti SC Regular" w:asciiTheme="minorEastAsia" w:hAnsiTheme="minorEastAsia" w:eastAsiaTheme="minorEastAsia"/>
                <w:color w:val="auto"/>
                <w:kern w:val="0"/>
                <w:szCs w:val="21"/>
                <w:highlight w:val="none"/>
                <w:lang w:bidi="ar"/>
              </w:rPr>
              <w:t>2</w:t>
            </w:r>
            <w:r>
              <w:rPr>
                <w:rFonts w:hint="eastAsia" w:cs="Songti SC Regular" w:asciiTheme="minorEastAsia" w:hAnsiTheme="minorEastAsia" w:eastAsiaTheme="minorEastAsia"/>
                <w:color w:val="auto"/>
                <w:kern w:val="0"/>
                <w:szCs w:val="21"/>
                <w:highlight w:val="none"/>
                <w:lang w:bidi="ar"/>
              </w:rPr>
              <w:t>、合同变更：在项目过程中，可能需要对合同的相关信息发生变更。项目负责人可以对立项信息、项目成员信息提出合同变更请求，项目管理员对申请请求审查后，批准变更。系统会自动记录所有合同变更的内容。</w:t>
            </w:r>
          </w:p>
          <w:p w14:paraId="193BC19A">
            <w:pPr>
              <w:widowControl/>
              <w:spacing w:line="300" w:lineRule="auto"/>
              <w:textAlignment w:val="center"/>
              <w:rPr>
                <w:rFonts w:cs="Songti SC Regular" w:asciiTheme="minorEastAsia" w:hAnsiTheme="minorEastAsia" w:eastAsiaTheme="minorEastAsia"/>
                <w:color w:val="auto"/>
                <w:kern w:val="0"/>
                <w:szCs w:val="21"/>
                <w:highlight w:val="none"/>
                <w:lang w:bidi="ar"/>
              </w:rPr>
            </w:pPr>
            <w:r>
              <w:rPr>
                <w:rFonts w:cs="Songti SC Regular" w:asciiTheme="minorEastAsia" w:hAnsiTheme="minorEastAsia" w:eastAsiaTheme="minorEastAsia"/>
                <w:color w:val="auto"/>
                <w:kern w:val="0"/>
                <w:szCs w:val="21"/>
                <w:highlight w:val="none"/>
                <w:lang w:bidi="ar"/>
              </w:rPr>
              <w:t>3</w:t>
            </w:r>
            <w:r>
              <w:rPr>
                <w:rFonts w:hint="eastAsia" w:cs="Songti SC Regular" w:asciiTheme="minorEastAsia" w:hAnsiTheme="minorEastAsia" w:eastAsiaTheme="minorEastAsia"/>
                <w:color w:val="auto"/>
                <w:kern w:val="0"/>
                <w:szCs w:val="21"/>
                <w:highlight w:val="none"/>
                <w:lang w:bidi="ar"/>
              </w:rPr>
              <w:t>、合同结题：由项目负责人上传结项报告，完成结项</w:t>
            </w:r>
          </w:p>
        </w:tc>
      </w:tr>
      <w:tr w14:paraId="79801AB4">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3DA16">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szCs w:val="21"/>
                <w:highlight w:val="none"/>
              </w:rPr>
              <w:t>1</w:t>
            </w:r>
            <w:r>
              <w:rPr>
                <w:rFonts w:cs="Songti SC Regular" w:asciiTheme="minorEastAsia" w:hAnsiTheme="minorEastAsia" w:eastAsiaTheme="minorEastAsia"/>
                <w:color w:val="auto"/>
                <w:szCs w:val="21"/>
                <w:highlight w:val="none"/>
              </w:rPr>
              <w:t>9</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24613">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716B3">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科研经费到账</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9CFF9">
            <w:pPr>
              <w:widowControl/>
              <w:spacing w:line="300" w:lineRule="auto"/>
              <w:ind w:firstLine="420" w:firstLineChars="200"/>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财务人员对拨款到医院的科研来款信息进行登记。</w:t>
            </w:r>
            <w:r>
              <w:rPr>
                <w:rFonts w:cs="Songti SC Regular" w:asciiTheme="minorEastAsia" w:hAnsiTheme="minorEastAsia" w:eastAsiaTheme="minorEastAsia"/>
                <w:color w:val="auto"/>
                <w:kern w:val="0"/>
                <w:szCs w:val="21"/>
                <w:highlight w:val="none"/>
                <w:lang w:bidi="ar"/>
              </w:rPr>
              <w:t>按经费来源区分专项经费或者配套经费等</w:t>
            </w:r>
            <w:r>
              <w:rPr>
                <w:rFonts w:hint="eastAsia" w:cs="Songti SC Regular" w:asciiTheme="minorEastAsia" w:hAnsiTheme="minorEastAsia" w:eastAsiaTheme="minorEastAsia"/>
                <w:color w:val="auto"/>
                <w:kern w:val="0"/>
                <w:szCs w:val="21"/>
                <w:highlight w:val="none"/>
                <w:lang w:bidi="ar"/>
              </w:rPr>
              <w:t>，并登记来款单位、到款金额、财务到款时间、</w:t>
            </w:r>
            <w:r>
              <w:rPr>
                <w:rFonts w:cs="Songti SC Regular" w:asciiTheme="minorEastAsia" w:hAnsiTheme="minorEastAsia" w:eastAsiaTheme="minorEastAsia"/>
                <w:color w:val="auto"/>
                <w:kern w:val="0"/>
                <w:szCs w:val="21"/>
                <w:highlight w:val="none"/>
                <w:lang w:bidi="ar"/>
              </w:rPr>
              <w:t>财务编号等信息</w:t>
            </w:r>
            <w:r>
              <w:rPr>
                <w:rFonts w:hint="eastAsia" w:cs="Songti SC Regular" w:asciiTheme="minorEastAsia" w:hAnsiTheme="minorEastAsia" w:eastAsiaTheme="minorEastAsia"/>
                <w:color w:val="auto"/>
                <w:kern w:val="0"/>
                <w:szCs w:val="21"/>
                <w:highlight w:val="none"/>
                <w:lang w:bidi="ar"/>
              </w:rPr>
              <w:t>。并且支持批量导入入帐单。</w:t>
            </w:r>
          </w:p>
          <w:p w14:paraId="5AFEBC06">
            <w:pPr>
              <w:widowControl/>
              <w:spacing w:line="300" w:lineRule="auto"/>
              <w:ind w:firstLine="420" w:firstLineChars="200"/>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经费到账成功后，科研管理员设置入帐单。并直接将经费下拨分配到具体的项目上。</w:t>
            </w:r>
          </w:p>
        </w:tc>
      </w:tr>
      <w:tr w14:paraId="601E2BA5">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AC94F">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szCs w:val="21"/>
                <w:highlight w:val="none"/>
              </w:rPr>
              <w:t>2</w:t>
            </w:r>
            <w:r>
              <w:rPr>
                <w:rFonts w:cs="Songti SC Regular" w:asciiTheme="minorEastAsia" w:hAnsiTheme="minorEastAsia" w:eastAsiaTheme="minorEastAsia"/>
                <w:color w:val="auto"/>
                <w:szCs w:val="21"/>
                <w:highlight w:val="none"/>
              </w:rPr>
              <w:t>0</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97C11">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98400">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szCs w:val="21"/>
                <w:highlight w:val="none"/>
              </w:rPr>
              <w:t>课题经费预算</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23711">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1、课题预算可直接关联对应的课题以及课题匹配的总经费数据。（按照立项任务书、合同等有预算编制填写）</w:t>
            </w:r>
          </w:p>
          <w:p w14:paraId="7EE73A93">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2、预算调整，可以由申报人在系统申请提交，经科研部审核后调整预算。</w:t>
            </w:r>
          </w:p>
          <w:p w14:paraId="0A89B62A">
            <w:pPr>
              <w:widowControl/>
              <w:spacing w:line="300" w:lineRule="auto"/>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3、动态额度展示：系统根据预算编制（根据立项文件）及调整情况，自动计算并动态显示当前预算剩余额度</w:t>
            </w:r>
          </w:p>
        </w:tc>
      </w:tr>
      <w:tr w14:paraId="437458B0">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08D1A">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szCs w:val="21"/>
                <w:highlight w:val="none"/>
              </w:rPr>
              <w:t>2</w:t>
            </w:r>
            <w:r>
              <w:rPr>
                <w:rFonts w:cs="Songti SC Regular" w:asciiTheme="minorEastAsia" w:hAnsiTheme="minorEastAsia" w:eastAsiaTheme="minorEastAsia"/>
                <w:color w:val="auto"/>
                <w:szCs w:val="21"/>
                <w:highlight w:val="none"/>
              </w:rPr>
              <w:t>1</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203D3">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99D48">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szCs w:val="21"/>
                <w:highlight w:val="none"/>
              </w:rPr>
              <w:t>课题经费支出</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2FDF3">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1、数据联动与展示：与财务系统对接，自动关联已审批预算数据，实时展示课题总经费、各支出类别预算金额、已用额度、实时剩余额度及经费使用进度。</w:t>
            </w:r>
          </w:p>
          <w:p w14:paraId="105539A2">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2、支出控制与预警：按支出类别设置额度上限，单科目超支自动预警拦截，支持按支出类别动态查看剩余额度。</w:t>
            </w:r>
          </w:p>
          <w:p w14:paraId="3090B3F9">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cs="Songti SC Regular" w:asciiTheme="minorEastAsia" w:hAnsiTheme="minorEastAsia" w:eastAsiaTheme="minorEastAsia"/>
                <w:color w:val="auto"/>
                <w:kern w:val="0"/>
                <w:szCs w:val="21"/>
                <w:highlight w:val="none"/>
                <w:lang w:bidi="ar"/>
              </w:rPr>
              <w:t>3、合并支出申请：支持多个课题合并发起支出申请，系统自动合并计算额度信息。</w:t>
            </w:r>
          </w:p>
          <w:p w14:paraId="3A55332C">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4、支出明细填报：支持导出支出明细数据，支持Excel批量导出，记录经费来源、付款情况、采购审核、申请内容等信息。</w:t>
            </w:r>
          </w:p>
          <w:p w14:paraId="40B38EA6">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5、审批与报表：支持经费支出审批流程，自动生成经费支出报表，包含申请明细、付款状态及额度情况。</w:t>
            </w:r>
          </w:p>
        </w:tc>
      </w:tr>
      <w:tr w14:paraId="256E7F08">
        <w:tblPrEx>
          <w:tblCellMar>
            <w:top w:w="0" w:type="dxa"/>
            <w:left w:w="0" w:type="dxa"/>
            <w:bottom w:w="0" w:type="dxa"/>
            <w:right w:w="0" w:type="dxa"/>
          </w:tblCellMar>
        </w:tblPrEx>
        <w:trPr>
          <w:trHeight w:val="8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CD8AF">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22</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19527">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3E25E">
            <w:pPr>
              <w:spacing w:line="300" w:lineRule="auto"/>
              <w:jc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szCs w:val="21"/>
                <w:highlight w:val="none"/>
              </w:rPr>
              <w:t>论文投稿流程</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00AE4">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目前我院的投稿流程是在O</w:t>
            </w:r>
            <w:r>
              <w:rPr>
                <w:rFonts w:cs="Songti SC Regular" w:asciiTheme="minorEastAsia" w:hAnsiTheme="minorEastAsia" w:eastAsiaTheme="minorEastAsia"/>
                <w:color w:val="auto"/>
                <w:kern w:val="0"/>
                <w:szCs w:val="21"/>
                <w:highlight w:val="none"/>
                <w:lang w:bidi="ar"/>
              </w:rPr>
              <w:t>A</w:t>
            </w:r>
            <w:r>
              <w:rPr>
                <w:rFonts w:hint="eastAsia" w:cs="Songti SC Regular" w:asciiTheme="minorEastAsia" w:hAnsiTheme="minorEastAsia" w:eastAsiaTheme="minorEastAsia"/>
                <w:color w:val="auto"/>
                <w:kern w:val="0"/>
                <w:szCs w:val="21"/>
                <w:highlight w:val="none"/>
                <w:lang w:bidi="ar"/>
              </w:rPr>
              <w:t>审批的，在做论文认领相关信息，是否能够链接到O</w:t>
            </w:r>
            <w:r>
              <w:rPr>
                <w:rFonts w:cs="Songti SC Regular" w:asciiTheme="minorEastAsia" w:hAnsiTheme="minorEastAsia" w:eastAsiaTheme="minorEastAsia"/>
                <w:color w:val="auto"/>
                <w:kern w:val="0"/>
                <w:szCs w:val="21"/>
                <w:highlight w:val="none"/>
                <w:lang w:bidi="ar"/>
              </w:rPr>
              <w:t>A</w:t>
            </w:r>
            <w:r>
              <w:rPr>
                <w:rFonts w:hint="eastAsia" w:cs="Songti SC Regular" w:asciiTheme="minorEastAsia" w:hAnsiTheme="minorEastAsia" w:eastAsiaTheme="minorEastAsia"/>
                <w:color w:val="auto"/>
                <w:kern w:val="0"/>
                <w:szCs w:val="21"/>
                <w:highlight w:val="none"/>
                <w:lang w:bidi="ar"/>
              </w:rPr>
              <w:t>流程，确认该论文是否有走院内投稿流程。</w:t>
            </w:r>
          </w:p>
        </w:tc>
      </w:tr>
      <w:tr w14:paraId="5F1B93CE">
        <w:tblPrEx>
          <w:tblCellMar>
            <w:top w:w="0" w:type="dxa"/>
            <w:left w:w="0" w:type="dxa"/>
            <w:bottom w:w="0" w:type="dxa"/>
            <w:right w:w="0" w:type="dxa"/>
          </w:tblCellMar>
        </w:tblPrEx>
        <w:trPr>
          <w:trHeight w:val="3887"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C2435">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23</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5D7FA">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B59AE">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文章采集与认领</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C231B">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在支持互联网访问（外网访问）条件下，实现自动采集知网、PubMed、</w:t>
            </w:r>
            <w:r>
              <w:rPr>
                <w:rFonts w:asciiTheme="minorEastAsia" w:hAnsiTheme="minorEastAsia" w:eastAsiaTheme="minorEastAsia"/>
                <w:color w:val="auto"/>
                <w:szCs w:val="21"/>
                <w:highlight w:val="none"/>
              </w:rPr>
              <w:t>Web of science</w:t>
            </w:r>
            <w:r>
              <w:rPr>
                <w:rFonts w:hint="eastAsia" w:asciiTheme="minorEastAsia" w:hAnsiTheme="minorEastAsia" w:eastAsiaTheme="minorEastAsia"/>
                <w:color w:val="auto"/>
                <w:szCs w:val="21"/>
                <w:highlight w:val="none"/>
              </w:rPr>
              <w:t>、</w:t>
            </w:r>
            <w:r>
              <w:rPr>
                <w:rFonts w:hint="eastAsia" w:cs="Songti SC Regular" w:asciiTheme="minorEastAsia" w:hAnsiTheme="minorEastAsia" w:eastAsiaTheme="minorEastAsia"/>
                <w:color w:val="auto"/>
                <w:kern w:val="0"/>
                <w:szCs w:val="21"/>
                <w:highlight w:val="none"/>
                <w:lang w:bidi="ar"/>
              </w:rPr>
              <w:t>维普、万方学术文章数据，同步最新论文到系统，自动下载本院为第一 / 通讯发表机构的文章并匹配本院作者；完整抓取并自动解析论文全量关键字段：中英文论文标题、DOI、发表期刊、发表年份、卷期页码、发表月份、ISSN、作者中英文全名、第一作者、共同第一作者、通讯作者、共同通讯作者、作者排序、所有作者所属单位、期刊影响因子、五年影响因子、JCR 分区（Q1/Q2/Q3/Q4）、中科院大类 / 小分区、期刊收录类型（SCIE/CSCD/ 北大核心等）、论文类型（论著 / 综述 / 病例等）、关键词、原文附件下载链接、基金项目；实现一键认领；系统自动完成作者中英文姓名智能转换、匹配院内人员库并实时对接人事系统自动回填作者所属科室；若期刊有撤稿标记，则同步撤稿标记至系统论文档案，标记状态永久留存。</w:t>
            </w:r>
          </w:p>
        </w:tc>
      </w:tr>
      <w:tr w14:paraId="70A70BB9">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22D3D">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24</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E4A1D">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E02EB">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已发表论文管理</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2B6AE">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实现SCI、中文核心期刊等科研工作者发表论文基础信息登记，科研管理部管理审核。</w:t>
            </w:r>
          </w:p>
        </w:tc>
      </w:tr>
      <w:tr w14:paraId="32DF2625">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9A23B">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25</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18C2B">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B4C8C">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预警期刊库</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48BAD">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建立预警期刊库，负责人在论文登记申请时，自动匹配期刊库，触发时，自动预警弹窗标记，限制登记。</w:t>
            </w:r>
          </w:p>
        </w:tc>
      </w:tr>
      <w:tr w14:paraId="6AB0B154">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7190E">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26</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91018">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B32AD">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论文版面费管理</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3D50A">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实现论文版面费等费用登记、是否报销及报销金额记录。支持附件上传与下载。</w:t>
            </w:r>
          </w:p>
        </w:tc>
      </w:tr>
      <w:tr w14:paraId="626B9070">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FD569">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27</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AD439">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C2F3A">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权限管理</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C9778">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实现完善的权限控制，如个人账号则只能产看论文作者自己的论文，科研管理人员账号则可以查看、并全权操作所有论文。</w:t>
            </w:r>
          </w:p>
        </w:tc>
      </w:tr>
      <w:tr w14:paraId="0806721B">
        <w:tblPrEx>
          <w:tblCellMar>
            <w:top w:w="0" w:type="dxa"/>
            <w:left w:w="0" w:type="dxa"/>
            <w:bottom w:w="0" w:type="dxa"/>
            <w:right w:w="0" w:type="dxa"/>
          </w:tblCellMar>
        </w:tblPrEx>
        <w:trPr>
          <w:trHeight w:val="9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0FB38">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28</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0267B6">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专利管理</w:t>
            </w:r>
          </w:p>
        </w:tc>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519F31">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专利管理</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31696">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cs="Songti SC Regular" w:asciiTheme="minorEastAsia" w:hAnsiTheme="minorEastAsia" w:eastAsiaTheme="minorEastAsia"/>
                <w:color w:val="auto"/>
                <w:kern w:val="0"/>
                <w:szCs w:val="21"/>
                <w:highlight w:val="none"/>
                <w:lang w:bidi="ar"/>
              </w:rPr>
              <w:t>系统</w:t>
            </w:r>
            <w:r>
              <w:rPr>
                <w:rFonts w:hint="eastAsia" w:cs="Songti SC Regular" w:asciiTheme="minorEastAsia" w:hAnsiTheme="minorEastAsia" w:eastAsiaTheme="minorEastAsia"/>
                <w:color w:val="auto"/>
                <w:kern w:val="0"/>
                <w:szCs w:val="21"/>
                <w:highlight w:val="none"/>
                <w:lang w:bidi="ar"/>
              </w:rPr>
              <w:t>需实现</w:t>
            </w:r>
            <w:r>
              <w:rPr>
                <w:rFonts w:cs="Songti SC Regular" w:asciiTheme="minorEastAsia" w:hAnsiTheme="minorEastAsia" w:eastAsiaTheme="minorEastAsia"/>
                <w:color w:val="auto"/>
                <w:kern w:val="0"/>
                <w:szCs w:val="21"/>
                <w:highlight w:val="none"/>
                <w:lang w:bidi="ar"/>
              </w:rPr>
              <w:t>与院内 OA 系统深度对接，</w:t>
            </w:r>
            <w:r>
              <w:rPr>
                <w:rFonts w:hint="eastAsia" w:cs="Songti SC Regular" w:asciiTheme="minorEastAsia" w:hAnsiTheme="minorEastAsia" w:eastAsiaTheme="minorEastAsia"/>
                <w:color w:val="auto"/>
                <w:kern w:val="0"/>
                <w:szCs w:val="21"/>
                <w:highlight w:val="none"/>
                <w:lang w:bidi="ar"/>
              </w:rPr>
              <w:t>获取</w:t>
            </w:r>
            <w:r>
              <w:rPr>
                <w:rFonts w:cs="Songti SC Regular" w:asciiTheme="minorEastAsia" w:hAnsiTheme="minorEastAsia" w:eastAsiaTheme="minorEastAsia"/>
                <w:color w:val="auto"/>
                <w:kern w:val="0"/>
                <w:szCs w:val="21"/>
                <w:highlight w:val="none"/>
                <w:lang w:bidi="ar"/>
              </w:rPr>
              <w:t>专利申请</w:t>
            </w:r>
            <w:r>
              <w:rPr>
                <w:rFonts w:hint="eastAsia" w:cs="Songti SC Regular" w:asciiTheme="minorEastAsia" w:hAnsiTheme="minorEastAsia" w:eastAsiaTheme="minorEastAsia"/>
                <w:color w:val="auto"/>
                <w:kern w:val="0"/>
                <w:szCs w:val="21"/>
                <w:highlight w:val="none"/>
                <w:lang w:bidi="ar"/>
              </w:rPr>
              <w:t>的相关信息，并提醒发明人根据专利状态等信息，上传附件佐证材料，等待科管审核。实现从申请、</w:t>
            </w:r>
            <w:r>
              <w:rPr>
                <w:rFonts w:cs="Songti SC Regular" w:asciiTheme="minorEastAsia" w:hAnsiTheme="minorEastAsia" w:eastAsiaTheme="minorEastAsia"/>
                <w:color w:val="auto"/>
                <w:kern w:val="0"/>
                <w:szCs w:val="21"/>
                <w:highlight w:val="none"/>
                <w:lang w:bidi="ar"/>
              </w:rPr>
              <w:t>受理、授权各阶段业务同步双向流转，打通两端业务数据，自动形成专利分阶段标准化台账，完整留存各阶段提交材料、审批记录、时间节点，实现专利全生命周期线上闭环管理。</w:t>
            </w:r>
            <w:r>
              <w:rPr>
                <w:rFonts w:hint="eastAsia" w:cs="Songti SC Regular" w:asciiTheme="minorEastAsia" w:hAnsiTheme="minorEastAsia" w:eastAsiaTheme="minorEastAsia"/>
                <w:color w:val="auto"/>
                <w:kern w:val="0"/>
                <w:szCs w:val="21"/>
                <w:highlight w:val="none"/>
                <w:lang w:bidi="ar"/>
              </w:rPr>
              <w:t>相关审核环节可以根据医院实际情况自由定义。</w:t>
            </w:r>
          </w:p>
        </w:tc>
      </w:tr>
      <w:tr w14:paraId="5217D3EB">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421B7">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29</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E5442">
            <w:pPr>
              <w:spacing w:line="300" w:lineRule="auto"/>
              <w:jc w:val="center"/>
              <w:rPr>
                <w:rFonts w:cs="Songti SC Regular" w:asciiTheme="minorEastAsia" w:hAnsiTheme="minorEastAsia" w:eastAsiaTheme="minorEastAsia"/>
                <w:color w:val="auto"/>
                <w:szCs w:val="21"/>
                <w:highlight w:val="none"/>
              </w:rPr>
            </w:pPr>
          </w:p>
        </w:tc>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3154F">
            <w:pPr>
              <w:spacing w:line="300" w:lineRule="auto"/>
              <w:jc w:val="center"/>
              <w:rPr>
                <w:rFonts w:cs="Songti SC Regular" w:asciiTheme="minorEastAsia" w:hAnsiTheme="minorEastAsia" w:eastAsiaTheme="minorEastAsia"/>
                <w:color w:val="auto"/>
                <w:szCs w:val="21"/>
                <w:highlight w:val="none"/>
              </w:rPr>
            </w:pP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54D6B">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提供完善的权限控制，科研人员只能查看自己相关的专利信息，科研管理人员可以查看、并全权操作所有专利信息。</w:t>
            </w:r>
          </w:p>
        </w:tc>
      </w:tr>
      <w:tr w14:paraId="733B401D">
        <w:tblPrEx>
          <w:tblCellMar>
            <w:top w:w="0" w:type="dxa"/>
            <w:left w:w="0" w:type="dxa"/>
            <w:bottom w:w="0" w:type="dxa"/>
            <w:right w:w="0" w:type="dxa"/>
          </w:tblCellMar>
        </w:tblPrEx>
        <w:trPr>
          <w:trHeight w:val="285"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9B43C">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30</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F46825">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成果转化管理</w:t>
            </w:r>
          </w:p>
        </w:tc>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4C2124">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成果转化管理</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049C7">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科研成果通过合作开发、技术转让等方式实现了成果转化后，科研人员可在系统及时录入成果转化相关基本信息、成果明细、完成人员情况以及上传相关证明材料等等，提交科研管理人员审核确认。可以和相关专利关联。</w:t>
            </w:r>
          </w:p>
        </w:tc>
      </w:tr>
      <w:tr w14:paraId="24309629">
        <w:tblPrEx>
          <w:tblCellMar>
            <w:top w:w="0" w:type="dxa"/>
            <w:left w:w="0" w:type="dxa"/>
            <w:bottom w:w="0" w:type="dxa"/>
            <w:right w:w="0" w:type="dxa"/>
          </w:tblCellMar>
        </w:tblPrEx>
        <w:trPr>
          <w:trHeight w:val="8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79D3C">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31</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7D4A5">
            <w:pPr>
              <w:spacing w:line="300" w:lineRule="auto"/>
              <w:jc w:val="center"/>
              <w:rPr>
                <w:rFonts w:cs="Songti SC Regular" w:asciiTheme="minorEastAsia" w:hAnsiTheme="minorEastAsia" w:eastAsiaTheme="minorEastAsia"/>
                <w:color w:val="auto"/>
                <w:szCs w:val="21"/>
                <w:highlight w:val="none"/>
              </w:rPr>
            </w:pPr>
          </w:p>
        </w:tc>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5B394">
            <w:pPr>
              <w:spacing w:line="300" w:lineRule="auto"/>
              <w:jc w:val="center"/>
              <w:rPr>
                <w:rFonts w:cs="Songti SC Regular" w:asciiTheme="minorEastAsia" w:hAnsiTheme="minorEastAsia" w:eastAsiaTheme="minorEastAsia"/>
                <w:color w:val="auto"/>
                <w:szCs w:val="21"/>
                <w:highlight w:val="none"/>
              </w:rPr>
            </w:pP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71580">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提供完善的权限控制，科研人员只能查看自己相关的成果转化信息，科研管理员可以查看、并全权操作所有成果转化信息。</w:t>
            </w:r>
          </w:p>
        </w:tc>
      </w:tr>
      <w:tr w14:paraId="52ED0042">
        <w:tblPrEx>
          <w:tblCellMar>
            <w:top w:w="0" w:type="dxa"/>
            <w:left w:w="0" w:type="dxa"/>
            <w:bottom w:w="0" w:type="dxa"/>
            <w:right w:w="0" w:type="dxa"/>
          </w:tblCellMar>
        </w:tblPrEx>
        <w:trPr>
          <w:trHeight w:val="9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D6162">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32</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8DD92C">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科技奖项</w:t>
            </w:r>
          </w:p>
        </w:tc>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D14E77">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科技奖项</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C1136">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支持科技奖项管理，支持科技奖项获奖人、排名、获奖级别等基本信息录入登记，并提交科研管理人员审核确认。并支持附件佐证材料上传。</w:t>
            </w:r>
          </w:p>
        </w:tc>
      </w:tr>
      <w:tr w14:paraId="34CC9FE6">
        <w:tblPrEx>
          <w:tblCellMar>
            <w:top w:w="0" w:type="dxa"/>
            <w:left w:w="0" w:type="dxa"/>
            <w:bottom w:w="0" w:type="dxa"/>
            <w:right w:w="0" w:type="dxa"/>
          </w:tblCellMar>
        </w:tblPrEx>
        <w:trPr>
          <w:trHeight w:val="8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FD44B">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3</w:t>
            </w:r>
            <w:r>
              <w:rPr>
                <w:rFonts w:hint="eastAsia" w:cs="Songti SC Regular" w:asciiTheme="minorEastAsia" w:hAnsiTheme="minorEastAsia" w:eastAsiaTheme="minorEastAsia"/>
                <w:color w:val="auto"/>
                <w:kern w:val="0"/>
                <w:szCs w:val="21"/>
                <w:highlight w:val="none"/>
                <w:lang w:bidi="ar"/>
              </w:rPr>
              <w:t>3</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025CC">
            <w:pPr>
              <w:spacing w:line="300" w:lineRule="auto"/>
              <w:jc w:val="center"/>
              <w:rPr>
                <w:rFonts w:cs="Songti SC Regular" w:asciiTheme="minorEastAsia" w:hAnsiTheme="minorEastAsia" w:eastAsiaTheme="minorEastAsia"/>
                <w:color w:val="auto"/>
                <w:szCs w:val="21"/>
                <w:highlight w:val="none"/>
              </w:rPr>
            </w:pPr>
          </w:p>
        </w:tc>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6FA2C">
            <w:pPr>
              <w:spacing w:line="300" w:lineRule="auto"/>
              <w:jc w:val="center"/>
              <w:rPr>
                <w:rFonts w:cs="Songti SC Regular" w:asciiTheme="minorEastAsia" w:hAnsiTheme="minorEastAsia" w:eastAsiaTheme="minorEastAsia"/>
                <w:color w:val="auto"/>
                <w:szCs w:val="21"/>
                <w:highlight w:val="none"/>
              </w:rPr>
            </w:pP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83596">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提供完善的权限控制，科研人员只能查看自己相关的成果获奖信息，科研管理员可以查看、并全权操作所有成果获奖信息。</w:t>
            </w:r>
          </w:p>
        </w:tc>
      </w:tr>
      <w:tr w14:paraId="71857A80">
        <w:tblPrEx>
          <w:tblCellMar>
            <w:top w:w="0" w:type="dxa"/>
            <w:left w:w="0" w:type="dxa"/>
            <w:bottom w:w="0" w:type="dxa"/>
            <w:right w:w="0" w:type="dxa"/>
          </w:tblCellMar>
        </w:tblPrEx>
        <w:trPr>
          <w:trHeight w:val="8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EFD51">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3</w:t>
            </w:r>
            <w:r>
              <w:rPr>
                <w:rFonts w:hint="eastAsia" w:cs="Songti SC Regular" w:asciiTheme="minorEastAsia" w:hAnsiTheme="minorEastAsia" w:eastAsiaTheme="minorEastAsia"/>
                <w:color w:val="auto"/>
                <w:kern w:val="0"/>
                <w:szCs w:val="21"/>
                <w:highlight w:val="none"/>
                <w:lang w:bidi="ar"/>
              </w:rPr>
              <w:t>4</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E8E033">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学术任职/期刊任职</w:t>
            </w:r>
          </w:p>
        </w:tc>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EDBADA">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学术任职/期刊任职</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60B1E">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提供学术任职和期刊任职登记，包括国家级、省级、市级等各级别各种学术或期刊组织的任职情况，支持佐证材料上传和导出，可提交科研科管理审核。任职情况自动汇总列表，可以查询检索。</w:t>
            </w:r>
          </w:p>
        </w:tc>
      </w:tr>
      <w:tr w14:paraId="44FF26E1">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98367">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3</w:t>
            </w:r>
            <w:r>
              <w:rPr>
                <w:rFonts w:hint="eastAsia" w:cs="Songti SC Regular" w:asciiTheme="minorEastAsia" w:hAnsiTheme="minorEastAsia" w:eastAsiaTheme="minorEastAsia"/>
                <w:color w:val="auto"/>
                <w:kern w:val="0"/>
                <w:szCs w:val="21"/>
                <w:highlight w:val="none"/>
                <w:lang w:bidi="ar"/>
              </w:rPr>
              <w:t>5</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2C67B">
            <w:pPr>
              <w:spacing w:line="300" w:lineRule="auto"/>
              <w:jc w:val="center"/>
              <w:rPr>
                <w:rFonts w:cs="Songti SC Regular" w:asciiTheme="minorEastAsia" w:hAnsiTheme="minorEastAsia" w:eastAsiaTheme="minorEastAsia"/>
                <w:color w:val="auto"/>
                <w:szCs w:val="21"/>
                <w:highlight w:val="none"/>
              </w:rPr>
            </w:pPr>
          </w:p>
        </w:tc>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54223">
            <w:pPr>
              <w:spacing w:line="300" w:lineRule="auto"/>
              <w:jc w:val="center"/>
              <w:rPr>
                <w:rFonts w:cs="Songti SC Regular" w:asciiTheme="minorEastAsia" w:hAnsiTheme="minorEastAsia" w:eastAsiaTheme="minorEastAsia"/>
                <w:color w:val="auto"/>
                <w:szCs w:val="21"/>
                <w:highlight w:val="none"/>
              </w:rPr>
            </w:pP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71074">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提供完善的权限控制，科研人员只能查看自己相关的任职信息，科研管理人员可以查看、并全权操作所有学术任职信息</w:t>
            </w:r>
          </w:p>
        </w:tc>
      </w:tr>
      <w:tr w14:paraId="7E89E286">
        <w:tblPrEx>
          <w:tblCellMar>
            <w:top w:w="0" w:type="dxa"/>
            <w:left w:w="0" w:type="dxa"/>
            <w:bottom w:w="0" w:type="dxa"/>
            <w:right w:w="0" w:type="dxa"/>
          </w:tblCellMar>
        </w:tblPrEx>
        <w:trPr>
          <w:trHeight w:val="8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35F95">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3</w:t>
            </w:r>
            <w:r>
              <w:rPr>
                <w:rFonts w:hint="eastAsia" w:cs="Songti SC Regular" w:asciiTheme="minorEastAsia" w:hAnsiTheme="minorEastAsia" w:eastAsiaTheme="minorEastAsia"/>
                <w:color w:val="auto"/>
                <w:kern w:val="0"/>
                <w:szCs w:val="21"/>
                <w:highlight w:val="none"/>
                <w:lang w:bidi="ar"/>
              </w:rPr>
              <w:t>6</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F68270">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学术著作管理</w:t>
            </w:r>
          </w:p>
        </w:tc>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F6DC15">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学术著作管理</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5B97D">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管理科研著作作者及著作封面文件等登记及管理。可以由作者在线提交著作信息，由科研管理人员进行审核确认，也可以由科研管理人员对相关材料审核确认后录入系统。支持佐证材料上传与导出。</w:t>
            </w:r>
          </w:p>
        </w:tc>
      </w:tr>
      <w:tr w14:paraId="12F8805A">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42106">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3</w:t>
            </w:r>
            <w:r>
              <w:rPr>
                <w:rFonts w:hint="eastAsia" w:cs="Songti SC Regular" w:asciiTheme="minorEastAsia" w:hAnsiTheme="minorEastAsia" w:eastAsiaTheme="minorEastAsia"/>
                <w:color w:val="auto"/>
                <w:kern w:val="0"/>
                <w:szCs w:val="21"/>
                <w:highlight w:val="none"/>
                <w:lang w:bidi="ar"/>
              </w:rPr>
              <w:t>7</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39DDA">
            <w:pPr>
              <w:spacing w:line="300" w:lineRule="auto"/>
              <w:jc w:val="center"/>
              <w:rPr>
                <w:rFonts w:cs="Songti SC Regular" w:asciiTheme="minorEastAsia" w:hAnsiTheme="minorEastAsia" w:eastAsiaTheme="minorEastAsia"/>
                <w:color w:val="auto"/>
                <w:szCs w:val="21"/>
                <w:highlight w:val="none"/>
              </w:rPr>
            </w:pPr>
          </w:p>
        </w:tc>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B7049">
            <w:pPr>
              <w:spacing w:line="300" w:lineRule="auto"/>
              <w:jc w:val="center"/>
              <w:rPr>
                <w:rFonts w:cs="Songti SC Regular" w:asciiTheme="minorEastAsia" w:hAnsiTheme="minorEastAsia" w:eastAsiaTheme="minorEastAsia"/>
                <w:color w:val="auto"/>
                <w:szCs w:val="21"/>
                <w:highlight w:val="none"/>
              </w:rPr>
            </w:pP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F944A">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提供完善的权限控制，作者只能查看自己的著作，科研管理人员可以查看、并全权操作所有著作。</w:t>
            </w:r>
          </w:p>
        </w:tc>
      </w:tr>
      <w:tr w14:paraId="31D870AC">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0A947">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3</w:t>
            </w:r>
            <w:r>
              <w:rPr>
                <w:rFonts w:hint="eastAsia" w:cs="Songti SC Regular" w:asciiTheme="minorEastAsia" w:hAnsiTheme="minorEastAsia" w:eastAsiaTheme="minorEastAsia"/>
                <w:color w:val="auto"/>
                <w:kern w:val="0"/>
                <w:szCs w:val="21"/>
                <w:highlight w:val="none"/>
                <w:lang w:bidi="ar"/>
              </w:rPr>
              <w:t>8</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4AE58E">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临床指南/专家共识/标准</w:t>
            </w:r>
          </w:p>
        </w:tc>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554D7B">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临床指南/专家共识/标准</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A39CE">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支持临床指南/专家共识/标准等类型的登记信息备案，支持临床指南相关佐证材料的上传与导出。</w:t>
            </w:r>
          </w:p>
        </w:tc>
      </w:tr>
      <w:tr w14:paraId="3BD4FE6C">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75258">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szCs w:val="21"/>
                <w:highlight w:val="none"/>
              </w:rPr>
              <w:t>39</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EEE55">
            <w:pPr>
              <w:spacing w:line="300" w:lineRule="auto"/>
              <w:jc w:val="center"/>
              <w:rPr>
                <w:rFonts w:cs="Songti SC Regular" w:asciiTheme="minorEastAsia" w:hAnsiTheme="minorEastAsia" w:eastAsiaTheme="minorEastAsia"/>
                <w:color w:val="auto"/>
                <w:szCs w:val="21"/>
                <w:highlight w:val="none"/>
              </w:rPr>
            </w:pPr>
          </w:p>
        </w:tc>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A1016">
            <w:pPr>
              <w:spacing w:line="300" w:lineRule="auto"/>
              <w:jc w:val="center"/>
              <w:rPr>
                <w:rFonts w:cs="Songti SC Regular" w:asciiTheme="minorEastAsia" w:hAnsiTheme="minorEastAsia" w:eastAsiaTheme="minorEastAsia"/>
                <w:color w:val="auto"/>
                <w:szCs w:val="21"/>
                <w:highlight w:val="none"/>
              </w:rPr>
            </w:pP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81AB2">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提供完善的权限控制，作者只能查看自己的相关的临床指南/专家共识/标准信息，科研管理人员可以查看、并全权操作所有相关的临床指南</w:t>
            </w:r>
            <w:r>
              <w:rPr>
                <w:rFonts w:cs="Songti SC Regular" w:asciiTheme="minorEastAsia" w:hAnsiTheme="minorEastAsia" w:eastAsiaTheme="minorEastAsia"/>
                <w:color w:val="auto"/>
                <w:kern w:val="0"/>
                <w:szCs w:val="21"/>
                <w:highlight w:val="none"/>
                <w:lang w:bidi="ar"/>
              </w:rPr>
              <w:t>/专家共识/标准信息</w:t>
            </w:r>
            <w:r>
              <w:rPr>
                <w:rFonts w:hint="eastAsia" w:cs="Songti SC Regular" w:asciiTheme="minorEastAsia" w:hAnsiTheme="minorEastAsia" w:eastAsiaTheme="minorEastAsia"/>
                <w:color w:val="auto"/>
                <w:kern w:val="0"/>
                <w:szCs w:val="21"/>
                <w:highlight w:val="none"/>
                <w:lang w:bidi="ar"/>
              </w:rPr>
              <w:t>。</w:t>
            </w:r>
          </w:p>
        </w:tc>
      </w:tr>
      <w:tr w14:paraId="3070FECA">
        <w:tblPrEx>
          <w:tblCellMar>
            <w:top w:w="0" w:type="dxa"/>
            <w:left w:w="0" w:type="dxa"/>
            <w:bottom w:w="0" w:type="dxa"/>
            <w:right w:w="0" w:type="dxa"/>
          </w:tblCellMar>
        </w:tblPrEx>
        <w:trPr>
          <w:trHeight w:val="8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C3541">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4</w:t>
            </w:r>
            <w:r>
              <w:rPr>
                <w:rFonts w:hint="eastAsia" w:cs="Songti SC Regular" w:asciiTheme="minorEastAsia" w:hAnsiTheme="minorEastAsia" w:eastAsiaTheme="minorEastAsia"/>
                <w:color w:val="auto"/>
                <w:kern w:val="0"/>
                <w:szCs w:val="21"/>
                <w:highlight w:val="none"/>
                <w:lang w:bidi="ar"/>
              </w:rPr>
              <w:t>0</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84052E">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学术活动</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7BE9B">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举办学术活动</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814C1">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本院举办学术会议的举办地点、举办日期的学术会议管理；举办学术会议申请审批，可上传附件，支持统计功能，可按照个人、年度等筛选查询，支持导入和导出。</w:t>
            </w:r>
          </w:p>
        </w:tc>
      </w:tr>
      <w:tr w14:paraId="4DA46AD6">
        <w:tblPrEx>
          <w:tblCellMar>
            <w:top w:w="0" w:type="dxa"/>
            <w:left w:w="0" w:type="dxa"/>
            <w:bottom w:w="0" w:type="dxa"/>
            <w:right w:w="0" w:type="dxa"/>
          </w:tblCellMar>
        </w:tblPrEx>
        <w:trPr>
          <w:trHeight w:val="8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B5A94">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4</w:t>
            </w:r>
            <w:r>
              <w:rPr>
                <w:rFonts w:hint="eastAsia" w:cs="Songti SC Regular" w:asciiTheme="minorEastAsia" w:hAnsiTheme="minorEastAsia" w:eastAsiaTheme="minorEastAsia"/>
                <w:color w:val="auto"/>
                <w:kern w:val="0"/>
                <w:szCs w:val="21"/>
                <w:highlight w:val="none"/>
                <w:lang w:bidi="ar"/>
              </w:rPr>
              <w:t>1</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EDFBE">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A5F27">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参加学术活动</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140EB">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支持外出参加培训、讲课等登记申请管理。外出参加学术会议支持申请审批，按照个人、年度等筛选查询内容形成汇总统计表。支持差旅费、会议费等费用登记、是否报销及报销金额记录。支持导入和导出。</w:t>
            </w:r>
          </w:p>
        </w:tc>
      </w:tr>
      <w:tr w14:paraId="0B702E01">
        <w:tblPrEx>
          <w:tblCellMar>
            <w:top w:w="0" w:type="dxa"/>
            <w:left w:w="0" w:type="dxa"/>
            <w:bottom w:w="0" w:type="dxa"/>
            <w:right w:w="0" w:type="dxa"/>
          </w:tblCellMar>
        </w:tblPrEx>
        <w:trPr>
          <w:trHeight w:val="124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36A0F">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4</w:t>
            </w:r>
            <w:r>
              <w:rPr>
                <w:rFonts w:hint="eastAsia" w:cs="Songti SC Regular" w:asciiTheme="minorEastAsia" w:hAnsiTheme="minorEastAsia" w:eastAsiaTheme="minorEastAsia"/>
                <w:color w:val="auto"/>
                <w:kern w:val="0"/>
                <w:szCs w:val="21"/>
                <w:highlight w:val="none"/>
                <w:lang w:bidi="ar"/>
              </w:rPr>
              <w:t>2</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28A4E2">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科技影响力统计（科研绩效/科技量值统计）</w:t>
            </w:r>
          </w:p>
        </w:tc>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A2701">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科技影响力统计</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E608A">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系统提供科研统计模块，涵盖数据大屏、项目统计、经费统计、成果统计及科技影响力统计等功能。</w:t>
            </w:r>
          </w:p>
          <w:p w14:paraId="4CC70DFB">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科研统计分为自定义报表和固定报表（系统应设计至少四十组常用报表，能概括日常管理中常用的各种报表）。同时，系统应提供强大的报表导出功能，支持柱状图、饼状图的自动生成且有各个科室的总分排名。支持个人、科室、全院等任意时间、状态等详细类目生成各种数据报表，可供院内各级领导决策时提供数据信息；系统数据库自动对以上各类项目的科研成果数据进行分析和处理，并建立大数据平台，实时分析科室及医生个人等科技影响力。</w:t>
            </w:r>
          </w:p>
        </w:tc>
      </w:tr>
      <w:tr w14:paraId="5ECAA3F4">
        <w:tblPrEx>
          <w:tblCellMar>
            <w:top w:w="0" w:type="dxa"/>
            <w:left w:w="0" w:type="dxa"/>
            <w:bottom w:w="0" w:type="dxa"/>
            <w:right w:w="0" w:type="dxa"/>
          </w:tblCellMar>
        </w:tblPrEx>
        <w:trPr>
          <w:trHeight w:val="8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18B57">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4</w:t>
            </w:r>
            <w:r>
              <w:rPr>
                <w:rFonts w:hint="eastAsia" w:cs="Songti SC Regular" w:asciiTheme="minorEastAsia" w:hAnsiTheme="minorEastAsia" w:eastAsiaTheme="minorEastAsia"/>
                <w:color w:val="auto"/>
                <w:kern w:val="0"/>
                <w:szCs w:val="21"/>
                <w:highlight w:val="none"/>
                <w:lang w:bidi="ar"/>
              </w:rPr>
              <w:t>3</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B8489">
            <w:pPr>
              <w:spacing w:line="300" w:lineRule="auto"/>
              <w:jc w:val="center"/>
              <w:rPr>
                <w:rFonts w:cs="Songti SC Regular" w:asciiTheme="minorEastAsia" w:hAnsiTheme="minorEastAsia" w:eastAsiaTheme="minorEastAsia"/>
                <w:color w:val="auto"/>
                <w:szCs w:val="21"/>
                <w:highlight w:val="none"/>
              </w:rPr>
            </w:pPr>
          </w:p>
        </w:tc>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8663E">
            <w:pPr>
              <w:spacing w:line="300" w:lineRule="auto"/>
              <w:jc w:val="center"/>
              <w:rPr>
                <w:rFonts w:cs="Songti SC Regular" w:asciiTheme="minorEastAsia" w:hAnsiTheme="minorEastAsia" w:eastAsiaTheme="minorEastAsia"/>
                <w:color w:val="auto"/>
                <w:szCs w:val="21"/>
                <w:highlight w:val="none"/>
              </w:rPr>
            </w:pP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81750">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1、</w:t>
            </w:r>
            <w:r>
              <w:rPr>
                <w:rFonts w:cs="Songti SC Regular" w:asciiTheme="minorEastAsia" w:hAnsiTheme="minorEastAsia" w:eastAsiaTheme="minorEastAsia"/>
                <w:bCs/>
                <w:color w:val="auto"/>
                <w:kern w:val="0"/>
                <w:szCs w:val="21"/>
                <w:highlight w:val="none"/>
                <w:lang w:bidi="ar"/>
              </w:rPr>
              <w:t>数据</w:t>
            </w:r>
            <w:r>
              <w:rPr>
                <w:rFonts w:hint="eastAsia" w:cs="Songti SC Regular" w:asciiTheme="minorEastAsia" w:hAnsiTheme="minorEastAsia" w:eastAsiaTheme="minorEastAsia"/>
                <w:bCs/>
                <w:color w:val="auto"/>
                <w:kern w:val="0"/>
                <w:szCs w:val="21"/>
                <w:highlight w:val="none"/>
                <w:lang w:bidi="ar"/>
              </w:rPr>
              <w:t>总览</w:t>
            </w:r>
            <w:r>
              <w:rPr>
                <w:rFonts w:cs="Songti SC Regular" w:asciiTheme="minorEastAsia" w:hAnsiTheme="minorEastAsia" w:eastAsiaTheme="minorEastAsia"/>
                <w:bCs/>
                <w:color w:val="auto"/>
                <w:kern w:val="0"/>
                <w:szCs w:val="21"/>
                <w:highlight w:val="none"/>
                <w:lang w:bidi="ar"/>
              </w:rPr>
              <w:t>：</w:t>
            </w:r>
            <w:r>
              <w:rPr>
                <w:rFonts w:hint="eastAsia" w:cs="Songti SC Regular" w:asciiTheme="minorEastAsia" w:hAnsiTheme="minorEastAsia" w:eastAsiaTheme="minorEastAsia"/>
                <w:bCs/>
                <w:color w:val="auto"/>
                <w:kern w:val="0"/>
                <w:szCs w:val="21"/>
                <w:highlight w:val="none"/>
                <w:lang w:bidi="ar"/>
              </w:rPr>
              <w:t>总览全院项目数量、在研/新增经费、经费执行情况（到账/下拨/报销）、成果产出趋势</w:t>
            </w:r>
            <w:r>
              <w:rPr>
                <w:rFonts w:hint="eastAsia" w:cs="Songti SC Regular" w:asciiTheme="minorEastAsia" w:hAnsiTheme="minorEastAsia" w:eastAsiaTheme="minorEastAsia"/>
                <w:color w:val="auto"/>
                <w:kern w:val="0"/>
                <w:szCs w:val="21"/>
                <w:highlight w:val="none"/>
                <w:lang w:bidi="ar"/>
              </w:rPr>
              <w:t>、专利分布、SCI排行榜等，支持按年份、月份筛选，为领导决策提供可视化看板。</w:t>
            </w:r>
          </w:p>
          <w:p w14:paraId="1C2A276F">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2、科研项目统计：按全单位/部门/个人维度，统计项目数量及各状态完成情况，支持自定义日期与导出。</w:t>
            </w:r>
          </w:p>
          <w:p w14:paraId="18378274">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3、科研经费统计：按全单位/部门/个人维度，统计经费到账、下拨、报销等执行情况，支持自定义日期与导出。</w:t>
            </w:r>
          </w:p>
          <w:p w14:paraId="6AF298B8">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4、科研成果统计：按全单位/部门/个人维度，分类汇总SCI论文、中文论文、著作、专利、获奖、软著等成果数量（包含项目），支持自定义日期与导出。</w:t>
            </w:r>
          </w:p>
          <w:p w14:paraId="7B0736B4">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5、科技影响力（绩效）统计：按医院绩效评分规则，自动计算科室及个人的科研总分与人均分值，覆盖课题、论文、专利、奖项、著作、任职、创新平台、重点学科等类别。提供成果明细报表（含各级别课题/论文/专利数量、奖项级别分布等）及国家级/省部级项目专项报表，均支持科室筛选与导出。</w:t>
            </w:r>
          </w:p>
        </w:tc>
      </w:tr>
      <w:tr w14:paraId="04201FCD">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7DA98">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4</w:t>
            </w:r>
            <w:r>
              <w:rPr>
                <w:rFonts w:hint="eastAsia" w:cs="Songti SC Regular" w:asciiTheme="minorEastAsia" w:hAnsiTheme="minorEastAsia" w:eastAsiaTheme="minorEastAsia"/>
                <w:color w:val="auto"/>
                <w:kern w:val="0"/>
                <w:szCs w:val="21"/>
                <w:highlight w:val="none"/>
                <w:lang w:bidi="ar"/>
              </w:rPr>
              <w:t>4</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9C02E">
            <w:pPr>
              <w:spacing w:line="300" w:lineRule="auto"/>
              <w:jc w:val="center"/>
              <w:rPr>
                <w:rFonts w:cs="Songti SC Regular" w:asciiTheme="minorEastAsia" w:hAnsiTheme="minorEastAsia" w:eastAsiaTheme="minorEastAsia"/>
                <w:color w:val="auto"/>
                <w:szCs w:val="21"/>
                <w:highlight w:val="none"/>
              </w:rPr>
            </w:pPr>
          </w:p>
        </w:tc>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E58B6">
            <w:pPr>
              <w:spacing w:line="300" w:lineRule="auto"/>
              <w:jc w:val="center"/>
              <w:rPr>
                <w:rFonts w:cs="Songti SC Regular" w:asciiTheme="minorEastAsia" w:hAnsiTheme="minorEastAsia" w:eastAsiaTheme="minorEastAsia"/>
                <w:color w:val="auto"/>
                <w:szCs w:val="21"/>
                <w:highlight w:val="none"/>
              </w:rPr>
            </w:pP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E1A35">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支持成果评分分类管理，包含课题、论文、专利、奖项、著作、任职、创新平台及重点学科等每类别具体的评分列表。</w:t>
            </w:r>
          </w:p>
        </w:tc>
      </w:tr>
      <w:tr w14:paraId="6634D3AC">
        <w:tblPrEx>
          <w:tblCellMar>
            <w:top w:w="0" w:type="dxa"/>
            <w:left w:w="0" w:type="dxa"/>
            <w:bottom w:w="0" w:type="dxa"/>
            <w:right w:w="0" w:type="dxa"/>
          </w:tblCellMar>
        </w:tblPrEx>
        <w:trPr>
          <w:trHeight w:val="124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0A5F5">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4</w:t>
            </w:r>
            <w:r>
              <w:rPr>
                <w:rFonts w:hint="eastAsia" w:cs="Songti SC Regular" w:asciiTheme="minorEastAsia" w:hAnsiTheme="minorEastAsia" w:eastAsiaTheme="minorEastAsia"/>
                <w:color w:val="auto"/>
                <w:kern w:val="0"/>
                <w:szCs w:val="21"/>
                <w:highlight w:val="none"/>
                <w:lang w:bidi="ar"/>
              </w:rPr>
              <w:t>5</w:t>
            </w: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B8177">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2ADCA">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科技影响力报表</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1E617">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人员科研报表：详细展示每一位科研人员的具体产出成果数量统计，包括课题每个项目级别的数量、论文每个刊物类型的具体产出、专利每个类型的数据、每个奖项级别的产出数量、任职的级别、著作数等多维数据统计，并支持具体数据详细查看对应的产出列表，科室人员的筛选，支持导出。</w:t>
            </w:r>
          </w:p>
        </w:tc>
      </w:tr>
      <w:tr w14:paraId="674D77AF">
        <w:tblPrEx>
          <w:tblCellMar>
            <w:top w:w="0" w:type="dxa"/>
            <w:left w:w="0" w:type="dxa"/>
            <w:bottom w:w="0" w:type="dxa"/>
            <w:right w:w="0" w:type="dxa"/>
          </w:tblCellMar>
        </w:tblPrEx>
        <w:trPr>
          <w:trHeight w:val="4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6224B">
            <w:pPr>
              <w:widowControl/>
              <w:spacing w:line="300" w:lineRule="auto"/>
              <w:jc w:val="center"/>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46</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E67B8">
            <w:pPr>
              <w:spacing w:line="300" w:lineRule="auto"/>
              <w:jc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szCs w:val="21"/>
                <w:highlight w:val="none"/>
              </w:rPr>
              <w:t>科研绩效</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DDAD4">
            <w:pPr>
              <w:widowControl/>
              <w:spacing w:line="300" w:lineRule="auto"/>
              <w:jc w:val="center"/>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科研绩效</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0634B">
            <w:pPr>
              <w:widowControl/>
              <w:spacing w:line="300" w:lineRule="auto"/>
              <w:ind w:firstLine="210" w:firstLineChars="100"/>
              <w:jc w:val="left"/>
              <w:textAlignment w:val="center"/>
              <w:rPr>
                <w:rFonts w:cs="Songti SC Regular" w:asciiTheme="minorEastAsia" w:hAnsiTheme="minorEastAsia" w:eastAsiaTheme="minorEastAsia"/>
                <w:color w:val="auto"/>
                <w:kern w:val="0"/>
                <w:szCs w:val="21"/>
                <w:highlight w:val="none"/>
                <w:lang w:bidi="ar"/>
              </w:rPr>
            </w:pPr>
            <w:r>
              <w:rPr>
                <w:rFonts w:hint="eastAsia" w:cs="Songti SC Regular" w:asciiTheme="minorEastAsia" w:hAnsiTheme="minorEastAsia" w:eastAsiaTheme="minorEastAsia"/>
                <w:color w:val="auto"/>
                <w:kern w:val="0"/>
                <w:szCs w:val="21"/>
                <w:highlight w:val="none"/>
                <w:lang w:bidi="ar"/>
              </w:rPr>
              <w:t>科研绩效管理主要是指建立科研工作量的量化指标和设置岗位考核标准，通过对科研项目、科研成果、科研奖励、学术交流等信息的综合分析，计算科研人员和科研单位的科研工作量，由系统所设定信息自动进行核算的过程。</w:t>
            </w:r>
          </w:p>
          <w:p w14:paraId="725CB6E7">
            <w:pPr>
              <w:widowControl/>
              <w:spacing w:line="300" w:lineRule="auto"/>
              <w:jc w:val="left"/>
              <w:textAlignment w:val="center"/>
              <w:rPr>
                <w:rFonts w:asciiTheme="minorEastAsia" w:hAnsiTheme="minorEastAsia" w:eastAsiaTheme="minorEastAsia" w:cstheme="minorEastAsia"/>
                <w:color w:val="auto"/>
                <w:kern w:val="0"/>
                <w:szCs w:val="21"/>
                <w:highlight w:val="none"/>
                <w:lang w:bidi="ar"/>
              </w:rPr>
            </w:pPr>
            <w:r>
              <w:rPr>
                <w:rFonts w:cs="Songti SC Regular" w:asciiTheme="minorEastAsia" w:hAnsiTheme="minorEastAsia" w:eastAsiaTheme="minorEastAsia"/>
                <w:color w:val="auto"/>
                <w:kern w:val="0"/>
                <w:szCs w:val="21"/>
                <w:highlight w:val="none"/>
                <w:lang w:bidi="ar"/>
              </w:rPr>
              <w:t xml:space="preserve"> 1</w:t>
            </w:r>
            <w:r>
              <w:rPr>
                <w:rFonts w:hint="eastAsia" w:cs="Songti SC Regular" w:asciiTheme="minorEastAsia" w:hAnsiTheme="minorEastAsia" w:eastAsiaTheme="minorEastAsia"/>
                <w:color w:val="auto"/>
                <w:kern w:val="0"/>
                <w:szCs w:val="21"/>
                <w:highlight w:val="none"/>
                <w:lang w:bidi="ar"/>
              </w:rPr>
              <w:t>、</w:t>
            </w:r>
            <w:r>
              <w:rPr>
                <w:rFonts w:hint="eastAsia" w:asciiTheme="minorEastAsia" w:hAnsiTheme="minorEastAsia" w:eastAsiaTheme="minorEastAsia" w:cstheme="minorEastAsia"/>
                <w:color w:val="auto"/>
                <w:kern w:val="0"/>
                <w:szCs w:val="21"/>
                <w:highlight w:val="none"/>
                <w:lang w:bidi="ar"/>
              </w:rPr>
              <w:t>实现自定义绩效指标分类、绩效指标管理，按指标性质包括系统指标和自定义指标，按指标创建方式包括系统计算和手动录入；</w:t>
            </w:r>
          </w:p>
          <w:p w14:paraId="3E1D247D">
            <w:pPr>
              <w:widowControl/>
              <w:spacing w:line="300" w:lineRule="auto"/>
              <w:jc w:val="left"/>
              <w:textAlignment w:val="center"/>
              <w:rPr>
                <w:rFonts w:asciiTheme="minorEastAsia" w:hAnsiTheme="minorEastAsia" w:cstheme="minorEastAsia"/>
                <w:color w:val="auto"/>
                <w:kern w:val="0"/>
                <w:szCs w:val="21"/>
                <w:highlight w:val="none"/>
                <w:lang w:bidi="ar"/>
              </w:rPr>
            </w:pPr>
            <w:r>
              <w:rPr>
                <w:rFonts w:hint="eastAsia" w:asciiTheme="minorEastAsia" w:hAnsiTheme="minorEastAsia" w:eastAsiaTheme="minorEastAsia" w:cstheme="minorEastAsia"/>
                <w:color w:val="auto"/>
                <w:kern w:val="0"/>
                <w:szCs w:val="21"/>
                <w:highlight w:val="none"/>
                <w:lang w:bidi="ar"/>
              </w:rPr>
              <w:t>2、自定义绩效考核方案的科目和参数、自动计算个人、部门绩效成绩，支持对报告进行统一归档与管理。</w:t>
            </w:r>
          </w:p>
          <w:p w14:paraId="1C587061">
            <w:pPr>
              <w:widowControl/>
              <w:spacing w:line="300" w:lineRule="auto"/>
              <w:jc w:val="left"/>
              <w:textAlignment w:val="center"/>
              <w:rPr>
                <w:rFonts w:asciiTheme="minorEastAsia" w:hAnsiTheme="minorEastAsia" w:eastAsiaTheme="minorEastAsia" w:cstheme="minorEastAsia"/>
                <w:color w:val="auto"/>
                <w:kern w:val="0"/>
                <w:szCs w:val="21"/>
                <w:highlight w:val="none"/>
                <w:lang w:bidi="ar"/>
              </w:rPr>
            </w:pPr>
            <w:r>
              <w:rPr>
                <w:rFonts w:hint="eastAsia" w:asciiTheme="minorEastAsia" w:hAnsiTheme="minorEastAsia" w:eastAsiaTheme="minorEastAsia" w:cstheme="minorEastAsia"/>
                <w:color w:val="auto"/>
                <w:kern w:val="0"/>
                <w:szCs w:val="21"/>
                <w:highlight w:val="none"/>
                <w:lang w:bidi="ar"/>
              </w:rPr>
              <w:t>3、实现创建考核计划，包括设置考核时间、考核方案、考核对象，支持计算考核成绩、查看考核进度、确认考核结果，下载考核报告</w:t>
            </w:r>
          </w:p>
          <w:p w14:paraId="0BD0E0D1">
            <w:pPr>
              <w:widowControl/>
              <w:spacing w:line="300" w:lineRule="auto"/>
              <w:jc w:val="left"/>
              <w:textAlignment w:val="center"/>
              <w:rPr>
                <w:rFonts w:cs="Songti SC Regular" w:asciiTheme="minorEastAsia" w:hAnsiTheme="minorEastAsia" w:eastAsiaTheme="minorEastAsia"/>
                <w:color w:val="auto"/>
                <w:kern w:val="0"/>
                <w:szCs w:val="21"/>
                <w:highlight w:val="none"/>
                <w:lang w:bidi="ar"/>
              </w:rPr>
            </w:pPr>
            <w:r>
              <w:rPr>
                <w:rFonts w:hint="eastAsia" w:asciiTheme="minorEastAsia" w:hAnsiTheme="minorEastAsia" w:eastAsiaTheme="minorEastAsia" w:cstheme="minorEastAsia"/>
                <w:color w:val="auto"/>
                <w:kern w:val="0"/>
                <w:szCs w:val="21"/>
                <w:highlight w:val="none"/>
                <w:lang w:bidi="ar"/>
              </w:rPr>
              <w:t>4、科研人员查看个人或部门绩效报告。</w:t>
            </w:r>
          </w:p>
        </w:tc>
      </w:tr>
      <w:tr w14:paraId="6FEA1654">
        <w:tblPrEx>
          <w:tblCellMar>
            <w:top w:w="0" w:type="dxa"/>
            <w:left w:w="0" w:type="dxa"/>
            <w:bottom w:w="0" w:type="dxa"/>
            <w:right w:w="0" w:type="dxa"/>
          </w:tblCellMar>
        </w:tblPrEx>
        <w:trPr>
          <w:trHeight w:val="82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96DC1">
            <w:pPr>
              <w:widowControl/>
              <w:spacing w:line="300" w:lineRule="auto"/>
              <w:ind w:firstLine="420" w:firstLineChars="200"/>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kern w:val="0"/>
                <w:szCs w:val="21"/>
                <w:highlight w:val="none"/>
                <w:lang w:bidi="ar"/>
              </w:rPr>
              <w:t>4</w:t>
            </w:r>
            <w:r>
              <w:rPr>
                <w:rFonts w:hint="eastAsia" w:cs="Songti SC Regular" w:asciiTheme="minorEastAsia" w:hAnsiTheme="minorEastAsia" w:eastAsiaTheme="minorEastAsia"/>
                <w:color w:val="auto"/>
                <w:kern w:val="0"/>
                <w:szCs w:val="21"/>
                <w:highlight w:val="none"/>
                <w:lang w:bidi="ar"/>
              </w:rPr>
              <w:t>7</w:t>
            </w:r>
          </w:p>
        </w:tc>
        <w:tc>
          <w:tcPr>
            <w:tcW w:w="568" w:type="pct"/>
            <w:vMerge w:val="restart"/>
            <w:tcBorders>
              <w:top w:val="single" w:color="000000" w:sz="4" w:space="0"/>
              <w:left w:val="single" w:color="000000" w:sz="4" w:space="0"/>
              <w:right w:val="single" w:color="000000" w:sz="4" w:space="0"/>
            </w:tcBorders>
            <w:shd w:val="clear" w:color="auto" w:fill="auto"/>
            <w:vAlign w:val="center"/>
          </w:tcPr>
          <w:p w14:paraId="7DE024CF">
            <w:pPr>
              <w:spacing w:line="300" w:lineRule="auto"/>
              <w:jc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szCs w:val="21"/>
                <w:highlight w:val="none"/>
              </w:rPr>
              <w:t>系统</w:t>
            </w:r>
          </w:p>
          <w:p w14:paraId="5DE4695E">
            <w:pPr>
              <w:spacing w:line="300" w:lineRule="auto"/>
              <w:jc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szCs w:val="21"/>
                <w:highlight w:val="none"/>
              </w:rPr>
              <w:t>对接</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B167D">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规章制度</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A7CFF">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实现学科建设相关规章制度的编辑发布和制度文件上传</w:t>
            </w:r>
          </w:p>
        </w:tc>
      </w:tr>
      <w:tr w14:paraId="0D9EF3EC">
        <w:tblPrEx>
          <w:tblCellMar>
            <w:top w:w="0" w:type="dxa"/>
            <w:left w:w="0" w:type="dxa"/>
            <w:bottom w:w="0" w:type="dxa"/>
            <w:right w:w="0" w:type="dxa"/>
          </w:tblCellMar>
        </w:tblPrEx>
        <w:trPr>
          <w:trHeight w:val="554"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7909A">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 xml:space="preserve"> </w:t>
            </w:r>
            <w:r>
              <w:rPr>
                <w:rFonts w:cs="Songti SC Regular" w:asciiTheme="minorEastAsia" w:hAnsiTheme="minorEastAsia" w:eastAsiaTheme="minorEastAsia"/>
                <w:color w:val="auto"/>
                <w:kern w:val="0"/>
                <w:szCs w:val="21"/>
                <w:highlight w:val="none"/>
                <w:lang w:bidi="ar"/>
              </w:rPr>
              <w:t>4</w:t>
            </w:r>
            <w:r>
              <w:rPr>
                <w:rFonts w:hint="eastAsia" w:cs="Songti SC Regular" w:asciiTheme="minorEastAsia" w:hAnsiTheme="minorEastAsia" w:eastAsiaTheme="minorEastAsia"/>
                <w:color w:val="auto"/>
                <w:kern w:val="0"/>
                <w:szCs w:val="21"/>
                <w:highlight w:val="none"/>
                <w:lang w:bidi="ar"/>
              </w:rPr>
              <w:t>8</w:t>
            </w:r>
          </w:p>
        </w:tc>
        <w:tc>
          <w:tcPr>
            <w:tcW w:w="568" w:type="pct"/>
            <w:vMerge w:val="continue"/>
            <w:tcBorders>
              <w:left w:val="single" w:color="000000" w:sz="4" w:space="0"/>
              <w:right w:val="single" w:color="000000" w:sz="4" w:space="0"/>
            </w:tcBorders>
            <w:shd w:val="clear" w:color="auto" w:fill="auto"/>
            <w:vAlign w:val="center"/>
          </w:tcPr>
          <w:p w14:paraId="5A230FA1">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B695D">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模板文件管理</w:t>
            </w:r>
          </w:p>
        </w:tc>
        <w:tc>
          <w:tcPr>
            <w:tcW w:w="3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5BF0B">
            <w:pPr>
              <w:widowControl/>
              <w:spacing w:line="300" w:lineRule="auto"/>
              <w:jc w:val="left"/>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kern w:val="0"/>
                <w:szCs w:val="21"/>
                <w:highlight w:val="none"/>
                <w:lang w:bidi="ar"/>
              </w:rPr>
              <w:t>实现自定义模板类型及模板文件</w:t>
            </w:r>
          </w:p>
        </w:tc>
      </w:tr>
      <w:tr w14:paraId="20D64390">
        <w:tblPrEx>
          <w:tblCellMar>
            <w:top w:w="0" w:type="dxa"/>
            <w:left w:w="0" w:type="dxa"/>
            <w:bottom w:w="0" w:type="dxa"/>
            <w:right w:w="0" w:type="dxa"/>
          </w:tblCellMar>
        </w:tblPrEx>
        <w:trPr>
          <w:trHeight w:val="498" w:hRule="atLeast"/>
        </w:trPr>
        <w:tc>
          <w:tcPr>
            <w:tcW w:w="529" w:type="pct"/>
            <w:tcBorders>
              <w:top w:val="single" w:color="000000" w:sz="4" w:space="0"/>
              <w:left w:val="single" w:color="000000" w:sz="4" w:space="0"/>
              <w:bottom w:val="single" w:color="auto" w:sz="4" w:space="0"/>
              <w:right w:val="single" w:color="000000" w:sz="4" w:space="0"/>
            </w:tcBorders>
            <w:shd w:val="clear" w:color="auto" w:fill="auto"/>
            <w:vAlign w:val="center"/>
          </w:tcPr>
          <w:p w14:paraId="26005FEE">
            <w:pPr>
              <w:widowControl/>
              <w:spacing w:line="300" w:lineRule="auto"/>
              <w:ind w:firstLine="420" w:firstLineChars="200"/>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szCs w:val="21"/>
                <w:highlight w:val="none"/>
              </w:rPr>
              <w:t>49</w:t>
            </w:r>
          </w:p>
        </w:tc>
        <w:tc>
          <w:tcPr>
            <w:tcW w:w="568" w:type="pct"/>
            <w:vMerge w:val="continue"/>
            <w:tcBorders>
              <w:left w:val="single" w:color="000000" w:sz="4" w:space="0"/>
              <w:bottom w:val="single" w:color="auto" w:sz="4" w:space="0"/>
              <w:right w:val="single" w:color="000000" w:sz="4" w:space="0"/>
            </w:tcBorders>
            <w:shd w:val="clear" w:color="auto" w:fill="auto"/>
            <w:vAlign w:val="center"/>
          </w:tcPr>
          <w:p w14:paraId="776CF3F7">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auto" w:sz="4" w:space="0"/>
              <w:right w:val="single" w:color="000000" w:sz="4" w:space="0"/>
            </w:tcBorders>
            <w:shd w:val="clear" w:color="auto" w:fill="auto"/>
            <w:vAlign w:val="center"/>
          </w:tcPr>
          <w:p w14:paraId="29D84803">
            <w:pPr>
              <w:spacing w:line="300" w:lineRule="auto"/>
              <w:rPr>
                <w:rFonts w:cs="Songti SC Regular" w:asciiTheme="minorEastAsia" w:hAnsiTheme="minorEastAsia" w:eastAsiaTheme="minorEastAsia"/>
                <w:color w:val="auto"/>
                <w:szCs w:val="21"/>
                <w:highlight w:val="none"/>
              </w:rPr>
            </w:pPr>
            <w:r>
              <w:rPr>
                <w:rFonts w:hint="eastAsia" w:cs="宋体" w:asciiTheme="minorEastAsia" w:hAnsiTheme="minorEastAsia" w:eastAsiaTheme="minorEastAsia"/>
                <w:color w:val="auto"/>
                <w:kern w:val="0"/>
                <w:szCs w:val="21"/>
                <w:highlight w:val="none"/>
              </w:rPr>
              <w:t>对接需求</w:t>
            </w:r>
          </w:p>
        </w:tc>
        <w:tc>
          <w:tcPr>
            <w:tcW w:w="3317" w:type="pct"/>
            <w:tcBorders>
              <w:top w:val="single" w:color="000000" w:sz="4" w:space="0"/>
              <w:left w:val="single" w:color="000000" w:sz="4" w:space="0"/>
              <w:bottom w:val="single" w:color="auto" w:sz="4" w:space="0"/>
              <w:right w:val="single" w:color="000000" w:sz="4" w:space="0"/>
            </w:tcBorders>
            <w:shd w:val="clear" w:color="auto" w:fill="auto"/>
          </w:tcPr>
          <w:p w14:paraId="694F698A">
            <w:pPr>
              <w:spacing w:line="300" w:lineRule="auto"/>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需满足本项目各模块提出的所有对接要求，包括但不限于：</w:t>
            </w:r>
          </w:p>
          <w:p w14:paraId="40D29BB3">
            <w:pPr>
              <w:numPr>
                <w:ilvl w:val="0"/>
                <w:numId w:val="1"/>
              </w:numPr>
              <w:spacing w:line="300" w:lineRule="auto"/>
              <w:ind w:firstLine="0"/>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支持 PC 网页端与院内企业微信移动端的多角色分权协同办公，实现科研业务的多终端覆盖与统一管理。系统可从 OA 系统主页及企业微信免密登录跳转进入。</w:t>
            </w:r>
          </w:p>
          <w:p w14:paraId="3EEF319C">
            <w:pPr>
              <w:numPr>
                <w:ilvl w:val="0"/>
                <w:numId w:val="1"/>
              </w:numPr>
              <w:spacing w:line="300" w:lineRule="auto"/>
              <w:ind w:firstLine="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实现对接当前院方人事系统，获取人员相关数据。</w:t>
            </w:r>
            <w:r>
              <w:rPr>
                <w:rFonts w:hint="eastAsia" w:cs="宋体" w:asciiTheme="minorEastAsia" w:hAnsiTheme="minorEastAsia" w:eastAsiaTheme="minorEastAsia"/>
                <w:color w:val="auto"/>
                <w:szCs w:val="21"/>
                <w:highlight w:val="none"/>
              </w:rPr>
              <w:t>实现对接财务系统，实现经费数据互通。提供预算余额实时查询与超支预警功能。</w:t>
            </w:r>
          </w:p>
          <w:p w14:paraId="077EA6EB">
            <w:pPr>
              <w:numPr>
                <w:ilvl w:val="0"/>
                <w:numId w:val="1"/>
              </w:numPr>
              <w:spacing w:line="300" w:lineRule="auto"/>
              <w:ind w:firstLine="0"/>
              <w:rPr>
                <w:rFonts w:cs="Songti SC Regular"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本系统按科室实际需求，可</w:t>
            </w:r>
            <w:r>
              <w:rPr>
                <w:rFonts w:hint="eastAsia" w:cs="宋体" w:asciiTheme="minorEastAsia" w:hAnsiTheme="minorEastAsia" w:eastAsiaTheme="minorEastAsia"/>
                <w:color w:val="auto"/>
                <w:szCs w:val="21"/>
                <w:highlight w:val="none"/>
              </w:rPr>
              <w:t>支持对接获取OA系统相关表单数据，并在企业微信移动端同步推送审批待办提醒；用户点击提醒后，通过URL链接直接跳转至本系统对应审批页面完成处理，无需在多个系统间切换。</w:t>
            </w:r>
          </w:p>
        </w:tc>
      </w:tr>
      <w:tr w14:paraId="24433B87">
        <w:tblPrEx>
          <w:tblCellMar>
            <w:top w:w="0" w:type="dxa"/>
            <w:left w:w="0" w:type="dxa"/>
            <w:bottom w:w="0" w:type="dxa"/>
            <w:right w:w="0" w:type="dxa"/>
          </w:tblCellMar>
        </w:tblPrEx>
        <w:trPr>
          <w:trHeight w:val="820" w:hRule="atLeast"/>
        </w:trPr>
        <w:tc>
          <w:tcPr>
            <w:tcW w:w="529" w:type="pct"/>
            <w:tcBorders>
              <w:top w:val="single" w:color="auto" w:sz="4" w:space="0"/>
              <w:left w:val="single" w:color="000000" w:sz="4" w:space="0"/>
              <w:right w:val="single" w:color="000000" w:sz="4" w:space="0"/>
            </w:tcBorders>
            <w:shd w:val="clear" w:color="auto" w:fill="auto"/>
            <w:vAlign w:val="center"/>
          </w:tcPr>
          <w:p w14:paraId="56EABC02">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cs="Songti SC Regular" w:asciiTheme="minorEastAsia" w:hAnsiTheme="minorEastAsia" w:eastAsiaTheme="minorEastAsia"/>
                <w:color w:val="auto"/>
                <w:szCs w:val="21"/>
                <w:highlight w:val="none"/>
              </w:rPr>
              <w:t>5</w:t>
            </w:r>
            <w:r>
              <w:rPr>
                <w:rFonts w:hint="eastAsia" w:cs="Songti SC Regular" w:asciiTheme="minorEastAsia" w:hAnsiTheme="minorEastAsia" w:eastAsiaTheme="minorEastAsia"/>
                <w:color w:val="auto"/>
                <w:szCs w:val="21"/>
                <w:highlight w:val="none"/>
              </w:rPr>
              <w:t>0</w:t>
            </w:r>
          </w:p>
        </w:tc>
        <w:tc>
          <w:tcPr>
            <w:tcW w:w="568" w:type="pct"/>
            <w:vMerge w:val="continue"/>
            <w:tcBorders>
              <w:top w:val="single" w:color="auto" w:sz="4" w:space="0"/>
              <w:left w:val="single" w:color="000000" w:sz="4" w:space="0"/>
              <w:right w:val="single" w:color="000000" w:sz="4" w:space="0"/>
            </w:tcBorders>
            <w:shd w:val="clear" w:color="auto" w:fill="auto"/>
            <w:vAlign w:val="center"/>
          </w:tcPr>
          <w:p w14:paraId="063B8A9F">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auto" w:sz="4" w:space="0"/>
              <w:left w:val="single" w:color="000000" w:sz="4" w:space="0"/>
              <w:bottom w:val="single" w:color="000000" w:sz="4" w:space="0"/>
              <w:right w:val="single" w:color="000000" w:sz="4" w:space="0"/>
            </w:tcBorders>
            <w:shd w:val="clear" w:color="auto" w:fill="auto"/>
            <w:vAlign w:val="center"/>
          </w:tcPr>
          <w:p w14:paraId="3541ACD6">
            <w:pPr>
              <w:spacing w:line="300" w:lineRule="auto"/>
              <w:rPr>
                <w:rFonts w:cs="Songti SC Regular" w:asciiTheme="minorEastAsia" w:hAnsiTheme="minorEastAsia" w:eastAsiaTheme="minorEastAsia"/>
                <w:color w:val="auto"/>
                <w:szCs w:val="21"/>
                <w:highlight w:val="none"/>
              </w:rPr>
            </w:pPr>
            <w:r>
              <w:rPr>
                <w:rStyle w:val="13"/>
                <w:rFonts w:hint="eastAsia" w:cs="宋体" w:asciiTheme="minorEastAsia" w:hAnsiTheme="minorEastAsia" w:eastAsiaTheme="minorEastAsia"/>
                <w:b w:val="0"/>
                <w:color w:val="auto"/>
                <w:szCs w:val="21"/>
                <w:highlight w:val="none"/>
                <w:shd w:val="clear" w:color="auto" w:fill="FFFFFF"/>
              </w:rPr>
              <w:t>多端支持与访问</w:t>
            </w:r>
          </w:p>
        </w:tc>
        <w:tc>
          <w:tcPr>
            <w:tcW w:w="3317" w:type="pct"/>
            <w:tcBorders>
              <w:top w:val="single" w:color="auto" w:sz="4" w:space="0"/>
              <w:left w:val="single" w:color="000000" w:sz="4" w:space="0"/>
              <w:bottom w:val="single" w:color="000000" w:sz="4" w:space="0"/>
              <w:right w:val="single" w:color="000000" w:sz="4" w:space="0"/>
            </w:tcBorders>
            <w:shd w:val="clear" w:color="auto" w:fill="auto"/>
          </w:tcPr>
          <w:p w14:paraId="339054A0">
            <w:pPr>
              <w:numPr>
                <w:ilvl w:val="0"/>
                <w:numId w:val="2"/>
              </w:numPr>
              <w:spacing w:line="300" w:lineRule="auto"/>
              <w:ind w:firstLine="0"/>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应实现电脑网页端、企业微信移动端使用。</w:t>
            </w:r>
          </w:p>
          <w:p w14:paraId="430B5185">
            <w:pPr>
              <w:numPr>
                <w:ilvl w:val="0"/>
                <w:numId w:val="2"/>
              </w:numPr>
              <w:spacing w:line="300" w:lineRule="auto"/>
              <w:ind w:firstLine="0"/>
              <w:rPr>
                <w:rFonts w:cs="Songti SC Regular"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需实现在网页端、手机端（企业微信）同步进行业务申请与审批。</w:t>
            </w:r>
          </w:p>
        </w:tc>
      </w:tr>
      <w:tr w14:paraId="1DC4A1F5">
        <w:tblPrEx>
          <w:tblCellMar>
            <w:top w:w="0" w:type="dxa"/>
            <w:left w:w="0" w:type="dxa"/>
            <w:bottom w:w="0" w:type="dxa"/>
            <w:right w:w="0" w:type="dxa"/>
          </w:tblCellMar>
        </w:tblPrEx>
        <w:trPr>
          <w:trHeight w:val="420" w:hRule="atLeast"/>
        </w:trPr>
        <w:tc>
          <w:tcPr>
            <w:tcW w:w="529" w:type="pct"/>
            <w:tcBorders>
              <w:left w:val="single" w:color="000000" w:sz="4" w:space="0"/>
              <w:bottom w:val="single" w:color="auto" w:sz="4" w:space="0"/>
              <w:right w:val="single" w:color="000000" w:sz="4" w:space="0"/>
            </w:tcBorders>
            <w:shd w:val="clear" w:color="auto" w:fill="auto"/>
            <w:vAlign w:val="center"/>
          </w:tcPr>
          <w:p w14:paraId="424F6636">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szCs w:val="21"/>
                <w:highlight w:val="none"/>
              </w:rPr>
              <w:t>51</w:t>
            </w:r>
          </w:p>
        </w:tc>
        <w:tc>
          <w:tcPr>
            <w:tcW w:w="568" w:type="pct"/>
            <w:vMerge w:val="continue"/>
            <w:tcBorders>
              <w:left w:val="single" w:color="000000" w:sz="4" w:space="0"/>
              <w:bottom w:val="single" w:color="auto" w:sz="4" w:space="0"/>
              <w:right w:val="single" w:color="000000" w:sz="4" w:space="0"/>
            </w:tcBorders>
            <w:shd w:val="clear" w:color="auto" w:fill="auto"/>
            <w:vAlign w:val="center"/>
          </w:tcPr>
          <w:p w14:paraId="7B10F9FC">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000000" w:sz="4" w:space="0"/>
              <w:left w:val="single" w:color="000000" w:sz="4" w:space="0"/>
              <w:bottom w:val="single" w:color="auto" w:sz="4" w:space="0"/>
              <w:right w:val="single" w:color="000000" w:sz="4" w:space="0"/>
            </w:tcBorders>
            <w:shd w:val="clear" w:color="auto" w:fill="auto"/>
            <w:vAlign w:val="center"/>
          </w:tcPr>
          <w:p w14:paraId="5553269E">
            <w:pPr>
              <w:spacing w:line="300" w:lineRule="auto"/>
              <w:rPr>
                <w:rFonts w:cs="Songti SC Regular" w:asciiTheme="minorEastAsia" w:hAnsiTheme="minorEastAsia" w:eastAsiaTheme="minorEastAsia"/>
                <w:color w:val="auto"/>
                <w:szCs w:val="21"/>
                <w:highlight w:val="none"/>
              </w:rPr>
            </w:pPr>
            <w:r>
              <w:rPr>
                <w:rStyle w:val="13"/>
                <w:rFonts w:hint="eastAsia" w:cs="宋体" w:asciiTheme="minorEastAsia" w:hAnsiTheme="minorEastAsia" w:eastAsiaTheme="minorEastAsia"/>
                <w:b w:val="0"/>
                <w:color w:val="auto"/>
                <w:szCs w:val="21"/>
                <w:highlight w:val="none"/>
                <w:shd w:val="clear" w:color="auto" w:fill="FFFFFF"/>
              </w:rPr>
              <w:t>统一身份认证</w:t>
            </w:r>
          </w:p>
        </w:tc>
        <w:tc>
          <w:tcPr>
            <w:tcW w:w="3317" w:type="pct"/>
            <w:tcBorders>
              <w:top w:val="single" w:color="000000" w:sz="4" w:space="0"/>
              <w:left w:val="single" w:color="000000" w:sz="4" w:space="0"/>
              <w:bottom w:val="single" w:color="000000" w:sz="4" w:space="0"/>
              <w:right w:val="single" w:color="000000" w:sz="4" w:space="0"/>
            </w:tcBorders>
            <w:shd w:val="clear" w:color="auto" w:fill="auto"/>
          </w:tcPr>
          <w:p w14:paraId="71FD4ECA">
            <w:pPr>
              <w:numPr>
                <w:ilvl w:val="255"/>
                <w:numId w:val="0"/>
              </w:numPr>
              <w:spacing w:line="300" w:lineRule="auto"/>
              <w:rPr>
                <w:rFonts w:cs="Songti SC Regular"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系统应实现与医院OA现有单点登录（SSO）系统集成，用户无需重复登录。</w:t>
            </w:r>
          </w:p>
        </w:tc>
      </w:tr>
      <w:tr w14:paraId="2BCDE1B7">
        <w:tblPrEx>
          <w:tblCellMar>
            <w:top w:w="0" w:type="dxa"/>
            <w:left w:w="0" w:type="dxa"/>
            <w:bottom w:w="0" w:type="dxa"/>
            <w:right w:w="0" w:type="dxa"/>
          </w:tblCellMar>
        </w:tblPrEx>
        <w:trPr>
          <w:trHeight w:val="1503" w:hRule="atLeast"/>
        </w:trPr>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33157E95">
            <w:pPr>
              <w:widowControl/>
              <w:spacing w:line="300" w:lineRule="auto"/>
              <w:jc w:val="center"/>
              <w:textAlignment w:val="center"/>
              <w:rPr>
                <w:rFonts w:cs="Songti SC Regular" w:asciiTheme="minorEastAsia" w:hAnsiTheme="minorEastAsia" w:eastAsiaTheme="minorEastAsia"/>
                <w:color w:val="auto"/>
                <w:szCs w:val="21"/>
                <w:highlight w:val="none"/>
              </w:rPr>
            </w:pPr>
            <w:r>
              <w:rPr>
                <w:rFonts w:hint="eastAsia" w:cs="Songti SC Regular" w:asciiTheme="minorEastAsia" w:hAnsiTheme="minorEastAsia" w:eastAsiaTheme="minorEastAsia"/>
                <w:color w:val="auto"/>
                <w:szCs w:val="21"/>
                <w:highlight w:val="none"/>
              </w:rPr>
              <w:t>52</w:t>
            </w:r>
          </w:p>
        </w:tc>
        <w:tc>
          <w:tcPr>
            <w:tcW w:w="568" w:type="pct"/>
            <w:tcBorders>
              <w:top w:val="single" w:color="auto" w:sz="4" w:space="0"/>
              <w:left w:val="single" w:color="auto" w:sz="4" w:space="0"/>
              <w:bottom w:val="single" w:color="auto" w:sz="4" w:space="0"/>
              <w:right w:val="single" w:color="auto" w:sz="4" w:space="0"/>
            </w:tcBorders>
            <w:shd w:val="clear" w:color="auto" w:fill="auto"/>
            <w:vAlign w:val="center"/>
          </w:tcPr>
          <w:p w14:paraId="2697ACE6">
            <w:pPr>
              <w:spacing w:line="300" w:lineRule="auto"/>
              <w:jc w:val="center"/>
              <w:rPr>
                <w:rFonts w:cs="Songti SC Regular" w:asciiTheme="minorEastAsia" w:hAnsiTheme="minorEastAsia" w:eastAsiaTheme="minorEastAsia"/>
                <w:color w:val="auto"/>
                <w:szCs w:val="21"/>
                <w:highlight w:val="none"/>
              </w:rPr>
            </w:pPr>
          </w:p>
        </w:tc>
        <w:tc>
          <w:tcPr>
            <w:tcW w:w="584" w:type="pct"/>
            <w:tcBorders>
              <w:top w:val="single" w:color="auto" w:sz="4" w:space="0"/>
              <w:left w:val="single" w:color="auto" w:sz="4" w:space="0"/>
              <w:bottom w:val="single" w:color="auto" w:sz="4" w:space="0"/>
              <w:right w:val="single" w:color="auto" w:sz="4" w:space="0"/>
            </w:tcBorders>
            <w:shd w:val="clear" w:color="auto" w:fill="auto"/>
            <w:vAlign w:val="center"/>
          </w:tcPr>
          <w:p w14:paraId="695B2CC3">
            <w:pPr>
              <w:spacing w:line="300" w:lineRule="auto"/>
              <w:rPr>
                <w:rStyle w:val="13"/>
                <w:rFonts w:cs="宋体" w:asciiTheme="minorEastAsia" w:hAnsiTheme="minorEastAsia" w:eastAsiaTheme="minorEastAsia"/>
                <w:b w:val="0"/>
                <w:color w:val="auto"/>
                <w:szCs w:val="21"/>
                <w:highlight w:val="none"/>
                <w:shd w:val="clear" w:color="auto" w:fill="FFFFFF"/>
              </w:rPr>
            </w:pPr>
            <w:r>
              <w:rPr>
                <w:rFonts w:ascii="Segoe UI" w:hAnsi="Segoe UI" w:eastAsia="Segoe UI" w:cs="Segoe UI"/>
                <w:color w:val="auto"/>
                <w:sz w:val="22"/>
                <w:szCs w:val="22"/>
                <w:highlight w:val="none"/>
                <w:shd w:val="clear" w:color="auto" w:fill="FFFFFF"/>
              </w:rPr>
              <w:t>配套服务器硬件</w:t>
            </w:r>
          </w:p>
        </w:tc>
        <w:tc>
          <w:tcPr>
            <w:tcW w:w="3317" w:type="pct"/>
            <w:tcBorders>
              <w:top w:val="single" w:color="000000" w:sz="4" w:space="0"/>
              <w:left w:val="single" w:color="auto" w:sz="4" w:space="0"/>
              <w:bottom w:val="single" w:color="000000" w:sz="4" w:space="0"/>
              <w:right w:val="single" w:color="000000" w:sz="4" w:space="0"/>
            </w:tcBorders>
            <w:shd w:val="clear" w:color="auto" w:fill="auto"/>
          </w:tcPr>
          <w:p w14:paraId="1A65C427">
            <w:pPr>
              <w:numPr>
                <w:ilvl w:val="255"/>
                <w:numId w:val="0"/>
              </w:numPr>
              <w:spacing w:line="300" w:lineRule="auto"/>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1.CPU：2*英特尔至强银牌4316(2.3GHz/20-Core）</w:t>
            </w:r>
          </w:p>
          <w:p w14:paraId="2B6A0945">
            <w:pPr>
              <w:numPr>
                <w:ilvl w:val="255"/>
                <w:numId w:val="0"/>
              </w:numPr>
              <w:spacing w:line="300" w:lineRule="auto"/>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2.内存：16*32GB DDR4 2933</w:t>
            </w:r>
          </w:p>
          <w:p w14:paraId="338C7702">
            <w:pPr>
              <w:numPr>
                <w:ilvl w:val="255"/>
                <w:numId w:val="0"/>
              </w:numPr>
              <w:spacing w:line="300" w:lineRule="auto"/>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3.系统盘：2块480GB SATA SSD</w:t>
            </w:r>
          </w:p>
          <w:p w14:paraId="3B4F97DA">
            <w:pPr>
              <w:numPr>
                <w:ilvl w:val="255"/>
                <w:numId w:val="0"/>
              </w:numPr>
              <w:spacing w:line="300" w:lineRule="auto"/>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 xml:space="preserve">4.数据盘：4块1.92TB SATA  SSD                                                                                                                                                                                                                                                                                                                                                        </w:t>
            </w:r>
          </w:p>
          <w:p w14:paraId="005E3D92">
            <w:pPr>
              <w:numPr>
                <w:ilvl w:val="255"/>
                <w:numId w:val="0"/>
              </w:numPr>
              <w:spacing w:line="300" w:lineRule="auto"/>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5.网卡：2块双端口万兆以太网光纤网卡（含光模块），2块单端口16GB光纤通道卡（含光模块）</w:t>
            </w:r>
          </w:p>
          <w:p w14:paraId="361348EB">
            <w:pPr>
              <w:numPr>
                <w:ilvl w:val="255"/>
                <w:numId w:val="0"/>
              </w:numPr>
              <w:spacing w:line="300" w:lineRule="auto"/>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6.电源：2*900W电源</w:t>
            </w:r>
          </w:p>
          <w:p w14:paraId="05DBA7E4">
            <w:pPr>
              <w:numPr>
                <w:ilvl w:val="255"/>
                <w:numId w:val="0"/>
              </w:numPr>
              <w:spacing w:line="300" w:lineRule="auto"/>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7.服务：三年原厂维保</w:t>
            </w:r>
          </w:p>
        </w:tc>
      </w:tr>
    </w:tbl>
    <w:p w14:paraId="5D7A2AB5">
      <w:pPr>
        <w:rPr>
          <w:rFonts w:ascii="宋体" w:hAnsi="宋体" w:eastAsia="宋体" w:cs="宋体"/>
          <w:b/>
          <w:bCs/>
          <w:kern w:val="0"/>
          <w:sz w:val="28"/>
          <w:szCs w:val="28"/>
        </w:rPr>
      </w:pPr>
      <w:bookmarkStart w:id="4" w:name="_GoBack"/>
      <w:bookmarkEnd w:id="4"/>
    </w:p>
    <w:p w14:paraId="63BC3F62">
      <w:pPr>
        <w:rPr>
          <w:rFonts w:ascii="宋体" w:hAnsi="宋体" w:eastAsia="宋体" w:cs="宋体"/>
          <w:b/>
          <w:bCs/>
          <w:kern w:val="0"/>
          <w:sz w:val="28"/>
          <w:szCs w:val="28"/>
        </w:rPr>
      </w:pPr>
      <w:r>
        <w:rPr>
          <w:rFonts w:hint="eastAsia" w:ascii="宋体" w:hAnsi="宋体" w:eastAsia="宋体" w:cs="宋体"/>
          <w:b/>
          <w:bCs/>
          <w:kern w:val="0"/>
          <w:sz w:val="28"/>
          <w:szCs w:val="28"/>
        </w:rPr>
        <w:t>（三）签字确认</w:t>
      </w:r>
    </w:p>
    <w:tbl>
      <w:tblPr>
        <w:tblStyle w:val="11"/>
        <w:tblW w:w="8789"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1"/>
        <w:gridCol w:w="6378"/>
      </w:tblGrid>
      <w:tr w14:paraId="3E09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6" w:hRule="atLeast"/>
        </w:trPr>
        <w:tc>
          <w:tcPr>
            <w:tcW w:w="2411" w:type="dxa"/>
            <w:shd w:val="clear" w:color="auto" w:fill="auto"/>
          </w:tcPr>
          <w:p w14:paraId="76ADA809">
            <w:pPr>
              <w:pStyle w:val="16"/>
              <w:ind w:firstLine="0" w:firstLineChars="0"/>
              <w:rPr>
                <w:rFonts w:hAnsi="Times New Roman"/>
                <w:b/>
                <w:bCs/>
              </w:rPr>
            </w:pPr>
            <w:r>
              <w:rPr>
                <w:rFonts w:hint="eastAsia" w:hAnsi="Times New Roman"/>
                <w:b/>
                <w:bCs/>
              </w:rPr>
              <w:t>需求科室签字（日期）：</w:t>
            </w:r>
          </w:p>
        </w:tc>
        <w:tc>
          <w:tcPr>
            <w:tcW w:w="6378" w:type="dxa"/>
            <w:shd w:val="clear" w:color="auto" w:fill="auto"/>
          </w:tcPr>
          <w:p w14:paraId="65321A0D">
            <w:pPr>
              <w:pStyle w:val="16"/>
              <w:ind w:firstLine="0" w:firstLineChars="0"/>
              <w:rPr>
                <w:rFonts w:hAnsi="Times New Roman"/>
              </w:rPr>
            </w:pPr>
          </w:p>
        </w:tc>
      </w:tr>
      <w:tr w14:paraId="34E3C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2411" w:type="dxa"/>
            <w:shd w:val="clear" w:color="auto" w:fill="auto"/>
          </w:tcPr>
          <w:p w14:paraId="5A4C81A8">
            <w:pPr>
              <w:pStyle w:val="16"/>
              <w:ind w:firstLine="0" w:firstLineChars="0"/>
              <w:rPr>
                <w:rFonts w:hAnsi="Times New Roman"/>
                <w:b/>
                <w:bCs/>
              </w:rPr>
            </w:pPr>
            <w:r>
              <w:rPr>
                <w:rFonts w:hint="eastAsia" w:hAnsi="Times New Roman"/>
                <w:b/>
                <w:bCs/>
              </w:rPr>
              <w:t>智慧医院建设部民主管理小组签字（日期）：</w:t>
            </w:r>
          </w:p>
        </w:tc>
        <w:tc>
          <w:tcPr>
            <w:tcW w:w="6378" w:type="dxa"/>
            <w:shd w:val="clear" w:color="auto" w:fill="auto"/>
          </w:tcPr>
          <w:p w14:paraId="00CA7866">
            <w:pPr>
              <w:pStyle w:val="16"/>
              <w:ind w:firstLine="0" w:firstLineChars="0"/>
              <w:rPr>
                <w:rFonts w:hAnsi="Times New Roman"/>
              </w:rPr>
            </w:pPr>
          </w:p>
        </w:tc>
      </w:tr>
    </w:tbl>
    <w:p w14:paraId="44B6B243">
      <w:pPr>
        <w:pStyle w:val="16"/>
        <w:ind w:firstLine="0" w:firstLineChars="0"/>
        <w:rPr>
          <w:b/>
          <w:bCs/>
        </w:rPr>
      </w:pPr>
      <w:r>
        <w:rPr>
          <w:rFonts w:hint="eastAsia"/>
          <w:b/>
          <w:bCs/>
        </w:rPr>
        <w:t>（请双面打印）</w:t>
      </w:r>
    </w:p>
    <w:p w14:paraId="797C63E4"/>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仿宋">
    <w:panose1 w:val="02010600040101010101"/>
    <w:charset w:val="86"/>
    <w:family w:val="auto"/>
    <w:pitch w:val="default"/>
    <w:sig w:usb0="00000287" w:usb1="080F0000" w:usb2="00000000" w:usb3="00000000" w:csb0="0004009F" w:csb1="DFD70000"/>
  </w:font>
  <w:font w:name="方正仿宋_GBK">
    <w:panose1 w:val="02000000000000000000"/>
    <w:charset w:val="86"/>
    <w:family w:val="auto"/>
    <w:pitch w:val="default"/>
    <w:sig w:usb0="A00002BF" w:usb1="38CF7CFA" w:usb2="00082016" w:usb3="00000000" w:csb0="00040001"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Songti SC Regular">
    <w:altName w:val="宋体"/>
    <w:panose1 w:val="00000000000000000000"/>
    <w:charset w:val="86"/>
    <w:family w:val="auto"/>
    <w:pitch w:val="default"/>
    <w:sig w:usb0="00000000" w:usb1="00000000" w:usb2="00000000" w:usb3="00000000" w:csb0="00040000" w:csb1="00000000"/>
  </w:font>
  <w:font w:name="Segoe UI">
    <w:panose1 w:val="020B0502040204020203"/>
    <w:charset w:val="00"/>
    <w:family w:val="swiss"/>
    <w:pitch w:val="default"/>
    <w:sig w:usb0="E10022FF" w:usb1="C000E47F" w:usb2="00000029" w:usb3="00000000" w:csb0="200001DF" w:csb1="20000000"/>
  </w:font>
  <w:font w:name="微软雅黑">
    <w:panose1 w:val="020B0503020204020204"/>
    <w:charset w:val="86"/>
    <w:family w:val="auto"/>
    <w:pitch w:val="default"/>
    <w:sig w:usb0="80000287" w:usb1="280F3C52" w:usb2="00000016" w:usb3="00000000" w:csb0="0004001F" w:csb1="00000000"/>
  </w:font>
  <w:font w:name="Microsoft YaHei UI">
    <w:panose1 w:val="020B0503020204020204"/>
    <w:charset w:val="86"/>
    <w:family w:val="auto"/>
    <w:pitch w:val="default"/>
    <w:sig w:usb0="80000287" w:usb1="28C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F5371">
    <w:pPr>
      <w:pStyle w:val="9"/>
      <w:framePr w:w="1418" w:wrap="around" w:vAnchor="text" w:hAnchor="margin" w:xAlign="outside" w:y="1"/>
      <w:ind w:left="178" w:leftChars="85" w:right="44" w:rightChars="21" w:firstLine="182" w:firstLineChars="65"/>
      <w:rPr>
        <w:rStyle w:val="14"/>
        <w:rFonts w:ascii="宋体" w:hAnsi="宋体"/>
        <w:sz w:val="28"/>
        <w:szCs w:val="28"/>
      </w:rPr>
    </w:pPr>
    <w:r>
      <w:rPr>
        <w:rStyle w:val="14"/>
        <w:rFonts w:hint="eastAsia" w:ascii="宋体" w:hAnsi="宋体"/>
        <w:sz w:val="28"/>
        <w:szCs w:val="28"/>
      </w:rPr>
      <w:t>－</w:t>
    </w:r>
    <w:r>
      <w:rPr>
        <w:rStyle w:val="14"/>
        <w:rFonts w:ascii="宋体" w:hAnsi="宋体"/>
        <w:sz w:val="28"/>
        <w:szCs w:val="28"/>
      </w:rPr>
      <w:fldChar w:fldCharType="begin"/>
    </w:r>
    <w:r>
      <w:rPr>
        <w:rStyle w:val="14"/>
        <w:rFonts w:ascii="宋体" w:hAnsi="宋体"/>
        <w:sz w:val="28"/>
        <w:szCs w:val="28"/>
      </w:rPr>
      <w:instrText xml:space="preserve">PAGE  </w:instrText>
    </w:r>
    <w:r>
      <w:rPr>
        <w:rStyle w:val="14"/>
        <w:rFonts w:ascii="宋体" w:hAnsi="宋体"/>
        <w:sz w:val="28"/>
        <w:szCs w:val="28"/>
      </w:rPr>
      <w:fldChar w:fldCharType="separate"/>
    </w:r>
    <w:r>
      <w:rPr>
        <w:rStyle w:val="14"/>
        <w:rFonts w:ascii="宋体" w:hAnsi="宋体"/>
        <w:sz w:val="28"/>
        <w:szCs w:val="28"/>
      </w:rPr>
      <w:t>11</w:t>
    </w:r>
    <w:r>
      <w:rPr>
        <w:rStyle w:val="14"/>
        <w:rFonts w:ascii="宋体" w:hAnsi="宋体"/>
        <w:sz w:val="28"/>
        <w:szCs w:val="28"/>
      </w:rPr>
      <w:fldChar w:fldCharType="end"/>
    </w:r>
    <w:r>
      <w:rPr>
        <w:rStyle w:val="14"/>
        <w:rFonts w:hint="eastAsia" w:ascii="宋体" w:hAnsi="宋体"/>
        <w:sz w:val="28"/>
        <w:szCs w:val="28"/>
      </w:rPr>
      <w:t>－</w:t>
    </w:r>
  </w:p>
  <w:p w14:paraId="2022B350">
    <w:pPr>
      <w:ind w:right="360" w:firstLine="360"/>
      <w:rPr>
        <w:rStyle w:val="14"/>
        <w:rFonts w:ascii="宋体" w:hAnsi="宋体"/>
        <w:sz w:val="28"/>
        <w:szCs w:val="28"/>
      </w:rPr>
    </w:pPr>
  </w:p>
  <w:p w14:paraId="2F45A288">
    <w:pPr>
      <w:pStyle w:val="9"/>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D8B8F">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1906DA"/>
    <w:multiLevelType w:val="singleLevel"/>
    <w:tmpl w:val="B71906DA"/>
    <w:lvl w:ilvl="0" w:tentative="0">
      <w:start w:val="1"/>
      <w:numFmt w:val="decimal"/>
      <w:suff w:val="nothing"/>
      <w:lvlText w:val="%1．"/>
      <w:lvlJc w:val="left"/>
      <w:pPr>
        <w:ind w:left="0" w:firstLine="400"/>
      </w:pPr>
      <w:rPr>
        <w:rFonts w:hint="default"/>
      </w:rPr>
    </w:lvl>
  </w:abstractNum>
  <w:abstractNum w:abstractNumId="1">
    <w:nsid w:val="69F0EAA3"/>
    <w:multiLevelType w:val="singleLevel"/>
    <w:tmpl w:val="69F0EAA3"/>
    <w:lvl w:ilvl="0" w:tentative="0">
      <w:start w:val="1"/>
      <w:numFmt w:val="decimal"/>
      <w:suff w:val="nothing"/>
      <w:lvlText w:val="%1．"/>
      <w:lvlJc w:val="left"/>
      <w:pPr>
        <w:ind w:left="0" w:firstLine="4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0F4EE9"/>
    <w:rsid w:val="00027C6C"/>
    <w:rsid w:val="0007063A"/>
    <w:rsid w:val="00083981"/>
    <w:rsid w:val="001F3E58"/>
    <w:rsid w:val="00240D1B"/>
    <w:rsid w:val="002E5AB6"/>
    <w:rsid w:val="003E7A01"/>
    <w:rsid w:val="003F170E"/>
    <w:rsid w:val="00402DA6"/>
    <w:rsid w:val="00456B2C"/>
    <w:rsid w:val="004E7FB7"/>
    <w:rsid w:val="005E26EF"/>
    <w:rsid w:val="00623A54"/>
    <w:rsid w:val="00634CA2"/>
    <w:rsid w:val="007B0817"/>
    <w:rsid w:val="0092483A"/>
    <w:rsid w:val="00CD5E02"/>
    <w:rsid w:val="00E037FA"/>
    <w:rsid w:val="00EE0435"/>
    <w:rsid w:val="00F20FF6"/>
    <w:rsid w:val="00F35C69"/>
    <w:rsid w:val="00F55647"/>
    <w:rsid w:val="00F72A4B"/>
    <w:rsid w:val="12217F26"/>
    <w:rsid w:val="22F07AE2"/>
    <w:rsid w:val="363122F8"/>
    <w:rsid w:val="53035475"/>
    <w:rsid w:val="5AC350A7"/>
    <w:rsid w:val="5F0F4E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黑体" w:hAnsi="黑体" w:eastAsia="黑体" w:cstheme="minorBidi"/>
      <w:kern w:val="2"/>
      <w:sz w:val="21"/>
      <w:szCs w:val="24"/>
      <w:lang w:val="en-US" w:eastAsia="zh-CN" w:bidi="ar-SA"/>
    </w:rPr>
  </w:style>
  <w:style w:type="paragraph" w:styleId="2">
    <w:name w:val="heading 2"/>
    <w:basedOn w:val="3"/>
    <w:next w:val="4"/>
    <w:unhideWhenUsed/>
    <w:qFormat/>
    <w:uiPriority w:val="0"/>
    <w:pPr>
      <w:spacing w:line="240" w:lineRule="auto"/>
      <w:ind w:firstLine="880" w:firstLineChars="200"/>
      <w:outlineLvl w:val="1"/>
    </w:pPr>
    <w:rPr>
      <w:sz w:val="30"/>
      <w:szCs w:val="30"/>
    </w:rPr>
  </w:style>
  <w:style w:type="paragraph" w:styleId="3">
    <w:name w:val="heading 3"/>
    <w:basedOn w:val="4"/>
    <w:next w:val="1"/>
    <w:semiHidden/>
    <w:unhideWhenUsed/>
    <w:qFormat/>
    <w:uiPriority w:val="0"/>
    <w:pPr>
      <w:jc w:val="left"/>
      <w:outlineLvl w:val="2"/>
    </w:pPr>
    <w:rPr>
      <w:rFonts w:hint="eastAsia" w:ascii="华文仿宋" w:hAnsi="华文仿宋" w:eastAsia="华文仿宋" w:cs="Times New Roman"/>
      <w:b/>
      <w:kern w:val="0"/>
    </w:rPr>
  </w:style>
  <w:style w:type="paragraph" w:styleId="4">
    <w:name w:val="heading 4"/>
    <w:basedOn w:val="1"/>
    <w:next w:val="1"/>
    <w:semiHidden/>
    <w:unhideWhenUsed/>
    <w:qFormat/>
    <w:uiPriority w:val="0"/>
    <w:pPr>
      <w:keepNext/>
      <w:keepLines/>
      <w:spacing w:before="50" w:beforeLines="50" w:after="50" w:afterLines="50" w:line="360" w:lineRule="auto"/>
      <w:outlineLvl w:val="3"/>
    </w:pPr>
    <w:rPr>
      <w:rFonts w:ascii="方正仿宋_GBK" w:hAnsi="方正仿宋_GBK" w:eastAsia="方正仿宋_GBK" w:cs="方正仿宋_GBK"/>
      <w:bCs/>
      <w:sz w:val="2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qFormat/>
    <w:uiPriority w:val="0"/>
    <w:pPr>
      <w:autoSpaceDE w:val="0"/>
      <w:autoSpaceDN w:val="0"/>
      <w:adjustRightInd w:val="0"/>
      <w:jc w:val="left"/>
      <w:textAlignment w:val="baseline"/>
    </w:pPr>
    <w:rPr>
      <w:rFonts w:ascii="宋体"/>
      <w:kern w:val="0"/>
      <w:sz w:val="34"/>
      <w:szCs w:val="20"/>
    </w:rPr>
  </w:style>
  <w:style w:type="paragraph" w:styleId="6">
    <w:name w:val="Body Text"/>
    <w:basedOn w:val="1"/>
    <w:next w:val="7"/>
    <w:qFormat/>
    <w:uiPriority w:val="0"/>
    <w:pPr>
      <w:spacing w:line="360" w:lineRule="auto"/>
    </w:pPr>
    <w:rPr>
      <w:b/>
      <w:bCs/>
      <w:sz w:val="24"/>
    </w:rPr>
  </w:style>
  <w:style w:type="paragraph" w:styleId="7">
    <w:name w:val="Body Text 2"/>
    <w:basedOn w:val="1"/>
    <w:qFormat/>
    <w:uiPriority w:val="0"/>
    <w:pPr>
      <w:spacing w:line="360" w:lineRule="auto"/>
    </w:pPr>
    <w:rPr>
      <w:sz w:val="24"/>
    </w:rPr>
  </w:style>
  <w:style w:type="paragraph" w:styleId="8">
    <w:name w:val="Balloon Text"/>
    <w:basedOn w:val="1"/>
    <w:link w:val="18"/>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13">
    <w:name w:val="Strong"/>
    <w:basedOn w:val="12"/>
    <w:qFormat/>
    <w:uiPriority w:val="22"/>
    <w:rPr>
      <w:b/>
    </w:rPr>
  </w:style>
  <w:style w:type="character" w:styleId="14">
    <w:name w:val="page number"/>
    <w:basedOn w:val="12"/>
    <w:qFormat/>
    <w:uiPriority w:val="0"/>
  </w:style>
  <w:style w:type="character" w:styleId="15">
    <w:name w:val="annotation reference"/>
    <w:basedOn w:val="12"/>
    <w:qFormat/>
    <w:uiPriority w:val="0"/>
    <w:rPr>
      <w:sz w:val="21"/>
      <w:szCs w:val="21"/>
    </w:rPr>
  </w:style>
  <w:style w:type="paragraph" w:customStyle="1" w:styleId="16">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17">
    <w:name w:val="ds-markdown-paragraph"/>
    <w:basedOn w:val="1"/>
    <w:qFormat/>
    <w:uiPriority w:val="0"/>
    <w:pPr>
      <w:widowControl/>
      <w:spacing w:before="100" w:beforeAutospacing="1" w:after="100" w:afterAutospacing="1"/>
      <w:jc w:val="left"/>
    </w:pPr>
    <w:rPr>
      <w:rFonts w:ascii="宋体" w:hAnsi="宋体" w:cs="宋体"/>
      <w:kern w:val="0"/>
      <w:sz w:val="24"/>
    </w:rPr>
  </w:style>
  <w:style w:type="character" w:customStyle="1" w:styleId="18">
    <w:name w:val="批注框文本 字符"/>
    <w:basedOn w:val="12"/>
    <w:link w:val="8"/>
    <w:qFormat/>
    <w:uiPriority w:val="0"/>
    <w:rPr>
      <w:rFonts w:ascii="黑体" w:hAnsi="黑体" w:eastAsia="黑体"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7867</Words>
  <Characters>8082</Characters>
  <Lines>62</Lines>
  <Paragraphs>17</Paragraphs>
  <TotalTime>4</TotalTime>
  <ScaleCrop>false</ScaleCrop>
  <LinksUpToDate>false</LinksUpToDate>
  <CharactersWithSpaces>8458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2026-09-18T03:34:00Z</dcterms:created>
  <dc:creator>杨娟</dc:creator>
  <cp:lastModifiedBy>杨娟</cp:lastModifiedBy>
  <dcterms:modified xsi:type="dcterms:W3CDTF">2026-09-29T09:27:05Z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2724656338FE4000AC01D9A93A905748_13</vt:lpwstr>
  </property>
  <property fmtid="{D5CDD505-2E9C-101B-9397-08002B2CF9AE}" pid="4" name="KSOTemplateDocerSaveRecord">
    <vt:lpwstr>eyJoZGlkIjoiNjhhZGM1YTEzMWZkYWMwMWJjZDY3YjliOGU2ZWI0MjEiLCJ1c2VySWQiOiIxNjgyNzQ3MTI4In0=</vt:lpwstr>
  </property>
</Properties>
</file>